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pPr>
      <w:r>
        <w:rPr>
          <w:rFonts w:hint="eastAsia" w:cs="宋体"/>
          <w:b/>
          <w:bCs/>
          <w:color w:val="000000" w:themeColor="text1"/>
          <w:sz w:val="40"/>
          <w:szCs w:val="40"/>
          <w:highlight w:val="none"/>
          <w:shd w:val="clear" w:color="auto" w:fill="auto"/>
          <w:lang w:val="en-US" w:eastAsia="zh-CN"/>
          <w14:textFill>
            <w14:solidFill>
              <w14:schemeClr w14:val="tx1"/>
            </w14:solidFill>
          </w14:textFill>
        </w:rPr>
        <w:t>阜康市中高风险区货物集中消杀站建设</w:t>
      </w:r>
      <w:r>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项目名称：阜康市中高风险区货物集中消杀站建设</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阜康市项目代建中心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阜康市项目代建中心</w:t>
      </w:r>
    </w:p>
    <w:p>
      <w:pPr>
        <w:pStyle w:val="2"/>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sectPr>
          <w:pgSz w:w="11906" w:h="16838"/>
          <w:pgMar w:top="1928" w:right="1531" w:bottom="1701" w:left="1531" w:header="737" w:footer="851" w:gutter="0"/>
          <w:cols w:space="720" w:num="1"/>
          <w:docGrid w:type="lines" w:linePitch="408"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宋体" w:hAnsi="宋体" w:eastAsia="宋体" w:cs="宋体"/>
          <w:b/>
          <w:bCs/>
          <w:color w:val="000000" w:themeColor="text1"/>
          <w:sz w:val="36"/>
          <w:szCs w:val="36"/>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shd w:val="clear" w:color="auto" w:fill="auto"/>
          <w:lang w:val="en-US" w:eastAsia="zh-CN"/>
          <w14:textFill>
            <w14:solidFill>
              <w14:schemeClr w14:val="tx1"/>
            </w14:solidFill>
          </w14:textFill>
        </w:rPr>
        <w:t>阜康市中高风险区货物集中消杀站建设项目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支出绩效评价报告</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（一）项目概况</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p>
    <w:p>
      <w:pPr>
        <w:bidi w:val="0"/>
        <w:rPr>
          <w:rFonts w:hint="eastAsia"/>
          <w:lang w:val="en-US" w:eastAsia="zh-CN"/>
        </w:rPr>
      </w:pPr>
      <w:r>
        <w:rPr>
          <w:rFonts w:hint="eastAsia"/>
          <w:lang w:val="en-US" w:eastAsia="zh-CN"/>
        </w:rPr>
        <w:t>为强化中高风险地区入阜货物消杀，降低货物运输带来的输入性风险，促进社会健康发展，体现政策导向，保障疫情防控工作有效开展，计划实施该项目。</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主要内容及实施情况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：改造消杀厂房1200㎡，安装消杀设备1套、新建大门3樘，改造车辆进出口道路</w:t>
      </w:r>
      <w:r>
        <w:rPr>
          <w:rFonts w:hint="eastAsia" w:cs="宋体"/>
          <w:color w:val="auto"/>
          <w:highlight w:val="none"/>
          <w:shd w:val="clear" w:color="auto" w:fill="auto"/>
          <w:lang w:val="en-US" w:eastAsia="zh-CN"/>
        </w:rPr>
        <w:t>，新建消杀通道排水设施，室外场地进行平整。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实施情况</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已完成</w:t>
      </w:r>
      <w:r>
        <w:rPr>
          <w:rFonts w:hint="eastAsia" w:ascii="宋体" w:hAnsi="宋体" w:eastAsia="宋体" w:cs="宋体"/>
          <w:color w:val="auto"/>
          <w:highlight w:val="none"/>
          <w:shd w:val="clear" w:color="auto" w:fill="auto"/>
          <w:lang w:val="en-US" w:eastAsia="zh-CN"/>
        </w:rPr>
        <w:t>改造消杀厂房1200㎡，安装消杀设备1套、新建大门3樘，改造车辆进出口道路</w:t>
      </w:r>
      <w:r>
        <w:rPr>
          <w:rFonts w:hint="eastAsia" w:cs="宋体"/>
          <w:color w:val="auto"/>
          <w:highlight w:val="none"/>
          <w:shd w:val="clear" w:color="auto" w:fill="auto"/>
          <w:lang w:val="en-US" w:eastAsia="zh-CN"/>
        </w:rPr>
        <w:t>，新建消杀通道排水设施，对室外场地进行平整，项目已完工使用。</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阜康市中高风险区货物集中消杀站建设项目预算安排总额为</w:t>
      </w:r>
      <w:r>
        <w:rPr>
          <w:rFonts w:hint="eastAsia" w:cs="宋体"/>
          <w:color w:val="000000" w:themeColor="text1"/>
          <w:highlight w:val="none"/>
          <w:shd w:val="clear" w:color="auto" w:fill="auto"/>
          <w:lang w:val="en-US" w:eastAsia="zh-CN"/>
          <w14:textFill>
            <w14:solidFill>
              <w14:schemeClr w14:val="tx1"/>
            </w14:solidFill>
          </w14:textFill>
        </w:rPr>
        <w:t>32.12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万元，其中财政资</w:t>
      </w:r>
      <w:r>
        <w:rPr>
          <w:rFonts w:hint="eastAsia" w:cs="宋体"/>
          <w:color w:val="000000" w:themeColor="text1"/>
          <w:highlight w:val="none"/>
          <w:shd w:val="clear" w:color="auto" w:fill="auto"/>
          <w:lang w:val="en-US" w:eastAsia="zh-CN"/>
          <w14:textFill>
            <w14:solidFill>
              <w14:schemeClr w14:val="tx1"/>
            </w14:solidFill>
          </w14:textFill>
        </w:rPr>
        <w:t>金32.12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万元，其他资金</w:t>
      </w:r>
      <w:r>
        <w:rPr>
          <w:rFonts w:hint="eastAsia" w:cs="宋体"/>
          <w:color w:val="000000" w:themeColor="text1"/>
          <w:highlight w:val="none"/>
          <w:shd w:val="clear" w:color="auto" w:fill="auto"/>
          <w:lang w:val="en-US" w:eastAsia="zh-CN"/>
          <w14:textFill>
            <w14:solidFill>
              <w14:schemeClr w14:val="tx1"/>
            </w14:solidFill>
          </w14:textFill>
        </w:rPr>
        <w:t>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r>
        <w:rPr>
          <w:rFonts w:hint="eastAsia" w:cs="宋体"/>
          <w:color w:val="000000" w:themeColor="text1"/>
          <w:highlight w:val="none"/>
          <w:shd w:val="clear" w:color="auto" w:fill="auto"/>
          <w:lang w:val="en-US" w:eastAsia="zh-CN"/>
          <w14:textFill>
            <w14:solidFill>
              <w14:schemeClr w14:val="tx1"/>
            </w14:solidFill>
          </w14:textFill>
        </w:rPr>
        <w:t>2022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年实际收到预算资金</w:t>
      </w:r>
      <w:r>
        <w:rPr>
          <w:rFonts w:hint="eastAsia" w:cs="宋体"/>
          <w:color w:val="000000" w:themeColor="text1"/>
          <w:highlight w:val="none"/>
          <w:shd w:val="clear" w:color="auto" w:fill="auto"/>
          <w:lang w:val="en-US" w:eastAsia="zh-CN"/>
          <w14:textFill>
            <w14:solidFill>
              <w14:schemeClr w14:val="tx1"/>
            </w14:solidFill>
          </w14:textFill>
        </w:rPr>
        <w:t>32.12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万元，预算资金到位率为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000000" w:themeColor="text1"/>
          <w:spacing w:val="-4"/>
          <w:highlight w:val="none"/>
          <w:shd w:val="clear" w:color="auto" w:fill="auto"/>
          <w14:textFill>
            <w14:solidFill>
              <w14:schemeClr w14:val="tx1"/>
            </w14:solidFill>
          </w14:textFill>
        </w:rPr>
      </w:pP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lang w:val="en-US" w:eastAsia="zh-CN"/>
          <w14:textFill>
            <w14:solidFill>
              <w14:schemeClr w14:val="tx1"/>
            </w14:solidFill>
          </w14:textFill>
        </w:rPr>
        <w:t>2</w:t>
      </w: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14:textFill>
            <w14:solidFill>
              <w14:schemeClr w14:val="tx1"/>
            </w14:solidFill>
          </w14:textFill>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截止2022年12月31日，</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阜康市中高风险区货物集中消杀站建设</w:t>
      </w:r>
      <w:r>
        <w:rPr>
          <w:rFonts w:hint="eastAsia" w:ascii="宋体" w:hAnsi="宋体" w:eastAsia="宋体" w:cs="宋体"/>
          <w:color w:val="000000" w:themeColor="text1"/>
          <w:highlight w:val="none"/>
          <w:shd w:val="clear" w:color="auto" w:fill="auto"/>
          <w14:textFill>
            <w14:solidFill>
              <w14:schemeClr w14:val="tx1"/>
            </w14:solidFill>
          </w14:textFill>
        </w:rPr>
        <w:t>项目实际支付资金</w:t>
      </w:r>
      <w:r>
        <w:rPr>
          <w:rFonts w:hint="eastAsia" w:cs="宋体"/>
          <w:color w:val="000000" w:themeColor="text1"/>
          <w:highlight w:val="none"/>
          <w:shd w:val="clear" w:color="auto" w:fill="auto"/>
          <w:lang w:val="en-US" w:eastAsia="zh-CN"/>
          <w14:textFill>
            <w14:solidFill>
              <w14:schemeClr w14:val="tx1"/>
            </w14:solidFill>
          </w14:textFill>
        </w:rPr>
        <w:t>32.12</w:t>
      </w:r>
      <w:r>
        <w:rPr>
          <w:rFonts w:hint="eastAsia" w:ascii="宋体" w:hAnsi="宋体" w:eastAsia="宋体" w:cs="宋体"/>
          <w:color w:val="000000" w:themeColor="text1"/>
          <w:highlight w:val="none"/>
          <w:shd w:val="clear" w:color="auto" w:fill="auto"/>
          <w14:textFill>
            <w14:solidFill>
              <w14:schemeClr w14:val="tx1"/>
            </w14:solidFill>
          </w14:textFill>
        </w:rPr>
        <w:t>万元，预算执行率</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结</w:t>
      </w:r>
      <w:r>
        <w:rPr>
          <w:rFonts w:hint="eastAsia" w:cs="宋体"/>
          <w:color w:val="000000" w:themeColor="text1"/>
          <w:highlight w:val="none"/>
          <w:shd w:val="clear" w:color="auto" w:fill="auto"/>
          <w:lang w:val="en-US" w:eastAsia="zh-CN"/>
          <w14:textFill>
            <w14:solidFill>
              <w14:schemeClr w14:val="tx1"/>
            </w14:solidFill>
          </w14:textFill>
        </w:rPr>
        <w:t>转</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结余资金</w:t>
      </w:r>
      <w:r>
        <w:rPr>
          <w:rFonts w:hint="eastAsia" w:cs="宋体"/>
          <w:color w:val="000000" w:themeColor="text1"/>
          <w:highlight w:val="none"/>
          <w:shd w:val="clear" w:color="auto" w:fill="auto"/>
          <w:lang w:val="en-US" w:eastAsia="zh-CN"/>
          <w14:textFill>
            <w14:solidFill>
              <w14:schemeClr w14:val="tx1"/>
            </w14:solidFill>
          </w14:textFill>
        </w:rPr>
        <w:t>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r>
        <w:rPr>
          <w:rFonts w:hint="eastAsia" w:ascii="宋体" w:hAnsi="宋体" w:eastAsia="宋体" w:cs="宋体"/>
          <w:color w:val="000000" w:themeColor="text1"/>
          <w:highlight w:val="none"/>
          <w:shd w:val="clear" w:color="auto" w:fill="auto"/>
          <w14:textFill>
            <w14:solidFill>
              <w14:schemeClr w14:val="tx1"/>
            </w14:solidFill>
          </w14:textFill>
        </w:rPr>
        <w:t>项目资金主要用于</w:t>
      </w:r>
      <w:r>
        <w:rPr>
          <w:rFonts w:hint="eastAsia" w:cs="宋体"/>
          <w:color w:val="000000" w:themeColor="text1"/>
          <w:highlight w:val="none"/>
          <w:shd w:val="clear" w:color="auto" w:fill="auto"/>
          <w:lang w:val="en-US" w:eastAsia="zh-CN"/>
          <w14:textFill>
            <w14:solidFill>
              <w14:schemeClr w14:val="tx1"/>
            </w14:solidFill>
          </w14:textFill>
        </w:rPr>
        <w:t>项目的实施和建设等方面。</w:t>
      </w:r>
    </w:p>
    <w:p>
      <w:pPr>
        <w:pStyle w:val="4"/>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项目绩效目标</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highlight w:val="none"/>
          <w:shd w:val="clear" w:color="auto" w:fill="auto"/>
          <w:lang w:val="en-US" w:eastAsia="zh-CN"/>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阜康市中高风险区货物集中消杀站建设</w:t>
      </w:r>
      <w:r>
        <w:rPr>
          <w:rFonts w:hint="eastAsia" w:cs="宋体"/>
          <w:color w:val="000000" w:themeColor="text1"/>
          <w:highlight w:val="none"/>
          <w:shd w:val="clear" w:color="auto" w:fill="auto"/>
          <w:lang w:val="en-US" w:eastAsia="zh-CN"/>
          <w14:textFill>
            <w14:solidFill>
              <w14:schemeClr w14:val="tx1"/>
            </w14:solidFill>
          </w14:textFill>
        </w:rPr>
        <w:t>项目绩效总体目标</w:t>
      </w:r>
      <w:r>
        <w:rPr>
          <w:rFonts w:hint="eastAsia" w:cs="宋体"/>
          <w:color w:val="auto"/>
          <w:highlight w:val="none"/>
          <w:shd w:val="clear" w:color="auto" w:fill="auto"/>
          <w:lang w:val="en-US" w:eastAsia="zh-CN"/>
        </w:rPr>
        <w:t>为：改造消杀厂房1200㎡，安装消杀设备1套、新建大门3樘，改造车辆进出口道路。项目完工预期达到100%，项目验收合格率达到100%，为强化中高风险地区入阜货物消杀，降低货物运输带来的输入性风险，促进社会健康发展，体现政策导向，保障疫情防控工作有效开展，争取得到政府和受益群众的</w:t>
      </w:r>
      <w:bookmarkStart w:id="14" w:name="_GoBack"/>
      <w:bookmarkEnd w:id="14"/>
      <w:r>
        <w:rPr>
          <w:rFonts w:hint="eastAsia" w:cs="宋体"/>
          <w:color w:val="auto"/>
          <w:highlight w:val="none"/>
          <w:shd w:val="clear" w:color="auto" w:fill="auto"/>
          <w:lang w:val="en-US" w:eastAsia="zh-CN"/>
        </w:rPr>
        <w:t>一致好评。</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根据《预算法》、《财政支出绩效评价管理暂行办法》（财预〔20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号）、《自治区党委自治区人民政府关于全面实施预算绩效管理的实施意见》（新党发〔2018〕30号）、</w:t>
      </w:r>
      <w:r>
        <w:rPr>
          <w:rFonts w:hint="eastAsia" w:ascii="宋体" w:hAnsi="宋体" w:eastAsia="宋体" w:cs="宋体"/>
          <w:color w:val="000000" w:themeColor="text1"/>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改造厂房（㎡）</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指标，预期指标值为1200㎡；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安装消杀设备（套）</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1套</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新建感应大门（樘）</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3樘</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项目验收合格率</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时效</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项目完工及时率</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改造消杀厂房成本（万元）</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指标，预期指标值为≤24.7万元；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消杀设备成本（万元）</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指标，预期指标值为≤4.5万元；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感应大门成本（万元）</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指标，预期指标值为≤2.92万元；</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）项目效益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本项目不存在经济效益；</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为强化中高风险地区入阜货物消杀，降低货物运输带来的输入性风险，促进社会健康发展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促进</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本项目不存在生态效益；</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体现政策导向，保障疫情防控工作有效开展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保障</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⑤</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政府及受益群众满意度</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指标，预期指标值为≥95%</w:t>
      </w:r>
      <w:r>
        <w:rPr>
          <w:rFonts w:hint="eastAsia" w:cs="宋体"/>
          <w:color w:val="000000" w:themeColor="text1"/>
          <w:highlight w:val="none"/>
          <w:shd w:val="clear" w:color="auto" w:fill="auto"/>
          <w:lang w:val="en-US" w:eastAsia="zh-CN"/>
          <w14:textFill>
            <w14:solidFill>
              <w14:schemeClr w14:val="tx1"/>
            </w14:solidFill>
          </w14:textFill>
        </w:rPr>
        <w:t>。</w:t>
      </w:r>
    </w:p>
    <w:p>
      <w:pPr>
        <w:pStyle w:val="3"/>
        <w:bidi w:val="0"/>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二、绩效评价工作开展情况</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0" w:name="_Toc22169_WPSOffice_Level2"/>
      <w:bookmarkStart w:id="1" w:name="_Toc26632"/>
      <w:bookmarkStart w:id="2" w:name="_Toc5258"/>
      <w:bookmarkStart w:id="3" w:name="_Toc22922"/>
      <w:bookmarkStart w:id="4" w:name="_Toc480473081"/>
      <w:bookmarkStart w:id="5" w:name="_Toc5462343"/>
      <w:bookmarkStart w:id="6" w:name="_Toc21664"/>
      <w:bookmarkStart w:id="7" w:name="_Toc1286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0"/>
      <w:bookmarkEnd w:id="1"/>
      <w:bookmarkEnd w:id="2"/>
      <w:bookmarkEnd w:id="3"/>
      <w:bookmarkEnd w:id="4"/>
      <w:bookmarkEnd w:id="5"/>
      <w:bookmarkEnd w:id="6"/>
      <w:bookmarkEnd w:id="7"/>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年度我单位实施的阜康市中高风险区货物集中消杀站建设</w:t>
      </w:r>
      <w:r>
        <w:rPr>
          <w:rFonts w:hint="eastAsia" w:cs="宋体"/>
          <w:color w:val="000000" w:themeColor="text1"/>
          <w:highlight w:val="none"/>
          <w:shd w:val="clear" w:color="auto" w:fill="auto"/>
          <w:lang w:val="en-US" w:eastAsia="zh-CN"/>
          <w14:textFill>
            <w14:solidFill>
              <w14:schemeClr w14:val="tx1"/>
            </w14:solidFill>
          </w14:textFill>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本次绩效评价秉承科学规范、公正公开、分级分类、绩效相关等原则，按照从投入、过程到产出效果和影响的绩效逻辑路径，结合</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阜康市中高风险区货物集中消杀站建设</w:t>
      </w:r>
      <w:r>
        <w:rPr>
          <w:rFonts w:hint="eastAsia" w:cs="宋体"/>
          <w:color w:val="000000" w:themeColor="text1"/>
          <w:highlight w:val="none"/>
          <w:shd w:val="clear" w:color="auto" w:fill="auto"/>
          <w:lang w:val="en-US" w:eastAsia="zh-CN"/>
          <w14:textFill>
            <w14:solidFill>
              <w14:schemeClr w14:val="tx1"/>
            </w14:solidFill>
          </w14:textFill>
        </w:rPr>
        <w:t>项目</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8" w:name="_Toc26131"/>
      <w:bookmarkStart w:id="9" w:name="_Toc419984722"/>
      <w:bookmarkStart w:id="10" w:name="_Toc428278230"/>
      <w:bookmarkStart w:id="11" w:name="_Toc191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8"/>
      <w:bookmarkEnd w:id="9"/>
      <w:bookmarkEnd w:id="10"/>
      <w:bookmarkEnd w:id="1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jc w:val="center"/>
        <w:rPr>
          <w:rFonts w:hint="default"/>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zh-TW" w:eastAsia="zh-TW"/>
          <w14:textFill>
            <w14:solidFill>
              <w14:schemeClr w14:val="tx1"/>
            </w14:solidFill>
          </w14:textFill>
        </w:rPr>
        <w:t>项目绩效评价指标体系</w:t>
      </w:r>
    </w:p>
    <w:tbl>
      <w:tblPr>
        <w:tblStyle w:val="10"/>
        <w:tblW w:w="867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本次绩效评价采用的方法比较法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对项目绩效目标预期指标值与实施情况进行比较，以及采取公众问卷及抽样调查等方式进行评判的方法对阜康市中高风险区货物集中消杀站建设</w:t>
      </w:r>
      <w:r>
        <w:rPr>
          <w:rFonts w:hint="eastAsia" w:cs="宋体"/>
          <w:color w:val="000000" w:themeColor="text1"/>
          <w:highlight w:val="none"/>
          <w:shd w:val="clear" w:color="auto" w:fill="auto"/>
          <w:lang w:val="en-US" w:eastAsia="zh-CN"/>
          <w14:textFill>
            <w14:solidFill>
              <w14:schemeClr w14:val="tx1"/>
            </w14:solidFill>
          </w14:textFill>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进行评价。</w:t>
      </w:r>
    </w:p>
    <w:p>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据此次绩效评价受委托内容，对拟评价的项目实施前期调研。通过调研对阜康市中高风险区货物集中消杀站建设项目实施内容、目标信息、预算信息以及其他的一些项目基本信息，有了初步了解，为制定绩效评价工作方案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p>
    <w:p>
      <w:pPr>
        <w:pStyle w:val="3"/>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p>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zh-TW" w:eastAsia="zh-TW"/>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此次绩效评价</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通过组论证的评价指标体系及评分标准，</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采用的方法比较法、因素分析法、公众评判法，</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对</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阜康市中高风险区货物集中消杀站</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项目决策情况</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建设项目</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绩效进行客观评价，最终评分结果：总分为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98</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分，绩效评级为“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优秀</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”。各部分权重和绩效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汇总</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分值如下表</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3-1</w:t>
      </w:r>
      <w:r>
        <w:rPr>
          <w:rFonts w:hint="eastAsia" w:ascii="宋体" w:hAnsi="宋体" w:eastAsia="宋体" w:cs="宋体"/>
          <w:b w:val="0"/>
          <w:bCs w:val="0"/>
          <w:color w:val="000000" w:themeColor="text1"/>
          <w:kern w:val="2"/>
          <w:sz w:val="28"/>
          <w:szCs w:val="24"/>
          <w:highlight w:val="none"/>
          <w:shd w:val="clear" w:color="auto" w:fill="auto"/>
          <w:lang w:val="zh-TW" w:eastAsia="zh-TW" w:bidi="ar-SA"/>
          <w14:textFill>
            <w14:solidFill>
              <w14:schemeClr w14:val="tx1"/>
            </w14:solidFill>
          </w14:textFill>
        </w:rPr>
        <w:t>所示</w:t>
      </w:r>
      <w:r>
        <w:rPr>
          <w:rFonts w:hint="eastAsia" w:ascii="宋体" w:hAnsi="宋体" w:eastAsia="宋体" w:cs="宋体"/>
          <w:b w:val="0"/>
          <w:bCs w:val="0"/>
          <w:color w:val="000000" w:themeColor="text1"/>
          <w:kern w:val="2"/>
          <w:sz w:val="28"/>
          <w:szCs w:val="24"/>
          <w:highlight w:val="none"/>
          <w:shd w:val="clear" w:color="auto" w:fill="auto"/>
          <w:lang w:val="zh-TW" w:eastAsia="zh-CN" w:bidi="ar-SA"/>
          <w14:textFill>
            <w14:solidFill>
              <w14:schemeClr w14:val="tx1"/>
            </w14:solidFill>
          </w14:textFill>
        </w:rPr>
        <w:t>（</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cs="宋体"/>
          <w:b/>
          <w:bCs/>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w:t>
      </w:r>
    </w:p>
    <w:tbl>
      <w:tblPr>
        <w:tblStyle w:val="10"/>
        <w:tblW w:w="8289" w:type="dxa"/>
        <w:jc w:val="center"/>
        <w:tblInd w:w="0" w:type="dxa"/>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tblLayout w:type="fixed"/>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表3-1：阜康市中高风险区货物集中消杀站建设项目得分表</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18</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98</w:t>
            </w:r>
          </w:p>
        </w:tc>
      </w:tr>
      <w:tr>
        <w:tblPrEx>
          <w:tblLayout w:type="fixed"/>
          <w:tblCellMar>
            <w:top w:w="0" w:type="dxa"/>
            <w:left w:w="0" w:type="dxa"/>
            <w:bottom w:w="0" w:type="dxa"/>
            <w:right w:w="0" w:type="dxa"/>
          </w:tblCellMar>
        </w:tblPrEx>
        <w:trPr>
          <w:trHeight w:val="90"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90</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cs="宋体"/>
                <w:color w:val="000000" w:themeColor="text1"/>
                <w:kern w:val="0"/>
                <w:sz w:val="21"/>
                <w:szCs w:val="21"/>
                <w:highlight w:val="none"/>
                <w:shd w:val="clear" w:color="auto" w:fill="auto"/>
                <w:lang w:val="en-US" w:eastAsia="zh-CN"/>
                <w14:textFill>
                  <w14:solidFill>
                    <w14:schemeClr w14:val="tx1"/>
                  </w14:solidFill>
                </w14:textFill>
              </w:rPr>
              <w:t>98</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四、绩效评价指标分析</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项目决策由3个二级指标和6个三级指标构成，权重分20分，实际得分</w:t>
      </w:r>
      <w:r>
        <w:rPr>
          <w:rFonts w:hint="eastAsia" w:cs="宋体"/>
          <w:color w:val="000000" w:themeColor="text1"/>
          <w:highlight w:val="none"/>
          <w:shd w:val="clear" w:color="auto" w:fill="auto"/>
          <w:lang w:val="en-US" w:eastAsia="zh-CN"/>
          <w14:textFill>
            <w14:solidFill>
              <w14:schemeClr w14:val="tx1"/>
            </w14:solidFill>
          </w14:textFill>
        </w:rPr>
        <w:t>18</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分，</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各指标业绩值和绩效分值如表</w:t>
      </w:r>
      <w:r>
        <w:rPr>
          <w:rFonts w:hint="eastAsia" w:ascii="宋体" w:hAnsi="宋体" w:eastAsia="宋体" w:cs="宋体"/>
          <w:b/>
          <w:bCs/>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b/>
          <w:bCs/>
          <w:color w:val="000000" w:themeColor="text1"/>
          <w:kern w:val="2"/>
          <w:highlight w:val="none"/>
          <w:u w:color="000000"/>
          <w:shd w:val="clear" w:color="auto" w:fill="auto"/>
          <w:lang w:eastAsia="zh-CN"/>
          <w14:textFill>
            <w14:solidFill>
              <w14:schemeClr w14:val="tx1"/>
            </w14:solidFill>
          </w14:textFill>
        </w:rPr>
        <w:t>-1</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所示</w:t>
      </w:r>
      <w:r>
        <w:rPr>
          <w:rFonts w:hint="eastAsia" w:cs="宋体"/>
          <w:b/>
          <w:bCs/>
          <w:color w:val="000000" w:themeColor="text1"/>
          <w:highlight w:val="none"/>
          <w:shd w:val="clear" w:color="auto" w:fill="auto"/>
          <w:lang w:val="zh-TW" w:eastAsia="zh-CN"/>
          <w14:textFill>
            <w14:solidFill>
              <w14:schemeClr w14:val="tx1"/>
            </w14:solidFill>
          </w14:textFill>
        </w:rPr>
        <w:t>（</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cs="宋体"/>
          <w:b/>
          <w:bCs/>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0"/>
        <w:tblW w:w="8447" w:type="dxa"/>
        <w:jc w:val="center"/>
        <w:tblInd w:w="0" w:type="dxa"/>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Layout w:type="fixed"/>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w:t>
            </w:r>
          </w:p>
        </w:tc>
      </w:tr>
      <w:tr>
        <w:tblPrEx>
          <w:tblLayout w:type="fixed"/>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18</w:t>
            </w:r>
          </w:p>
        </w:tc>
      </w:tr>
    </w:tbl>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1.立项依据充分性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①项目立项：</w:t>
      </w:r>
      <w:r>
        <w:rPr>
          <w:rFonts w:hint="eastAsia"/>
          <w:color w:val="000000" w:themeColor="text1"/>
          <w:lang w:val="en-US" w:eastAsia="zh-CN"/>
          <w14:textFill>
            <w14:solidFill>
              <w14:schemeClr w14:val="tx1"/>
            </w14:solidFill>
          </w14:textFill>
        </w:rPr>
        <w:t>阜项会审办</w:t>
      </w:r>
      <w:r>
        <w:rPr>
          <w:rFonts w:hint="eastAsia" w:ascii="宋体" w:hAnsi="宋体" w:eastAsia="宋体" w:cs="宋体"/>
          <w:color w:val="000000" w:themeColor="text1"/>
          <w:lang w:val="en-US" w:eastAsia="zh-CN"/>
          <w14:textFill>
            <w14:solidFill>
              <w14:schemeClr w14:val="tx1"/>
            </w14:solidFill>
          </w14:textFill>
        </w:rPr>
        <w:t>[2021]12号文件</w:t>
      </w:r>
      <w:r>
        <w:rPr>
          <w:rFonts w:hint="eastAsia"/>
          <w:color w:val="000000" w:themeColor="text1"/>
          <w:lang w:eastAsia="zh-CN"/>
          <w14:textFill>
            <w14:solidFill>
              <w14:schemeClr w14:val="tx1"/>
            </w14:solidFill>
          </w14:textFill>
        </w:rPr>
        <w:t>符合国家法律法规、国民经济发展规划和相关政策；</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②项目立项符合行业发展规划和政策要求；</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③项目立项与部门职责范围相符，属于部门履职所需；</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④项目属于公共财政支持范围，符合中央、地方事权支出责任划分原则；</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⑤项目与相关部门同类项目或部门内部相关项目</w:t>
      </w:r>
      <w:r>
        <w:rPr>
          <w:rFonts w:hint="eastAsia"/>
          <w:color w:val="000000" w:themeColor="text1"/>
          <w:lang w:val="en-US" w:eastAsia="zh-CN"/>
          <w14:textFill>
            <w14:solidFill>
              <w14:schemeClr w14:val="tx1"/>
            </w14:solidFill>
          </w14:textFill>
        </w:rPr>
        <w:t>不</w:t>
      </w:r>
      <w:r>
        <w:rPr>
          <w:rFonts w:hint="eastAsia"/>
          <w:color w:val="000000" w:themeColor="text1"/>
          <w:lang w:eastAsia="zh-CN"/>
          <w14:textFill>
            <w14:solidFill>
              <w14:schemeClr w14:val="tx1"/>
            </w14:solidFill>
          </w14:textFill>
        </w:rPr>
        <w:t>重复。</w:t>
      </w:r>
    </w:p>
    <w:p>
      <w:pPr>
        <w:bidi w:val="0"/>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综上，该项指标满分2分，得分2分。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2.立项程序规范性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①项目按照规定的程序申请设立；</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②审批文件、材料符合相关要求；</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综上，该项指标满分3分，得分1分。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3.绩效目标合理性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①项目有绩效目标；</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②项目绩效目标与实际工作内容具有相关性；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③项目预期产出效益和效果符合正常的业绩水平；</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④与预算确定的项目投资额或资金量相匹配。</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综上，该项指标满分5分，得分5分。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4.绩效指标明确性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①将项目绩效目标细化分解为具体的绩效指标；</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②通过清晰、可衡量的指标值予以体现；</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③与项目目标任务数或计划数相对应。</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综上，该项指标满分5分，得分5分。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5.预算编制科学性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①预算编制经过科学论证；</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②预算内容与项目内容匹配；</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③预算额度测算依据充分，按照标准编制；</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④预算确定的项目投资额或资金量与工作任务相匹配。</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综上，该项指标满分2分，得分2分。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6.资金分配合理性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①预算资金分配依据充分；</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②资金分配额度合理，与项目单位或地方实际相适应。</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综上，该项指标满分3分，得分3分。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pP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项目</w:t>
      </w:r>
      <w:r>
        <w:rPr>
          <w:rFonts w:hint="eastAsia" w:ascii="宋体" w:hAnsi="宋体" w:eastAsia="宋体" w:cs="宋体"/>
          <w:color w:val="000000" w:themeColor="text1"/>
          <w:highlight w:val="none"/>
          <w:shd w:val="clear" w:color="auto" w:fill="auto"/>
          <w14:textFill>
            <w14:solidFill>
              <w14:schemeClr w14:val="tx1"/>
            </w14:solidFill>
          </w14:textFill>
        </w:rPr>
        <w:t>过程</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管理</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类指标由</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2</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二</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级指标和</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5</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三</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级指标构成，权重分</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20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分，实际得分</w:t>
      </w:r>
      <w:r>
        <w:rPr>
          <w:rFonts w:hint="eastAsia" w:cs="宋体"/>
          <w:color w:val="000000" w:themeColor="text1"/>
          <w:kern w:val="2"/>
          <w:highlight w:val="none"/>
          <w:u w:color="000000"/>
          <w:shd w:val="clear" w:color="auto" w:fill="auto"/>
          <w:lang w:val="en-US" w:eastAsia="zh-CN"/>
          <w14:textFill>
            <w14:solidFill>
              <w14:schemeClr w14:val="tx1"/>
            </w14:solidFill>
          </w14:textFill>
        </w:rPr>
        <w:t>20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各指标业绩值和绩效分值如表</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-2</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所示</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cs="宋体"/>
          <w:b/>
          <w:bCs/>
          <w:color w:val="000000" w:themeColor="text1"/>
          <w:kern w:val="2"/>
          <w:highlight w:val="none"/>
          <w:u w:color="000000"/>
          <w:shd w:val="clear" w:color="auto" w:fill="auto"/>
          <w:lang w:val="en-US" w:eastAsia="zh-CN"/>
          <w14:textFill>
            <w14:solidFill>
              <w14:schemeClr w14:val="tx1"/>
            </w14:solidFill>
          </w14:textFill>
        </w:rPr>
        <w:t>详见上传的附件</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0"/>
        <w:tblW w:w="8317" w:type="dxa"/>
        <w:jc w:val="center"/>
        <w:tblInd w:w="0" w:type="dxa"/>
        <w:tblLayout w:type="fixed"/>
        <w:tblCellMar>
          <w:top w:w="0" w:type="dxa"/>
          <w:left w:w="0" w:type="dxa"/>
          <w:bottom w:w="0" w:type="dxa"/>
          <w:right w:w="0" w:type="dxa"/>
        </w:tblCellMar>
      </w:tblPr>
      <w:tblGrid>
        <w:gridCol w:w="1182"/>
        <w:gridCol w:w="738"/>
        <w:gridCol w:w="1248"/>
        <w:gridCol w:w="1176"/>
        <w:gridCol w:w="1833"/>
        <w:gridCol w:w="987"/>
        <w:gridCol w:w="1153"/>
      </w:tblGrid>
      <w:tr>
        <w:tblPrEx>
          <w:tblLayout w:type="fixed"/>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w:t>
            </w:r>
          </w:p>
        </w:tc>
      </w:tr>
    </w:tbl>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1.资金到位率</w:t>
      </w:r>
    </w:p>
    <w:p>
      <w:pPr>
        <w:bidi w:val="0"/>
        <w:rPr>
          <w:rFonts w:hint="default"/>
          <w:b/>
          <w:bCs/>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资金到位率=（</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）×100%</w:t>
      </w:r>
      <w:r>
        <w:rPr>
          <w:rFonts w:hint="eastAsia"/>
          <w:color w:val="000000" w:themeColor="text1"/>
          <w:lang w:val="en-US" w:eastAsia="zh-CN"/>
          <w14:textFill>
            <w14:solidFill>
              <w14:schemeClr w14:val="tx1"/>
            </w14:solidFill>
          </w14:textFill>
        </w:rPr>
        <w:t>=100%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2.预算执行率</w:t>
      </w:r>
    </w:p>
    <w:p>
      <w:pPr>
        <w:bidi w:val="0"/>
        <w:rPr>
          <w:rFonts w:hint="default"/>
          <w:b/>
          <w:bCs/>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预算执行率=（</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）×100%</w:t>
      </w:r>
      <w:r>
        <w:rPr>
          <w:rFonts w:hint="eastAsia"/>
          <w:color w:val="000000" w:themeColor="text1"/>
          <w:lang w:val="en-US" w:eastAsia="zh-CN"/>
          <w14:textFill>
            <w14:solidFill>
              <w14:schemeClr w14:val="tx1"/>
            </w14:solidFill>
          </w14:textFill>
        </w:rPr>
        <w:t>=100%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3.资金使用合规性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①符合国家财经法规和财务管理制度以及有关专项资金管理办法的规定；</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②资金的拨付有完整的审批程序和手续；</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③符合项目预算批复或合同规定的用途；</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w:t>
      </w:r>
      <w:r>
        <w:rPr>
          <w:rFonts w:hint="eastAsia"/>
          <w:color w:val="000000" w:themeColor="text1"/>
          <w:lang w:val="en-US" w:eastAsia="zh-CN"/>
          <w14:textFill>
            <w14:solidFill>
              <w14:schemeClr w14:val="tx1"/>
            </w14:solidFill>
          </w14:textFill>
        </w:rPr>
        <w:t>不</w:t>
      </w:r>
      <w:r>
        <w:rPr>
          <w:rFonts w:hint="eastAsia"/>
          <w:color w:val="000000" w:themeColor="text1"/>
          <w:lang w:eastAsia="zh-CN"/>
          <w14:textFill>
            <w14:solidFill>
              <w14:schemeClr w14:val="tx1"/>
            </w14:solidFill>
          </w14:textFill>
        </w:rPr>
        <w:t>存在截留、挤占、挪用、虚列支出等情况。</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4.管理制度健全性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①已制定或具有相应的《基本建设项目财务管理规范》《阜康市代建项目管理办法》等财务和业务管理制度；</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②财务和业务管理制度合法、合规、完整。</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ind w:left="1403" w:leftChars="200" w:hanging="843" w:hangingChars="3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5.制度执行有效性</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①遵守相关法律法规和相关管理规定；</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②项目调整及支出调整手续完备；</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③项目合同书、验收报告、技术鉴定等资料齐全并及时归档；</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④项目实施的人员条件、场地设备、信息支撑等落实到位。</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pP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产出</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类指标由</w:t>
      </w:r>
      <w:r>
        <w:rPr>
          <w:rFonts w:hint="eastAsia" w:cs="宋体"/>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二</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级指标和</w:t>
      </w:r>
      <w:r>
        <w:rPr>
          <w:rFonts w:hint="eastAsia" w:cs="宋体"/>
          <w:color w:val="000000" w:themeColor="text1"/>
          <w:kern w:val="2"/>
          <w:highlight w:val="none"/>
          <w:u w:color="000000"/>
          <w:shd w:val="clear" w:color="auto" w:fill="auto"/>
          <w:lang w:val="en-US" w:eastAsia="zh-CN"/>
          <w14:textFill>
            <w14:solidFill>
              <w14:schemeClr w14:val="tx1"/>
            </w14:solidFill>
          </w14:textFill>
        </w:rPr>
        <w:t>8</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三</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级指标构成，权重分</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30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分，实际得分</w:t>
      </w:r>
      <w:r>
        <w:rPr>
          <w:rFonts w:hint="eastAsia" w:cs="宋体"/>
          <w:color w:val="000000" w:themeColor="text1"/>
          <w:kern w:val="2"/>
          <w:highlight w:val="none"/>
          <w:u w:color="000000"/>
          <w:shd w:val="clear" w:color="auto" w:fill="auto"/>
          <w:lang w:val="en-US" w:eastAsia="zh-CN"/>
          <w14:textFill>
            <w14:solidFill>
              <w14:schemeClr w14:val="tx1"/>
            </w14:solidFill>
          </w14:textFill>
        </w:rPr>
        <w:t>30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各指标业绩值和绩效分值如表</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所示</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cs="宋体"/>
          <w:b/>
          <w:bCs/>
          <w:color w:val="000000" w:themeColor="text1"/>
          <w:kern w:val="2"/>
          <w:highlight w:val="none"/>
          <w:u w:color="000000"/>
          <w:shd w:val="clear" w:color="auto" w:fill="auto"/>
          <w:lang w:val="en-US" w:eastAsia="zh-CN"/>
          <w14:textFill>
            <w14:solidFill>
              <w14:schemeClr w14:val="tx1"/>
            </w14:solidFill>
          </w14:textFill>
        </w:rPr>
        <w:t>详见上传的附件</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0"/>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Layout w:type="fixed"/>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tblLayout w:type="fixed"/>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改造消杀厂房（㎡）</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安装消杀设备（套）</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1套</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1套</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新建感应大门（樘）</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3樘</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3樘</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项目验收合格率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项目完工及时率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改造消杀厂房成本（万元）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≤24.7万元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24.7万元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消杀设备成本（万元）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≤4.5万元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4.5万元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感应大门成本（万元）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≤2.92万元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2.92万元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w:t>
            </w:r>
          </w:p>
        </w:tc>
      </w:tr>
      <w:tr>
        <w:tblPrEx>
          <w:tblLayout w:type="fixed"/>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30</w:t>
            </w:r>
          </w:p>
        </w:tc>
      </w:tr>
    </w:tbl>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1.项目完成数量</w:t>
      </w:r>
    </w:p>
    <w:p>
      <w:pPr>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改造消杀厂房（㎡）</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指标，预期指标值为1200㎡，实际完成为1200㎡。实际完成率=（1200/1200）×100%=100%。</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安装消杀设备（套）</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指标，预期指标值为1套，实际完成为1套。实际完成率=（1/1）×100%=100%。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新建感应大门（樘）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指标，预期指标值为3樘，实际完成为3樘。实际完成率=（3/3）×100%=100%。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numPr>
          <w:ilvl w:val="0"/>
          <w:numId w:val="4"/>
        </w:num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项目完成质量</w:t>
      </w:r>
    </w:p>
    <w:p>
      <w:pPr>
        <w:numPr>
          <w:ilvl w:val="0"/>
          <w:numId w:val="0"/>
        </w:num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项目验收合格率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指标，预期指标值为100%，实际完成为100%。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numPr>
          <w:ilvl w:val="0"/>
          <w:numId w:val="4"/>
        </w:numPr>
        <w:bidi w:val="0"/>
        <w:ind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项目完成时效</w:t>
      </w:r>
    </w:p>
    <w:p>
      <w:pPr>
        <w:numPr>
          <w:ilvl w:val="0"/>
          <w:numId w:val="0"/>
        </w:num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项目完工及时率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指标，预期指标值为100%，实际完成为100%。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4.项目完成成本</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改造消杀厂房成本（万元）</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指标，预期指标值为≤24.7万元，实际完成为24.7万元。实际完成率=（24.7/24.7）×100%=100%。</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综上，该项指标满分4分，得分4分。</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消杀设备成本（万元）</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指标，预期指标值为≤4.5万元，实际完成为4.5万元。实际完成率=（4.5/4.5）×100%=100%。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综上，该项指标满分3分，得分3分。</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感应大门成本（万元）</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指标，预期指标值为≤2.92万元，实际完成为2.92万元。实际完成率=（2.92/2.92）×100%=100%。</w:t>
      </w:r>
    </w:p>
    <w:p>
      <w:pPr>
        <w:bidi w:val="0"/>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综上，该项指标满分3分，得分3分。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pP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产出</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类指标由</w:t>
      </w:r>
      <w:r>
        <w:rPr>
          <w:rFonts w:hint="eastAsia" w:cs="宋体"/>
          <w:color w:val="000000" w:themeColor="text1"/>
          <w:kern w:val="2"/>
          <w:highlight w:val="none"/>
          <w:u w:color="000000"/>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二</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级指标和</w:t>
      </w:r>
      <w:r>
        <w:rPr>
          <w:rFonts w:hint="eastAsia" w:cs="宋体"/>
          <w:color w:val="000000" w:themeColor="text1"/>
          <w:kern w:val="2"/>
          <w:highlight w:val="none"/>
          <w:u w:color="000000"/>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个</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三</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级指标构成，权重分</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30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分，实际得分</w:t>
      </w:r>
      <w:r>
        <w:rPr>
          <w:rFonts w:hint="eastAsia" w:cs="宋体"/>
          <w:color w:val="000000" w:themeColor="text1"/>
          <w:kern w:val="2"/>
          <w:highlight w:val="none"/>
          <w:u w:color="000000"/>
          <w:shd w:val="clear" w:color="auto" w:fill="auto"/>
          <w:lang w:val="en-US" w:eastAsia="zh-CN"/>
          <w14:textFill>
            <w14:solidFill>
              <w14:schemeClr w14:val="tx1"/>
            </w14:solidFill>
          </w14:textFill>
        </w:rPr>
        <w:t>30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w:t>
      </w:r>
      <w:r>
        <w:rPr>
          <w:rFonts w:hint="eastAsia" w:ascii="宋体" w:hAnsi="宋体" w:eastAsia="宋体" w:cs="宋体"/>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各指标业绩值和绩效分值如表</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2"/>
          <w:highlight w:val="none"/>
          <w:u w:color="000000"/>
          <w:shd w:val="clear" w:color="auto" w:fill="auto"/>
          <w:lang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所示</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cs="宋体"/>
          <w:b/>
          <w:bCs/>
          <w:color w:val="000000" w:themeColor="text1"/>
          <w:kern w:val="2"/>
          <w:highlight w:val="none"/>
          <w:u w:color="000000"/>
          <w:shd w:val="clear" w:color="auto" w:fill="auto"/>
          <w:lang w:val="en-US" w:eastAsia="zh-CN"/>
          <w14:textFill>
            <w14:solidFill>
              <w14:schemeClr w14:val="tx1"/>
            </w14:solidFill>
          </w14:textFill>
        </w:rPr>
        <w:t>详见上传的附件</w:t>
      </w:r>
      <w:r>
        <w:rPr>
          <w:rFonts w:hint="eastAsia" w:cs="宋体"/>
          <w:b/>
          <w:bCs/>
          <w:color w:val="000000" w:themeColor="text1"/>
          <w:kern w:val="2"/>
          <w:highlight w:val="none"/>
          <w:u w:color="000000"/>
          <w:shd w:val="clear" w:color="auto" w:fill="auto"/>
          <w:lang w:val="zh-TW" w:eastAsia="zh-CN"/>
          <w14:textFill>
            <w14:solidFill>
              <w14:schemeClr w14:val="tx1"/>
            </w14:solidFill>
          </w14:textFill>
        </w:rPr>
        <w:t>）</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0"/>
        <w:tblW w:w="8372" w:type="dxa"/>
        <w:jc w:val="center"/>
        <w:tblInd w:w="0" w:type="dxa"/>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Layout w:type="fixed"/>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为强化中高风险地区入阜货物消杀，降低货物运输带来的输入性风险，促进社会健康发展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促进</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促进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体现政策导向，保障疫情防控工作有效开展</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保障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保障</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政府及受益群众满意度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9</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r>
      <w:tr>
        <w:tblPrEx>
          <w:tblLayout w:type="fixed"/>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30</w:t>
            </w:r>
          </w:p>
        </w:tc>
      </w:tr>
    </w:tbl>
    <w:p>
      <w:pPr>
        <w:numPr>
          <w:ilvl w:val="0"/>
          <w:numId w:val="5"/>
        </w:num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社会效益指标</w:t>
      </w:r>
    </w:p>
    <w:p>
      <w:pPr>
        <w:numPr>
          <w:ilvl w:val="0"/>
          <w:numId w:val="0"/>
        </w:numPr>
        <w:bidi w:val="0"/>
        <w:rPr>
          <w:rFonts w:hint="eastAsia"/>
          <w:b w:val="0"/>
          <w:bCs w:val="0"/>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为强化中高风险地区入阜货物消杀，降低货物运输带来的输入性风险，促进社会健康发展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指标，预期指标值为促进，实际完成为促进。</w:t>
      </w:r>
    </w:p>
    <w:p>
      <w:pPr>
        <w:bidi w:val="0"/>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通过项目的实施，</w:t>
      </w:r>
      <w:r>
        <w:rPr>
          <w:rFonts w:hint="eastAsia"/>
          <w:color w:val="000000" w:themeColor="text1"/>
          <w:lang w:val="en-US" w:eastAsia="zh-CN"/>
          <w14:textFill>
            <w14:solidFill>
              <w14:schemeClr w14:val="tx1"/>
            </w14:solidFill>
          </w14:textFill>
        </w:rPr>
        <w:t>降低货物运输带来的输入性风险，促进社会健康发展</w:t>
      </w:r>
    </w:p>
    <w:p>
      <w:pPr>
        <w:bidi w:val="0"/>
        <w:rPr>
          <w:rFonts w:hint="eastAsia"/>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综上，该项指标满分10分，得分10分。</w:t>
      </w:r>
    </w:p>
    <w:p>
      <w:pPr>
        <w:numPr>
          <w:ilvl w:val="0"/>
          <w:numId w:val="5"/>
        </w:numPr>
        <w:bidi w:val="0"/>
        <w:ind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可持续影响指标</w:t>
      </w:r>
    </w:p>
    <w:p>
      <w:pPr>
        <w:numPr>
          <w:ilvl w:val="0"/>
          <w:numId w:val="0"/>
        </w:numPr>
        <w:bidi w:val="0"/>
        <w:rPr>
          <w:rFonts w:hint="eastAsia"/>
          <w:b w:val="0"/>
          <w:bCs w:val="0"/>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体现政策导向，保障疫情防控工作有效开展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指标，预期指标值为保障，实际完成为保障。</w:t>
      </w:r>
    </w:p>
    <w:p>
      <w:pPr>
        <w:bidi w:val="0"/>
        <w:rPr>
          <w:rFonts w:hint="eastAsia"/>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通过项目的实施，使</w:t>
      </w:r>
      <w:r>
        <w:rPr>
          <w:rFonts w:hint="eastAsia"/>
          <w:color w:val="000000" w:themeColor="text1"/>
          <w:lang w:val="en-US" w:eastAsia="zh-CN"/>
          <w14:textFill>
            <w14:solidFill>
              <w14:schemeClr w14:val="tx1"/>
            </w14:solidFill>
          </w14:textFill>
        </w:rPr>
        <w:t>疫情防控工作有效开展打下坚实基础。</w:t>
      </w:r>
    </w:p>
    <w:p>
      <w:pPr>
        <w:bidi w:val="0"/>
        <w:rPr>
          <w:rFonts w:hint="eastAsia"/>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综上，该项指标满分10分，得分10分。</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3.满意度指标</w:t>
      </w:r>
    </w:p>
    <w:p>
      <w:pPr>
        <w:bidi w:val="0"/>
        <w:rPr>
          <w:rFonts w:hint="eastAsia"/>
          <w:b/>
          <w:bCs/>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政府及受益群众满意度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指标，预期指标值为≥95%，实际完成为96%。</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综上，该项指标满分10分，得分10分。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w:t>
      </w:r>
      <w:r>
        <w:rPr>
          <w:rFonts w:hint="eastAsia" w:ascii="宋体" w:hAnsi="宋体" w:eastAsia="宋体" w:cs="宋体"/>
          <w:b/>
          <w:bCs/>
          <w:color w:val="000000" w:themeColor="text1"/>
          <w:highlight w:val="none"/>
          <w:shd w:val="clear" w:color="auto" w:fill="auto"/>
          <w14:textFill>
            <w14:solidFill>
              <w14:schemeClr w14:val="tx1"/>
            </w14:solidFill>
          </w14:textFill>
        </w:rPr>
        <w:t>主要经验及做法、存在的问题及原因分析</w:t>
      </w:r>
    </w:p>
    <w:p>
      <w:pPr>
        <w:numPr>
          <w:ilvl w:val="0"/>
          <w:numId w:val="0"/>
        </w:numPr>
        <w:bidi w:val="0"/>
        <w:ind w:left="560" w:leftChars="0"/>
        <w:rPr>
          <w:rFonts w:hint="eastAsia"/>
          <w:b/>
          <w:bCs/>
          <w:color w:val="000000" w:themeColor="text1"/>
          <w:lang w:eastAsia="zh-CN"/>
          <w14:textFill>
            <w14:solidFill>
              <w14:schemeClr w14:val="tx1"/>
            </w14:solidFill>
          </w14:textFill>
        </w:rPr>
      </w:pPr>
      <w:bookmarkStart w:id="12" w:name="_Toc1921"/>
      <w:bookmarkStart w:id="13" w:name="_Toc28290"/>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一</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主要经验及做法</w:t>
      </w:r>
    </w:p>
    <w:p>
      <w:pPr>
        <w:bidi w:val="0"/>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阜康市中高风险区货物集中消杀站建设</w:t>
      </w:r>
      <w:r>
        <w:rPr>
          <w:rFonts w:hint="eastAsia" w:cs="宋体"/>
          <w:color w:val="000000" w:themeColor="text1"/>
          <w:highlight w:val="none"/>
          <w:shd w:val="clear" w:color="auto" w:fill="auto"/>
          <w:lang w:val="en-US" w:eastAsia="zh-CN"/>
          <w14:textFill>
            <w14:solidFill>
              <w14:schemeClr w14:val="tx1"/>
            </w14:solidFill>
          </w14:textFill>
        </w:rPr>
        <w:t>项目</w:t>
      </w:r>
      <w:r>
        <w:rPr>
          <w:rFonts w:hint="eastAsia"/>
          <w:color w:val="000000" w:themeColor="text1"/>
          <w:lang w:eastAsia="zh-CN"/>
          <w14:textFill>
            <w14:solidFill>
              <w14:schemeClr w14:val="tx1"/>
            </w14:solidFill>
          </w14:textFill>
        </w:rPr>
        <w:t>20</w:t>
      </w:r>
      <w:r>
        <w:rPr>
          <w:rFonts w:hint="eastAsia"/>
          <w:color w:val="000000" w:themeColor="text1"/>
          <w:lang w:val="en-US" w:eastAsia="zh-CN"/>
          <w14:textFill>
            <w14:solidFill>
              <w14:schemeClr w14:val="tx1"/>
            </w14:solidFill>
          </w14:textFill>
        </w:rPr>
        <w:t>22</w:t>
      </w:r>
      <w:r>
        <w:rPr>
          <w:rFonts w:hint="eastAsia"/>
          <w:color w:val="000000" w:themeColor="text1"/>
          <w:lang w:eastAsia="zh-CN"/>
          <w14:textFill>
            <w14:solidFill>
              <w14:schemeClr w14:val="tx1"/>
            </w14:solidFill>
          </w14:textFill>
        </w:rPr>
        <w:t>年预算</w:t>
      </w:r>
      <w:r>
        <w:rPr>
          <w:rFonts w:hint="eastAsia"/>
          <w:color w:val="000000" w:themeColor="text1"/>
          <w:lang w:val="en-US" w:eastAsia="zh-CN"/>
          <w14:textFill>
            <w14:solidFill>
              <w14:schemeClr w14:val="tx1"/>
            </w14:solidFill>
          </w14:textFill>
        </w:rPr>
        <w:t>数</w:t>
      </w:r>
      <w:r>
        <w:rPr>
          <w:rFonts w:hint="eastAsia"/>
          <w:color w:val="000000" w:themeColor="text1"/>
          <w:lang w:eastAsia="zh-CN"/>
          <w14:textFill>
            <w14:solidFill>
              <w14:schemeClr w14:val="tx1"/>
            </w14:solidFill>
          </w14:textFill>
        </w:rPr>
        <w:t>为</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万元，</w:t>
      </w:r>
      <w:r>
        <w:rPr>
          <w:rFonts w:hint="eastAsia"/>
          <w:color w:val="000000" w:themeColor="text1"/>
          <w:lang w:val="en-US" w:eastAsia="zh-CN"/>
          <w14:textFill>
            <w14:solidFill>
              <w14:schemeClr w14:val="tx1"/>
            </w14:solidFill>
          </w14:textFill>
        </w:rPr>
        <w:t>截至2022年12月31日共</w:t>
      </w:r>
      <w:r>
        <w:rPr>
          <w:rFonts w:hint="eastAsia"/>
          <w:color w:val="000000" w:themeColor="text1"/>
          <w:lang w:eastAsia="zh-CN"/>
          <w14:textFill>
            <w14:solidFill>
              <w14:schemeClr w14:val="tx1"/>
            </w14:solidFill>
          </w14:textFill>
        </w:rPr>
        <w:t>支出</w:t>
      </w:r>
      <w:r>
        <w:rPr>
          <w:rFonts w:hint="eastAsia"/>
          <w:color w:val="000000" w:themeColor="text1"/>
          <w:lang w:val="en-US" w:eastAsia="zh-CN"/>
          <w14:textFill>
            <w14:solidFill>
              <w14:schemeClr w14:val="tx1"/>
            </w14:solidFill>
          </w14:textFill>
        </w:rPr>
        <w:t>32.12</w:t>
      </w:r>
      <w:r>
        <w:rPr>
          <w:rFonts w:hint="eastAsia"/>
          <w:color w:val="000000" w:themeColor="text1"/>
          <w:lang w:eastAsia="zh-CN"/>
          <w14:textFill>
            <w14:solidFill>
              <w14:schemeClr w14:val="tx1"/>
            </w14:solidFill>
          </w14:textFill>
        </w:rPr>
        <w:t>万元，预算</w:t>
      </w:r>
      <w:r>
        <w:rPr>
          <w:rFonts w:hint="eastAsia"/>
          <w:color w:val="000000" w:themeColor="text1"/>
          <w:lang w:val="en-US" w:eastAsia="zh-CN"/>
          <w14:textFill>
            <w14:solidFill>
              <w14:schemeClr w14:val="tx1"/>
            </w14:solidFill>
          </w14:textFill>
        </w:rPr>
        <w:t>执行</w:t>
      </w:r>
      <w:r>
        <w:rPr>
          <w:rFonts w:hint="eastAsia"/>
          <w:color w:val="000000" w:themeColor="text1"/>
          <w:lang w:eastAsia="zh-CN"/>
          <w14:textFill>
            <w14:solidFill>
              <w14:schemeClr w14:val="tx1"/>
            </w14:solidFill>
          </w14:textFill>
        </w:rPr>
        <w:t>率为</w:t>
      </w:r>
      <w:r>
        <w:rPr>
          <w:rFonts w:hint="eastAsia"/>
          <w:color w:val="000000" w:themeColor="text1"/>
          <w:lang w:val="en-US" w:eastAsia="zh-CN"/>
          <w14:textFill>
            <w14:solidFill>
              <w14:schemeClr w14:val="tx1"/>
            </w14:solidFill>
          </w14:textFill>
        </w:rPr>
        <w:t>100</w:t>
      </w:r>
      <w:r>
        <w:rPr>
          <w:rFonts w:hint="eastAsia"/>
          <w:color w:val="000000" w:themeColor="text1"/>
          <w:lang w:eastAsia="zh-CN"/>
          <w14:textFill>
            <w14:solidFill>
              <w14:schemeClr w14:val="tx1"/>
            </w14:solidFill>
          </w14:textFill>
        </w:rPr>
        <w:t>%。</w:t>
      </w:r>
    </w:p>
    <w:p>
      <w:pPr>
        <w:bidi w:val="0"/>
        <w:rPr>
          <w:rFonts w:hint="eastAsia"/>
          <w:lang w:eastAsia="zh-CN"/>
        </w:rPr>
      </w:pPr>
      <w:r>
        <w:rPr>
          <w:rFonts w:hint="eastAsia"/>
          <w:color w:val="000000" w:themeColor="text1"/>
          <w:lang w:val="en-US" w:eastAsia="zh-CN"/>
          <w14:textFill>
            <w14:solidFill>
              <w14:schemeClr w14:val="tx1"/>
            </w14:solidFill>
          </w14:textFill>
        </w:rPr>
        <w:t>阜康市项目代建中心</w:t>
      </w:r>
      <w:r>
        <w:rPr>
          <w:rFonts w:hint="eastAsia"/>
          <w:color w:val="000000" w:themeColor="text1"/>
          <w:lang w:eastAsia="zh-CN"/>
          <w14:textFill>
            <w14:solidFill>
              <w14:schemeClr w14:val="tx1"/>
            </w14:solidFill>
          </w14:textFill>
        </w:rPr>
        <w:t>建立健全了预算管理规章制度，各部门严格按预算编制的原则和要求做好当年预算编制工作，在预算绩效管理工作中，做到合理安排各项资金，重点保障基本支出，按轻重缓急顺序原则，优先安排了</w:t>
      </w:r>
      <w:r>
        <w:rPr>
          <w:rFonts w:hint="eastAsia"/>
          <w:color w:val="000000" w:themeColor="text1"/>
          <w:lang w:val="en-US" w:eastAsia="zh-CN"/>
          <w14:textFill>
            <w14:solidFill>
              <w14:schemeClr w14:val="tx1"/>
            </w14:solidFill>
          </w14:textFill>
        </w:rPr>
        <w:t>阜康市项目代建中心</w:t>
      </w:r>
      <w:r>
        <w:rPr>
          <w:rFonts w:hint="eastAsia"/>
          <w:color w:val="000000" w:themeColor="text1"/>
          <w:lang w:eastAsia="zh-CN"/>
          <w14:textFill>
            <w14:solidFill>
              <w14:schemeClr w14:val="tx1"/>
            </w14:solidFill>
          </w14:textFill>
        </w:rPr>
        <w:t>事业发展中</w:t>
      </w:r>
      <w:r>
        <w:rPr>
          <w:rFonts w:hint="eastAsia"/>
          <w:lang w:eastAsia="zh-CN"/>
        </w:rPr>
        <w:t>关系民生与稳定的项目，切实优化资源配置，提高了资金使用的效率和效果。</w:t>
      </w:r>
    </w:p>
    <w:bookmarkEnd w:id="12"/>
    <w:bookmarkEnd w:id="13"/>
    <w:p>
      <w:pPr>
        <w:bidi w:val="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存在的问题及原因分析</w:t>
      </w:r>
    </w:p>
    <w:p>
      <w:pPr>
        <w:spacing w:line="600" w:lineRule="exact"/>
        <w:ind w:firstLine="708" w:firstLineChars="200"/>
        <w:outlineLvl w:val="0"/>
        <w:rPr>
          <w:rFonts w:ascii="宋体" w:hAnsi="宋体" w:eastAsia="宋体" w:cs="宋体"/>
          <w:color w:val="000000"/>
        </w:rPr>
      </w:pPr>
      <w:r>
        <w:rPr>
          <w:rFonts w:hint="eastAsia"/>
          <w:color w:val="000000"/>
          <w:spacing w:val="17"/>
          <w:sz w:val="32"/>
          <w:szCs w:val="32"/>
        </w:rPr>
        <w:t>1.</w:t>
      </w:r>
      <w:r>
        <w:rPr>
          <w:rFonts w:hint="eastAsia" w:ascii="宋体" w:hAnsi="宋体" w:eastAsia="宋体" w:cs="宋体"/>
          <w:color w:val="000000"/>
          <w:szCs w:val="30"/>
        </w:rPr>
        <w:t xml:space="preserve"> 阜康市</w:t>
      </w:r>
      <w:r>
        <w:rPr>
          <w:rFonts w:hint="eastAsia" w:ascii="宋体" w:hAnsi="宋体" w:eastAsia="宋体" w:cs="宋体"/>
          <w:color w:val="000000"/>
          <w:szCs w:val="30"/>
          <w:lang w:val="en-US" w:eastAsia="zh-CN"/>
        </w:rPr>
        <w:t>项目代建中心</w:t>
      </w:r>
      <w:r>
        <w:rPr>
          <w:rFonts w:hint="eastAsia" w:ascii="宋体" w:hAnsi="宋体" w:eastAsia="宋体" w:cs="宋体"/>
          <w:color w:val="000000"/>
          <w:szCs w:val="30"/>
        </w:rPr>
        <w:t>在设立项目绩效目标时，绩效目标与论证方案编制工作内容具有相关性，</w:t>
      </w:r>
      <w:r>
        <w:rPr>
          <w:rFonts w:hint="eastAsia" w:cs="宋体"/>
          <w:color w:val="000000"/>
          <w:szCs w:val="30"/>
          <w:lang w:val="en-US" w:eastAsia="zh-CN"/>
        </w:rPr>
        <w:t>但</w:t>
      </w:r>
      <w:r>
        <w:rPr>
          <w:rFonts w:hint="eastAsia" w:ascii="宋体" w:hAnsi="宋体" w:eastAsia="宋体" w:cs="宋体"/>
          <w:color w:val="000000"/>
        </w:rPr>
        <w:t>不够全面</w:t>
      </w:r>
      <w:r>
        <w:rPr>
          <w:rFonts w:hint="eastAsia" w:cs="宋体"/>
          <w:color w:val="000000"/>
          <w:lang w:eastAsia="zh-CN"/>
        </w:rPr>
        <w:t>，</w:t>
      </w:r>
      <w:r>
        <w:rPr>
          <w:rFonts w:ascii="宋体" w:hAnsi="宋体" w:eastAsia="宋体" w:cs="宋体"/>
          <w:color w:val="000000"/>
        </w:rPr>
        <w:t>预算编制的合理性需要提高，预算执行力度还要进一步加强。</w:t>
      </w:r>
    </w:p>
    <w:p>
      <w:pPr>
        <w:spacing w:line="600" w:lineRule="exact"/>
        <w:ind w:firstLine="840" w:firstLineChars="300"/>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相关工作人员经验不足，绩效管理意识不高，对于指标的编制还不够完善。缺乏科学、统一、完整的财政绩效评价指标体系，并且绩效管理缺乏约束和制度保障。</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w:t>
      </w:r>
      <w:r>
        <w:rPr>
          <w:rFonts w:hint="eastAsia" w:ascii="宋体" w:hAnsi="宋体" w:eastAsia="宋体" w:cs="宋体"/>
          <w:b/>
          <w:bCs/>
          <w:color w:val="000000" w:themeColor="text1"/>
          <w:highlight w:val="none"/>
          <w:shd w:val="clear" w:color="auto" w:fill="auto"/>
          <w14:textFill>
            <w14:solidFill>
              <w14:schemeClr w14:val="tx1"/>
            </w14:solidFill>
          </w14:textFill>
        </w:rPr>
        <w:t>有关建议</w:t>
      </w:r>
    </w:p>
    <w:p>
      <w:pPr>
        <w:pStyle w:val="3"/>
        <w:pageBreakBefore w:val="0"/>
        <w:kinsoku/>
        <w:wordWrap/>
        <w:overflowPunct/>
        <w:topLinePunct w:val="0"/>
        <w:autoSpaceDE/>
        <w:autoSpaceDN/>
        <w:bidi w:val="0"/>
        <w:adjustRightInd/>
        <w:spacing w:beforeLines="0" w:afterLines="0"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（一）对项目决策的建议</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明确项目目标和需求：在做出决策之前，我们需要明确项目的目标和需求，明确整个项目的方向和目标是什么，以及项目所需要的资源、人力和时间等方面的需求。2.评估可行性和风险：在明确项目目标和需求后，我们需要对整个项目进行评估，考虑项目的可行性和所面临的各种风险，包括技术、市场、法律等方面的风险，并制定相应的风险管理计划。3.制定详细的计划和预算：在评估可行性和风险后，我们需要制定详细的计划和预算，明确项目所需要的各种资源和具体执行计划等。4.优化项目执行过程：在项目执行过程中，我们需要时刻关注项目的进展情况，并进行优化和调整，确保项目能够顺利达成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宋体"/>
          <w:kern w:val="2"/>
          <w:sz w:val="28"/>
          <w:szCs w:val="28"/>
          <w:lang w:val="en-US" w:eastAsia="zh-CN" w:bidi="ar-SA"/>
        </w:rPr>
      </w:pPr>
      <w:r>
        <w:rPr>
          <w:rFonts w:hint="eastAsia" w:cs="宋体"/>
          <w:kern w:val="2"/>
          <w:sz w:val="28"/>
          <w:szCs w:val="28"/>
          <w:lang w:val="en-US" w:eastAsia="zh-CN" w:bidi="ar-SA"/>
        </w:rPr>
        <w:t>（二）对预算安排与执行的建议</w:t>
      </w:r>
    </w:p>
    <w:p>
      <w:pPr>
        <w:numPr>
          <w:ilvl w:val="0"/>
          <w:numId w:val="0"/>
        </w:numPr>
        <w:ind w:left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1.制定合理的预算计划</w:t>
      </w:r>
    </w:p>
    <w:p>
      <w:pPr>
        <w:numPr>
          <w:ilvl w:val="0"/>
          <w:numId w:val="0"/>
        </w:numPr>
        <w:ind w:left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预算计划需要根据具体情况制定，不能过于激进或保守。在制定</w:t>
      </w:r>
    </w:p>
    <w:p>
      <w:pPr>
        <w:numPr>
          <w:ilvl w:val="0"/>
          <w:numId w:val="0"/>
        </w:numPr>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预算计划时，应该同时考虑经济目标和实际情况，综合决定。此外，对于预算方案的编制，还应特别注意预算的灵活性和可调整性，以适应环境的变化。</w:t>
      </w:r>
    </w:p>
    <w:p>
      <w:pPr>
        <w:numPr>
          <w:ilvl w:val="0"/>
          <w:numId w:val="0"/>
        </w:numPr>
        <w:ind w:left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2.实施有效的预算管控</w:t>
      </w:r>
    </w:p>
    <w:p>
      <w:pPr>
        <w:numPr>
          <w:ilvl w:val="0"/>
          <w:numId w:val="0"/>
        </w:numPr>
        <w:ind w:firstLine="560" w:firstLine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预算计划需要得到有效的管控，确保预算的按照计划进行，以达到经济目标和绩效目标。在预算管控中，应该对经济活动的各个环节进行监控，及时发现可能存在的风险，采取有效措施加以控制。</w:t>
      </w:r>
    </w:p>
    <w:p>
      <w:pPr>
        <w:numPr>
          <w:ilvl w:val="0"/>
          <w:numId w:val="5"/>
        </w:numPr>
        <w:ind w:left="0" w:leftChars="0" w:firstLine="560" w:firstLineChars="200"/>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加强绩效管理</w:t>
      </w:r>
    </w:p>
    <w:p>
      <w:pPr>
        <w:numPr>
          <w:ilvl w:val="0"/>
          <w:numId w:val="0"/>
        </w:numPr>
        <w:ind w:firstLine="560" w:firstLineChars="200"/>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预算执行的绩效管理是实现预算目标的重要保障。在绩效管理过</w:t>
      </w:r>
    </w:p>
    <w:p>
      <w:pPr>
        <w:numPr>
          <w:ilvl w:val="0"/>
          <w:numId w:val="0"/>
        </w:numPr>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程中，应该结合实际情况，进行目标分解和绩效评价，及时反馈各项绩效指标达成情况，对达成情况进行分析和评价，找出原因并提出对策，从而确保预算的有效执行。</w:t>
      </w:r>
    </w:p>
    <w:p>
      <w:pPr>
        <w:numPr>
          <w:ilvl w:val="0"/>
          <w:numId w:val="5"/>
        </w:numPr>
        <w:ind w:left="0" w:leftChars="0" w:firstLine="560" w:firstLineChars="200"/>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强化风险管理</w:t>
      </w:r>
    </w:p>
    <w:p>
      <w:pPr>
        <w:numPr>
          <w:ilvl w:val="0"/>
          <w:numId w:val="0"/>
        </w:numPr>
        <w:ind w:firstLine="560" w:firstLineChars="200"/>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预算执行的过程中，各种风险可能会对预算实施产生不利影响，</w:t>
      </w:r>
    </w:p>
    <w:p>
      <w:pPr>
        <w:numPr>
          <w:ilvl w:val="0"/>
          <w:numId w:val="0"/>
        </w:numPr>
        <w:rPr>
          <w:rFonts w:hint="eastAsia" w:cs="宋体"/>
          <w:b w:val="0"/>
          <w:bCs w:val="0"/>
          <w:kern w:val="2"/>
          <w:sz w:val="28"/>
          <w:szCs w:val="28"/>
          <w:lang w:val="en-US" w:eastAsia="zh-CN" w:bidi="ar-SA"/>
        </w:rPr>
      </w:pPr>
      <w:r>
        <w:rPr>
          <w:rFonts w:hint="eastAsia" w:cs="宋体"/>
          <w:b w:val="0"/>
          <w:bCs w:val="0"/>
          <w:kern w:val="2"/>
          <w:sz w:val="28"/>
          <w:szCs w:val="28"/>
          <w:lang w:val="en-US" w:eastAsia="zh-CN" w:bidi="ar-SA"/>
        </w:rPr>
        <w:t>因此应该加强风险管理。在风险管理中，应该综合考虑预算执行的各个方面，及时发现风险因素，采取有效措施进行控制和管理。</w:t>
      </w:r>
    </w:p>
    <w:p>
      <w:pPr>
        <w:numPr>
          <w:ilvl w:val="0"/>
          <w:numId w:val="5"/>
        </w:numPr>
        <w:ind w:left="0" w:leftChars="0" w:firstLine="560" w:firstLine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加强预算宣传教育</w:t>
      </w:r>
    </w:p>
    <w:p>
      <w:pPr>
        <w:numPr>
          <w:ilvl w:val="0"/>
          <w:numId w:val="0"/>
        </w:numPr>
        <w:ind w:firstLine="560" w:firstLineChars="200"/>
        <w:rPr>
          <w:rFonts w:hint="default" w:cs="宋体"/>
          <w:b w:val="0"/>
          <w:bCs w:val="0"/>
          <w:kern w:val="2"/>
          <w:sz w:val="28"/>
          <w:szCs w:val="28"/>
          <w:lang w:val="en-US" w:eastAsia="zh-CN" w:bidi="ar-SA"/>
        </w:rPr>
      </w:pPr>
      <w:r>
        <w:rPr>
          <w:rFonts w:hint="default" w:cs="宋体"/>
          <w:b w:val="0"/>
          <w:bCs w:val="0"/>
          <w:kern w:val="2"/>
          <w:sz w:val="28"/>
          <w:szCs w:val="28"/>
          <w:lang w:val="en-US" w:eastAsia="zh-CN" w:bidi="ar-SA"/>
        </w:rPr>
        <w:t>通过预算宣传教育，可以提高管理人员和员工对预算的重视程度。宣传教育应该具备针对性和实效性，同时也要关注宣传的方式和手段，考虑到受众的特点，采取不同的宣传方式和手段，提高宣传的效果。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宋体"/>
          <w:kern w:val="2"/>
          <w:sz w:val="28"/>
          <w:szCs w:val="28"/>
          <w:lang w:val="en-US" w:eastAsia="zh-CN" w:bidi="ar-SA"/>
        </w:rPr>
      </w:pPr>
      <w:r>
        <w:rPr>
          <w:rFonts w:hint="eastAsia" w:cs="宋体"/>
          <w:kern w:val="2"/>
          <w:sz w:val="28"/>
          <w:szCs w:val="28"/>
          <w:lang w:val="en-US" w:eastAsia="zh-CN" w:bidi="ar-SA"/>
        </w:rPr>
        <w:t>（三）对资金管理的建议</w:t>
      </w:r>
    </w:p>
    <w:p>
      <w:pPr>
        <w:pStyle w:val="2"/>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开展定期检查</w:t>
      </w:r>
      <w:r>
        <w:rPr>
          <w:rFonts w:hint="eastAsia" w:ascii="宋体" w:hAnsi="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定期对专项资金的使用情况进行监督检查</w:t>
      </w:r>
      <w:r>
        <w:rPr>
          <w:rFonts w:hint="default" w:ascii="宋体" w:hAnsi="宋体" w:eastAsia="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重点督查专项资金的使用进度</w:t>
      </w:r>
      <w:r>
        <w:rPr>
          <w:rFonts w:hint="default" w:ascii="宋体" w:hAnsi="宋体" w:eastAsia="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资金落实情况</w:t>
      </w:r>
      <w:r>
        <w:rPr>
          <w:rFonts w:hint="default" w:ascii="宋体" w:hAnsi="宋体" w:eastAsia="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对发观的问题</w:t>
      </w:r>
      <w:r>
        <w:rPr>
          <w:rFonts w:hint="default" w:ascii="宋体" w:hAnsi="宋体" w:eastAsia="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采取措施、及时纠正、追责处理、强化管理。有效杜绝了专项资金在分配使用过程中发生违纪现象，确保了项目资金的使用效率及安全性。</w:t>
      </w:r>
    </w:p>
    <w:p>
      <w:pPr>
        <w:numPr>
          <w:ilvl w:val="0"/>
          <w:numId w:val="0"/>
        </w:numPr>
        <w:ind w:leftChars="200"/>
        <w:rPr>
          <w:rFonts w:hint="default"/>
          <w:lang w:val="en-US" w:eastAsia="zh-CN"/>
        </w:rPr>
      </w:pPr>
      <w:r>
        <w:rPr>
          <w:rFonts w:hint="eastAsia" w:cs="宋体"/>
          <w:b w:val="0"/>
          <w:bCs w:val="0"/>
          <w:kern w:val="2"/>
          <w:sz w:val="28"/>
          <w:szCs w:val="28"/>
          <w:lang w:val="en-US" w:eastAsia="zh-CN" w:bidi="ar-SA"/>
        </w:rPr>
        <w:t>（四）项目管理的建议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85" w:lineRule="atLeast"/>
        <w:ind w:left="0" w:right="0" w:firstLine="645"/>
        <w:jc w:val="both"/>
        <w:rPr>
          <w:rFonts w:hint="eastAsia" w:ascii="宋体" w:hAnsi="宋体" w:eastAsia="宋体" w:cs="宋体"/>
          <w:b w:val="0"/>
          <w:bCs w:val="0"/>
          <w:kern w:val="2"/>
          <w:sz w:val="28"/>
          <w:szCs w:val="28"/>
          <w:lang w:val="en-US" w:eastAsia="zh-CN" w:bidi="ar-SA"/>
        </w:rPr>
      </w:pPr>
      <w:r>
        <w:rPr>
          <w:rFonts w:hint="eastAsia" w:cs="宋体"/>
          <w:b w:val="0"/>
          <w:bCs w:val="0"/>
          <w:kern w:val="2"/>
          <w:sz w:val="28"/>
          <w:szCs w:val="28"/>
          <w:lang w:val="en-US" w:eastAsia="zh-CN" w:bidi="ar-SA"/>
        </w:rPr>
        <w:t>1.</w:t>
      </w:r>
      <w:r>
        <w:rPr>
          <w:rFonts w:hint="default" w:ascii="宋体" w:hAnsi="宋体" w:eastAsia="宋体" w:cs="宋体"/>
          <w:b w:val="0"/>
          <w:bCs w:val="0"/>
          <w:kern w:val="2"/>
          <w:sz w:val="28"/>
          <w:szCs w:val="28"/>
          <w:lang w:val="en-US" w:eastAsia="zh-CN" w:bidi="ar-SA"/>
        </w:rPr>
        <w:t>强化项目主管部门监管责任。项目主管部门要严格依法履行监管职责，加强质量管理及竣工验收等全过程进行“阳光监督”，将监管职能落到实处；要建立问责机制，严肃查处非法转包、违法分包等建设领域违法违规问题，规范建筑市场秩序，优化工程建设市场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85" w:lineRule="atLeast"/>
        <w:ind w:left="0" w:right="0" w:firstLine="645"/>
        <w:jc w:val="both"/>
        <w:rPr>
          <w:rFonts w:hint="eastAsia" w:ascii="宋体" w:hAnsi="宋体" w:eastAsia="宋体" w:cs="宋体"/>
          <w:b w:val="0"/>
          <w:bCs w:val="0"/>
          <w:kern w:val="2"/>
          <w:sz w:val="28"/>
          <w:szCs w:val="28"/>
          <w:lang w:val="en-US" w:eastAsia="zh-CN" w:bidi="ar-SA"/>
        </w:rPr>
      </w:pPr>
      <w:r>
        <w:rPr>
          <w:rFonts w:hint="eastAsia" w:cs="宋体"/>
          <w:b w:val="0"/>
          <w:bCs w:val="0"/>
          <w:kern w:val="2"/>
          <w:sz w:val="28"/>
          <w:szCs w:val="28"/>
          <w:lang w:val="en-US" w:eastAsia="zh-CN" w:bidi="ar-SA"/>
        </w:rPr>
        <w:t>2.</w:t>
      </w:r>
      <w:r>
        <w:rPr>
          <w:rFonts w:hint="default" w:ascii="宋体" w:hAnsi="宋体" w:eastAsia="宋体" w:cs="宋体"/>
          <w:b w:val="0"/>
          <w:bCs w:val="0"/>
          <w:kern w:val="2"/>
          <w:sz w:val="28"/>
          <w:szCs w:val="28"/>
          <w:lang w:val="en-US" w:eastAsia="zh-CN" w:bidi="ar-SA"/>
        </w:rPr>
        <w:t>严格项目建设财务管理。项目建设单位要建立健全基本建设财务管理制度和内部控制制度，严格按照《国有建设单位基本制度》的规定，按项目单独核算；项目竣工后，及时编制项目竣工财务决算，并按照规定报送项目主管部门，提高财政资金使用效益，保障财政资金安全。</w:t>
      </w:r>
    </w:p>
    <w:p>
      <w:pPr>
        <w:pStyle w:val="2"/>
        <w:rPr>
          <w:rFonts w:hint="default"/>
          <w:lang w:val="en-US" w:eastAsia="zh-CN"/>
        </w:rPr>
      </w:pP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w:t>
      </w:r>
      <w:r>
        <w:rPr>
          <w:rFonts w:hint="eastAsia" w:ascii="宋体" w:hAnsi="宋体" w:eastAsia="宋体" w:cs="宋体"/>
          <w:b/>
          <w:bCs/>
          <w:color w:val="000000" w:themeColor="text1"/>
          <w:highlight w:val="none"/>
          <w:shd w:val="clear" w:color="auto" w:fill="auto"/>
          <w14:textFill>
            <w14:solidFill>
              <w14:schemeClr w14:val="tx1"/>
            </w14:solidFill>
          </w14:textFill>
        </w:rPr>
        <w:t>、其他需要说明的问题</w:t>
      </w:r>
    </w:p>
    <w:p>
      <w:pPr>
        <w:bidi w:val="0"/>
        <w:rPr>
          <w:rFonts w:hint="eastAsia"/>
          <w:lang w:val="en-US" w:eastAsia="zh-CN"/>
        </w:rPr>
        <w:sectPr>
          <w:footerReference r:id="rId3" w:type="default"/>
          <w:pgSz w:w="11906" w:h="16838"/>
          <w:pgMar w:top="1440" w:right="1800" w:bottom="1440" w:left="1800" w:header="737" w:footer="851" w:gutter="0"/>
          <w:pgNumType w:fmt="decimal"/>
          <w:cols w:space="720" w:num="1"/>
          <w:docGrid w:type="lines" w:linePitch="408" w:charSpace="0"/>
        </w:sectPr>
      </w:pPr>
      <w:r>
        <w:rPr>
          <w:rFonts w:hint="eastAsia" w:ascii="宋体" w:hAnsi="宋体" w:eastAsia="宋体" w:cs="宋体"/>
          <w:lang w:val="en-US" w:eastAsia="zh-CN"/>
        </w:rPr>
        <w:t>无其他需要说明的问题</w:t>
      </w:r>
    </w:p>
    <w:tbl>
      <w:tblPr>
        <w:tblStyle w:val="1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2"/>
        <w:gridCol w:w="899"/>
        <w:gridCol w:w="1466"/>
        <w:gridCol w:w="1374"/>
        <w:gridCol w:w="1276"/>
        <w:gridCol w:w="1348"/>
        <w:gridCol w:w="1623"/>
        <w:gridCol w:w="1599"/>
        <w:gridCol w:w="1079"/>
        <w:gridCol w:w="99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 w:hRule="atLeast"/>
        </w:trPr>
        <w:tc>
          <w:tcPr>
            <w:tcW w:w="1691" w:type="dxa"/>
            <w:gridSpan w:val="2"/>
            <w:shd w:val="clear" w:color="auto" w:fill="auto"/>
            <w:vAlign w:val="center"/>
          </w:tcPr>
          <w:p>
            <w:pPr>
              <w:keepNext w:val="0"/>
              <w:keepLines w:val="0"/>
              <w:widowControl/>
              <w:suppressLineNumbers w:val="0"/>
              <w:ind w:left="0" w:leftChars="0" w:firstLine="0" w:firstLineChars="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附1</w:t>
            </w:r>
          </w:p>
        </w:tc>
        <w:tc>
          <w:tcPr>
            <w:tcW w:w="1466" w:type="dxa"/>
            <w:shd w:val="clear" w:color="auto" w:fill="auto"/>
            <w:vAlign w:val="center"/>
          </w:tcPr>
          <w:p>
            <w:pPr>
              <w:rPr>
                <w:rFonts w:hint="eastAsia" w:ascii="宋体" w:hAnsi="宋体" w:eastAsia="宋体" w:cs="宋体"/>
                <w:i w:val="0"/>
                <w:color w:val="000000"/>
                <w:sz w:val="24"/>
                <w:szCs w:val="24"/>
                <w:u w:val="none"/>
              </w:rPr>
            </w:pPr>
          </w:p>
        </w:tc>
        <w:tc>
          <w:tcPr>
            <w:tcW w:w="1374" w:type="dxa"/>
            <w:shd w:val="clear" w:color="auto" w:fill="auto"/>
            <w:vAlign w:val="center"/>
          </w:tcPr>
          <w:p>
            <w:pPr>
              <w:rPr>
                <w:rFonts w:hint="eastAsia" w:ascii="宋体" w:hAnsi="宋体" w:eastAsia="宋体" w:cs="宋体"/>
                <w:i w:val="0"/>
                <w:color w:val="000000"/>
                <w:sz w:val="24"/>
                <w:szCs w:val="24"/>
                <w:u w:val="none"/>
              </w:rPr>
            </w:pPr>
          </w:p>
        </w:tc>
        <w:tc>
          <w:tcPr>
            <w:tcW w:w="1276" w:type="dxa"/>
            <w:shd w:val="clear" w:color="auto" w:fill="auto"/>
            <w:vAlign w:val="center"/>
          </w:tcPr>
          <w:p>
            <w:pPr>
              <w:rPr>
                <w:rFonts w:hint="eastAsia" w:ascii="宋体" w:hAnsi="宋体" w:eastAsia="宋体" w:cs="宋体"/>
                <w:i w:val="0"/>
                <w:color w:val="000000"/>
                <w:sz w:val="24"/>
                <w:szCs w:val="24"/>
                <w:u w:val="none"/>
              </w:rPr>
            </w:pPr>
          </w:p>
        </w:tc>
        <w:tc>
          <w:tcPr>
            <w:tcW w:w="1348" w:type="dxa"/>
            <w:shd w:val="clear" w:color="auto" w:fill="auto"/>
            <w:vAlign w:val="center"/>
          </w:tcPr>
          <w:p>
            <w:pPr>
              <w:rPr>
                <w:rFonts w:hint="eastAsia" w:ascii="宋体" w:hAnsi="宋体" w:eastAsia="宋体" w:cs="宋体"/>
                <w:i w:val="0"/>
                <w:color w:val="000000"/>
                <w:sz w:val="24"/>
                <w:szCs w:val="24"/>
                <w:u w:val="none"/>
              </w:rPr>
            </w:pPr>
          </w:p>
        </w:tc>
        <w:tc>
          <w:tcPr>
            <w:tcW w:w="1623" w:type="dxa"/>
            <w:shd w:val="clear" w:color="auto" w:fill="auto"/>
            <w:vAlign w:val="center"/>
          </w:tcPr>
          <w:p>
            <w:pPr>
              <w:rPr>
                <w:rFonts w:hint="eastAsia" w:ascii="宋体" w:hAnsi="宋体" w:eastAsia="宋体" w:cs="宋体"/>
                <w:i w:val="0"/>
                <w:color w:val="000000"/>
                <w:sz w:val="24"/>
                <w:szCs w:val="24"/>
                <w:u w:val="none"/>
              </w:rPr>
            </w:pPr>
          </w:p>
        </w:tc>
        <w:tc>
          <w:tcPr>
            <w:tcW w:w="1599" w:type="dxa"/>
            <w:shd w:val="clear" w:color="auto" w:fill="auto"/>
            <w:vAlign w:val="center"/>
          </w:tcPr>
          <w:p>
            <w:pPr>
              <w:rPr>
                <w:rFonts w:hint="eastAsia" w:ascii="宋体" w:hAnsi="宋体" w:eastAsia="宋体" w:cs="宋体"/>
                <w:i w:val="0"/>
                <w:color w:val="000000"/>
                <w:sz w:val="24"/>
                <w:szCs w:val="24"/>
                <w:u w:val="none"/>
              </w:rPr>
            </w:pPr>
          </w:p>
        </w:tc>
        <w:tc>
          <w:tcPr>
            <w:tcW w:w="1079" w:type="dxa"/>
            <w:shd w:val="clear" w:color="auto" w:fill="auto"/>
            <w:vAlign w:val="center"/>
          </w:tcPr>
          <w:p>
            <w:pPr>
              <w:rPr>
                <w:rFonts w:hint="eastAsia" w:ascii="宋体" w:hAnsi="宋体" w:eastAsia="宋体" w:cs="宋体"/>
                <w:i w:val="0"/>
                <w:color w:val="000000"/>
                <w:sz w:val="24"/>
                <w:szCs w:val="24"/>
                <w:u w:val="none"/>
              </w:rPr>
            </w:pPr>
          </w:p>
        </w:tc>
        <w:tc>
          <w:tcPr>
            <w:tcW w:w="992" w:type="dxa"/>
            <w:shd w:val="clear" w:color="auto" w:fill="auto"/>
            <w:vAlign w:val="center"/>
          </w:tcPr>
          <w:p>
            <w:pPr>
              <w:rPr>
                <w:rFonts w:hint="eastAsia" w:ascii="宋体" w:hAnsi="宋体" w:eastAsia="宋体" w:cs="宋体"/>
                <w:i w:val="0"/>
                <w:color w:val="000000"/>
                <w:sz w:val="24"/>
                <w:szCs w:val="24"/>
                <w:u w:val="none"/>
              </w:rPr>
            </w:pPr>
          </w:p>
        </w:tc>
        <w:tc>
          <w:tcPr>
            <w:tcW w:w="1352"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3800" w:type="dxa"/>
            <w:gridSpan w:val="11"/>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3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阜康市中高风险区货物集中消杀站建设项目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5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阜康市项目代建中心</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阜康市项目代建中心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其中：当年财政拨款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上年结转资金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3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6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部门职能：为政府投资建设项目提供代建服务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2022年项目目标：改造消杀厂房1200㎡，安装消杀设备1套、新建大门3樘，改造车辆进出口道路。项目完工预期达到100%，项目验收合格率达到100%，为强化中高风险地区入阜货物消杀，降低货物运输带来的输入性风险，促进社会健康发展，体现政策导向，保障疫情防控工作有效开展，争取得到政府和受益群众的</w:t>
            </w:r>
            <w:r>
              <w:rPr>
                <w:rFonts w:hint="eastAsia" w:cs="宋体"/>
                <w:i w:val="0"/>
                <w:color w:val="000000"/>
                <w:kern w:val="0"/>
                <w:sz w:val="20"/>
                <w:szCs w:val="20"/>
                <w:u w:val="none"/>
                <w:lang w:val="en-US" w:eastAsia="zh-CN" w:bidi="ar"/>
              </w:rPr>
              <w:t>一致好评</w:t>
            </w:r>
            <w:r>
              <w:rPr>
                <w:rFonts w:hint="eastAsia" w:ascii="宋体" w:hAnsi="宋体" w:eastAsia="宋体" w:cs="宋体"/>
                <w:i w:val="0"/>
                <w:color w:val="000000"/>
                <w:kern w:val="0"/>
                <w:sz w:val="20"/>
                <w:szCs w:val="20"/>
                <w:u w:val="none"/>
                <w:lang w:val="en-US" w:eastAsia="zh-CN" w:bidi="ar"/>
              </w:rPr>
              <w:t>。</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2022年12月底，本单位完成改造厂房1200㎡,安装消杀设备1套，完成新建感应大门3樘，项目按预期完成时间完工，并验收成功投入使用，该项目实施的及时性有效的强化中高风险地区入阜货物消杀，降低货物运输带来的输入性风险，促进社会健康发展的社会效益，政府和受益群众满意度达96%，真正意义上体现了政策导向，保障疫情防控工作有效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 效 指 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4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改造厂房（㎡）</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安装消杀设备（套）</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1套</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新建感应大门（樘）</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3樘</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3樘</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项目完工及时率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改造消杀厂房成本（万元）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≤24.7万元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24.7万元</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消杀设备成本（万元）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≤4.5万元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4.5万元</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感应大门成本（万元）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≤2.92万元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2.92万元</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为强化中高风险地区入阜货物消杀，降低货物运输带来的输入性风险，促进社会健康发展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体现政策导向，保障疫情防控工作有效开展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政府及受益群众满意度</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100</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keepNext/>
        <w:keepLines/>
        <w:widowControl w:val="0"/>
        <w:spacing w:before="0" w:beforeLines="0" w:beforeAutospacing="0" w:after="0" w:afterLines="0" w:afterAutospacing="0" w:line="240" w:lineRule="auto"/>
        <w:ind w:left="0" w:leftChars="0" w:firstLine="0" w:firstLineChars="0"/>
        <w:jc w:val="left"/>
        <w:outlineLvl w:val="1"/>
        <w:rPr>
          <w:rFonts w:hint="eastAsia" w:cs="宋体"/>
          <w:b/>
          <w:bCs/>
          <w:color w:val="000000"/>
          <w:kern w:val="2"/>
          <w:sz w:val="36"/>
          <w:szCs w:val="28"/>
          <w:lang w:val="en-US" w:eastAsia="zh-CN" w:bidi="ar-SA"/>
        </w:rPr>
      </w:pPr>
    </w:p>
    <w:p>
      <w:pPr>
        <w:keepNext/>
        <w:keepLines/>
        <w:widowControl w:val="0"/>
        <w:spacing w:before="0" w:beforeLines="0" w:beforeAutospacing="0" w:after="0" w:afterLines="0" w:afterAutospacing="0" w:line="240" w:lineRule="auto"/>
        <w:jc w:val="left"/>
        <w:outlineLvl w:val="1"/>
        <w:rPr>
          <w:rFonts w:hint="eastAsia" w:cs="宋体"/>
          <w:b/>
          <w:bCs/>
          <w:color w:val="000000"/>
          <w:kern w:val="2"/>
          <w:sz w:val="36"/>
          <w:szCs w:val="28"/>
          <w:lang w:val="en-US" w:eastAsia="zh-CN" w:bidi="ar-SA"/>
        </w:r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000000"/>
          <w:kern w:val="2"/>
          <w:sz w:val="32"/>
          <w:szCs w:val="24"/>
          <w:lang w:val="en-US" w:eastAsia="zh-CN" w:bidi="ar-SA"/>
        </w:rPr>
      </w:pPr>
      <w:r>
        <w:rPr>
          <w:rFonts w:hint="eastAsia" w:cs="宋体"/>
          <w:b/>
          <w:bCs/>
          <w:color w:val="000000"/>
          <w:kern w:val="2"/>
          <w:sz w:val="36"/>
          <w:szCs w:val="28"/>
          <w:lang w:val="en-US" w:eastAsia="zh-CN" w:bidi="ar-SA"/>
        </w:rPr>
        <w:t xml:space="preserve">附件二              </w:t>
      </w:r>
      <w:r>
        <w:rPr>
          <w:rFonts w:hint="eastAsia" w:ascii="宋体" w:hAnsi="宋体" w:eastAsia="宋体" w:cs="宋体"/>
          <w:b/>
          <w:bCs/>
          <w:color w:val="000000"/>
          <w:kern w:val="2"/>
          <w:sz w:val="36"/>
          <w:szCs w:val="28"/>
          <w:lang w:val="en-US" w:eastAsia="zh-CN" w:bidi="ar-SA"/>
        </w:rPr>
        <w:t>项目支出绩效评价指标体系打分表</w:t>
      </w:r>
    </w:p>
    <w:tbl>
      <w:tblPr>
        <w:tblStyle w:val="10"/>
        <w:tblpPr w:leftFromText="180" w:rightFromText="180" w:vertAnchor="text" w:horzAnchor="page" w:tblpX="1648" w:tblpY="1132"/>
        <w:tblOverlap w:val="never"/>
        <w:tblW w:w="1304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6"/>
        <w:gridCol w:w="682"/>
        <w:gridCol w:w="767"/>
        <w:gridCol w:w="2005"/>
        <w:gridCol w:w="7329"/>
        <w:gridCol w:w="735"/>
        <w:gridCol w:w="7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57" w:hRule="atLeast"/>
          <w:tblHeader/>
        </w:trPr>
        <w:tc>
          <w:tcPr>
            <w:tcW w:w="806" w:type="dxa"/>
            <w:shd w:val="clear" w:color="auto" w:fill="FFFFFF"/>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682" w:type="dxa"/>
            <w:shd w:val="clear" w:color="auto" w:fill="FFFFFF"/>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767" w:type="dxa"/>
            <w:shd w:val="clear" w:color="auto" w:fill="FFFFFF"/>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005" w:type="dxa"/>
            <w:shd w:val="clear" w:color="auto" w:fill="FFFFFF"/>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329" w:type="dxa"/>
            <w:shd w:val="clear" w:color="auto" w:fill="FFFFFF"/>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35" w:type="dxa"/>
            <w:shd w:val="clear" w:color="auto" w:fill="FFFFFF"/>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20" w:type="dxa"/>
            <w:shd w:val="clear" w:color="auto" w:fill="FFFFFF"/>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93" w:hRule="atLeast"/>
        </w:trPr>
        <w:tc>
          <w:tcPr>
            <w:tcW w:w="806"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2"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005"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329" w:type="dxa"/>
            <w:shd w:val="clear" w:color="auto" w:fill="FFFFFF"/>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①项目立项是否符合国家法律法规、国民经济发展规划和相关政策；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②项目立项是否符合行业发展规划和政策要求；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⑤项目是否与相关部门同类项目或部门内部相关项目重复。</w:t>
            </w:r>
          </w:p>
        </w:tc>
        <w:tc>
          <w:tcPr>
            <w:tcW w:w="73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20" w:type="dxa"/>
            <w:shd w:val="clear" w:color="auto" w:fill="FFFFFF"/>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692" w:hRule="atLeast"/>
        </w:trPr>
        <w:tc>
          <w:tcPr>
            <w:tcW w:w="806" w:type="dxa"/>
            <w:vMerge w:val="continue"/>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p>
        </w:tc>
        <w:tc>
          <w:tcPr>
            <w:tcW w:w="682"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005"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329" w:type="dxa"/>
            <w:shd w:val="clear" w:color="auto" w:fill="FFFFFF"/>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p>
        </w:tc>
        <w:tc>
          <w:tcPr>
            <w:tcW w:w="73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20" w:type="dxa"/>
            <w:shd w:val="clear" w:color="auto" w:fill="FFFFFF"/>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25" w:hRule="atLeast"/>
        </w:trPr>
        <w:tc>
          <w:tcPr>
            <w:tcW w:w="806" w:type="dxa"/>
            <w:vMerge w:val="continue"/>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p>
        </w:tc>
        <w:tc>
          <w:tcPr>
            <w:tcW w:w="682"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329" w:type="dxa"/>
            <w:shd w:val="clear" w:color="000000" w:fill="FFFFFF"/>
            <w:vAlign w:val="center"/>
          </w:tcPr>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20" w:type="dxa"/>
            <w:shd w:val="clear" w:color="000000" w:fill="FFFFFF"/>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93" w:hRule="atLeast"/>
        </w:trPr>
        <w:tc>
          <w:tcPr>
            <w:tcW w:w="806"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682"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①是否将项目绩效目标细化分解为具体的绩效指标；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w:t>
            </w:r>
            <w:r>
              <w:rPr>
                <w:rFonts w:hint="eastAsia" w:ascii="宋体" w:hAnsi="宋体" w:eastAsia="宋体" w:cs="宋体"/>
                <w:color w:val="000000"/>
                <w:kern w:val="0"/>
                <w:sz w:val="22"/>
                <w:szCs w:val="22"/>
              </w:rPr>
              <w:br w:type="textWrapping"/>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93" w:hRule="atLeast"/>
        </w:trPr>
        <w:tc>
          <w:tcPr>
            <w:tcW w:w="806" w:type="dxa"/>
            <w:vMerge w:val="continue"/>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p>
        </w:tc>
        <w:tc>
          <w:tcPr>
            <w:tcW w:w="682"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005"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329"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w:t>
            </w:r>
          </w:p>
        </w:tc>
        <w:tc>
          <w:tcPr>
            <w:tcW w:w="73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20" w:type="dxa"/>
            <w:shd w:val="clear" w:color="auto"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95" w:hRule="atLeast"/>
        </w:trPr>
        <w:tc>
          <w:tcPr>
            <w:tcW w:w="806"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682"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005"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329"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w:t>
            </w:r>
          </w:p>
        </w:tc>
        <w:tc>
          <w:tcPr>
            <w:tcW w:w="73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20" w:type="dxa"/>
            <w:shd w:val="clear" w:color="auto"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692" w:hRule="atLeast"/>
        </w:trPr>
        <w:tc>
          <w:tcPr>
            <w:tcW w:w="806" w:type="dxa"/>
            <w:vMerge w:val="restart"/>
            <w:shd w:val="clear" w:color="auto" w:fill="FFFFFF"/>
            <w:vAlign w:val="center"/>
          </w:tcPr>
          <w:p>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682" w:type="dxa"/>
            <w:vMerge w:val="restart"/>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329"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692" w:hRule="atLeast"/>
        </w:trPr>
        <w:tc>
          <w:tcPr>
            <w:tcW w:w="806" w:type="dxa"/>
            <w:vMerge w:val="continue"/>
            <w:shd w:val="clear" w:color="auto" w:fill="FFFFFF"/>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682" w:type="dxa"/>
            <w:vMerge w:val="continue"/>
            <w:shd w:val="clear" w:color="auto" w:fill="FFFFFF"/>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005"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329"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预算执行率=（实际支出资金/实际到位资金）×100%。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tc>
        <w:tc>
          <w:tcPr>
            <w:tcW w:w="73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20" w:type="dxa"/>
            <w:shd w:val="clear" w:color="auto"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60" w:hRule="atLeast"/>
        </w:trPr>
        <w:tc>
          <w:tcPr>
            <w:tcW w:w="806"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682"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①是否符合国家财经法规和财务管理制度以及有关专项资金管理办法的规定；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w:t>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7" w:hRule="atLeast"/>
        </w:trPr>
        <w:tc>
          <w:tcPr>
            <w:tcW w:w="806" w:type="dxa"/>
            <w:vMerge w:val="continue"/>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p>
        </w:tc>
        <w:tc>
          <w:tcPr>
            <w:tcW w:w="682"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w:t>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25" w:hRule="atLeast"/>
        </w:trPr>
        <w:tc>
          <w:tcPr>
            <w:tcW w:w="806"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682"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67" w:type="dxa"/>
            <w:shd w:val="clear" w:color="auto" w:fill="FFFFFF"/>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w:t>
            </w:r>
          </w:p>
        </w:tc>
        <w:tc>
          <w:tcPr>
            <w:tcW w:w="73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59" w:hRule="atLeast"/>
        </w:trPr>
        <w:tc>
          <w:tcPr>
            <w:tcW w:w="806"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682"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实际完成率=（实际产出数/计划产出数）×100%。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实际产出数：一定时期（本年度或项目期）内项目实际产出的产品或提供的服务数量。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35"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12</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93" w:hRule="atLeast"/>
        </w:trPr>
        <w:tc>
          <w:tcPr>
            <w:tcW w:w="806"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682"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329"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35"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60" w:hRule="atLeast"/>
        </w:trPr>
        <w:tc>
          <w:tcPr>
            <w:tcW w:w="806" w:type="dxa"/>
            <w:vMerge w:val="continue"/>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p>
        </w:tc>
        <w:tc>
          <w:tcPr>
            <w:tcW w:w="682" w:type="dxa"/>
            <w:shd w:val="clear" w:color="auto" w:fill="FFFFFF"/>
            <w:vAlign w:val="center"/>
          </w:tcPr>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实际完成时间：项目实施单位完成该项目实际所耗用的时间。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计划完成时间：按照项目实施计划或相关规定完成该项目所需的时间。</w:t>
            </w:r>
          </w:p>
        </w:tc>
        <w:tc>
          <w:tcPr>
            <w:tcW w:w="735"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93" w:hRule="atLeast"/>
        </w:trPr>
        <w:tc>
          <w:tcPr>
            <w:tcW w:w="806"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682"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成本节约率=[（计划成本-实际成本）/计划成本]×100%。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tc>
        <w:tc>
          <w:tcPr>
            <w:tcW w:w="735"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57" w:hRule="atLeast"/>
        </w:trPr>
        <w:tc>
          <w:tcPr>
            <w:tcW w:w="806"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　</w:t>
            </w:r>
          </w:p>
        </w:tc>
        <w:tc>
          <w:tcPr>
            <w:tcW w:w="682" w:type="dxa"/>
            <w:vMerge w:val="restart"/>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2005" w:type="dxa"/>
            <w:shd w:val="clear" w:color="auto" w:fill="FFFFFF"/>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329" w:type="dxa"/>
            <w:shd w:val="clear" w:color="auto"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35" w:type="dxa"/>
            <w:shd w:val="clear" w:color="auto"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20</w:t>
            </w:r>
          </w:p>
        </w:tc>
        <w:tc>
          <w:tcPr>
            <w:tcW w:w="720" w:type="dxa"/>
            <w:shd w:val="clear" w:color="auto"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48" w:hRule="atLeast"/>
        </w:trPr>
        <w:tc>
          <w:tcPr>
            <w:tcW w:w="806"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682" w:type="dxa"/>
            <w:vMerge w:val="continue"/>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67" w:type="dxa"/>
            <w:shd w:val="clear" w:color="auto" w:fill="FFFFFF"/>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2005"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7329" w:type="dxa"/>
            <w:shd w:val="clear" w:color="000000" w:fill="FFFFFF"/>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35"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20" w:type="dxa"/>
            <w:shd w:val="clear" w:color="000000" w:fill="FFFFFF"/>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3">
    <w:nsid w:val="643E74D6"/>
    <w:multiLevelType w:val="singleLevel"/>
    <w:tmpl w:val="643E74D6"/>
    <w:lvl w:ilvl="0" w:tentative="0">
      <w:start w:val="2"/>
      <w:numFmt w:val="decimal"/>
      <w:suff w:val="nothing"/>
      <w:lvlText w:val="%1."/>
      <w:lvlJc w:val="left"/>
    </w:lvl>
  </w:abstractNum>
  <w:abstractNum w:abstractNumId="4">
    <w:nsid w:val="643E788D"/>
    <w:multiLevelType w:val="singleLevel"/>
    <w:tmpl w:val="643E788D"/>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YTg0NmY3MDFiZDRmZjI2MTBlMGJjMDgxZDBjYzEifQ=="/>
  </w:docVars>
  <w:rsids>
    <w:rsidRoot w:val="68291A1A"/>
    <w:rsid w:val="01470C4C"/>
    <w:rsid w:val="02200440"/>
    <w:rsid w:val="02284B43"/>
    <w:rsid w:val="02B015E2"/>
    <w:rsid w:val="039C3BA0"/>
    <w:rsid w:val="03A845BB"/>
    <w:rsid w:val="04D63993"/>
    <w:rsid w:val="053E33E3"/>
    <w:rsid w:val="07890F4F"/>
    <w:rsid w:val="09781BD6"/>
    <w:rsid w:val="0A7F33FB"/>
    <w:rsid w:val="0D412EA6"/>
    <w:rsid w:val="0D4452F3"/>
    <w:rsid w:val="0F5E5042"/>
    <w:rsid w:val="101D4E25"/>
    <w:rsid w:val="10510571"/>
    <w:rsid w:val="11FA6155"/>
    <w:rsid w:val="12CF0947"/>
    <w:rsid w:val="12F1313F"/>
    <w:rsid w:val="136C678E"/>
    <w:rsid w:val="13EB2FF5"/>
    <w:rsid w:val="165825BC"/>
    <w:rsid w:val="16B95D61"/>
    <w:rsid w:val="176F36D7"/>
    <w:rsid w:val="18456B1E"/>
    <w:rsid w:val="1C1171C5"/>
    <w:rsid w:val="1DA41A79"/>
    <w:rsid w:val="1DF53469"/>
    <w:rsid w:val="1E58492F"/>
    <w:rsid w:val="1E5B6757"/>
    <w:rsid w:val="1ED10AC6"/>
    <w:rsid w:val="1FC0575D"/>
    <w:rsid w:val="1FDB2679"/>
    <w:rsid w:val="21B00C1D"/>
    <w:rsid w:val="23031BEB"/>
    <w:rsid w:val="23917691"/>
    <w:rsid w:val="244D65B8"/>
    <w:rsid w:val="245E1E24"/>
    <w:rsid w:val="27661469"/>
    <w:rsid w:val="27900EAD"/>
    <w:rsid w:val="279B538A"/>
    <w:rsid w:val="286F545C"/>
    <w:rsid w:val="29314FBC"/>
    <w:rsid w:val="2C927671"/>
    <w:rsid w:val="2D7C5CD6"/>
    <w:rsid w:val="2E483E7E"/>
    <w:rsid w:val="2F454B19"/>
    <w:rsid w:val="31E3230A"/>
    <w:rsid w:val="33356F64"/>
    <w:rsid w:val="33944516"/>
    <w:rsid w:val="34B62907"/>
    <w:rsid w:val="3864549F"/>
    <w:rsid w:val="38782EDD"/>
    <w:rsid w:val="3B42664A"/>
    <w:rsid w:val="3CAB1D53"/>
    <w:rsid w:val="3D836A4E"/>
    <w:rsid w:val="3FBE0BC5"/>
    <w:rsid w:val="4048103A"/>
    <w:rsid w:val="435241E2"/>
    <w:rsid w:val="439203CF"/>
    <w:rsid w:val="439E3FA7"/>
    <w:rsid w:val="44B32266"/>
    <w:rsid w:val="44FC64F4"/>
    <w:rsid w:val="467F4585"/>
    <w:rsid w:val="470628CB"/>
    <w:rsid w:val="47555BD4"/>
    <w:rsid w:val="48E12B50"/>
    <w:rsid w:val="499441BE"/>
    <w:rsid w:val="4A2138F0"/>
    <w:rsid w:val="4A583887"/>
    <w:rsid w:val="4AE51216"/>
    <w:rsid w:val="4B9F6E02"/>
    <w:rsid w:val="4D525694"/>
    <w:rsid w:val="4E6D3FA1"/>
    <w:rsid w:val="4E6E48A8"/>
    <w:rsid w:val="4EE34BBB"/>
    <w:rsid w:val="4EEC036B"/>
    <w:rsid w:val="4FFC2EC2"/>
    <w:rsid w:val="501D2673"/>
    <w:rsid w:val="50A17BE1"/>
    <w:rsid w:val="51852833"/>
    <w:rsid w:val="528C21EE"/>
    <w:rsid w:val="53555F0F"/>
    <w:rsid w:val="56310E20"/>
    <w:rsid w:val="583C7AE0"/>
    <w:rsid w:val="59216F96"/>
    <w:rsid w:val="5B9D2CCD"/>
    <w:rsid w:val="67394C7D"/>
    <w:rsid w:val="68126B38"/>
    <w:rsid w:val="68291A1A"/>
    <w:rsid w:val="691B1594"/>
    <w:rsid w:val="6A17429C"/>
    <w:rsid w:val="6A567EA3"/>
    <w:rsid w:val="6B4B4368"/>
    <w:rsid w:val="6E557973"/>
    <w:rsid w:val="6F0D6C22"/>
    <w:rsid w:val="6F47657F"/>
    <w:rsid w:val="70670707"/>
    <w:rsid w:val="720E3691"/>
    <w:rsid w:val="732764B3"/>
    <w:rsid w:val="75E5007C"/>
    <w:rsid w:val="77861774"/>
    <w:rsid w:val="79300B45"/>
    <w:rsid w:val="794D3E18"/>
    <w:rsid w:val="79F3729A"/>
    <w:rsid w:val="7ACB0498"/>
    <w:rsid w:val="7AED0B4D"/>
    <w:rsid w:val="7C1E4487"/>
    <w:rsid w:val="7C215E02"/>
    <w:rsid w:val="7CF23764"/>
    <w:rsid w:val="7F4E2F19"/>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3"/>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3">
    <w:name w:val="标题 2 Char"/>
    <w:link w:val="4"/>
    <w:qFormat/>
    <w:uiPriority w:val="0"/>
    <w:rPr>
      <w:rFonts w:ascii="Arial" w:hAnsi="Arial" w:eastAsia="楷体"/>
      <w:b/>
      <w:sz w:val="32"/>
    </w:rPr>
  </w:style>
  <w:style w:type="character" w:customStyle="1" w:styleId="14">
    <w:name w:val="font01"/>
    <w:basedOn w:val="11"/>
    <w:qFormat/>
    <w:uiPriority w:val="0"/>
    <w:rPr>
      <w:rFonts w:hint="default" w:ascii="Arial" w:hAnsi="Arial" w:cs="Arial"/>
      <w:color w:val="000000"/>
      <w:sz w:val="24"/>
      <w:szCs w:val="24"/>
      <w:u w:val="none"/>
    </w:rPr>
  </w:style>
  <w:style w:type="character" w:customStyle="1" w:styleId="15">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12898</Words>
  <Characters>13467</Characters>
  <Lines>0</Lines>
  <Paragraphs>0</Paragraphs>
  <TotalTime>11</TotalTime>
  <ScaleCrop>false</ScaleCrop>
  <LinksUpToDate>false</LinksUpToDate>
  <CharactersWithSpaces>13516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dcterms:modified xsi:type="dcterms:W3CDTF">2023-11-09T03:51:03Z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04AA9079B8E54CA08917484A653528D0</vt:lpwstr>
  </property>
</Properties>
</file>