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AD010CD">
      <w:pPr>
        <w:pageBreakBefore w:val="0"/>
        <w:kinsoku/>
        <w:wordWrap/>
        <w:overflowPunct/>
        <w:topLinePunct w:val="0"/>
        <w:autoSpaceDE/>
        <w:autoSpaceDN/>
        <w:bidi w:val="0"/>
        <w:adjustRightInd/>
        <w:spacing w:line="360" w:lineRule="auto"/>
        <w:ind w:firstLine="1142" w:firstLineChars="316"/>
        <w:jc w:val="center"/>
        <w:textAlignment w:val="auto"/>
        <w:rPr>
          <w:rFonts w:hint="eastAsia" w:ascii="宋体" w:hAnsi="宋体" w:eastAsia="宋体" w:cs="宋体"/>
          <w:b/>
          <w:bCs/>
          <w:color w:val="auto"/>
          <w:sz w:val="36"/>
          <w:szCs w:val="36"/>
          <w:highlight w:val="none"/>
          <w:shd w:val="clear" w:color="auto" w:fill="auto"/>
        </w:rPr>
      </w:pPr>
    </w:p>
    <w:p w14:paraId="61BD2AC5">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6ACD485D">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3CFA619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40"/>
          <w:szCs w:val="40"/>
          <w:highlight w:val="none"/>
          <w:shd w:val="clear" w:color="auto" w:fill="auto"/>
        </w:rPr>
      </w:pPr>
      <w:bookmarkStart w:id="0" w:name="_Toc15679"/>
      <w:r>
        <w:rPr>
          <w:rFonts w:hint="eastAsia" w:ascii="宋体" w:hAnsi="宋体" w:eastAsia="宋体" w:cs="宋体"/>
          <w:b/>
          <w:bCs/>
          <w:color w:val="auto"/>
          <w:sz w:val="40"/>
          <w:szCs w:val="40"/>
          <w:highlight w:val="none"/>
          <w:shd w:val="clear" w:color="auto" w:fill="auto"/>
          <w:lang w:val="en-US" w:eastAsia="zh-CN"/>
        </w:rPr>
        <w:t>自治区公共卫生服务【地方公共卫生】补助资金全民健康体检项目</w:t>
      </w:r>
      <w:r>
        <w:rPr>
          <w:rFonts w:hint="eastAsia" w:ascii="宋体" w:hAnsi="宋体" w:eastAsia="宋体" w:cs="宋体"/>
          <w:b/>
          <w:bCs/>
          <w:color w:val="auto"/>
          <w:sz w:val="40"/>
          <w:szCs w:val="40"/>
          <w:highlight w:val="none"/>
          <w:shd w:val="clear" w:color="auto" w:fill="auto"/>
        </w:rPr>
        <w:t>支出绩效评价报告</w:t>
      </w:r>
      <w:bookmarkEnd w:id="0"/>
    </w:p>
    <w:p w14:paraId="463F486B">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auto"/>
          <w:sz w:val="36"/>
          <w:szCs w:val="36"/>
          <w:highlight w:val="none"/>
          <w:shd w:val="clear" w:color="auto" w:fill="auto"/>
        </w:rPr>
      </w:pPr>
    </w:p>
    <w:p w14:paraId="551C04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4C328D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25ECE3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6907A0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534E46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19E00139">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auto"/>
          <w:sz w:val="36"/>
          <w:szCs w:val="36"/>
          <w:highlight w:val="none"/>
          <w:shd w:val="clear" w:color="auto" w:fill="auto"/>
        </w:rPr>
      </w:pPr>
    </w:p>
    <w:p w14:paraId="45723CF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auto"/>
          <w:kern w:val="2"/>
          <w:sz w:val="28"/>
          <w:szCs w:val="28"/>
          <w:highlight w:val="none"/>
          <w:shd w:val="clear" w:color="auto" w:fill="auto"/>
          <w:lang w:val="en-US" w:eastAsia="zh-CN"/>
        </w:rPr>
      </w:pPr>
      <w:r>
        <w:rPr>
          <w:rFonts w:hint="eastAsia" w:ascii="宋体" w:hAnsi="宋体" w:eastAsia="宋体" w:cs="宋体"/>
          <w:b/>
          <w:color w:val="auto"/>
          <w:kern w:val="2"/>
          <w:sz w:val="28"/>
          <w:szCs w:val="28"/>
          <w:highlight w:val="none"/>
          <w:shd w:val="clear" w:color="auto" w:fill="auto"/>
          <w:lang w:val="en-US" w:eastAsia="zh-CN"/>
        </w:rPr>
        <w:t>项目名称：自治区公共卫生服务【地方公共卫生】补助资金全民健康体检</w:t>
      </w:r>
    </w:p>
    <w:p w14:paraId="2290AD0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auto"/>
          <w:kern w:val="2"/>
          <w:sz w:val="28"/>
          <w:szCs w:val="28"/>
          <w:highlight w:val="none"/>
          <w:shd w:val="clear" w:color="auto" w:fill="auto"/>
          <w:lang w:val="en-US" w:eastAsia="zh-CN"/>
        </w:rPr>
      </w:pPr>
      <w:r>
        <w:rPr>
          <w:rFonts w:hint="eastAsia" w:ascii="宋体" w:hAnsi="宋体" w:eastAsia="宋体" w:cs="宋体"/>
          <w:b/>
          <w:color w:val="auto"/>
          <w:kern w:val="2"/>
          <w:sz w:val="28"/>
          <w:szCs w:val="28"/>
          <w:highlight w:val="none"/>
          <w:shd w:val="clear" w:color="auto" w:fill="auto"/>
          <w:lang w:val="en-US" w:eastAsia="zh-CN"/>
        </w:rPr>
        <w:t>实施单位：阜康市</w:t>
      </w:r>
      <w:r>
        <w:rPr>
          <w:rFonts w:hint="eastAsia" w:cs="宋体"/>
          <w:b/>
          <w:color w:val="auto"/>
          <w:kern w:val="2"/>
          <w:sz w:val="28"/>
          <w:szCs w:val="28"/>
          <w:highlight w:val="none"/>
          <w:shd w:val="clear" w:color="auto" w:fill="auto"/>
          <w:lang w:val="en-US" w:eastAsia="zh-CN"/>
        </w:rPr>
        <w:t>甘河子镇</w:t>
      </w:r>
      <w:r>
        <w:rPr>
          <w:rFonts w:hint="eastAsia" w:ascii="宋体" w:hAnsi="宋体" w:eastAsia="宋体" w:cs="宋体"/>
          <w:b/>
          <w:color w:val="auto"/>
          <w:kern w:val="2"/>
          <w:sz w:val="28"/>
          <w:szCs w:val="28"/>
          <w:highlight w:val="none"/>
          <w:shd w:val="clear" w:color="auto" w:fill="auto"/>
          <w:lang w:val="en-US" w:eastAsia="zh-CN"/>
        </w:rPr>
        <w:t>卫生院</w:t>
      </w:r>
    </w:p>
    <w:p w14:paraId="2812261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auto"/>
          <w:kern w:val="2"/>
          <w:sz w:val="28"/>
          <w:szCs w:val="28"/>
          <w:highlight w:val="none"/>
          <w:shd w:val="clear" w:color="auto" w:fill="auto"/>
          <w:lang w:val="en-US" w:eastAsia="zh-CN"/>
        </w:rPr>
      </w:pPr>
      <w:r>
        <w:rPr>
          <w:rFonts w:hint="eastAsia" w:ascii="宋体" w:hAnsi="宋体" w:eastAsia="宋体" w:cs="宋体"/>
          <w:b/>
          <w:color w:val="auto"/>
          <w:kern w:val="2"/>
          <w:sz w:val="28"/>
          <w:szCs w:val="28"/>
          <w:highlight w:val="none"/>
          <w:shd w:val="clear" w:color="auto" w:fill="auto"/>
          <w:lang w:val="en-US" w:eastAsia="zh-CN"/>
        </w:rPr>
        <w:t>主管部门：阜康市卫生健康委员会</w:t>
      </w:r>
    </w:p>
    <w:p w14:paraId="5C8CA0C5">
      <w:pPr>
        <w:pStyle w:val="2"/>
        <w:outlineLvl w:val="9"/>
        <w:rPr>
          <w:rFonts w:hint="eastAsia" w:ascii="宋体" w:hAnsi="宋体" w:eastAsia="宋体" w:cs="宋体"/>
          <w:b/>
          <w:color w:val="auto"/>
          <w:kern w:val="2"/>
          <w:sz w:val="28"/>
          <w:szCs w:val="28"/>
          <w:highlight w:val="none"/>
          <w:shd w:val="clear" w:color="auto" w:fill="auto"/>
          <w:lang w:val="en-US" w:eastAsia="zh-CN"/>
        </w:rPr>
      </w:pPr>
    </w:p>
    <w:p w14:paraId="7B699109">
      <w:pPr>
        <w:rPr>
          <w:rFonts w:hint="eastAsia"/>
          <w:color w:val="auto"/>
          <w:highlight w:val="none"/>
          <w:lang w:val="en-US" w:eastAsia="zh-CN"/>
        </w:rPr>
      </w:pPr>
      <w:r>
        <w:rPr>
          <w:rFonts w:hint="eastAsia"/>
          <w:color w:val="auto"/>
          <w:highlight w:val="none"/>
          <w:lang w:val="en-US" w:eastAsia="zh-CN"/>
        </w:rPr>
        <w:br w:type="page"/>
      </w:r>
    </w:p>
    <w:p w14:paraId="314E5232">
      <w:pPr>
        <w:rPr>
          <w:rFonts w:hint="eastAsia"/>
          <w:color w:val="auto"/>
          <w:highlight w:val="none"/>
          <w:lang w:val="en-US" w:eastAsia="zh-CN"/>
        </w:rPr>
      </w:pPr>
    </w:p>
    <w:sdt>
      <w:sdtPr>
        <w:rPr>
          <w:rFonts w:ascii="宋体" w:hAnsi="宋体" w:eastAsia="宋体" w:cs="宋体"/>
          <w:b/>
          <w:bCs/>
          <w:color w:val="auto"/>
          <w:kern w:val="2"/>
          <w:sz w:val="28"/>
          <w:szCs w:val="40"/>
          <w:highlight w:val="none"/>
          <w:lang w:val="en-US" w:eastAsia="zh-CN" w:bidi="ar-SA"/>
        </w:rPr>
        <w:id w:val="147474046"/>
        <w15:color w:val="DBDBDB"/>
      </w:sdtPr>
      <w:sdtEndPr>
        <w:rPr>
          <w:rFonts w:hint="eastAsia" w:ascii="宋体" w:hAnsi="宋体" w:eastAsia="宋体" w:cs="宋体"/>
          <w:b/>
          <w:bCs/>
          <w:color w:val="auto"/>
          <w:kern w:val="2"/>
          <w:sz w:val="28"/>
          <w:szCs w:val="28"/>
          <w:highlight w:val="none"/>
          <w:lang w:val="en-US" w:eastAsia="zh-CN" w:bidi="ar-SA"/>
        </w:rPr>
      </w:sdtEndPr>
      <w:sdtContent>
        <w:p w14:paraId="1F55D71A">
          <w:pPr>
            <w:keepNext w:val="0"/>
            <w:keepLines w:val="0"/>
            <w:pageBreakBefore w:val="0"/>
            <w:shd w:val="clear"/>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rPr>
              <w:b/>
              <w:bCs/>
              <w:color w:val="auto"/>
              <w:sz w:val="40"/>
              <w:szCs w:val="40"/>
              <w:highlight w:val="none"/>
            </w:rPr>
          </w:pPr>
          <w:r>
            <w:rPr>
              <w:rFonts w:ascii="宋体" w:hAnsi="宋体" w:eastAsia="宋体"/>
              <w:b/>
              <w:bCs/>
              <w:color w:val="auto"/>
              <w:sz w:val="40"/>
              <w:szCs w:val="40"/>
              <w:highlight w:val="none"/>
            </w:rPr>
            <w:t>目录</w:t>
          </w:r>
        </w:p>
        <w:p w14:paraId="17094D30">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TOC \o "1-3" \h \u </w:instrText>
          </w:r>
          <w:r>
            <w:rPr>
              <w:rFonts w:hint="eastAsia"/>
              <w:color w:val="auto"/>
              <w:sz w:val="28"/>
              <w:szCs w:val="28"/>
              <w:highlight w:val="none"/>
              <w:lang w:val="en-US" w:eastAsia="zh-CN"/>
            </w:rPr>
            <w:fldChar w:fldCharType="separate"/>
          </w:r>
        </w:p>
        <w:p w14:paraId="7D37BB6B">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_Toc17540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rPr>
            <w:t>一、基本情况</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_Toc17540 \h </w:instrText>
          </w:r>
          <w:r>
            <w:rPr>
              <w:b/>
              <w:bCs/>
              <w:color w:val="auto"/>
              <w:sz w:val="28"/>
              <w:szCs w:val="28"/>
              <w:highlight w:val="none"/>
            </w:rPr>
            <w:fldChar w:fldCharType="separate"/>
          </w:r>
          <w:r>
            <w:rPr>
              <w:b/>
              <w:bCs/>
              <w:color w:val="auto"/>
              <w:sz w:val="28"/>
              <w:szCs w:val="28"/>
              <w:highlight w:val="none"/>
            </w:rPr>
            <w:t>1</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5854DFDF">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_Toc18966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rPr>
            <w:t>（一）项目概况</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_Toc18966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hint="eastAsia"/>
              <w:color w:val="auto"/>
              <w:sz w:val="28"/>
              <w:szCs w:val="28"/>
              <w:highlight w:val="none"/>
              <w:lang w:val="en-US" w:eastAsia="zh-CN"/>
            </w:rPr>
            <w:fldChar w:fldCharType="end"/>
          </w:r>
        </w:p>
        <w:p w14:paraId="23E91648">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_Toc2879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fill="auto"/>
            </w:rPr>
            <w:t>（二）</w:t>
          </w:r>
          <w:r>
            <w:rPr>
              <w:rFonts w:hint="eastAsia" w:ascii="宋体" w:hAnsi="宋体" w:eastAsia="宋体" w:cs="宋体"/>
              <w:color w:val="auto"/>
              <w:sz w:val="28"/>
              <w:szCs w:val="28"/>
              <w:highlight w:val="none"/>
              <w:shd w:val="clear" w:color="auto" w:fill="auto"/>
            </w:rPr>
            <w:t>项目绩效目标</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_Toc2879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rFonts w:hint="eastAsia"/>
              <w:color w:val="auto"/>
              <w:sz w:val="28"/>
              <w:szCs w:val="28"/>
              <w:highlight w:val="none"/>
              <w:lang w:val="en-US" w:eastAsia="zh-CN"/>
            </w:rPr>
            <w:fldChar w:fldCharType="end"/>
          </w:r>
        </w:p>
        <w:p w14:paraId="18FF2C07">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_Toc2549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rPr>
            <w:t>二、绩效评价工作开展情况</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_Toc2549 \h </w:instrText>
          </w:r>
          <w:r>
            <w:rPr>
              <w:b/>
              <w:bCs/>
              <w:color w:val="auto"/>
              <w:sz w:val="28"/>
              <w:szCs w:val="28"/>
              <w:highlight w:val="none"/>
            </w:rPr>
            <w:fldChar w:fldCharType="separate"/>
          </w:r>
          <w:r>
            <w:rPr>
              <w:b/>
              <w:bCs/>
              <w:color w:val="auto"/>
              <w:sz w:val="28"/>
              <w:szCs w:val="28"/>
              <w:highlight w:val="none"/>
            </w:rPr>
            <w:t>4</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1F14B520">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_Toc21778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fill="auto"/>
              <w:lang w:eastAsia="zh-CN"/>
            </w:rPr>
            <w:t>（一）</w:t>
          </w:r>
          <w:r>
            <w:rPr>
              <w:rFonts w:hint="eastAsia" w:ascii="宋体" w:hAnsi="宋体" w:eastAsia="宋体" w:cs="宋体"/>
              <w:color w:val="auto"/>
              <w:sz w:val="28"/>
              <w:szCs w:val="28"/>
              <w:highlight w:val="none"/>
              <w:shd w:val="clear" w:color="auto" w:fill="auto"/>
              <w:lang w:eastAsia="zh-CN"/>
            </w:rPr>
            <w:t>绩效评价的目的、对象和范围</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_Toc21778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rFonts w:hint="eastAsia"/>
              <w:color w:val="auto"/>
              <w:sz w:val="28"/>
              <w:szCs w:val="28"/>
              <w:highlight w:val="none"/>
              <w:lang w:val="en-US" w:eastAsia="zh-CN"/>
            </w:rPr>
            <w:fldChar w:fldCharType="end"/>
          </w:r>
        </w:p>
        <w:p w14:paraId="1E2731B9">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_Toc15902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fill="auto"/>
              <w:lang w:val="en-US" w:eastAsia="zh-CN"/>
            </w:rPr>
            <w:t>（二）</w:t>
          </w:r>
          <w:r>
            <w:rPr>
              <w:rFonts w:hint="eastAsia" w:ascii="宋体" w:hAnsi="宋体" w:eastAsia="宋体" w:cs="宋体"/>
              <w:color w:val="auto"/>
              <w:sz w:val="28"/>
              <w:szCs w:val="28"/>
              <w:highlight w:val="none"/>
              <w:shd w:val="clear" w:color="auto" w:fill="auto"/>
              <w:lang w:val="en-US" w:eastAsia="zh-CN"/>
            </w:rPr>
            <w:t>绩效评价原则、评价指标体系（附表说明）、评价方法、评价标准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_Toc15902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rFonts w:hint="eastAsia"/>
              <w:color w:val="auto"/>
              <w:sz w:val="28"/>
              <w:szCs w:val="28"/>
              <w:highlight w:val="none"/>
              <w:lang w:val="en-US" w:eastAsia="zh-CN"/>
            </w:rPr>
            <w:fldChar w:fldCharType="end"/>
          </w:r>
        </w:p>
        <w:p w14:paraId="7B97C4B7">
          <w:pPr>
            <w:pStyle w:val="18"/>
            <w:keepNext w:val="0"/>
            <w:keepLines w:val="0"/>
            <w:pageBreakBefore w:val="0"/>
            <w:shd w:val="clear"/>
            <w:tabs>
              <w:tab w:val="right" w:leader="dot" w:pos="8844"/>
            </w:tabs>
            <w:kinsoku/>
            <w:wordWrap/>
            <w:overflowPunct/>
            <w:topLinePunct w:val="0"/>
            <w:autoSpaceDE/>
            <w:autoSpaceDN/>
            <w:bidi w:val="0"/>
            <w:adjustRightInd/>
            <w:snapToGrid/>
            <w:spacing w:line="520" w:lineRule="exact"/>
            <w:ind w:left="0" w:leftChars="0" w:firstLine="560" w:firstLineChars="200"/>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_Toc1070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lang w:val="en-US" w:eastAsia="zh-CN"/>
            </w:rPr>
            <w:t>（三）绩效评价工作过程</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_Toc1070 \h </w:instrText>
          </w:r>
          <w:r>
            <w:rPr>
              <w:color w:val="auto"/>
              <w:sz w:val="28"/>
              <w:szCs w:val="28"/>
              <w:highlight w:val="none"/>
            </w:rPr>
            <w:fldChar w:fldCharType="separate"/>
          </w:r>
          <w:r>
            <w:rPr>
              <w:color w:val="auto"/>
              <w:sz w:val="28"/>
              <w:szCs w:val="28"/>
              <w:highlight w:val="none"/>
            </w:rPr>
            <w:t>9</w:t>
          </w:r>
          <w:r>
            <w:rPr>
              <w:color w:val="auto"/>
              <w:sz w:val="28"/>
              <w:szCs w:val="28"/>
              <w:highlight w:val="none"/>
            </w:rPr>
            <w:fldChar w:fldCharType="end"/>
          </w:r>
          <w:r>
            <w:rPr>
              <w:rFonts w:hint="eastAsia"/>
              <w:color w:val="auto"/>
              <w:sz w:val="28"/>
              <w:szCs w:val="28"/>
              <w:highlight w:val="none"/>
              <w:lang w:val="en-US" w:eastAsia="zh-CN"/>
            </w:rPr>
            <w:fldChar w:fldCharType="end"/>
          </w:r>
        </w:p>
        <w:p w14:paraId="04E88DFF">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_Toc1100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三、</w:t>
          </w:r>
          <w:r>
            <w:rPr>
              <w:rFonts w:hint="eastAsia" w:ascii="宋体" w:hAnsi="宋体" w:eastAsia="宋体" w:cs="宋体"/>
              <w:b/>
              <w:bCs/>
              <w:color w:val="auto"/>
              <w:sz w:val="28"/>
              <w:szCs w:val="28"/>
              <w:highlight w:val="none"/>
              <w:shd w:val="clear" w:color="auto" w:fill="auto"/>
            </w:rPr>
            <w:t>综合评价情况及评价结论</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_Toc1100 \h </w:instrText>
          </w:r>
          <w:r>
            <w:rPr>
              <w:b/>
              <w:bCs/>
              <w:color w:val="auto"/>
              <w:sz w:val="28"/>
              <w:szCs w:val="28"/>
              <w:highlight w:val="none"/>
            </w:rPr>
            <w:fldChar w:fldCharType="separate"/>
          </w:r>
          <w:r>
            <w:rPr>
              <w:b/>
              <w:bCs/>
              <w:color w:val="auto"/>
              <w:sz w:val="28"/>
              <w:szCs w:val="28"/>
              <w:highlight w:val="none"/>
            </w:rPr>
            <w:t>11</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713842C0">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_Toc9421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四、绩效评价指标分析</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_Toc9421 \h </w:instrText>
          </w:r>
          <w:r>
            <w:rPr>
              <w:b/>
              <w:bCs/>
              <w:color w:val="auto"/>
              <w:sz w:val="28"/>
              <w:szCs w:val="28"/>
              <w:highlight w:val="none"/>
            </w:rPr>
            <w:fldChar w:fldCharType="separate"/>
          </w:r>
          <w:r>
            <w:rPr>
              <w:b/>
              <w:bCs/>
              <w:color w:val="auto"/>
              <w:sz w:val="28"/>
              <w:szCs w:val="28"/>
              <w:highlight w:val="none"/>
            </w:rPr>
            <w:t>11</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2FAD3383">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_Toc15355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rPr>
            <w:t>（一）项目决策情况</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_Toc15355 \h </w:instrText>
          </w:r>
          <w:r>
            <w:rPr>
              <w:color w:val="auto"/>
              <w:sz w:val="28"/>
              <w:szCs w:val="28"/>
              <w:highlight w:val="none"/>
            </w:rPr>
            <w:fldChar w:fldCharType="separate"/>
          </w:r>
          <w:r>
            <w:rPr>
              <w:color w:val="auto"/>
              <w:sz w:val="28"/>
              <w:szCs w:val="28"/>
              <w:highlight w:val="none"/>
            </w:rPr>
            <w:t>11</w:t>
          </w:r>
          <w:r>
            <w:rPr>
              <w:color w:val="auto"/>
              <w:sz w:val="28"/>
              <w:szCs w:val="28"/>
              <w:highlight w:val="none"/>
            </w:rPr>
            <w:fldChar w:fldCharType="end"/>
          </w:r>
          <w:r>
            <w:rPr>
              <w:rFonts w:hint="eastAsia"/>
              <w:color w:val="auto"/>
              <w:sz w:val="28"/>
              <w:szCs w:val="28"/>
              <w:highlight w:val="none"/>
              <w:lang w:val="en-US" w:eastAsia="zh-CN"/>
            </w:rPr>
            <w:fldChar w:fldCharType="end"/>
          </w:r>
        </w:p>
        <w:p w14:paraId="32E40195">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_Toc11361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二</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项目过程情况</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_Toc11361 \h </w:instrText>
          </w:r>
          <w:r>
            <w:rPr>
              <w:color w:val="auto"/>
              <w:sz w:val="28"/>
              <w:szCs w:val="28"/>
              <w:highlight w:val="none"/>
            </w:rPr>
            <w:fldChar w:fldCharType="separate"/>
          </w:r>
          <w:r>
            <w:rPr>
              <w:color w:val="auto"/>
              <w:sz w:val="28"/>
              <w:szCs w:val="28"/>
              <w:highlight w:val="none"/>
            </w:rPr>
            <w:t>13</w:t>
          </w:r>
          <w:r>
            <w:rPr>
              <w:color w:val="auto"/>
              <w:sz w:val="28"/>
              <w:szCs w:val="28"/>
              <w:highlight w:val="none"/>
            </w:rPr>
            <w:fldChar w:fldCharType="end"/>
          </w:r>
          <w:r>
            <w:rPr>
              <w:rFonts w:hint="eastAsia"/>
              <w:color w:val="auto"/>
              <w:sz w:val="28"/>
              <w:szCs w:val="28"/>
              <w:highlight w:val="none"/>
              <w:lang w:val="en-US" w:eastAsia="zh-CN"/>
            </w:rPr>
            <w:fldChar w:fldCharType="end"/>
          </w:r>
        </w:p>
        <w:p w14:paraId="341012CA">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_Toc16268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三</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项目产出情况</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_Toc16268 \h </w:instrText>
          </w:r>
          <w:r>
            <w:rPr>
              <w:color w:val="auto"/>
              <w:sz w:val="28"/>
              <w:szCs w:val="28"/>
              <w:highlight w:val="none"/>
            </w:rPr>
            <w:fldChar w:fldCharType="separate"/>
          </w:r>
          <w:r>
            <w:rPr>
              <w:color w:val="auto"/>
              <w:sz w:val="28"/>
              <w:szCs w:val="28"/>
              <w:highlight w:val="none"/>
            </w:rPr>
            <w:t>15</w:t>
          </w:r>
          <w:r>
            <w:rPr>
              <w:color w:val="auto"/>
              <w:sz w:val="28"/>
              <w:szCs w:val="28"/>
              <w:highlight w:val="none"/>
            </w:rPr>
            <w:fldChar w:fldCharType="end"/>
          </w:r>
          <w:r>
            <w:rPr>
              <w:rFonts w:hint="eastAsia"/>
              <w:color w:val="auto"/>
              <w:sz w:val="28"/>
              <w:szCs w:val="28"/>
              <w:highlight w:val="none"/>
              <w:lang w:val="en-US" w:eastAsia="zh-CN"/>
            </w:rPr>
            <w:fldChar w:fldCharType="end"/>
          </w:r>
        </w:p>
        <w:p w14:paraId="1CFBDE9F">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_Toc18446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四</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项目效益情况</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_Toc18446 \h </w:instrText>
          </w:r>
          <w:r>
            <w:rPr>
              <w:color w:val="auto"/>
              <w:sz w:val="28"/>
              <w:szCs w:val="28"/>
              <w:highlight w:val="none"/>
            </w:rPr>
            <w:fldChar w:fldCharType="separate"/>
          </w:r>
          <w:r>
            <w:rPr>
              <w:color w:val="auto"/>
              <w:sz w:val="28"/>
              <w:szCs w:val="28"/>
              <w:highlight w:val="none"/>
            </w:rPr>
            <w:t>16</w:t>
          </w:r>
          <w:r>
            <w:rPr>
              <w:color w:val="auto"/>
              <w:sz w:val="28"/>
              <w:szCs w:val="28"/>
              <w:highlight w:val="none"/>
            </w:rPr>
            <w:fldChar w:fldCharType="end"/>
          </w:r>
          <w:r>
            <w:rPr>
              <w:rFonts w:hint="eastAsia"/>
              <w:color w:val="auto"/>
              <w:sz w:val="28"/>
              <w:szCs w:val="28"/>
              <w:highlight w:val="none"/>
              <w:lang w:val="en-US" w:eastAsia="zh-CN"/>
            </w:rPr>
            <w:fldChar w:fldCharType="end"/>
          </w:r>
        </w:p>
        <w:p w14:paraId="15AC7D18">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_Toc19962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五、预算执行进度与指标偏差</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_Toc19962 \h </w:instrText>
          </w:r>
          <w:r>
            <w:rPr>
              <w:b/>
              <w:bCs/>
              <w:color w:val="auto"/>
              <w:sz w:val="28"/>
              <w:szCs w:val="28"/>
              <w:highlight w:val="none"/>
            </w:rPr>
            <w:fldChar w:fldCharType="separate"/>
          </w:r>
          <w:r>
            <w:rPr>
              <w:b/>
              <w:bCs/>
              <w:color w:val="auto"/>
              <w:sz w:val="28"/>
              <w:szCs w:val="28"/>
              <w:highlight w:val="none"/>
            </w:rPr>
            <w:t>17</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0403B48C">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_Toc29934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六、主要经验及做法、存在的问题及原因分析</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_Toc29934 \h </w:instrText>
          </w:r>
          <w:r>
            <w:rPr>
              <w:b/>
              <w:bCs/>
              <w:color w:val="auto"/>
              <w:sz w:val="28"/>
              <w:szCs w:val="28"/>
              <w:highlight w:val="none"/>
            </w:rPr>
            <w:fldChar w:fldCharType="separate"/>
          </w:r>
          <w:r>
            <w:rPr>
              <w:b/>
              <w:bCs/>
              <w:color w:val="auto"/>
              <w:sz w:val="28"/>
              <w:szCs w:val="28"/>
              <w:highlight w:val="none"/>
            </w:rPr>
            <w:t>17</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67835DBB">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_Toc13160 </w:instrText>
          </w:r>
          <w:r>
            <w:rPr>
              <w:rFonts w:hint="eastAsia"/>
              <w:color w:val="auto"/>
              <w:sz w:val="28"/>
              <w:szCs w:val="28"/>
              <w:highlight w:val="none"/>
              <w:lang w:val="en-US" w:eastAsia="zh-CN"/>
            </w:rPr>
            <w:fldChar w:fldCharType="separate"/>
          </w:r>
          <w:r>
            <w:rPr>
              <w:rFonts w:hint="eastAsia"/>
              <w:bCs/>
              <w:color w:val="auto"/>
              <w:sz w:val="28"/>
              <w:szCs w:val="28"/>
              <w:highlight w:val="none"/>
              <w:lang w:eastAsia="zh-CN"/>
            </w:rPr>
            <w:t>（</w:t>
          </w:r>
          <w:r>
            <w:rPr>
              <w:rFonts w:hint="eastAsia"/>
              <w:bCs/>
              <w:color w:val="auto"/>
              <w:sz w:val="28"/>
              <w:szCs w:val="28"/>
              <w:highlight w:val="none"/>
              <w:lang w:val="en-US" w:eastAsia="zh-CN"/>
            </w:rPr>
            <w:t>一</w:t>
          </w:r>
          <w:r>
            <w:rPr>
              <w:rFonts w:hint="eastAsia"/>
              <w:bCs/>
              <w:color w:val="auto"/>
              <w:sz w:val="28"/>
              <w:szCs w:val="28"/>
              <w:highlight w:val="none"/>
              <w:lang w:eastAsia="zh-CN"/>
            </w:rPr>
            <w:t>）</w:t>
          </w:r>
          <w:r>
            <w:rPr>
              <w:rFonts w:hint="eastAsia"/>
              <w:bCs/>
              <w:color w:val="auto"/>
              <w:sz w:val="28"/>
              <w:szCs w:val="28"/>
              <w:highlight w:val="none"/>
            </w:rPr>
            <w:t>主要经验及做法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_Toc13160 \h </w:instrText>
          </w:r>
          <w:r>
            <w:rPr>
              <w:color w:val="auto"/>
              <w:sz w:val="28"/>
              <w:szCs w:val="28"/>
              <w:highlight w:val="none"/>
            </w:rPr>
            <w:fldChar w:fldCharType="separate"/>
          </w:r>
          <w:r>
            <w:rPr>
              <w:color w:val="auto"/>
              <w:sz w:val="28"/>
              <w:szCs w:val="28"/>
              <w:highlight w:val="none"/>
            </w:rPr>
            <w:t>17</w:t>
          </w:r>
          <w:r>
            <w:rPr>
              <w:color w:val="auto"/>
              <w:sz w:val="28"/>
              <w:szCs w:val="28"/>
              <w:highlight w:val="none"/>
            </w:rPr>
            <w:fldChar w:fldCharType="end"/>
          </w:r>
          <w:r>
            <w:rPr>
              <w:rFonts w:hint="eastAsia"/>
              <w:color w:val="auto"/>
              <w:sz w:val="28"/>
              <w:szCs w:val="28"/>
              <w:highlight w:val="none"/>
              <w:lang w:val="en-US" w:eastAsia="zh-CN"/>
            </w:rPr>
            <w:fldChar w:fldCharType="end"/>
          </w:r>
        </w:p>
        <w:p w14:paraId="4A47974B">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_Toc9582 </w:instrText>
          </w:r>
          <w:r>
            <w:rPr>
              <w:rFonts w:hint="eastAsia"/>
              <w:color w:val="auto"/>
              <w:sz w:val="28"/>
              <w:szCs w:val="28"/>
              <w:highlight w:val="none"/>
              <w:lang w:val="en-US" w:eastAsia="zh-CN"/>
            </w:rPr>
            <w:fldChar w:fldCharType="separate"/>
          </w:r>
          <w:r>
            <w:rPr>
              <w:rFonts w:hint="eastAsia"/>
              <w:bCs/>
              <w:color w:val="auto"/>
              <w:sz w:val="28"/>
              <w:szCs w:val="28"/>
              <w:highlight w:val="none"/>
              <w:lang w:eastAsia="zh-CN"/>
            </w:rPr>
            <w:t>（</w:t>
          </w:r>
          <w:r>
            <w:rPr>
              <w:rFonts w:hint="eastAsia"/>
              <w:bCs/>
              <w:color w:val="auto"/>
              <w:sz w:val="28"/>
              <w:szCs w:val="28"/>
              <w:highlight w:val="none"/>
              <w:lang w:val="en-US" w:eastAsia="zh-CN"/>
            </w:rPr>
            <w:t>二</w:t>
          </w:r>
          <w:r>
            <w:rPr>
              <w:rFonts w:hint="eastAsia"/>
              <w:bCs/>
              <w:color w:val="auto"/>
              <w:sz w:val="28"/>
              <w:szCs w:val="28"/>
              <w:highlight w:val="none"/>
              <w:lang w:eastAsia="zh-CN"/>
            </w:rPr>
            <w:t>）</w:t>
          </w:r>
          <w:r>
            <w:rPr>
              <w:rFonts w:hint="eastAsia"/>
              <w:bCs/>
              <w:color w:val="auto"/>
              <w:sz w:val="28"/>
              <w:szCs w:val="28"/>
              <w:highlight w:val="none"/>
            </w:rPr>
            <w:t>存在的问题及原因分析</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_Toc9582 \h </w:instrText>
          </w:r>
          <w:r>
            <w:rPr>
              <w:color w:val="auto"/>
              <w:sz w:val="28"/>
              <w:szCs w:val="28"/>
              <w:highlight w:val="none"/>
            </w:rPr>
            <w:fldChar w:fldCharType="separate"/>
          </w:r>
          <w:r>
            <w:rPr>
              <w:color w:val="auto"/>
              <w:sz w:val="28"/>
              <w:szCs w:val="28"/>
              <w:highlight w:val="none"/>
            </w:rPr>
            <w:t>18</w:t>
          </w:r>
          <w:r>
            <w:rPr>
              <w:color w:val="auto"/>
              <w:sz w:val="28"/>
              <w:szCs w:val="28"/>
              <w:highlight w:val="none"/>
            </w:rPr>
            <w:fldChar w:fldCharType="end"/>
          </w:r>
          <w:r>
            <w:rPr>
              <w:rFonts w:hint="eastAsia"/>
              <w:color w:val="auto"/>
              <w:sz w:val="28"/>
              <w:szCs w:val="28"/>
              <w:highlight w:val="none"/>
              <w:lang w:val="en-US" w:eastAsia="zh-CN"/>
            </w:rPr>
            <w:fldChar w:fldCharType="end"/>
          </w:r>
        </w:p>
        <w:p w14:paraId="0EB5BFD8">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_Toc5230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七、有关建议</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_Toc5230 \h </w:instrText>
          </w:r>
          <w:r>
            <w:rPr>
              <w:b/>
              <w:bCs/>
              <w:color w:val="auto"/>
              <w:sz w:val="28"/>
              <w:szCs w:val="28"/>
              <w:highlight w:val="none"/>
            </w:rPr>
            <w:fldChar w:fldCharType="separate"/>
          </w:r>
          <w:r>
            <w:rPr>
              <w:b/>
              <w:bCs/>
              <w:color w:val="auto"/>
              <w:sz w:val="28"/>
              <w:szCs w:val="28"/>
              <w:highlight w:val="none"/>
            </w:rPr>
            <w:t>18</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2C3AEB73">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_Toc15618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八、其他需要说明的问题</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_Toc15618 \h </w:instrText>
          </w:r>
          <w:r>
            <w:rPr>
              <w:b/>
              <w:bCs/>
              <w:color w:val="auto"/>
              <w:sz w:val="28"/>
              <w:szCs w:val="28"/>
              <w:highlight w:val="none"/>
            </w:rPr>
            <w:fldChar w:fldCharType="separate"/>
          </w:r>
          <w:r>
            <w:rPr>
              <w:b/>
              <w:bCs/>
              <w:color w:val="auto"/>
              <w:sz w:val="28"/>
              <w:szCs w:val="28"/>
              <w:highlight w:val="none"/>
            </w:rPr>
            <w:t>18</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59235897">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p>
        <w:p w14:paraId="24DC8BB3">
          <w:pPr>
            <w:keepNext w:val="0"/>
            <w:keepLines w:val="0"/>
            <w:pageBreakBefore w:val="0"/>
            <w:shd w:val="clear"/>
            <w:kinsoku/>
            <w:wordWrap/>
            <w:overflowPunct/>
            <w:topLinePunct w:val="0"/>
            <w:autoSpaceDE/>
            <w:autoSpaceDN/>
            <w:bidi w:val="0"/>
            <w:adjustRightInd/>
            <w:snapToGrid/>
            <w:spacing w:line="520" w:lineRule="exact"/>
            <w:textAlignment w:val="auto"/>
            <w:rPr>
              <w:rFonts w:hint="eastAsia"/>
              <w:color w:val="auto"/>
              <w:highlight w:val="none"/>
              <w:lang w:val="en-US" w:eastAsia="zh-CN"/>
            </w:rPr>
            <w:sectPr>
              <w:pgSz w:w="11906" w:h="16838"/>
              <w:pgMar w:top="1928" w:right="1531" w:bottom="1701" w:left="1531" w:header="737" w:footer="851" w:gutter="0"/>
              <w:cols w:space="720" w:num="1"/>
              <w:docGrid w:type="lines" w:linePitch="408" w:charSpace="0"/>
            </w:sectPr>
          </w:pPr>
          <w:r>
            <w:rPr>
              <w:rFonts w:hint="eastAsia"/>
              <w:color w:val="auto"/>
              <w:sz w:val="28"/>
              <w:szCs w:val="28"/>
              <w:highlight w:val="none"/>
              <w:lang w:val="en-US" w:eastAsia="zh-CN"/>
            </w:rPr>
            <w:fldChar w:fldCharType="end"/>
          </w:r>
        </w:p>
      </w:sdtContent>
    </w:sdt>
    <w:p w14:paraId="7E4BBD1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highlight w:val="none"/>
          <w:shd w:val="clear" w:color="auto" w:fill="auto"/>
        </w:rPr>
      </w:pPr>
      <w:bookmarkStart w:id="1" w:name="_Toc1194"/>
      <w:r>
        <w:rPr>
          <w:rFonts w:hint="eastAsia" w:ascii="宋体" w:hAnsi="宋体" w:eastAsia="宋体" w:cs="宋体"/>
          <w:b/>
          <w:bCs/>
          <w:color w:val="auto"/>
          <w:sz w:val="36"/>
          <w:szCs w:val="36"/>
          <w:highlight w:val="none"/>
          <w:shd w:val="clear" w:color="auto" w:fill="auto"/>
          <w:lang w:val="en-US" w:eastAsia="zh-CN"/>
        </w:rPr>
        <w:t>自治区公共卫生服务【地方公共卫生】补助资金全民健康体检</w:t>
      </w:r>
      <w:bookmarkStart w:id="90" w:name="_GoBack"/>
      <w:bookmarkEnd w:id="90"/>
      <w:r>
        <w:rPr>
          <w:rFonts w:hint="eastAsia" w:ascii="宋体" w:hAnsi="宋体" w:eastAsia="宋体" w:cs="宋体"/>
          <w:b/>
          <w:bCs/>
          <w:color w:val="auto"/>
          <w:sz w:val="36"/>
          <w:szCs w:val="36"/>
          <w:highlight w:val="none"/>
          <w:shd w:val="clear" w:color="auto" w:fill="auto"/>
        </w:rPr>
        <w:t>支出绩效评价报告</w:t>
      </w:r>
      <w:bookmarkEnd w:id="1"/>
    </w:p>
    <w:p w14:paraId="40DD4783">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rPr>
      </w:pPr>
      <w:bookmarkStart w:id="2" w:name="_Toc17540"/>
      <w:r>
        <w:rPr>
          <w:rFonts w:hint="eastAsia" w:ascii="宋体" w:hAnsi="宋体" w:eastAsia="宋体" w:cs="宋体"/>
          <w:b/>
          <w:bCs/>
          <w:color w:val="auto"/>
          <w:highlight w:val="none"/>
          <w:shd w:val="clear" w:color="auto" w:fill="auto"/>
        </w:rPr>
        <w:t>一、基本情况</w:t>
      </w:r>
      <w:bookmarkEnd w:id="2"/>
    </w:p>
    <w:p w14:paraId="38C2B16E">
      <w:pPr>
        <w:pStyle w:val="4"/>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highlight w:val="none"/>
          <w:shd w:val="clear" w:color="auto" w:fill="auto"/>
        </w:rPr>
      </w:pPr>
      <w:bookmarkStart w:id="3" w:name="_Toc18966"/>
      <w:r>
        <w:rPr>
          <w:rFonts w:hint="eastAsia" w:ascii="宋体" w:hAnsi="宋体" w:eastAsia="宋体" w:cs="宋体"/>
          <w:color w:val="auto"/>
          <w:highlight w:val="none"/>
          <w:shd w:val="clear" w:color="auto" w:fill="auto"/>
        </w:rPr>
        <w:t>（一）项目概况</w:t>
      </w:r>
      <w:bookmarkEnd w:id="3"/>
    </w:p>
    <w:p w14:paraId="1AA882F3">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eastAsia="zh-CN"/>
        </w:rPr>
      </w:pPr>
      <w:bookmarkStart w:id="4" w:name="_Toc5043"/>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rPr>
        <w:t>项目背景</w:t>
      </w:r>
      <w:bookmarkEnd w:id="4"/>
    </w:p>
    <w:p w14:paraId="0F63B7EE">
      <w:pPr>
        <w:bidi w:val="0"/>
        <w:rPr>
          <w:rFonts w:hint="eastAsia"/>
          <w:color w:val="auto"/>
          <w:highlight w:val="none"/>
          <w:lang w:val="en-US" w:eastAsia="zh-CN"/>
        </w:rPr>
      </w:pPr>
      <w:r>
        <w:rPr>
          <w:rFonts w:hint="eastAsia"/>
          <w:color w:val="auto"/>
          <w:highlight w:val="none"/>
          <w:lang w:val="en-US" w:eastAsia="zh-CN"/>
        </w:rPr>
        <w:t>为扎实推进医疗惠民工程，落实自治区党委政府关于为新疆籍城乡居民每人每年享受一次免费体检政策，我镇党委、政府高度重视、迅速行动、全面部署，成立专门领导机构、结合实际制定实施方案并</w:t>
      </w:r>
    </w:p>
    <w:p w14:paraId="5E39E68F">
      <w:pPr>
        <w:bidi w:val="0"/>
        <w:rPr>
          <w:rFonts w:hint="eastAsia"/>
          <w:color w:val="auto"/>
          <w:highlight w:val="none"/>
          <w:lang w:val="en-US" w:eastAsia="zh-CN"/>
        </w:rPr>
      </w:pPr>
      <w:r>
        <w:rPr>
          <w:rFonts w:hint="eastAsia"/>
          <w:color w:val="auto"/>
          <w:highlight w:val="none"/>
          <w:lang w:val="en-US" w:eastAsia="zh-CN"/>
        </w:rPr>
        <w:t>开展工作。让人民群众切切实实感受到了党的温暖与关怀</w:t>
      </w:r>
      <w:r>
        <w:rPr>
          <w:rFonts w:hint="eastAsia" w:cs="宋体"/>
          <w:color w:val="auto"/>
          <w:highlight w:val="none"/>
          <w:shd w:val="clear" w:color="auto" w:fill="auto"/>
          <w:lang w:val="en-US" w:eastAsia="zh-CN"/>
        </w:rPr>
        <w:t>。</w:t>
      </w:r>
    </w:p>
    <w:p w14:paraId="68212182">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rPr>
      </w:pPr>
      <w:bookmarkStart w:id="5" w:name="_Toc27343"/>
      <w:r>
        <w:rPr>
          <w:rFonts w:hint="eastAsia" w:ascii="宋体" w:hAnsi="宋体" w:eastAsia="宋体"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rPr>
        <w:t>主要内容及实施情况</w:t>
      </w:r>
      <w:bookmarkEnd w:id="5"/>
    </w:p>
    <w:p w14:paraId="07053D8D">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bookmarkStart w:id="6" w:name="_Toc16592"/>
      <w:r>
        <w:rPr>
          <w:rFonts w:hint="eastAsia" w:cs="宋体"/>
          <w:color w:val="auto"/>
          <w:highlight w:val="none"/>
          <w:shd w:val="clear" w:color="auto" w:fill="auto"/>
          <w:lang w:val="en-US" w:eastAsia="zh-CN"/>
        </w:rPr>
        <w:t>主要内容</w:t>
      </w:r>
      <w:r>
        <w:rPr>
          <w:rFonts w:hint="eastAsia" w:ascii="宋体" w:hAnsi="宋体" w:eastAsia="宋体" w:cs="宋体"/>
          <w:color w:val="auto"/>
          <w:highlight w:val="none"/>
          <w:shd w:val="clear" w:color="auto" w:fill="auto"/>
          <w:lang w:val="en-US" w:eastAsia="zh-CN"/>
        </w:rPr>
        <w:t>：</w:t>
      </w:r>
      <w:bookmarkEnd w:id="6"/>
      <w:r>
        <w:rPr>
          <w:rFonts w:hint="eastAsia" w:ascii="宋体" w:hAnsi="宋体" w:eastAsia="宋体" w:cs="宋体"/>
          <w:b w:val="0"/>
          <w:bCs w:val="0"/>
          <w:color w:val="auto"/>
          <w:kern w:val="2"/>
          <w:sz w:val="28"/>
          <w:szCs w:val="28"/>
          <w:highlight w:val="none"/>
          <w:shd w:val="clear" w:color="auto" w:fill="auto"/>
          <w:lang w:val="en-US" w:eastAsia="zh-CN" w:bidi="ar-SA"/>
        </w:rPr>
        <w:t>根据各乡镇、街道办事处区域特点和医疗资源配置情况，合理设置固定体检点1个，流动体检车一辆，采取集中体检和上门服务体检方式开展体检。</w:t>
      </w:r>
      <w:r>
        <w:rPr>
          <w:rFonts w:hint="eastAsia" w:asciiTheme="minorEastAsia" w:hAnsiTheme="minorEastAsia" w:eastAsiaTheme="minorEastAsia" w:cstheme="minorEastAsia"/>
          <w:b w:val="0"/>
          <w:bCs w:val="0"/>
          <w:color w:val="auto"/>
          <w:highlight w:val="none"/>
          <w:lang w:val="en-US" w:eastAsia="zh-CN"/>
        </w:rPr>
        <w:t>建立健全各项阳性结果报告、追踪登记管理，严格落实危急值立即反馈、重要异常结果24-48小时内通知体检者复检，一般体检结果15天内通过手机短信、微信推送、面对面、体检报告单复印等多种方式一对一反馈、一对一指导</w:t>
      </w:r>
      <w:r>
        <w:rPr>
          <w:rFonts w:hint="eastAsia"/>
          <w:b w:val="0"/>
          <w:bCs w:val="0"/>
          <w:color w:val="auto"/>
          <w:highlight w:val="none"/>
          <w:lang w:val="en-US" w:eastAsia="zh-CN"/>
        </w:rPr>
        <w:t>。</w:t>
      </w:r>
    </w:p>
    <w:p w14:paraId="1AE074A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auto"/>
          <w:highlight w:val="none"/>
          <w:lang w:val="en-US" w:eastAsia="zh-CN"/>
        </w:rPr>
      </w:pPr>
      <w:r>
        <w:rPr>
          <w:rFonts w:hint="eastAsia" w:cs="宋体"/>
          <w:b/>
          <w:bCs/>
          <w:color w:val="auto"/>
          <w:highlight w:val="none"/>
          <w:shd w:val="clear" w:color="auto" w:fill="auto"/>
          <w:lang w:val="en-US" w:eastAsia="zh-CN"/>
        </w:rPr>
        <w:t>组织实施</w:t>
      </w:r>
      <w:r>
        <w:rPr>
          <w:rFonts w:hint="eastAsia" w:ascii="宋体" w:hAnsi="宋体" w:eastAsia="宋体" w:cs="宋体"/>
          <w:color w:val="auto"/>
          <w:highlight w:val="none"/>
          <w:shd w:val="clear" w:color="auto" w:fill="auto"/>
          <w:lang w:val="en-US" w:eastAsia="zh-CN"/>
        </w:rPr>
        <w:t>：本项目自2016年9月，自治区党委为深入贯彻落实全国卫生与健康大会精神和习近平总书记关于新疆工作总目标的总体要求，提出坚持医疗惠民，实施全民健康工程，决定从当年起每年对所有新疆籍城乡居民进行一次免费健康体检。我单位根据各级要求确定了项目领导小组，明确了责任分工：组长为</w:t>
      </w:r>
      <w:r>
        <w:rPr>
          <w:rFonts w:hint="eastAsia" w:cs="宋体"/>
          <w:color w:val="auto"/>
          <w:highlight w:val="none"/>
          <w:shd w:val="clear" w:color="auto" w:fill="auto"/>
          <w:lang w:val="en-US" w:eastAsia="zh-CN"/>
        </w:rPr>
        <w:t>腊德程</w:t>
      </w:r>
      <w:r>
        <w:rPr>
          <w:rFonts w:hint="eastAsia" w:ascii="宋体" w:hAnsi="宋体" w:eastAsia="宋体" w:cs="宋体"/>
          <w:color w:val="auto"/>
          <w:highlight w:val="none"/>
          <w:shd w:val="clear" w:color="auto" w:fill="auto"/>
          <w:lang w:val="en-US" w:eastAsia="zh-CN"/>
        </w:rPr>
        <w:t>，副组长为</w:t>
      </w:r>
      <w:r>
        <w:rPr>
          <w:rFonts w:hint="eastAsia" w:cs="宋体"/>
          <w:color w:val="auto"/>
          <w:highlight w:val="none"/>
          <w:shd w:val="clear" w:color="auto" w:fill="auto"/>
          <w:lang w:val="en-US" w:eastAsia="zh-CN"/>
        </w:rPr>
        <w:t>孙小凤</w:t>
      </w:r>
      <w:r>
        <w:rPr>
          <w:rFonts w:hint="eastAsia" w:ascii="宋体" w:hAnsi="宋体" w:eastAsia="宋体" w:cs="宋体"/>
          <w:color w:val="auto"/>
          <w:highlight w:val="none"/>
          <w:shd w:val="clear" w:color="auto" w:fill="auto"/>
          <w:lang w:val="en-US" w:eastAsia="zh-CN"/>
        </w:rPr>
        <w:t>，</w:t>
      </w:r>
      <w:r>
        <w:rPr>
          <w:rFonts w:hint="eastAsia" w:cs="宋体"/>
          <w:color w:val="auto"/>
          <w:highlight w:val="none"/>
          <w:shd w:val="clear" w:color="auto" w:fill="auto"/>
          <w:lang w:val="en-US" w:eastAsia="zh-CN"/>
        </w:rPr>
        <w:t>项目负责人为王杰,</w:t>
      </w:r>
      <w:r>
        <w:rPr>
          <w:rFonts w:hint="eastAsia" w:ascii="宋体" w:hAnsi="宋体" w:eastAsia="宋体" w:cs="宋体"/>
          <w:color w:val="auto"/>
          <w:highlight w:val="none"/>
          <w:shd w:val="clear" w:color="auto" w:fill="auto"/>
          <w:lang w:val="en-US" w:eastAsia="zh-CN"/>
        </w:rPr>
        <w:t>组员为</w:t>
      </w:r>
      <w:r>
        <w:rPr>
          <w:rFonts w:hint="eastAsia" w:cs="宋体"/>
          <w:color w:val="auto"/>
          <w:highlight w:val="none"/>
          <w:shd w:val="clear" w:color="auto" w:fill="auto"/>
          <w:lang w:val="en-US" w:eastAsia="zh-CN"/>
        </w:rPr>
        <w:t>吴晓博</w:t>
      </w:r>
      <w:r>
        <w:rPr>
          <w:rFonts w:hint="eastAsia" w:ascii="宋体" w:hAnsi="宋体" w:eastAsia="宋体" w:cs="宋体"/>
          <w:color w:val="auto"/>
          <w:highlight w:val="none"/>
          <w:shd w:val="clear" w:color="auto" w:fill="auto"/>
          <w:lang w:val="en-US" w:eastAsia="zh-CN"/>
        </w:rPr>
        <w:t>、</w:t>
      </w:r>
      <w:r>
        <w:rPr>
          <w:rFonts w:hint="eastAsia" w:cs="宋体"/>
          <w:color w:val="auto"/>
          <w:highlight w:val="none"/>
          <w:shd w:val="clear" w:color="auto" w:fill="auto"/>
          <w:lang w:val="en-US" w:eastAsia="zh-CN"/>
        </w:rPr>
        <w:t>马容、马微</w:t>
      </w:r>
      <w:r>
        <w:rPr>
          <w:rFonts w:hint="eastAsia" w:ascii="宋体" w:hAnsi="宋体" w:eastAsia="宋体" w:cs="宋体"/>
          <w:color w:val="auto"/>
          <w:highlight w:val="none"/>
          <w:shd w:val="clear" w:color="auto" w:fill="auto"/>
          <w:lang w:val="en-US" w:eastAsia="zh-CN"/>
        </w:rPr>
        <w:t>，其中：</w:t>
      </w:r>
      <w:r>
        <w:rPr>
          <w:rFonts w:hint="eastAsia" w:cs="宋体"/>
          <w:color w:val="auto"/>
          <w:highlight w:val="none"/>
          <w:shd w:val="clear" w:color="auto" w:fill="auto"/>
          <w:lang w:val="en-US" w:eastAsia="zh-CN"/>
        </w:rPr>
        <w:t>腊德程</w:t>
      </w:r>
      <w:r>
        <w:rPr>
          <w:rFonts w:hint="eastAsia" w:ascii="宋体" w:hAnsi="宋体" w:eastAsia="宋体" w:cs="宋体"/>
          <w:color w:val="auto"/>
          <w:highlight w:val="none"/>
          <w:shd w:val="clear" w:color="auto" w:fill="auto"/>
          <w:lang w:val="en-US" w:eastAsia="zh-CN"/>
        </w:rPr>
        <w:t>负责监管工作，</w:t>
      </w:r>
      <w:r>
        <w:rPr>
          <w:rFonts w:hint="eastAsia" w:cs="宋体"/>
          <w:color w:val="auto"/>
          <w:highlight w:val="none"/>
          <w:shd w:val="clear" w:color="auto" w:fill="auto"/>
          <w:lang w:val="en-US" w:eastAsia="zh-CN"/>
        </w:rPr>
        <w:t>吴晓博</w:t>
      </w:r>
      <w:r>
        <w:rPr>
          <w:rFonts w:hint="eastAsia" w:ascii="宋体" w:hAnsi="宋体" w:eastAsia="宋体" w:cs="宋体"/>
          <w:color w:val="auto"/>
          <w:highlight w:val="none"/>
          <w:shd w:val="clear" w:color="auto" w:fill="auto"/>
          <w:lang w:val="en-US" w:eastAsia="zh-CN"/>
        </w:rPr>
        <w:t>负责项目档案资料，</w:t>
      </w:r>
      <w:r>
        <w:rPr>
          <w:rFonts w:hint="eastAsia" w:cs="宋体"/>
          <w:color w:val="auto"/>
          <w:highlight w:val="none"/>
          <w:shd w:val="clear" w:color="auto" w:fill="auto"/>
          <w:lang w:val="en-US" w:eastAsia="zh-CN"/>
        </w:rPr>
        <w:t>马容</w:t>
      </w:r>
      <w:r>
        <w:rPr>
          <w:rFonts w:hint="eastAsia" w:ascii="宋体" w:hAnsi="宋体" w:eastAsia="宋体" w:cs="宋体"/>
          <w:color w:val="auto"/>
          <w:highlight w:val="none"/>
          <w:shd w:val="clear" w:color="auto" w:fill="auto"/>
          <w:lang w:val="en-US" w:eastAsia="zh-CN"/>
        </w:rPr>
        <w:t>负责资金拨付工作。</w:t>
      </w:r>
    </w:p>
    <w:p w14:paraId="1BA6C04C">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val="en-US" w:eastAsia="zh-CN"/>
        </w:rPr>
      </w:pPr>
      <w:bookmarkStart w:id="7" w:name="_Toc1858"/>
      <w:r>
        <w:rPr>
          <w:rFonts w:hint="eastAsia" w:ascii="宋体" w:hAnsi="宋体" w:eastAsia="宋体" w:cs="宋体"/>
          <w:color w:val="auto"/>
          <w:highlight w:val="none"/>
          <w:shd w:val="clear" w:color="auto" w:fill="auto"/>
          <w:lang w:val="en-US" w:eastAsia="zh-CN"/>
        </w:rPr>
        <w:t>3.资金投入和使用情况</w:t>
      </w:r>
      <w:bookmarkEnd w:id="7"/>
    </w:p>
    <w:p w14:paraId="72D666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rPr>
        <w:t>项目资金安排落实、总投入等情况分析</w:t>
      </w:r>
    </w:p>
    <w:p w14:paraId="4401A8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全民健康体检项目</w:t>
      </w:r>
      <w:r>
        <w:rPr>
          <w:rFonts w:hint="eastAsia" w:ascii="宋体" w:hAnsi="宋体" w:eastAsia="宋体" w:cs="宋体"/>
          <w:color w:val="auto"/>
          <w:highlight w:val="none"/>
          <w:shd w:val="clear" w:color="auto" w:fill="auto"/>
          <w:lang w:val="en-US" w:eastAsia="zh-CN"/>
        </w:rPr>
        <w:t>预算安排总额为</w:t>
      </w:r>
      <w:r>
        <w:rPr>
          <w:rFonts w:hint="eastAsia" w:cs="宋体"/>
          <w:color w:val="auto"/>
          <w:highlight w:val="none"/>
          <w:shd w:val="clear" w:color="auto" w:fill="auto"/>
          <w:lang w:val="en-US" w:eastAsia="zh-CN"/>
        </w:rPr>
        <w:t>3.98</w:t>
      </w:r>
      <w:r>
        <w:rPr>
          <w:rFonts w:hint="eastAsia" w:ascii="宋体" w:hAnsi="宋体" w:eastAsia="宋体" w:cs="宋体"/>
          <w:color w:val="auto"/>
          <w:highlight w:val="none"/>
          <w:shd w:val="clear" w:color="auto" w:fill="auto"/>
          <w:lang w:val="en-US" w:eastAsia="zh-CN"/>
        </w:rPr>
        <w:t>万元，其中财政资</w:t>
      </w:r>
      <w:r>
        <w:rPr>
          <w:rFonts w:hint="eastAsia" w:cs="宋体"/>
          <w:color w:val="auto"/>
          <w:highlight w:val="none"/>
          <w:shd w:val="clear" w:color="auto" w:fill="auto"/>
          <w:lang w:val="en-US" w:eastAsia="zh-CN"/>
        </w:rPr>
        <w:t>金3.98</w:t>
      </w:r>
      <w:r>
        <w:rPr>
          <w:rFonts w:hint="eastAsia" w:ascii="宋体" w:hAnsi="宋体" w:eastAsia="宋体" w:cs="宋体"/>
          <w:color w:val="auto"/>
          <w:highlight w:val="none"/>
          <w:shd w:val="clear" w:color="auto" w:fill="auto"/>
          <w:lang w:val="en-US" w:eastAsia="zh-CN"/>
        </w:rPr>
        <w:t>万元，其他资金</w:t>
      </w:r>
      <w:r>
        <w:rPr>
          <w:rFonts w:hint="eastAsia" w:cs="宋体"/>
          <w:color w:val="auto"/>
          <w:highlight w:val="none"/>
          <w:shd w:val="clear" w:color="auto" w:fill="auto"/>
          <w:lang w:val="en-US" w:eastAsia="zh-CN"/>
        </w:rPr>
        <w:t>0</w:t>
      </w:r>
      <w:r>
        <w:rPr>
          <w:rFonts w:hint="eastAsia" w:ascii="宋体" w:hAnsi="宋体" w:eastAsia="宋体" w:cs="宋体"/>
          <w:color w:val="auto"/>
          <w:highlight w:val="none"/>
          <w:shd w:val="clear" w:color="auto" w:fill="auto"/>
          <w:lang w:val="en-US" w:eastAsia="zh-CN"/>
        </w:rPr>
        <w:t>万元，</w:t>
      </w:r>
      <w:r>
        <w:rPr>
          <w:rFonts w:hint="eastAsia" w:cs="宋体"/>
          <w:color w:val="auto"/>
          <w:highlight w:val="none"/>
          <w:shd w:val="clear" w:color="auto" w:fill="auto"/>
          <w:lang w:val="en-US" w:eastAsia="zh-CN"/>
        </w:rPr>
        <w:t>2023</w:t>
      </w:r>
      <w:r>
        <w:rPr>
          <w:rFonts w:hint="eastAsia" w:ascii="宋体" w:hAnsi="宋体" w:eastAsia="宋体" w:cs="宋体"/>
          <w:color w:val="auto"/>
          <w:highlight w:val="none"/>
          <w:shd w:val="clear" w:color="auto" w:fill="auto"/>
          <w:lang w:val="en-US" w:eastAsia="zh-CN"/>
        </w:rPr>
        <w:t>年实际收到预算资金</w:t>
      </w:r>
      <w:r>
        <w:rPr>
          <w:rFonts w:hint="eastAsia" w:cs="宋体"/>
          <w:color w:val="auto"/>
          <w:highlight w:val="none"/>
          <w:shd w:val="clear" w:color="auto" w:fill="auto"/>
          <w:lang w:val="en-US" w:eastAsia="zh-CN"/>
        </w:rPr>
        <w:t>3.98</w:t>
      </w:r>
      <w:r>
        <w:rPr>
          <w:rFonts w:hint="eastAsia" w:ascii="宋体" w:hAnsi="宋体" w:eastAsia="宋体" w:cs="宋体"/>
          <w:color w:val="auto"/>
          <w:highlight w:val="none"/>
          <w:shd w:val="clear" w:color="auto" w:fill="auto"/>
          <w:lang w:val="en-US" w:eastAsia="zh-CN"/>
        </w:rPr>
        <w:t>万元，预算资金到位率为</w:t>
      </w:r>
      <w:r>
        <w:rPr>
          <w:rFonts w:hint="eastAsia" w:cs="宋体"/>
          <w:color w:val="auto"/>
          <w:highlight w:val="none"/>
          <w:shd w:val="clear" w:color="auto" w:fill="auto"/>
          <w:lang w:val="en-US" w:eastAsia="zh-CN"/>
        </w:rPr>
        <w:t>100</w:t>
      </w:r>
      <w:r>
        <w:rPr>
          <w:rFonts w:hint="eastAsia" w:ascii="宋体" w:hAnsi="宋体" w:eastAsia="宋体" w:cs="宋体"/>
          <w:color w:val="auto"/>
          <w:highlight w:val="none"/>
          <w:shd w:val="clear" w:color="auto" w:fill="auto"/>
          <w:lang w:val="en-US" w:eastAsia="zh-CN"/>
        </w:rPr>
        <w:t>%。</w:t>
      </w:r>
    </w:p>
    <w:p w14:paraId="224C46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44" w:firstLineChars="200"/>
        <w:textAlignment w:val="auto"/>
        <w:rPr>
          <w:rFonts w:hint="eastAsia" w:ascii="宋体" w:hAnsi="宋体" w:eastAsia="宋体" w:cs="宋体"/>
          <w:bCs/>
          <w:color w:val="auto"/>
          <w:spacing w:val="-4"/>
          <w:highlight w:val="none"/>
          <w:shd w:val="clear" w:color="auto" w:fill="auto"/>
        </w:rPr>
      </w:pPr>
      <w:r>
        <w:rPr>
          <w:rFonts w:hint="eastAsia" w:ascii="宋体" w:hAnsi="宋体" w:eastAsia="宋体" w:cs="宋体"/>
          <w:bCs/>
          <w:color w:val="auto"/>
          <w:spacing w:val="-4"/>
          <w:highlight w:val="none"/>
          <w:shd w:val="clear" w:color="auto" w:fill="auto"/>
          <w:lang w:eastAsia="zh-CN"/>
        </w:rPr>
        <w:t>（</w:t>
      </w:r>
      <w:r>
        <w:rPr>
          <w:rFonts w:hint="eastAsia" w:ascii="宋体" w:hAnsi="宋体" w:eastAsia="宋体" w:cs="宋体"/>
          <w:bCs/>
          <w:color w:val="auto"/>
          <w:spacing w:val="-4"/>
          <w:highlight w:val="none"/>
          <w:shd w:val="clear" w:color="auto" w:fill="auto"/>
          <w:lang w:val="en-US" w:eastAsia="zh-CN"/>
        </w:rPr>
        <w:t>2</w:t>
      </w:r>
      <w:r>
        <w:rPr>
          <w:rFonts w:hint="eastAsia" w:ascii="宋体" w:hAnsi="宋体" w:eastAsia="宋体" w:cs="宋体"/>
          <w:bCs/>
          <w:color w:val="auto"/>
          <w:spacing w:val="-4"/>
          <w:highlight w:val="none"/>
          <w:shd w:val="clear" w:color="auto" w:fill="auto"/>
          <w:lang w:eastAsia="zh-CN"/>
        </w:rPr>
        <w:t>）</w:t>
      </w:r>
      <w:r>
        <w:rPr>
          <w:rFonts w:hint="eastAsia" w:ascii="宋体" w:hAnsi="宋体" w:eastAsia="宋体" w:cs="宋体"/>
          <w:bCs/>
          <w:color w:val="auto"/>
          <w:spacing w:val="-4"/>
          <w:highlight w:val="none"/>
          <w:shd w:val="clear" w:color="auto" w:fill="auto"/>
        </w:rPr>
        <w:t>项目资金实际使用情况分析</w:t>
      </w:r>
    </w:p>
    <w:p w14:paraId="7400BC3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截至2023年12月31日，全民健康体检</w:t>
      </w:r>
      <w:r>
        <w:rPr>
          <w:rFonts w:hint="eastAsia" w:ascii="宋体" w:hAnsi="宋体" w:eastAsia="宋体" w:cs="宋体"/>
          <w:color w:val="auto"/>
          <w:highlight w:val="none"/>
          <w:shd w:val="clear" w:color="auto" w:fill="auto"/>
        </w:rPr>
        <w:t>项目实际支付资金</w:t>
      </w:r>
      <w:r>
        <w:rPr>
          <w:rFonts w:hint="eastAsia" w:cs="宋体"/>
          <w:color w:val="auto"/>
          <w:highlight w:val="none"/>
          <w:shd w:val="clear" w:color="auto" w:fill="auto"/>
          <w:lang w:val="en-US" w:eastAsia="zh-CN"/>
        </w:rPr>
        <w:t>3.98</w:t>
      </w:r>
      <w:r>
        <w:rPr>
          <w:rFonts w:hint="eastAsia" w:ascii="宋体" w:hAnsi="宋体" w:eastAsia="宋体" w:cs="宋体"/>
          <w:color w:val="auto"/>
          <w:highlight w:val="none"/>
          <w:shd w:val="clear" w:color="auto" w:fill="auto"/>
        </w:rPr>
        <w:t>万元，预算执行率</w:t>
      </w:r>
      <w:r>
        <w:rPr>
          <w:rFonts w:hint="eastAsia" w:cs="宋体"/>
          <w:color w:val="auto"/>
          <w:highlight w:val="none"/>
          <w:shd w:val="clear" w:color="auto" w:fill="auto"/>
          <w:lang w:val="en-US" w:eastAsia="zh-CN"/>
        </w:rPr>
        <w:t>100</w:t>
      </w:r>
      <w:r>
        <w:rPr>
          <w:rFonts w:hint="eastAsia" w:ascii="宋体" w:hAnsi="宋体" w:eastAsia="宋体" w:cs="宋体"/>
          <w:color w:val="auto"/>
          <w:highlight w:val="none"/>
          <w:shd w:val="clear" w:color="auto" w:fill="auto"/>
        </w:rPr>
        <w:t>%</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结</w:t>
      </w:r>
      <w:r>
        <w:rPr>
          <w:rFonts w:hint="eastAsia" w:cs="宋体"/>
          <w:color w:val="auto"/>
          <w:highlight w:val="none"/>
          <w:shd w:val="clear" w:color="auto" w:fill="auto"/>
          <w:lang w:val="en-US" w:eastAsia="zh-CN"/>
        </w:rPr>
        <w:t>转</w:t>
      </w:r>
      <w:r>
        <w:rPr>
          <w:rFonts w:hint="eastAsia" w:ascii="宋体" w:hAnsi="宋体" w:eastAsia="宋体" w:cs="宋体"/>
          <w:color w:val="auto"/>
          <w:highlight w:val="none"/>
          <w:shd w:val="clear" w:color="auto" w:fill="auto"/>
          <w:lang w:eastAsia="zh-CN"/>
        </w:rPr>
        <w:t>结余资金</w:t>
      </w:r>
      <w:r>
        <w:rPr>
          <w:rFonts w:hint="eastAsia" w:cs="宋体"/>
          <w:color w:val="auto"/>
          <w:highlight w:val="none"/>
          <w:shd w:val="clear" w:color="auto" w:fill="auto"/>
          <w:lang w:val="en-US" w:eastAsia="zh-CN"/>
        </w:rPr>
        <w:t>0</w:t>
      </w:r>
      <w:r>
        <w:rPr>
          <w:rFonts w:hint="eastAsia" w:ascii="宋体" w:hAnsi="宋体" w:eastAsia="宋体" w:cs="宋体"/>
          <w:color w:val="auto"/>
          <w:highlight w:val="none"/>
          <w:shd w:val="clear" w:color="auto" w:fill="auto"/>
          <w:lang w:val="en-US" w:eastAsia="zh-CN"/>
        </w:rPr>
        <w:t>万元，已上缴国库。</w:t>
      </w:r>
      <w:r>
        <w:rPr>
          <w:rFonts w:hint="eastAsia" w:ascii="宋体" w:hAnsi="宋体" w:eastAsia="宋体" w:cs="宋体"/>
          <w:color w:val="auto"/>
          <w:highlight w:val="none"/>
          <w:shd w:val="clear" w:color="auto" w:fill="auto"/>
        </w:rPr>
        <w:t>项目资金主要用于</w:t>
      </w:r>
      <w:r>
        <w:rPr>
          <w:rFonts w:hint="eastAsia" w:cs="宋体"/>
          <w:color w:val="auto"/>
          <w:highlight w:val="none"/>
          <w:shd w:val="clear" w:color="auto" w:fill="auto"/>
          <w:lang w:val="en-US" w:eastAsia="zh-CN"/>
        </w:rPr>
        <w:t>体检试剂耗材购置、体检人员劳务费、体检所需办公用品耗材购置及体检设备维护保养等方面。</w:t>
      </w:r>
    </w:p>
    <w:p w14:paraId="29880B40">
      <w:pPr>
        <w:pStyle w:val="4"/>
        <w:pageBreakBefore w:val="0"/>
        <w:numPr>
          <w:ilvl w:val="0"/>
          <w:numId w:val="1"/>
        </w:numPr>
        <w:kinsoku/>
        <w:wordWrap/>
        <w:overflowPunct/>
        <w:topLinePunct w:val="0"/>
        <w:autoSpaceDE/>
        <w:autoSpaceDN/>
        <w:bidi w:val="0"/>
        <w:adjustRightInd/>
        <w:spacing w:beforeLines="0" w:afterLines="0" w:line="360" w:lineRule="auto"/>
        <w:ind w:left="-404" w:leftChars="0" w:firstLineChars="0"/>
        <w:textAlignment w:val="auto"/>
        <w:rPr>
          <w:rFonts w:hint="eastAsia" w:ascii="宋体" w:hAnsi="宋体" w:eastAsia="宋体" w:cs="宋体"/>
          <w:color w:val="auto"/>
          <w:highlight w:val="none"/>
          <w:shd w:val="clear" w:color="auto" w:fill="auto"/>
        </w:rPr>
      </w:pPr>
      <w:bookmarkStart w:id="8" w:name="_Toc2879"/>
      <w:r>
        <w:rPr>
          <w:rFonts w:hint="eastAsia" w:ascii="宋体" w:hAnsi="宋体" w:eastAsia="宋体" w:cs="宋体"/>
          <w:color w:val="auto"/>
          <w:highlight w:val="none"/>
          <w:shd w:val="clear" w:color="auto" w:fill="auto"/>
        </w:rPr>
        <w:t>项目绩效目标</w:t>
      </w:r>
      <w:bookmarkEnd w:id="8"/>
    </w:p>
    <w:p w14:paraId="433DCC9B">
      <w:pPr>
        <w:pStyle w:val="5"/>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bookmarkStart w:id="9" w:name="_Toc10047"/>
      <w:r>
        <w:rPr>
          <w:rFonts w:hint="eastAsia" w:ascii="宋体" w:hAnsi="宋体" w:eastAsia="宋体" w:cs="宋体"/>
          <w:color w:val="auto"/>
          <w:highlight w:val="none"/>
          <w:shd w:val="clear" w:color="auto" w:fill="auto"/>
          <w:lang w:val="en-US" w:eastAsia="zh-CN"/>
        </w:rPr>
        <w:t>1.总体目标</w:t>
      </w:r>
      <w:bookmarkEnd w:id="9"/>
    </w:p>
    <w:p w14:paraId="61DB7AD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全民健康体检项目绩效总体目标为：针对此目阜康市甘河子镇卫生院负责开展全民健康体检及拨付补贴，落实全民健康体检工作，阜康市甘河子镇卫生院预计完成3200人的体检，系统录入人次数达到3200人次，系统录入合格率达到100%，预2023年12月底前完成，居民健康保健意识和知晓率逐步提高,居民健康水平提高。</w:t>
      </w:r>
    </w:p>
    <w:p w14:paraId="79CA08CF">
      <w:pPr>
        <w:pStyle w:val="5"/>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bookmarkStart w:id="10" w:name="_Toc4487"/>
      <w:r>
        <w:rPr>
          <w:rFonts w:hint="eastAsia" w:ascii="宋体" w:hAnsi="宋体" w:eastAsia="宋体" w:cs="宋体"/>
          <w:color w:val="auto"/>
          <w:highlight w:val="none"/>
          <w:shd w:val="clear" w:color="auto" w:fill="auto"/>
          <w:lang w:val="en-US" w:eastAsia="zh-CN"/>
        </w:rPr>
        <w:t>2.阶段性目标</w:t>
      </w:r>
      <w:bookmarkEnd w:id="10"/>
    </w:p>
    <w:p w14:paraId="6DB601B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highlight w:val="none"/>
          <w:shd w:val="clear" w:color="auto" w:fill="auto"/>
          <w:lang w:eastAsia="zh-CN"/>
        </w:rPr>
      </w:pPr>
      <w:r>
        <w:rPr>
          <w:rFonts w:hint="eastAsia" w:ascii="宋体" w:hAnsi="宋体" w:eastAsia="宋体" w:cs="宋体"/>
          <w:bCs/>
          <w:color w:val="auto"/>
          <w:highlight w:val="none"/>
          <w:shd w:val="clear" w:color="auto" w:fill="auto"/>
          <w:lang w:eastAsia="zh-CN"/>
        </w:rPr>
        <w:t>根据《预算法</w:t>
      </w:r>
      <w:r>
        <w:rPr>
          <w:rFonts w:hint="eastAsia"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eastAsia="zh-CN"/>
        </w:rPr>
        <w:t>财政支出绩效评价管理暂行办法》（财预〔20</w:t>
      </w:r>
      <w:r>
        <w:rPr>
          <w:rFonts w:hint="eastAsia" w:ascii="宋体" w:hAnsi="宋体" w:eastAsia="宋体" w:cs="宋体"/>
          <w:bCs/>
          <w:color w:val="auto"/>
          <w:highlight w:val="none"/>
          <w:shd w:val="clear" w:color="auto" w:fill="auto"/>
          <w:lang w:val="en-US" w:eastAsia="zh-CN"/>
        </w:rPr>
        <w:t>20</w:t>
      </w:r>
      <w:r>
        <w:rPr>
          <w:rFonts w:hint="eastAsia" w:ascii="宋体" w:hAnsi="宋体" w:eastAsia="宋体"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val="en-US" w:eastAsia="zh-CN"/>
        </w:rPr>
        <w:t>10</w:t>
      </w:r>
      <w:r>
        <w:rPr>
          <w:rFonts w:hint="eastAsia" w:ascii="宋体" w:hAnsi="宋体" w:eastAsia="宋体" w:cs="宋体"/>
          <w:bCs/>
          <w:color w:val="auto"/>
          <w:highlight w:val="none"/>
          <w:shd w:val="clear" w:color="auto" w:fill="auto"/>
          <w:lang w:eastAsia="zh-CN"/>
        </w:rPr>
        <w:t>号）、《自治区党委自治区人民政府关于全面实施预算绩效管理的实施意见》（新党发〔2018〕30号）、</w:t>
      </w:r>
      <w:r>
        <w:rPr>
          <w:rFonts w:hint="eastAsia" w:ascii="宋体" w:hAnsi="宋体" w:eastAsia="宋体" w:cs="宋体"/>
          <w:color w:val="auto"/>
          <w:highlight w:val="none"/>
          <w:shd w:val="clear" w:color="auto" w:fill="auto"/>
        </w:rPr>
        <w:t>《自治区财政支出绩效评价管理暂行办法》</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新财预〔2018〕189号</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等文件</w:t>
      </w:r>
      <w:r>
        <w:rPr>
          <w:rFonts w:hint="eastAsia" w:ascii="宋体" w:hAnsi="宋体" w:eastAsia="宋体" w:cs="宋体"/>
          <w:bCs/>
          <w:color w:val="auto"/>
          <w:highlight w:val="none"/>
          <w:shd w:val="clear" w:color="auto" w:fill="auto"/>
          <w:lang w:eastAsia="zh-CN"/>
        </w:rPr>
        <w:t>的规定，结合项目实施单位的规章制度以及财务相关资料，评价小组对项目绩效目标进行了进一步的完善，完善</w:t>
      </w:r>
      <w:r>
        <w:rPr>
          <w:rFonts w:hint="eastAsia" w:ascii="宋体" w:hAnsi="宋体" w:eastAsia="宋体" w:cs="宋体"/>
          <w:bCs/>
          <w:color w:val="auto"/>
          <w:highlight w:val="none"/>
          <w:shd w:val="clear" w:color="auto" w:fill="auto"/>
          <w:lang w:val="en-US" w:eastAsia="zh-CN"/>
        </w:rPr>
        <w:t>后</w:t>
      </w:r>
      <w:r>
        <w:rPr>
          <w:rFonts w:hint="eastAsia" w:ascii="宋体" w:hAnsi="宋体" w:eastAsia="宋体" w:cs="宋体"/>
          <w:bCs/>
          <w:color w:val="auto"/>
          <w:highlight w:val="none"/>
          <w:shd w:val="clear" w:color="auto" w:fill="auto"/>
          <w:lang w:eastAsia="zh-CN"/>
        </w:rPr>
        <w:t>绩效目标如下：</w:t>
      </w:r>
    </w:p>
    <w:p w14:paraId="1C6C55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项目产出</w:t>
      </w:r>
      <w:r>
        <w:rPr>
          <w:rFonts w:hint="eastAsia" w:ascii="宋体" w:hAnsi="宋体" w:eastAsia="宋体" w:cs="宋体"/>
          <w:color w:val="auto"/>
          <w:highlight w:val="none"/>
          <w:shd w:val="clear" w:color="auto" w:fill="auto"/>
          <w:lang w:val="en-US" w:eastAsia="zh-CN"/>
        </w:rPr>
        <w:t>目标</w:t>
      </w:r>
    </w:p>
    <w:p w14:paraId="3F2C4D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①数量指标</w:t>
      </w:r>
    </w:p>
    <w:p w14:paraId="0B44DB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享受全民健康体检人数</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w:t>
      </w:r>
      <w:r>
        <w:rPr>
          <w:rFonts w:hint="eastAsia" w:cs="宋体"/>
          <w:color w:val="auto"/>
          <w:highlight w:val="none"/>
          <w:shd w:val="clear" w:color="auto" w:fill="auto"/>
          <w:lang w:val="en-US" w:eastAsia="zh-CN"/>
        </w:rPr>
        <w:t>3200人</w:t>
      </w:r>
      <w:r>
        <w:rPr>
          <w:rFonts w:hint="eastAsia" w:ascii="宋体" w:hAnsi="宋体" w:eastAsia="宋体" w:cs="宋体"/>
          <w:color w:val="auto"/>
          <w:highlight w:val="none"/>
          <w:shd w:val="clear" w:color="auto" w:fill="auto"/>
          <w:lang w:val="en-US" w:eastAsia="zh-CN"/>
        </w:rPr>
        <w:t>；</w:t>
      </w:r>
    </w:p>
    <w:p w14:paraId="54AA1E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系统录入人次</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w:t>
      </w:r>
      <w:r>
        <w:rPr>
          <w:rFonts w:hint="eastAsia" w:cs="宋体"/>
          <w:color w:val="auto"/>
          <w:highlight w:val="none"/>
          <w:shd w:val="clear" w:color="auto" w:fill="auto"/>
          <w:lang w:val="en-US" w:eastAsia="zh-CN"/>
        </w:rPr>
        <w:t>3200人</w:t>
      </w:r>
      <w:r>
        <w:rPr>
          <w:rFonts w:hint="eastAsia" w:ascii="宋体" w:hAnsi="宋体" w:eastAsia="宋体" w:cs="宋体"/>
          <w:color w:val="auto"/>
          <w:highlight w:val="none"/>
          <w:shd w:val="clear" w:color="auto" w:fill="auto"/>
          <w:lang w:val="en-US" w:eastAsia="zh-CN"/>
        </w:rPr>
        <w:t>；</w:t>
      </w:r>
    </w:p>
    <w:p w14:paraId="245DED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②质量指标</w:t>
      </w:r>
    </w:p>
    <w:p w14:paraId="0B3691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录入合格率</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为100%；</w:t>
      </w:r>
    </w:p>
    <w:p w14:paraId="06EB23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③</w:t>
      </w:r>
      <w:r>
        <w:rPr>
          <w:rFonts w:hint="eastAsia" w:cs="宋体"/>
          <w:color w:val="auto"/>
          <w:highlight w:val="none"/>
          <w:shd w:val="clear" w:color="auto" w:fill="auto"/>
          <w:lang w:val="en-US" w:eastAsia="zh-CN"/>
        </w:rPr>
        <w:t>时效</w:t>
      </w:r>
      <w:r>
        <w:rPr>
          <w:rFonts w:hint="eastAsia" w:ascii="宋体" w:hAnsi="宋体" w:eastAsia="宋体" w:cs="宋体"/>
          <w:color w:val="auto"/>
          <w:highlight w:val="none"/>
          <w:shd w:val="clear" w:color="auto" w:fill="auto"/>
          <w:lang w:val="en-US" w:eastAsia="zh-CN"/>
        </w:rPr>
        <w:t>指标</w:t>
      </w:r>
    </w:p>
    <w:p w14:paraId="51EC9A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完成时限</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为2023</w:t>
      </w:r>
      <w:r>
        <w:rPr>
          <w:rFonts w:hint="eastAsia" w:cs="宋体"/>
          <w:color w:val="auto"/>
          <w:highlight w:val="none"/>
          <w:shd w:val="clear" w:color="auto" w:fill="auto"/>
          <w:lang w:val="en-US" w:eastAsia="zh-CN"/>
        </w:rPr>
        <w:t>年</w:t>
      </w:r>
      <w:r>
        <w:rPr>
          <w:rFonts w:hint="eastAsia" w:ascii="宋体" w:hAnsi="宋体" w:eastAsia="宋体" w:cs="宋体"/>
          <w:color w:val="auto"/>
          <w:highlight w:val="none"/>
          <w:shd w:val="clear" w:color="auto" w:fill="auto"/>
          <w:lang w:val="en-US" w:eastAsia="zh-CN"/>
        </w:rPr>
        <w:t>12</w:t>
      </w:r>
      <w:r>
        <w:rPr>
          <w:rFonts w:hint="eastAsia" w:cs="宋体"/>
          <w:color w:val="auto"/>
          <w:highlight w:val="none"/>
          <w:shd w:val="clear" w:color="auto" w:fill="auto"/>
          <w:lang w:val="en-US" w:eastAsia="zh-CN"/>
        </w:rPr>
        <w:t>月</w:t>
      </w:r>
      <w:r>
        <w:rPr>
          <w:rFonts w:hint="eastAsia" w:ascii="宋体" w:hAnsi="宋体" w:eastAsia="宋体" w:cs="宋体"/>
          <w:color w:val="auto"/>
          <w:highlight w:val="none"/>
          <w:shd w:val="clear" w:color="auto" w:fill="auto"/>
          <w:lang w:val="en-US" w:eastAsia="zh-CN"/>
        </w:rPr>
        <w:t>31</w:t>
      </w:r>
      <w:r>
        <w:rPr>
          <w:rFonts w:hint="eastAsia" w:cs="宋体"/>
          <w:color w:val="auto"/>
          <w:highlight w:val="none"/>
          <w:shd w:val="clear" w:color="auto" w:fill="auto"/>
          <w:lang w:val="en-US" w:eastAsia="zh-CN"/>
        </w:rPr>
        <w:t>日</w:t>
      </w:r>
      <w:r>
        <w:rPr>
          <w:rFonts w:hint="eastAsia" w:ascii="宋体" w:hAnsi="宋体" w:eastAsia="宋体" w:cs="宋体"/>
          <w:color w:val="auto"/>
          <w:highlight w:val="none"/>
          <w:shd w:val="clear" w:color="auto" w:fill="auto"/>
          <w:lang w:val="en-US" w:eastAsia="zh-CN"/>
        </w:rPr>
        <w:t>；</w:t>
      </w:r>
    </w:p>
    <w:p w14:paraId="5E73B9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lang w:val="en-US" w:eastAsia="zh-CN"/>
        </w:rPr>
        <w:t>成本指标</w:t>
      </w:r>
    </w:p>
    <w:p w14:paraId="649CDC0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①经济</w:t>
      </w:r>
      <w:r>
        <w:rPr>
          <w:rFonts w:hint="eastAsia" w:cs="宋体"/>
          <w:color w:val="auto"/>
          <w:highlight w:val="none"/>
          <w:shd w:val="clear" w:color="auto" w:fill="auto"/>
          <w:lang w:val="en-US" w:eastAsia="zh-CN"/>
        </w:rPr>
        <w:t>成本</w:t>
      </w:r>
      <w:r>
        <w:rPr>
          <w:rFonts w:hint="eastAsia" w:ascii="宋体" w:hAnsi="宋体" w:eastAsia="宋体" w:cs="宋体"/>
          <w:color w:val="auto"/>
          <w:highlight w:val="none"/>
          <w:shd w:val="clear" w:color="auto" w:fill="auto"/>
          <w:lang w:val="en-US" w:eastAsia="zh-CN"/>
        </w:rPr>
        <w:t>指标</w:t>
      </w:r>
    </w:p>
    <w:p w14:paraId="3B6B66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“体检费用补贴费用区间”指标，预期指标值为≤10</w:t>
      </w:r>
      <w:r>
        <w:rPr>
          <w:rFonts w:hint="eastAsia" w:cs="宋体"/>
          <w:color w:val="auto"/>
          <w:highlight w:val="none"/>
          <w:shd w:val="clear" w:color="auto" w:fill="auto"/>
          <w:lang w:val="en-US" w:eastAsia="zh-CN"/>
        </w:rPr>
        <w:t>0</w:t>
      </w:r>
      <w:r>
        <w:rPr>
          <w:rFonts w:hint="eastAsia" w:ascii="宋体" w:hAnsi="宋体" w:eastAsia="宋体" w:cs="宋体"/>
          <w:color w:val="auto"/>
          <w:highlight w:val="none"/>
          <w:shd w:val="clear" w:color="auto" w:fill="auto"/>
          <w:lang w:val="en-US" w:eastAsia="zh-CN"/>
        </w:rPr>
        <w:t>元/人；</w:t>
      </w:r>
    </w:p>
    <w:p w14:paraId="7A92B4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“全民体检投入经费”指标，预期指标值为≤</w:t>
      </w:r>
      <w:r>
        <w:rPr>
          <w:rFonts w:hint="eastAsia" w:cs="宋体"/>
          <w:color w:val="auto"/>
          <w:highlight w:val="none"/>
          <w:shd w:val="clear" w:color="auto" w:fill="auto"/>
          <w:lang w:val="en-US" w:eastAsia="zh-CN"/>
        </w:rPr>
        <w:t>3.98</w:t>
      </w:r>
      <w:r>
        <w:rPr>
          <w:rFonts w:hint="eastAsia" w:ascii="宋体" w:hAnsi="宋体" w:eastAsia="宋体" w:cs="宋体"/>
          <w:color w:val="auto"/>
          <w:highlight w:val="none"/>
          <w:shd w:val="clear" w:color="auto" w:fill="auto"/>
          <w:lang w:val="en-US" w:eastAsia="zh-CN"/>
        </w:rPr>
        <w:t>万元；</w:t>
      </w:r>
    </w:p>
    <w:p w14:paraId="55FD2C1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②社会</w:t>
      </w:r>
      <w:r>
        <w:rPr>
          <w:rFonts w:hint="eastAsia" w:cs="宋体"/>
          <w:color w:val="auto"/>
          <w:highlight w:val="none"/>
          <w:shd w:val="clear" w:color="auto" w:fill="auto"/>
          <w:lang w:val="en-US" w:eastAsia="zh-CN"/>
        </w:rPr>
        <w:t>成本</w:t>
      </w:r>
      <w:r>
        <w:rPr>
          <w:rFonts w:hint="eastAsia" w:ascii="宋体" w:hAnsi="宋体" w:eastAsia="宋体" w:cs="宋体"/>
          <w:color w:val="auto"/>
          <w:highlight w:val="none"/>
          <w:shd w:val="clear" w:color="auto" w:fill="auto"/>
          <w:lang w:val="en-US" w:eastAsia="zh-CN"/>
        </w:rPr>
        <w:t>指标</w:t>
      </w:r>
    </w:p>
    <w:p w14:paraId="2184BE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color w:val="auto"/>
          <w:highlight w:val="none"/>
          <w:shd w:val="clear" w:color="auto" w:fill="auto"/>
          <w:lang w:val="en-US" w:eastAsia="zh-CN"/>
        </w:rPr>
      </w:pPr>
      <w:r>
        <w:rPr>
          <w:rFonts w:hint="eastAsia" w:cs="宋体"/>
          <w:color w:val="auto"/>
          <w:highlight w:val="none"/>
          <w:shd w:val="clear" w:color="auto" w:fill="auto"/>
          <w:lang w:val="en-US" w:eastAsia="zh-CN"/>
        </w:rPr>
        <w:t>本项目不涉及社会成本指标。</w:t>
      </w:r>
    </w:p>
    <w:p w14:paraId="74AC37C2">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③</w:t>
      </w:r>
      <w:r>
        <w:rPr>
          <w:rFonts w:hint="eastAsia" w:cs="宋体"/>
          <w:color w:val="auto"/>
          <w:highlight w:val="none"/>
          <w:shd w:val="clear" w:color="auto" w:fill="auto"/>
          <w:lang w:val="en-US" w:eastAsia="zh-CN"/>
        </w:rPr>
        <w:t>生态环境成本指标</w:t>
      </w:r>
    </w:p>
    <w:p w14:paraId="141A41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color w:val="auto"/>
          <w:highlight w:val="none"/>
          <w:shd w:val="clear" w:color="auto" w:fill="auto"/>
          <w:lang w:val="en-US" w:eastAsia="zh-CN"/>
        </w:rPr>
      </w:pPr>
      <w:r>
        <w:rPr>
          <w:rFonts w:hint="eastAsia" w:cs="宋体"/>
          <w:color w:val="auto"/>
          <w:highlight w:val="none"/>
          <w:shd w:val="clear" w:color="auto" w:fill="auto"/>
          <w:lang w:val="en-US" w:eastAsia="zh-CN"/>
        </w:rPr>
        <w:t>本项目不涉及生态环境成本指标。</w:t>
      </w:r>
    </w:p>
    <w:p w14:paraId="6A9DAB7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rPr>
        <w:t>（</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rPr>
        <w:t>）项目效益</w:t>
      </w:r>
      <w:r>
        <w:rPr>
          <w:rFonts w:hint="eastAsia" w:ascii="宋体" w:hAnsi="宋体" w:eastAsia="宋体" w:cs="宋体"/>
          <w:color w:val="auto"/>
          <w:highlight w:val="none"/>
          <w:shd w:val="clear" w:color="auto" w:fill="auto"/>
          <w:lang w:val="en-US" w:eastAsia="zh-CN"/>
        </w:rPr>
        <w:t>目标</w:t>
      </w:r>
    </w:p>
    <w:p w14:paraId="5990101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①经济效益指标</w:t>
      </w:r>
    </w:p>
    <w:p w14:paraId="51B8F06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本项目不涉及</w:t>
      </w:r>
      <w:r>
        <w:rPr>
          <w:rFonts w:hint="eastAsia" w:ascii="宋体" w:hAnsi="宋体" w:eastAsia="宋体" w:cs="宋体"/>
          <w:color w:val="auto"/>
          <w:highlight w:val="none"/>
          <w:shd w:val="clear" w:color="auto" w:fill="auto"/>
          <w:lang w:val="en-US" w:eastAsia="zh-CN"/>
        </w:rPr>
        <w:t>经济效益</w:t>
      </w:r>
      <w:r>
        <w:rPr>
          <w:rFonts w:hint="eastAsia" w:cs="宋体"/>
          <w:color w:val="auto"/>
          <w:highlight w:val="none"/>
          <w:shd w:val="clear" w:color="auto" w:fill="auto"/>
          <w:lang w:val="en-US" w:eastAsia="zh-CN"/>
        </w:rPr>
        <w:t>指标</w:t>
      </w:r>
      <w:r>
        <w:rPr>
          <w:rFonts w:hint="eastAsia" w:ascii="宋体" w:hAnsi="宋体" w:eastAsia="宋体" w:cs="宋体"/>
          <w:color w:val="auto"/>
          <w:highlight w:val="none"/>
          <w:shd w:val="clear" w:color="auto" w:fill="auto"/>
          <w:lang w:val="en-US" w:eastAsia="zh-CN"/>
        </w:rPr>
        <w:t>；</w:t>
      </w:r>
    </w:p>
    <w:p w14:paraId="4EFED8B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②社会效益指标</w:t>
      </w:r>
    </w:p>
    <w:p w14:paraId="3480CE1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提高全民健康意识及自我健康管理水平</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w:t>
      </w:r>
      <w:r>
        <w:rPr>
          <w:rFonts w:hint="eastAsia" w:cs="宋体"/>
          <w:color w:val="auto"/>
          <w:highlight w:val="none"/>
          <w:shd w:val="clear" w:color="auto" w:fill="auto"/>
          <w:lang w:val="en-US" w:eastAsia="zh-CN"/>
        </w:rPr>
        <w:t>逐步提升</w:t>
      </w:r>
      <w:r>
        <w:rPr>
          <w:rFonts w:hint="eastAsia" w:ascii="宋体" w:hAnsi="宋体" w:eastAsia="宋体" w:cs="宋体"/>
          <w:color w:val="auto"/>
          <w:highlight w:val="none"/>
          <w:shd w:val="clear" w:color="auto" w:fill="auto"/>
          <w:lang w:val="en-US" w:eastAsia="zh-CN"/>
        </w:rPr>
        <w:t>；</w:t>
      </w:r>
    </w:p>
    <w:p w14:paraId="3E1D4A1F">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③</w:t>
      </w:r>
      <w:r>
        <w:rPr>
          <w:rFonts w:hint="eastAsia" w:cs="宋体"/>
          <w:color w:val="auto"/>
          <w:highlight w:val="none"/>
          <w:shd w:val="clear" w:color="auto" w:fill="auto"/>
          <w:lang w:val="en-US" w:eastAsia="zh-CN"/>
        </w:rPr>
        <w:t>生态效益指标</w:t>
      </w:r>
    </w:p>
    <w:p w14:paraId="3E7DB5F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本项目不涉及生态</w:t>
      </w:r>
      <w:r>
        <w:rPr>
          <w:rFonts w:hint="eastAsia" w:ascii="宋体" w:hAnsi="宋体" w:eastAsia="宋体" w:cs="宋体"/>
          <w:color w:val="auto"/>
          <w:highlight w:val="none"/>
          <w:shd w:val="clear" w:color="auto" w:fill="auto"/>
          <w:lang w:val="en-US" w:eastAsia="zh-CN"/>
        </w:rPr>
        <w:t>效益</w:t>
      </w:r>
      <w:r>
        <w:rPr>
          <w:rFonts w:hint="eastAsia" w:cs="宋体"/>
          <w:color w:val="auto"/>
          <w:highlight w:val="none"/>
          <w:shd w:val="clear" w:color="auto" w:fill="auto"/>
          <w:lang w:val="en-US" w:eastAsia="zh-CN"/>
        </w:rPr>
        <w:t>指标</w:t>
      </w:r>
      <w:r>
        <w:rPr>
          <w:rFonts w:hint="eastAsia" w:ascii="宋体" w:hAnsi="宋体" w:eastAsia="宋体" w:cs="宋体"/>
          <w:color w:val="auto"/>
          <w:highlight w:val="none"/>
          <w:shd w:val="clear" w:color="auto" w:fill="auto"/>
          <w:lang w:val="en-US" w:eastAsia="zh-CN"/>
        </w:rPr>
        <w:t>；</w:t>
      </w:r>
    </w:p>
    <w:p w14:paraId="0E6938B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④可持续影响</w:t>
      </w:r>
    </w:p>
    <w:p w14:paraId="2B084C7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本项目不涉及</w:t>
      </w:r>
      <w:r>
        <w:rPr>
          <w:rFonts w:hint="eastAsia" w:ascii="宋体" w:hAnsi="宋体" w:eastAsia="宋体" w:cs="宋体"/>
          <w:color w:val="auto"/>
          <w:highlight w:val="none"/>
          <w:shd w:val="clear" w:color="auto" w:fill="auto"/>
          <w:lang w:val="en-US" w:eastAsia="zh-CN"/>
        </w:rPr>
        <w:t>可持续影响</w:t>
      </w:r>
      <w:r>
        <w:rPr>
          <w:rFonts w:hint="eastAsia" w:cs="宋体"/>
          <w:color w:val="auto"/>
          <w:highlight w:val="none"/>
          <w:shd w:val="clear" w:color="auto" w:fill="auto"/>
          <w:lang w:val="en-US" w:eastAsia="zh-CN"/>
        </w:rPr>
        <w:t>指标</w:t>
      </w:r>
      <w:r>
        <w:rPr>
          <w:rFonts w:hint="eastAsia" w:ascii="宋体" w:hAnsi="宋体" w:eastAsia="宋体" w:cs="宋体"/>
          <w:color w:val="auto"/>
          <w:highlight w:val="none"/>
          <w:shd w:val="clear" w:color="auto" w:fill="auto"/>
          <w:lang w:val="en-US" w:eastAsia="zh-CN"/>
        </w:rPr>
        <w:t>；</w:t>
      </w:r>
    </w:p>
    <w:p w14:paraId="3CF1F84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⑤</w:t>
      </w:r>
      <w:r>
        <w:rPr>
          <w:rFonts w:hint="eastAsia" w:ascii="宋体" w:hAnsi="宋体" w:eastAsia="宋体" w:cs="宋体"/>
          <w:color w:val="auto"/>
          <w:highlight w:val="none"/>
          <w:shd w:val="clear" w:color="auto" w:fill="auto"/>
          <w:lang w:val="en-US" w:eastAsia="zh-CN"/>
        </w:rPr>
        <w:t>满意度指标</w:t>
      </w:r>
    </w:p>
    <w:p w14:paraId="2A6652F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体检居民满意度</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为≧90%</w:t>
      </w:r>
      <w:r>
        <w:rPr>
          <w:rFonts w:hint="eastAsia" w:cs="宋体"/>
          <w:color w:val="auto"/>
          <w:highlight w:val="none"/>
          <w:shd w:val="clear" w:color="auto" w:fill="auto"/>
          <w:lang w:val="en-US" w:eastAsia="zh-CN"/>
        </w:rPr>
        <w:t>。</w:t>
      </w:r>
    </w:p>
    <w:p w14:paraId="3B5D4432">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bookmarkStart w:id="11" w:name="_Toc2549"/>
      <w:r>
        <w:rPr>
          <w:rFonts w:hint="eastAsia" w:ascii="宋体" w:hAnsi="宋体" w:eastAsia="宋体" w:cs="宋体"/>
          <w:b/>
          <w:bCs/>
          <w:color w:val="auto"/>
          <w:highlight w:val="none"/>
          <w:shd w:val="clear" w:color="auto" w:fill="auto"/>
        </w:rPr>
        <w:t>二、绩效评价工作开展情况</w:t>
      </w:r>
      <w:bookmarkEnd w:id="11"/>
    </w:p>
    <w:p w14:paraId="220E3918">
      <w:pPr>
        <w:pStyle w:val="4"/>
        <w:pageBreakBefore w:val="0"/>
        <w:numPr>
          <w:ilvl w:val="0"/>
          <w:numId w:val="2"/>
        </w:numPr>
        <w:kinsoku/>
        <w:wordWrap/>
        <w:overflowPunct/>
        <w:topLinePunct w:val="0"/>
        <w:autoSpaceDE/>
        <w:autoSpaceDN/>
        <w:bidi w:val="0"/>
        <w:adjustRightInd/>
        <w:spacing w:beforeLines="0" w:beforeAutospacing="0" w:afterLines="0" w:afterAutospacing="0" w:line="360" w:lineRule="auto"/>
        <w:ind w:left="0" w:leftChars="0" w:firstLine="643" w:firstLineChars="200"/>
        <w:jc w:val="both"/>
        <w:textAlignment w:val="auto"/>
        <w:rPr>
          <w:rFonts w:hint="eastAsia" w:ascii="宋体" w:hAnsi="宋体" w:eastAsia="宋体" w:cs="宋体"/>
          <w:color w:val="auto"/>
          <w:sz w:val="32"/>
          <w:szCs w:val="32"/>
          <w:highlight w:val="none"/>
          <w:shd w:val="clear" w:color="auto" w:fill="auto"/>
          <w:lang w:eastAsia="zh-CN"/>
        </w:rPr>
      </w:pPr>
      <w:bookmarkStart w:id="12" w:name="_Toc22922"/>
      <w:bookmarkStart w:id="13" w:name="_Toc22169_WPSOffice_Level2"/>
      <w:bookmarkStart w:id="14" w:name="_Toc21664"/>
      <w:bookmarkStart w:id="15" w:name="_Toc5462343"/>
      <w:bookmarkStart w:id="16" w:name="_Toc480473081"/>
      <w:bookmarkStart w:id="17" w:name="_Toc12868"/>
      <w:bookmarkStart w:id="18" w:name="_Toc26632"/>
      <w:bookmarkStart w:id="19" w:name="_Toc5258"/>
      <w:bookmarkStart w:id="20" w:name="_Toc21778"/>
      <w:r>
        <w:rPr>
          <w:rFonts w:hint="eastAsia" w:ascii="宋体" w:hAnsi="宋体" w:eastAsia="宋体" w:cs="宋体"/>
          <w:color w:val="auto"/>
          <w:sz w:val="32"/>
          <w:szCs w:val="32"/>
          <w:highlight w:val="none"/>
          <w:shd w:val="clear" w:color="auto" w:fill="auto"/>
          <w:lang w:eastAsia="zh-CN"/>
        </w:rPr>
        <w:t>绩效评价的目的</w:t>
      </w:r>
      <w:bookmarkEnd w:id="12"/>
      <w:bookmarkEnd w:id="13"/>
      <w:bookmarkEnd w:id="14"/>
      <w:bookmarkEnd w:id="15"/>
      <w:bookmarkEnd w:id="16"/>
      <w:bookmarkEnd w:id="17"/>
      <w:bookmarkEnd w:id="18"/>
      <w:bookmarkEnd w:id="19"/>
      <w:r>
        <w:rPr>
          <w:rFonts w:hint="eastAsia" w:ascii="宋体" w:hAnsi="宋体" w:eastAsia="宋体" w:cs="宋体"/>
          <w:color w:val="auto"/>
          <w:sz w:val="32"/>
          <w:szCs w:val="32"/>
          <w:highlight w:val="none"/>
          <w:shd w:val="clear" w:color="auto" w:fill="auto"/>
          <w:lang w:eastAsia="zh-CN"/>
        </w:rPr>
        <w:t>、对象和范围</w:t>
      </w:r>
      <w:bookmarkEnd w:id="20"/>
    </w:p>
    <w:p w14:paraId="2587E421">
      <w:pPr>
        <w:pStyle w:val="5"/>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bookmarkStart w:id="21" w:name="_Toc15732"/>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sz w:val="32"/>
          <w:szCs w:val="32"/>
          <w:highlight w:val="none"/>
          <w:shd w:val="clear" w:color="auto" w:fill="auto"/>
          <w:lang w:eastAsia="zh-CN"/>
        </w:rPr>
        <w:t>绩效评价的目的</w:t>
      </w:r>
      <w:bookmarkEnd w:id="21"/>
    </w:p>
    <w:p w14:paraId="032C5492">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为全面了解</w:t>
      </w:r>
      <w:r>
        <w:rPr>
          <w:rFonts w:hint="eastAsia" w:ascii="宋体" w:hAnsi="宋体" w:eastAsia="宋体" w:cs="宋体"/>
          <w:color w:val="auto"/>
          <w:highlight w:val="none"/>
          <w:shd w:val="clear" w:color="auto" w:fill="auto"/>
          <w:lang w:val="en-US" w:eastAsia="zh-CN"/>
        </w:rPr>
        <w:t>该</w:t>
      </w:r>
      <w:r>
        <w:rPr>
          <w:rFonts w:hint="eastAsia" w:ascii="宋体" w:hAnsi="宋体" w:eastAsia="宋体" w:cs="宋体"/>
          <w:color w:val="auto"/>
          <w:highlight w:val="none"/>
          <w:shd w:val="clear" w:color="auto" w:fill="auto"/>
          <w:lang w:eastAsia="zh-CN"/>
        </w:rPr>
        <w:t>项目预算编制合理性、资金使用合规性、项目管理的规范性、</w:t>
      </w:r>
      <w:r>
        <w:rPr>
          <w:rFonts w:hint="eastAsia" w:ascii="宋体" w:hAnsi="宋体" w:eastAsia="宋体" w:cs="宋体"/>
          <w:color w:val="auto"/>
          <w:highlight w:val="none"/>
          <w:shd w:val="clear" w:color="auto" w:fill="auto"/>
          <w:lang w:val="en-US" w:eastAsia="zh-CN"/>
        </w:rPr>
        <w:t>绩效</w:t>
      </w:r>
      <w:r>
        <w:rPr>
          <w:rFonts w:hint="eastAsia" w:ascii="宋体" w:hAnsi="宋体" w:eastAsia="宋体" w:cs="宋体"/>
          <w:color w:val="auto"/>
          <w:highlight w:val="none"/>
          <w:shd w:val="clear" w:color="auto" w:fill="auto"/>
          <w:lang w:eastAsia="zh-CN"/>
        </w:rPr>
        <w:t>目标的实现情况、服务对象的满意度等，通过本次</w:t>
      </w:r>
      <w:r>
        <w:rPr>
          <w:rFonts w:hint="eastAsia" w:ascii="宋体" w:hAnsi="宋体" w:eastAsia="宋体" w:cs="宋体"/>
          <w:color w:val="auto"/>
          <w:highlight w:val="none"/>
          <w:shd w:val="clear" w:color="auto" w:fill="auto"/>
          <w:lang w:val="en-US" w:eastAsia="zh-CN"/>
        </w:rPr>
        <w:t>部门</w:t>
      </w:r>
      <w:r>
        <w:rPr>
          <w:rFonts w:hint="eastAsia" w:ascii="宋体" w:hAnsi="宋体" w:eastAsia="宋体" w:cs="宋体"/>
          <w:color w:val="auto"/>
          <w:highlight w:val="none"/>
          <w:shd w:val="clear" w:color="auto" w:fill="auto"/>
          <w:lang w:eastAsia="zh-CN"/>
        </w:rPr>
        <w:t>绩效评价来总结经验和教训，促进项目成果转化和应用，为今后类似项目的长效管理，提供可行性参考建议。</w:t>
      </w:r>
    </w:p>
    <w:p w14:paraId="5975A6DF">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val="en-US" w:eastAsia="zh-CN"/>
        </w:rPr>
      </w:pPr>
      <w:bookmarkStart w:id="22" w:name="_Toc30609"/>
      <w:r>
        <w:rPr>
          <w:rFonts w:hint="eastAsia" w:ascii="宋体" w:hAnsi="宋体" w:eastAsia="宋体" w:cs="宋体"/>
          <w:color w:val="auto"/>
          <w:highlight w:val="none"/>
          <w:shd w:val="clear" w:color="auto" w:fill="auto"/>
          <w:lang w:val="en-US" w:eastAsia="zh-CN"/>
        </w:rPr>
        <w:t>2.绩效评价的对象和范围</w:t>
      </w:r>
      <w:bookmarkEnd w:id="22"/>
    </w:p>
    <w:p w14:paraId="1A8AC8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此次我单位根据</w:t>
      </w:r>
      <w:r>
        <w:rPr>
          <w:rFonts w:hint="eastAsia" w:ascii="宋体" w:hAnsi="宋体" w:eastAsia="宋体" w:cs="宋体"/>
          <w:color w:val="auto"/>
          <w:highlight w:val="none"/>
          <w:shd w:val="clear" w:color="auto" w:fill="auto"/>
        </w:rPr>
        <w:t>《财政支出绩效评价管理暂行办法》（</w:t>
      </w:r>
      <w:r>
        <w:rPr>
          <w:rFonts w:hint="eastAsia" w:ascii="宋体" w:hAnsi="宋体" w:eastAsia="宋体" w:cs="宋体"/>
          <w:color w:val="auto"/>
          <w:highlight w:val="none"/>
          <w:shd w:val="clear" w:color="auto" w:fill="auto"/>
          <w:lang w:eastAsia="zh-CN"/>
        </w:rPr>
        <w:t>财预〔2020〕10号</w:t>
      </w:r>
      <w:r>
        <w:rPr>
          <w:rFonts w:hint="eastAsia" w:ascii="宋体" w:hAnsi="宋体" w:eastAsia="宋体" w:cs="宋体"/>
          <w:color w:val="auto"/>
          <w:highlight w:val="none"/>
          <w:shd w:val="clear" w:color="auto" w:fill="auto"/>
        </w:rPr>
        <w:t>）</w:t>
      </w:r>
      <w:r>
        <w:rPr>
          <w:rFonts w:hint="eastAsia" w:ascii="宋体" w:hAnsi="宋体" w:eastAsia="宋体" w:cs="宋体"/>
          <w:color w:val="auto"/>
          <w:highlight w:val="none"/>
          <w:shd w:val="clear" w:color="auto" w:fill="auto"/>
          <w:lang w:val="en-US" w:eastAsia="zh-CN"/>
        </w:rPr>
        <w:t>文件要求对</w:t>
      </w:r>
      <w:r>
        <w:rPr>
          <w:rFonts w:hint="eastAsia" w:cs="宋体"/>
          <w:color w:val="auto"/>
          <w:highlight w:val="none"/>
          <w:shd w:val="clear" w:color="auto" w:fill="auto"/>
          <w:lang w:val="en-US" w:eastAsia="zh-CN"/>
        </w:rPr>
        <w:t>2023</w:t>
      </w:r>
      <w:r>
        <w:rPr>
          <w:rFonts w:hint="eastAsia" w:ascii="宋体" w:hAnsi="宋体" w:eastAsia="宋体" w:cs="宋体"/>
          <w:color w:val="auto"/>
          <w:highlight w:val="none"/>
          <w:shd w:val="clear" w:color="auto" w:fill="auto"/>
          <w:lang w:val="en-US" w:eastAsia="zh-CN"/>
        </w:rPr>
        <w:t>年度我单位实施的</w:t>
      </w:r>
      <w:r>
        <w:rPr>
          <w:rFonts w:hint="eastAsia" w:cs="宋体"/>
          <w:color w:val="auto"/>
          <w:highlight w:val="none"/>
          <w:shd w:val="clear" w:color="auto" w:fill="auto"/>
          <w:lang w:val="en-US" w:eastAsia="zh-CN"/>
        </w:rPr>
        <w:t>全民健康体检</w:t>
      </w:r>
      <w:r>
        <w:rPr>
          <w:rFonts w:hint="eastAsia" w:ascii="宋体" w:hAnsi="宋体" w:eastAsia="宋体" w:cs="宋体"/>
          <w:color w:val="auto"/>
          <w:highlight w:val="none"/>
          <w:shd w:val="clear" w:color="auto" w:fill="auto"/>
          <w:lang w:val="en-US" w:eastAsia="zh-CN"/>
        </w:rPr>
        <w:t>项目开展部门绩效评价。</w:t>
      </w:r>
    </w:p>
    <w:p w14:paraId="4BBC0E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本次绩效评价主要围绕项目决策、项目管理、项目产出、项目效益四个维度，对该专项资金的预算编制、项目实施、监督管理、资金支出使用、绩效目标的实现情况以及受益对象的满意度等开展综合评价。</w:t>
      </w:r>
    </w:p>
    <w:p w14:paraId="774BFABF">
      <w:pPr>
        <w:pStyle w:val="4"/>
        <w:pageBreakBefore w:val="0"/>
        <w:numPr>
          <w:ilvl w:val="0"/>
          <w:numId w:val="2"/>
        </w:numPr>
        <w:kinsoku/>
        <w:wordWrap/>
        <w:overflowPunct/>
        <w:topLinePunct w:val="0"/>
        <w:autoSpaceDE/>
        <w:autoSpaceDN/>
        <w:bidi w:val="0"/>
        <w:adjustRightInd/>
        <w:spacing w:beforeLines="0" w:beforeAutospacing="0" w:afterLines="0" w:afterAutospacing="0" w:line="360" w:lineRule="auto"/>
        <w:ind w:left="0" w:leftChars="0" w:firstLine="643" w:firstLineChars="200"/>
        <w:jc w:val="both"/>
        <w:textAlignment w:val="auto"/>
        <w:rPr>
          <w:rFonts w:hint="eastAsia" w:ascii="宋体" w:hAnsi="宋体" w:eastAsia="宋体" w:cs="宋体"/>
          <w:color w:val="auto"/>
          <w:sz w:val="32"/>
          <w:szCs w:val="32"/>
          <w:highlight w:val="none"/>
          <w:shd w:val="clear" w:color="auto" w:fill="auto"/>
          <w:lang w:val="en-US" w:eastAsia="zh-CN"/>
        </w:rPr>
      </w:pPr>
      <w:bookmarkStart w:id="23" w:name="_Toc15902"/>
      <w:r>
        <w:rPr>
          <w:rFonts w:hint="eastAsia" w:ascii="宋体" w:hAnsi="宋体" w:eastAsia="宋体" w:cs="宋体"/>
          <w:color w:val="auto"/>
          <w:sz w:val="32"/>
          <w:szCs w:val="32"/>
          <w:highlight w:val="none"/>
          <w:shd w:val="clear" w:color="auto" w:fill="auto"/>
          <w:lang w:val="en-US" w:eastAsia="zh-CN"/>
        </w:rPr>
        <w:t>绩效评价原则、评价指标体系（附表说明）、评价方法、评价标准</w:t>
      </w:r>
      <w:bookmarkEnd w:id="23"/>
    </w:p>
    <w:p w14:paraId="7C9BC492">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rPr>
      </w:pPr>
      <w:bookmarkStart w:id="24" w:name="_Toc24506"/>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rPr>
        <w:t>绩效评价原则</w:t>
      </w:r>
      <w:bookmarkEnd w:id="24"/>
    </w:p>
    <w:p w14:paraId="6D8B35E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依据</w:t>
      </w:r>
      <w:r>
        <w:rPr>
          <w:rFonts w:hint="eastAsia" w:ascii="宋体" w:hAnsi="宋体" w:eastAsia="宋体" w:cs="宋体"/>
          <w:bCs/>
          <w:color w:val="auto"/>
          <w:highlight w:val="none"/>
          <w:shd w:val="clear" w:color="auto" w:fill="auto"/>
          <w:lang w:eastAsia="zh-CN"/>
        </w:rPr>
        <w:t>《财政支出绩效评价管理暂行办法》（财预〔20</w:t>
      </w:r>
      <w:r>
        <w:rPr>
          <w:rFonts w:hint="eastAsia" w:ascii="宋体" w:hAnsi="宋体" w:eastAsia="宋体" w:cs="宋体"/>
          <w:bCs/>
          <w:color w:val="auto"/>
          <w:highlight w:val="none"/>
          <w:shd w:val="clear" w:color="auto" w:fill="auto"/>
          <w:lang w:val="en-US" w:eastAsia="zh-CN"/>
        </w:rPr>
        <w:t>20</w:t>
      </w:r>
      <w:r>
        <w:rPr>
          <w:rFonts w:hint="eastAsia" w:ascii="宋体" w:hAnsi="宋体" w:eastAsia="宋体"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val="en-US" w:eastAsia="zh-CN"/>
        </w:rPr>
        <w:t>10</w:t>
      </w:r>
      <w:r>
        <w:rPr>
          <w:rFonts w:hint="eastAsia" w:ascii="宋体" w:hAnsi="宋体" w:eastAsia="宋体" w:cs="宋体"/>
          <w:bCs/>
          <w:color w:val="auto"/>
          <w:highlight w:val="none"/>
          <w:shd w:val="clear" w:color="auto" w:fill="auto"/>
          <w:lang w:eastAsia="zh-CN"/>
        </w:rPr>
        <w:t>号）</w:t>
      </w:r>
      <w:r>
        <w:rPr>
          <w:rFonts w:hint="eastAsia" w:ascii="宋体" w:hAnsi="宋体" w:eastAsia="宋体" w:cs="宋体"/>
          <w:color w:val="auto"/>
          <w:highlight w:val="none"/>
          <w:shd w:val="clear" w:color="auto" w:fill="auto"/>
          <w:lang w:eastAsia="zh-CN"/>
        </w:rPr>
        <w:t>本次绩效评价秉承科学规范、公正公开、分级分类、绩效相关等原则，按照从投入、过程到产出效果和影响的绩效逻辑路径，结合</w:t>
      </w:r>
      <w:r>
        <w:rPr>
          <w:rFonts w:hint="eastAsia" w:cs="宋体"/>
          <w:color w:val="auto"/>
          <w:highlight w:val="none"/>
          <w:shd w:val="clear" w:color="auto" w:fill="auto"/>
          <w:lang w:val="en-US" w:eastAsia="zh-CN"/>
        </w:rPr>
        <w:t>全民健康体检</w:t>
      </w:r>
      <w:r>
        <w:rPr>
          <w:rFonts w:hint="eastAsia" w:ascii="宋体" w:hAnsi="宋体" w:eastAsia="宋体" w:cs="宋体"/>
          <w:color w:val="auto"/>
          <w:highlight w:val="none"/>
          <w:shd w:val="clear" w:color="auto" w:fill="auto"/>
          <w:lang w:eastAsia="zh-CN"/>
        </w:rPr>
        <w:t>项目实际开展情况，运用定量和定性分析相结合的方法，总结经验做法，反思项目实施和管理中的问题，以切实提升财政资金管理的科学化、规范化和精细化水平。</w:t>
      </w:r>
    </w:p>
    <w:p w14:paraId="0A2530F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根据以上原则，绩效评价应遵循如下要求：</w:t>
      </w:r>
    </w:p>
    <w:p w14:paraId="4BE942A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cs="宋体"/>
          <w:color w:val="auto"/>
          <w:highlight w:val="none"/>
          <w:shd w:val="clear" w:color="auto" w:fill="auto"/>
          <w:lang w:eastAsia="zh-CN"/>
        </w:rPr>
        <w:t>（</w:t>
      </w:r>
      <w:r>
        <w:rPr>
          <w:rFonts w:hint="eastAsia" w:cs="宋体"/>
          <w:color w:val="auto"/>
          <w:highlight w:val="none"/>
          <w:shd w:val="clear" w:color="auto" w:fill="auto"/>
          <w:lang w:val="en-US" w:eastAsia="zh-CN"/>
        </w:rPr>
        <w:t>1</w:t>
      </w:r>
      <w:r>
        <w:rPr>
          <w:rFonts w:hint="eastAsia" w:cs="宋体"/>
          <w:color w:val="auto"/>
          <w:highlight w:val="none"/>
          <w:shd w:val="clear" w:color="auto" w:fill="auto"/>
          <w:lang w:eastAsia="zh-CN"/>
        </w:rPr>
        <w:t>）</w:t>
      </w:r>
      <w:r>
        <w:rPr>
          <w:rFonts w:hint="eastAsia" w:ascii="宋体" w:hAnsi="宋体" w:eastAsia="宋体" w:cs="宋体"/>
          <w:color w:val="auto"/>
          <w:highlight w:val="none"/>
          <w:shd w:val="clear" w:color="auto" w:fill="auto"/>
          <w:lang w:eastAsia="zh-CN"/>
        </w:rPr>
        <w:t>科学公正。绩效评价应当运用科学合理的方法，按照规范的程序，对项目绩效进行客观、公正的反映。</w:t>
      </w:r>
    </w:p>
    <w:p w14:paraId="3902653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w:t>
      </w:r>
      <w:r>
        <w:rPr>
          <w:rFonts w:hint="eastAsia"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lang w:eastAsia="zh-CN"/>
        </w:rPr>
        <w:t>）统筹兼顾。单位自评、部门评价和财政评价应职责明确，各有侧重，相互衔接。单位自评应由项目单位自主实施，即“谁支出、谁自评”。</w:t>
      </w:r>
    </w:p>
    <w:p w14:paraId="08A9FDC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lang w:eastAsia="zh-CN"/>
        </w:rPr>
        <w:t>）激励约束。绩效评价结果应与预算安排、政策调整、改进管理实质性挂钩，体现奖优罚劣和激励相容导向，有效要安排、低效要压减、无效要问责。</w:t>
      </w:r>
    </w:p>
    <w:p w14:paraId="28A2BA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w:t>
      </w:r>
      <w:r>
        <w:rPr>
          <w:rFonts w:hint="eastAsia" w:cs="宋体"/>
          <w:color w:val="auto"/>
          <w:highlight w:val="none"/>
          <w:shd w:val="clear" w:color="auto" w:fill="auto"/>
          <w:lang w:val="en-US" w:eastAsia="zh-CN"/>
        </w:rPr>
        <w:t>4</w:t>
      </w:r>
      <w:r>
        <w:rPr>
          <w:rFonts w:hint="eastAsia" w:ascii="宋体" w:hAnsi="宋体" w:eastAsia="宋体" w:cs="宋体"/>
          <w:color w:val="auto"/>
          <w:highlight w:val="none"/>
          <w:shd w:val="clear" w:color="auto" w:fill="auto"/>
          <w:lang w:eastAsia="zh-CN"/>
        </w:rPr>
        <w:t>）公开透明。绩效评价结果应依法依规公开，并自觉接受社会监督。</w:t>
      </w:r>
    </w:p>
    <w:p w14:paraId="297E99F9">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eastAsia="zh-CN"/>
        </w:rPr>
      </w:pPr>
      <w:bookmarkStart w:id="25" w:name="_Toc419984722"/>
      <w:bookmarkStart w:id="26" w:name="_Toc26131"/>
      <w:bookmarkStart w:id="27" w:name="_Toc428278230"/>
      <w:bookmarkStart w:id="28" w:name="_Toc1913"/>
      <w:bookmarkStart w:id="29" w:name="_Toc24396"/>
      <w:r>
        <w:rPr>
          <w:rFonts w:hint="eastAsia" w:ascii="宋体" w:hAnsi="宋体" w:eastAsia="宋体"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lang w:eastAsia="zh-CN"/>
        </w:rPr>
        <w:t>绩效评价指标体系及绩效评价</w:t>
      </w:r>
      <w:bookmarkEnd w:id="25"/>
      <w:bookmarkEnd w:id="26"/>
      <w:bookmarkEnd w:id="27"/>
      <w:bookmarkEnd w:id="28"/>
      <w:r>
        <w:rPr>
          <w:rFonts w:hint="eastAsia" w:ascii="宋体" w:hAnsi="宋体" w:eastAsia="宋体" w:cs="宋体"/>
          <w:color w:val="auto"/>
          <w:highlight w:val="none"/>
          <w:shd w:val="clear" w:color="auto" w:fill="auto"/>
          <w:lang w:val="en-US" w:eastAsia="zh-CN"/>
        </w:rPr>
        <w:t>标准</w:t>
      </w:r>
      <w:bookmarkEnd w:id="29"/>
    </w:p>
    <w:p w14:paraId="3251C5B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我单位</w:t>
      </w:r>
      <w:r>
        <w:rPr>
          <w:rFonts w:hint="eastAsia" w:ascii="宋体" w:hAnsi="宋体" w:eastAsia="宋体" w:cs="宋体"/>
          <w:color w:val="auto"/>
          <w:highlight w:val="none"/>
          <w:shd w:val="clear" w:color="auto" w:fill="auto"/>
          <w:lang w:val="zh-TW" w:eastAsia="zh-TW"/>
        </w:rPr>
        <w:t>根据项目的</w:t>
      </w:r>
      <w:r>
        <w:rPr>
          <w:rFonts w:hint="eastAsia" w:ascii="宋体" w:hAnsi="宋体" w:eastAsia="宋体" w:cs="宋体"/>
          <w:color w:val="auto"/>
          <w:highlight w:val="none"/>
          <w:shd w:val="clear" w:color="auto" w:fill="auto"/>
          <w:lang w:val="en-US" w:eastAsia="zh-CN"/>
        </w:rPr>
        <w:t>实施</w:t>
      </w:r>
      <w:r>
        <w:rPr>
          <w:rFonts w:hint="eastAsia" w:ascii="宋体" w:hAnsi="宋体" w:eastAsia="宋体" w:cs="宋体"/>
          <w:color w:val="auto"/>
          <w:highlight w:val="none"/>
          <w:shd w:val="clear" w:color="auto" w:fill="auto"/>
          <w:lang w:val="zh-TW" w:eastAsia="zh-TW"/>
        </w:rPr>
        <w:t>资料研读及前期调研，结合项目的实际开展情况，最终形成了项目绩效评价指标体系</w:t>
      </w:r>
      <w:r>
        <w:rPr>
          <w:rFonts w:hint="eastAsia" w:ascii="宋体" w:hAnsi="宋体" w:eastAsia="宋体" w:cs="宋体"/>
          <w:color w:val="auto"/>
          <w:highlight w:val="none"/>
          <w:shd w:val="clear" w:color="auto" w:fill="auto"/>
          <w:lang w:val="zh-TW" w:eastAsia="zh-CN"/>
        </w:rPr>
        <w:t>，</w:t>
      </w:r>
      <w:r>
        <w:rPr>
          <w:rFonts w:hint="eastAsia" w:ascii="宋体" w:hAnsi="宋体" w:eastAsia="宋体" w:cs="宋体"/>
          <w:color w:val="auto"/>
          <w:highlight w:val="none"/>
          <w:shd w:val="clear" w:color="auto" w:fill="auto"/>
          <w:lang w:val="en-US" w:eastAsia="zh-CN"/>
        </w:rPr>
        <w:t>指标体系结构如下</w:t>
      </w:r>
      <w:r>
        <w:rPr>
          <w:rFonts w:hint="eastAsia" w:cs="宋体"/>
          <w:b/>
          <w:bCs/>
          <w:color w:val="auto"/>
          <w:highlight w:val="none"/>
          <w:shd w:val="clear" w:color="auto" w:fill="auto"/>
          <w:lang w:val="en-US" w:eastAsia="zh-CN"/>
        </w:rPr>
        <w:t>（详见上传的附件）</w:t>
      </w:r>
      <w:r>
        <w:rPr>
          <w:rFonts w:hint="eastAsia" w:ascii="宋体" w:hAnsi="宋体" w:eastAsia="宋体" w:cs="宋体"/>
          <w:color w:val="auto"/>
          <w:highlight w:val="none"/>
          <w:shd w:val="clear" w:color="auto" w:fill="auto"/>
          <w:lang w:val="en-US" w:eastAsia="zh-CN"/>
        </w:rPr>
        <w:t>：</w:t>
      </w:r>
    </w:p>
    <w:p w14:paraId="4FF0F1DC">
      <w:pPr>
        <w:jc w:val="center"/>
        <w:rPr>
          <w:rFonts w:hint="default"/>
          <w:b/>
          <w:bCs/>
          <w:color w:val="auto"/>
          <w:sz w:val="28"/>
          <w:szCs w:val="28"/>
          <w:highlight w:val="none"/>
          <w:lang w:val="en-US" w:eastAsia="zh-CN"/>
        </w:rPr>
      </w:pPr>
      <w:r>
        <w:rPr>
          <w:rFonts w:hint="eastAsia"/>
          <w:b/>
          <w:bCs/>
          <w:color w:val="auto"/>
          <w:sz w:val="28"/>
          <w:szCs w:val="28"/>
          <w:highlight w:val="none"/>
          <w:lang w:val="zh-TW" w:eastAsia="zh-TW"/>
        </w:rPr>
        <w:t>项目绩效评价指标体系</w:t>
      </w:r>
    </w:p>
    <w:tbl>
      <w:tblPr>
        <w:tblStyle w:val="12"/>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2"/>
        <w:gridCol w:w="1196"/>
        <w:gridCol w:w="1050"/>
        <w:gridCol w:w="1996"/>
        <w:gridCol w:w="3793"/>
      </w:tblGrid>
      <w:tr w14:paraId="4F1E2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blHeader/>
          <w:jc w:val="center"/>
        </w:trPr>
        <w:tc>
          <w:tcPr>
            <w:tcW w:w="642" w:type="dxa"/>
            <w:shd w:val="clear" w:color="auto" w:fill="auto"/>
            <w:vAlign w:val="center"/>
          </w:tcPr>
          <w:p w14:paraId="5D4FE55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一级指标</w:t>
            </w:r>
          </w:p>
        </w:tc>
        <w:tc>
          <w:tcPr>
            <w:tcW w:w="1196" w:type="dxa"/>
            <w:shd w:val="clear" w:color="auto" w:fill="auto"/>
            <w:vAlign w:val="center"/>
          </w:tcPr>
          <w:p w14:paraId="02478A1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二级指标</w:t>
            </w:r>
          </w:p>
        </w:tc>
        <w:tc>
          <w:tcPr>
            <w:tcW w:w="1050" w:type="dxa"/>
            <w:shd w:val="clear" w:color="auto" w:fill="auto"/>
            <w:vAlign w:val="center"/>
          </w:tcPr>
          <w:p w14:paraId="2204625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三级指标</w:t>
            </w:r>
          </w:p>
        </w:tc>
        <w:tc>
          <w:tcPr>
            <w:tcW w:w="1996" w:type="dxa"/>
            <w:shd w:val="clear" w:color="auto" w:fill="auto"/>
            <w:vAlign w:val="center"/>
          </w:tcPr>
          <w:p w14:paraId="38C26AD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指标解释</w:t>
            </w:r>
          </w:p>
        </w:tc>
        <w:tc>
          <w:tcPr>
            <w:tcW w:w="3793" w:type="dxa"/>
            <w:shd w:val="clear" w:color="auto" w:fill="auto"/>
            <w:vAlign w:val="center"/>
          </w:tcPr>
          <w:p w14:paraId="4864766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指标说明</w:t>
            </w:r>
          </w:p>
        </w:tc>
      </w:tr>
      <w:tr w14:paraId="63445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44" w:hRule="atLeast"/>
          <w:jc w:val="center"/>
        </w:trPr>
        <w:tc>
          <w:tcPr>
            <w:tcW w:w="642" w:type="dxa"/>
            <w:vMerge w:val="restart"/>
            <w:shd w:val="clear" w:color="auto" w:fill="auto"/>
            <w:vAlign w:val="center"/>
          </w:tcPr>
          <w:p w14:paraId="234C396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决策</w:t>
            </w:r>
          </w:p>
        </w:tc>
        <w:tc>
          <w:tcPr>
            <w:tcW w:w="1196" w:type="dxa"/>
            <w:vMerge w:val="restart"/>
            <w:shd w:val="clear" w:color="auto" w:fill="auto"/>
            <w:vAlign w:val="center"/>
          </w:tcPr>
          <w:p w14:paraId="0EEBDC5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项目立项</w:t>
            </w:r>
          </w:p>
        </w:tc>
        <w:tc>
          <w:tcPr>
            <w:tcW w:w="1050" w:type="dxa"/>
            <w:shd w:val="clear" w:color="auto" w:fill="auto"/>
            <w:vAlign w:val="center"/>
          </w:tcPr>
          <w:p w14:paraId="264C611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立项依据</w:t>
            </w:r>
          </w:p>
          <w:p w14:paraId="240FE2D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充分性</w:t>
            </w:r>
          </w:p>
        </w:tc>
        <w:tc>
          <w:tcPr>
            <w:tcW w:w="1996" w:type="dxa"/>
            <w:shd w:val="clear" w:color="auto" w:fill="auto"/>
            <w:vAlign w:val="center"/>
          </w:tcPr>
          <w:p w14:paraId="1F89479A">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项目立项是否符合法律法规、相关政策、发展规划以及部门职责，用以反映和考核项目立项依据情况。</w:t>
            </w:r>
          </w:p>
        </w:tc>
        <w:tc>
          <w:tcPr>
            <w:tcW w:w="3793" w:type="dxa"/>
            <w:shd w:val="clear" w:color="auto" w:fill="auto"/>
            <w:vAlign w:val="center"/>
          </w:tcPr>
          <w:p w14:paraId="72618032">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194EC09F">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①项目立项是否符合国家法律法规、国民经济发展规划和相关政策；</w:t>
            </w:r>
          </w:p>
          <w:p w14:paraId="373CDEEE">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②项目立项是否符合行业发展规划和政策要求；</w:t>
            </w:r>
          </w:p>
          <w:p w14:paraId="5FE04973">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③项目立项是否与部门职责范围相符，属于部门履职所需；</w:t>
            </w:r>
          </w:p>
          <w:p w14:paraId="088D0DF0">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④项目是否属于公共财政支持范围，是否符合中央、地方事权支出责任划分原则；</w:t>
            </w:r>
          </w:p>
          <w:p w14:paraId="209E5E03">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⑤项目是否与相关部门同类项目或部门内部相关项目重复。</w:t>
            </w:r>
          </w:p>
        </w:tc>
      </w:tr>
      <w:tr w14:paraId="156B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94" w:hRule="atLeast"/>
          <w:jc w:val="center"/>
        </w:trPr>
        <w:tc>
          <w:tcPr>
            <w:tcW w:w="642" w:type="dxa"/>
            <w:vMerge w:val="continue"/>
            <w:shd w:val="clear" w:color="auto" w:fill="auto"/>
            <w:vAlign w:val="center"/>
          </w:tcPr>
          <w:p w14:paraId="0B0C595D">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auto"/>
            <w:vAlign w:val="center"/>
          </w:tcPr>
          <w:p w14:paraId="479DA62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auto"/>
            <w:vAlign w:val="center"/>
          </w:tcPr>
          <w:p w14:paraId="2EA5A95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立项程序</w:t>
            </w:r>
          </w:p>
          <w:p w14:paraId="172D9F7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规范性</w:t>
            </w:r>
          </w:p>
        </w:tc>
        <w:tc>
          <w:tcPr>
            <w:tcW w:w="1996" w:type="dxa"/>
            <w:shd w:val="clear" w:color="auto" w:fill="auto"/>
            <w:vAlign w:val="center"/>
          </w:tcPr>
          <w:p w14:paraId="62DF6350">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项目申请、设立过程是否符合相关要求，用以反映和考核项目立项的规范情况。</w:t>
            </w:r>
          </w:p>
        </w:tc>
        <w:tc>
          <w:tcPr>
            <w:tcW w:w="3793" w:type="dxa"/>
            <w:shd w:val="clear" w:color="auto" w:fill="auto"/>
            <w:vAlign w:val="center"/>
          </w:tcPr>
          <w:p w14:paraId="27EF91F4">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63F2C449">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①项目是否按照规定的程序申请设立；</w:t>
            </w:r>
          </w:p>
          <w:p w14:paraId="1D97226C">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②审批文件、材料是否符合相关要求；</w:t>
            </w:r>
          </w:p>
          <w:p w14:paraId="13FA73BE">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③事前是否已经过必要的可行性研究、专家论证、风险评估、绩效评估、集体决策。</w:t>
            </w:r>
          </w:p>
        </w:tc>
      </w:tr>
      <w:tr w14:paraId="079FF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8" w:hRule="atLeast"/>
          <w:jc w:val="center"/>
        </w:trPr>
        <w:tc>
          <w:tcPr>
            <w:tcW w:w="642" w:type="dxa"/>
            <w:vMerge w:val="continue"/>
            <w:shd w:val="clear" w:color="auto" w:fill="auto"/>
            <w:vAlign w:val="center"/>
          </w:tcPr>
          <w:p w14:paraId="0EBA438C">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restart"/>
            <w:shd w:val="clear" w:color="auto" w:fill="auto"/>
            <w:vAlign w:val="center"/>
          </w:tcPr>
          <w:p w14:paraId="5160B0A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绩效目标</w:t>
            </w:r>
          </w:p>
        </w:tc>
        <w:tc>
          <w:tcPr>
            <w:tcW w:w="1050" w:type="dxa"/>
            <w:shd w:val="clear" w:color="auto" w:fill="auto"/>
            <w:vAlign w:val="center"/>
          </w:tcPr>
          <w:p w14:paraId="0985C6B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绩效目标</w:t>
            </w:r>
          </w:p>
          <w:p w14:paraId="4B4C97A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合理性</w:t>
            </w:r>
          </w:p>
        </w:tc>
        <w:tc>
          <w:tcPr>
            <w:tcW w:w="1996" w:type="dxa"/>
            <w:shd w:val="clear" w:color="auto" w:fill="auto"/>
            <w:vAlign w:val="center"/>
          </w:tcPr>
          <w:p w14:paraId="09ADBEA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项目所设定的绩效目标是否依据充分，是否符合客观实际，用以反映和考核项目绩效目标与项目实施的相符情况。</w:t>
            </w:r>
          </w:p>
        </w:tc>
        <w:tc>
          <w:tcPr>
            <w:tcW w:w="3793" w:type="dxa"/>
            <w:shd w:val="clear" w:color="auto" w:fill="auto"/>
            <w:vAlign w:val="center"/>
          </w:tcPr>
          <w:p w14:paraId="1B6C06E5">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6C957B69">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（如未设定预算绩效目标，也可考核其他工作任务目标）</w:t>
            </w:r>
          </w:p>
          <w:p w14:paraId="0882D5BC">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①项目是否有绩效目标；</w:t>
            </w:r>
          </w:p>
          <w:p w14:paraId="5CFF8A46">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②项目绩效目标与实际工作内容是否具有相关性；</w:t>
            </w:r>
          </w:p>
          <w:p w14:paraId="103C8DBD">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③项目预期产出效益和效果是否符合正常的业绩水平；</w:t>
            </w:r>
          </w:p>
          <w:p w14:paraId="565FDE3A">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④是否与预算确定的项目投资额或资金量相匹配。</w:t>
            </w:r>
          </w:p>
        </w:tc>
      </w:tr>
      <w:tr w14:paraId="7BE5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44" w:hRule="atLeast"/>
          <w:jc w:val="center"/>
        </w:trPr>
        <w:tc>
          <w:tcPr>
            <w:tcW w:w="642" w:type="dxa"/>
            <w:vMerge w:val="continue"/>
            <w:shd w:val="clear" w:color="auto" w:fill="auto"/>
            <w:vAlign w:val="center"/>
          </w:tcPr>
          <w:p w14:paraId="2854A26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auto"/>
            <w:vAlign w:val="center"/>
          </w:tcPr>
          <w:p w14:paraId="7CC8D79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auto"/>
            <w:vAlign w:val="center"/>
          </w:tcPr>
          <w:p w14:paraId="3A23D1F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绩效指标</w:t>
            </w:r>
          </w:p>
          <w:p w14:paraId="48B601E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明确性</w:t>
            </w:r>
          </w:p>
        </w:tc>
        <w:tc>
          <w:tcPr>
            <w:tcW w:w="1996" w:type="dxa"/>
            <w:shd w:val="clear" w:color="auto" w:fill="auto"/>
            <w:vAlign w:val="center"/>
          </w:tcPr>
          <w:p w14:paraId="618AED7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依据绩效目标设定的绩效指标是否清晰、细化、可衡量等，用以反映和考核项目绩效目标的明细化情况。</w:t>
            </w:r>
          </w:p>
        </w:tc>
        <w:tc>
          <w:tcPr>
            <w:tcW w:w="3793" w:type="dxa"/>
            <w:shd w:val="clear" w:color="auto" w:fill="auto"/>
            <w:vAlign w:val="center"/>
          </w:tcPr>
          <w:p w14:paraId="6630AA63">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10198192">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①是否将项目绩效目标细化分解为具体的绩效指标；</w:t>
            </w:r>
          </w:p>
          <w:p w14:paraId="69F48D0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②是否通过清晰、可衡量的指标值予以体现；</w:t>
            </w:r>
          </w:p>
          <w:p w14:paraId="119E3652">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③是否与项目目标任务数或计划数相对应。</w:t>
            </w:r>
          </w:p>
        </w:tc>
      </w:tr>
      <w:tr w14:paraId="6881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44" w:hRule="atLeast"/>
          <w:jc w:val="center"/>
        </w:trPr>
        <w:tc>
          <w:tcPr>
            <w:tcW w:w="642" w:type="dxa"/>
            <w:vMerge w:val="continue"/>
            <w:shd w:val="clear" w:color="auto" w:fill="auto"/>
            <w:vAlign w:val="center"/>
          </w:tcPr>
          <w:p w14:paraId="0D48BBAE">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restart"/>
            <w:shd w:val="clear" w:color="auto" w:fill="auto"/>
            <w:vAlign w:val="center"/>
          </w:tcPr>
          <w:p w14:paraId="4B27CFA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资金投入</w:t>
            </w:r>
          </w:p>
        </w:tc>
        <w:tc>
          <w:tcPr>
            <w:tcW w:w="1050" w:type="dxa"/>
            <w:shd w:val="clear" w:color="auto" w:fill="auto"/>
            <w:vAlign w:val="center"/>
          </w:tcPr>
          <w:p w14:paraId="1ADD806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预算编制</w:t>
            </w:r>
          </w:p>
          <w:p w14:paraId="0C078DB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科学性</w:t>
            </w:r>
          </w:p>
        </w:tc>
        <w:tc>
          <w:tcPr>
            <w:tcW w:w="1996" w:type="dxa"/>
            <w:shd w:val="clear" w:color="auto" w:fill="auto"/>
            <w:vAlign w:val="center"/>
          </w:tcPr>
          <w:p w14:paraId="4B47FEFA">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项目预算编制是否经过科学论证、有明确标准，资金额度与年度目标是否相适应，用以反映和考核项目预算编制的科学性、合理性情况。</w:t>
            </w:r>
          </w:p>
        </w:tc>
        <w:tc>
          <w:tcPr>
            <w:tcW w:w="3793" w:type="dxa"/>
            <w:shd w:val="clear" w:color="auto" w:fill="auto"/>
            <w:vAlign w:val="center"/>
          </w:tcPr>
          <w:p w14:paraId="2070B42B">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52DAD5E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①预算编制是否经过科学论证；</w:t>
            </w:r>
          </w:p>
          <w:p w14:paraId="0DD2FF8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②预算内容与项目内容是否匹配；</w:t>
            </w:r>
          </w:p>
          <w:p w14:paraId="2BF3938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③预算额度测算依据是否充分，是否按照标准编制；</w:t>
            </w:r>
          </w:p>
          <w:p w14:paraId="4765905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④预算确定的项目投资额或资金量是否与工作任务相匹配。</w:t>
            </w:r>
          </w:p>
        </w:tc>
      </w:tr>
      <w:tr w14:paraId="57F8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77" w:hRule="atLeast"/>
          <w:jc w:val="center"/>
        </w:trPr>
        <w:tc>
          <w:tcPr>
            <w:tcW w:w="642" w:type="dxa"/>
            <w:vMerge w:val="continue"/>
            <w:shd w:val="clear" w:color="auto" w:fill="auto"/>
            <w:vAlign w:val="center"/>
          </w:tcPr>
          <w:p w14:paraId="4C696E2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auto"/>
            <w:vAlign w:val="center"/>
          </w:tcPr>
          <w:p w14:paraId="0F97782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auto"/>
            <w:vAlign w:val="center"/>
          </w:tcPr>
          <w:p w14:paraId="4634E0E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资金分配</w:t>
            </w:r>
          </w:p>
          <w:p w14:paraId="13FADD1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合理性</w:t>
            </w:r>
          </w:p>
        </w:tc>
        <w:tc>
          <w:tcPr>
            <w:tcW w:w="1996" w:type="dxa"/>
            <w:shd w:val="clear" w:color="auto" w:fill="auto"/>
            <w:vAlign w:val="center"/>
          </w:tcPr>
          <w:p w14:paraId="43B72B6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项目预算资金分配是否有测算依据，与补助单位或地方实际是否相适应，用以反映和考核项目预算资金分配的科学性、合理性情况。</w:t>
            </w:r>
          </w:p>
        </w:tc>
        <w:tc>
          <w:tcPr>
            <w:tcW w:w="3793" w:type="dxa"/>
            <w:shd w:val="clear" w:color="auto" w:fill="auto"/>
            <w:vAlign w:val="center"/>
          </w:tcPr>
          <w:p w14:paraId="33C1424A">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63DFDE3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①预算资金分配依据是否充分；</w:t>
            </w:r>
          </w:p>
          <w:p w14:paraId="7E6041B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②资金分配额度是否合理，与项目单位或地方实际是否相适应。</w:t>
            </w:r>
          </w:p>
        </w:tc>
      </w:tr>
      <w:tr w14:paraId="6A72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69" w:hRule="atLeast"/>
          <w:jc w:val="center"/>
        </w:trPr>
        <w:tc>
          <w:tcPr>
            <w:tcW w:w="642" w:type="dxa"/>
            <w:vMerge w:val="restart"/>
            <w:shd w:val="clear" w:color="auto" w:fill="auto"/>
            <w:vAlign w:val="center"/>
          </w:tcPr>
          <w:p w14:paraId="1A554B73">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过程</w:t>
            </w:r>
          </w:p>
        </w:tc>
        <w:tc>
          <w:tcPr>
            <w:tcW w:w="1196" w:type="dxa"/>
            <w:vMerge w:val="restart"/>
            <w:shd w:val="clear" w:color="auto" w:fill="auto"/>
            <w:vAlign w:val="center"/>
          </w:tcPr>
          <w:p w14:paraId="457C07F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资金管理</w:t>
            </w:r>
          </w:p>
        </w:tc>
        <w:tc>
          <w:tcPr>
            <w:tcW w:w="1050" w:type="dxa"/>
            <w:shd w:val="clear" w:color="auto" w:fill="auto"/>
            <w:vAlign w:val="center"/>
          </w:tcPr>
          <w:p w14:paraId="0839E13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资金到位率</w:t>
            </w:r>
          </w:p>
        </w:tc>
        <w:tc>
          <w:tcPr>
            <w:tcW w:w="1996" w:type="dxa"/>
            <w:shd w:val="clear" w:color="auto" w:fill="auto"/>
            <w:vAlign w:val="center"/>
          </w:tcPr>
          <w:p w14:paraId="0165B3B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实际到位资金与预算资金的比率，用以反映和考核资金落实情况对项目实施的总体保障程度。</w:t>
            </w:r>
          </w:p>
        </w:tc>
        <w:tc>
          <w:tcPr>
            <w:tcW w:w="3793" w:type="dxa"/>
            <w:shd w:val="clear" w:color="auto" w:fill="auto"/>
            <w:vAlign w:val="center"/>
          </w:tcPr>
          <w:p w14:paraId="0F557A7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资金到位率=（实际到位资金/预算资金）×100%。</w:t>
            </w:r>
          </w:p>
          <w:p w14:paraId="1D06D32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实际到位资金：一定时期（本年度或项目期）内落实到具体项目的资金。</w:t>
            </w:r>
          </w:p>
          <w:p w14:paraId="5C2BD74C">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预算资金：一定时期（本年度或项目期）内预算安排到具体项目的资金。</w:t>
            </w:r>
          </w:p>
        </w:tc>
      </w:tr>
      <w:tr w14:paraId="1BB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0" w:hRule="atLeast"/>
          <w:jc w:val="center"/>
        </w:trPr>
        <w:tc>
          <w:tcPr>
            <w:tcW w:w="642" w:type="dxa"/>
            <w:vMerge w:val="continue"/>
            <w:shd w:val="clear" w:color="auto" w:fill="auto"/>
            <w:vAlign w:val="center"/>
          </w:tcPr>
          <w:p w14:paraId="4176F3F1">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auto"/>
            <w:vAlign w:val="center"/>
          </w:tcPr>
          <w:p w14:paraId="204D0DF5">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auto"/>
            <w:vAlign w:val="center"/>
          </w:tcPr>
          <w:p w14:paraId="6A56CC6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预算执行率</w:t>
            </w:r>
          </w:p>
        </w:tc>
        <w:tc>
          <w:tcPr>
            <w:tcW w:w="1996" w:type="dxa"/>
            <w:shd w:val="clear" w:color="auto" w:fill="auto"/>
            <w:vAlign w:val="center"/>
          </w:tcPr>
          <w:p w14:paraId="3DC1FA32">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项目预算资金是否按照计划执行，用以反映或考核项目预算执行情况。</w:t>
            </w:r>
          </w:p>
        </w:tc>
        <w:tc>
          <w:tcPr>
            <w:tcW w:w="3793" w:type="dxa"/>
            <w:shd w:val="clear" w:color="auto" w:fill="auto"/>
            <w:vAlign w:val="center"/>
          </w:tcPr>
          <w:p w14:paraId="14276E7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预算执行率=（实际支出资金/实际到位资金）×100%。</w:t>
            </w:r>
          </w:p>
          <w:p w14:paraId="3D0DF08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实际支出资金：一定时期（本年度或项目期）内项目实际拨付的资金。</w:t>
            </w:r>
          </w:p>
        </w:tc>
      </w:tr>
      <w:tr w14:paraId="0CFF8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4" w:hRule="atLeast"/>
          <w:jc w:val="center"/>
        </w:trPr>
        <w:tc>
          <w:tcPr>
            <w:tcW w:w="642" w:type="dxa"/>
            <w:vMerge w:val="continue"/>
            <w:shd w:val="clear" w:color="auto" w:fill="auto"/>
            <w:vAlign w:val="center"/>
          </w:tcPr>
          <w:p w14:paraId="06BF865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auto"/>
            <w:vAlign w:val="center"/>
          </w:tcPr>
          <w:p w14:paraId="0EE953A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auto"/>
            <w:vAlign w:val="center"/>
          </w:tcPr>
          <w:p w14:paraId="04A2E96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资金使用</w:t>
            </w:r>
          </w:p>
          <w:p w14:paraId="681F32E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合规性</w:t>
            </w:r>
          </w:p>
        </w:tc>
        <w:tc>
          <w:tcPr>
            <w:tcW w:w="1996" w:type="dxa"/>
            <w:shd w:val="clear" w:color="auto" w:fill="auto"/>
            <w:vAlign w:val="center"/>
          </w:tcPr>
          <w:p w14:paraId="14CBD7D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项目资金使用是否符合相关的财务管理制度规定，用以反映和考核项目资金的规范运行情况。</w:t>
            </w:r>
          </w:p>
        </w:tc>
        <w:tc>
          <w:tcPr>
            <w:tcW w:w="3793" w:type="dxa"/>
            <w:shd w:val="clear" w:color="auto" w:fill="auto"/>
            <w:vAlign w:val="center"/>
          </w:tcPr>
          <w:p w14:paraId="4E2A7A50">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08BD872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①是否符合国家财经法规和财务管理制度以及有关专项资金管理办法的规定；</w:t>
            </w:r>
          </w:p>
          <w:p w14:paraId="49B7CEB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②资金的拨付是否有完整的审批程序和手续；</w:t>
            </w:r>
          </w:p>
          <w:p w14:paraId="0ED798B2">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③是否符合项目预算批复或合同规定的用途；</w:t>
            </w:r>
          </w:p>
          <w:p w14:paraId="457F0FD1">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④是否存在截留、挤占、挪用、虚列支出等情况。</w:t>
            </w:r>
          </w:p>
        </w:tc>
      </w:tr>
      <w:tr w14:paraId="3A92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69" w:hRule="atLeast"/>
          <w:jc w:val="center"/>
        </w:trPr>
        <w:tc>
          <w:tcPr>
            <w:tcW w:w="642" w:type="dxa"/>
            <w:vMerge w:val="continue"/>
            <w:shd w:val="clear" w:color="auto" w:fill="auto"/>
            <w:vAlign w:val="center"/>
          </w:tcPr>
          <w:p w14:paraId="3142AE16">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restart"/>
            <w:shd w:val="clear" w:color="auto" w:fill="auto"/>
            <w:vAlign w:val="center"/>
          </w:tcPr>
          <w:p w14:paraId="72C25D5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组织实施</w:t>
            </w:r>
          </w:p>
        </w:tc>
        <w:tc>
          <w:tcPr>
            <w:tcW w:w="1050" w:type="dxa"/>
            <w:shd w:val="clear" w:color="auto" w:fill="auto"/>
            <w:vAlign w:val="center"/>
          </w:tcPr>
          <w:p w14:paraId="65FB00E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管理制度</w:t>
            </w:r>
          </w:p>
          <w:p w14:paraId="2498377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健全性</w:t>
            </w:r>
          </w:p>
        </w:tc>
        <w:tc>
          <w:tcPr>
            <w:tcW w:w="1996" w:type="dxa"/>
            <w:shd w:val="clear" w:color="auto" w:fill="auto"/>
            <w:vAlign w:val="center"/>
          </w:tcPr>
          <w:p w14:paraId="2340395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项目实施单位的财务和业务管理制度是否健全，用以反映和考核财务和业务管理制度对项目顺利实施的保障情况。</w:t>
            </w:r>
          </w:p>
        </w:tc>
        <w:tc>
          <w:tcPr>
            <w:tcW w:w="3793" w:type="dxa"/>
            <w:shd w:val="clear" w:color="auto" w:fill="auto"/>
            <w:vAlign w:val="center"/>
          </w:tcPr>
          <w:p w14:paraId="6FAFD8DA">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0404BFFB">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①是否已制定或具有相应的财务和业务管理制度；</w:t>
            </w:r>
          </w:p>
          <w:p w14:paraId="766A2B2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②财务和业务管理制度是否合法、合规、完整。</w:t>
            </w:r>
          </w:p>
        </w:tc>
      </w:tr>
      <w:tr w14:paraId="4EE30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9" w:hRule="atLeast"/>
          <w:jc w:val="center"/>
        </w:trPr>
        <w:tc>
          <w:tcPr>
            <w:tcW w:w="642" w:type="dxa"/>
            <w:vMerge w:val="continue"/>
            <w:shd w:val="clear" w:color="auto" w:fill="auto"/>
            <w:vAlign w:val="center"/>
          </w:tcPr>
          <w:p w14:paraId="610A97B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auto"/>
            <w:vAlign w:val="center"/>
          </w:tcPr>
          <w:p w14:paraId="7208C27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auto"/>
            <w:vAlign w:val="center"/>
          </w:tcPr>
          <w:p w14:paraId="5770BF3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制度执行</w:t>
            </w:r>
          </w:p>
          <w:p w14:paraId="47F3DB5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有效性</w:t>
            </w:r>
          </w:p>
        </w:tc>
        <w:tc>
          <w:tcPr>
            <w:tcW w:w="1996" w:type="dxa"/>
            <w:shd w:val="clear" w:color="auto" w:fill="auto"/>
            <w:vAlign w:val="center"/>
          </w:tcPr>
          <w:p w14:paraId="53B2599A">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项目实施是否符合相关管理规定，用以反映和考核相关管理制度的有效执行情况。</w:t>
            </w:r>
          </w:p>
        </w:tc>
        <w:tc>
          <w:tcPr>
            <w:tcW w:w="3793" w:type="dxa"/>
            <w:shd w:val="clear" w:color="auto" w:fill="auto"/>
            <w:vAlign w:val="center"/>
          </w:tcPr>
          <w:p w14:paraId="198633A0">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407C2783">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①是否遵守相关法律法规和相关管理规定；</w:t>
            </w:r>
          </w:p>
          <w:p w14:paraId="25C7064C">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②项目调整及支出调整手续是否完备；</w:t>
            </w:r>
          </w:p>
          <w:p w14:paraId="6903AD23">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③项目合同书、验收报告、技术鉴定等资料是否齐全并及时归档；</w:t>
            </w:r>
          </w:p>
          <w:p w14:paraId="0F853E53">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④项目实施的人员条件、场地设备、信息支撑等是否落实到位。</w:t>
            </w:r>
          </w:p>
        </w:tc>
      </w:tr>
      <w:tr w14:paraId="2AD7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9" w:hRule="atLeast"/>
          <w:jc w:val="center"/>
        </w:trPr>
        <w:tc>
          <w:tcPr>
            <w:tcW w:w="642" w:type="dxa"/>
            <w:vMerge w:val="restart"/>
            <w:shd w:val="clear" w:color="auto" w:fill="auto"/>
            <w:vAlign w:val="center"/>
          </w:tcPr>
          <w:p w14:paraId="06586BA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w:t>
            </w:r>
          </w:p>
        </w:tc>
        <w:tc>
          <w:tcPr>
            <w:tcW w:w="1196" w:type="dxa"/>
            <w:shd w:val="clear" w:color="auto" w:fill="auto"/>
            <w:vAlign w:val="center"/>
          </w:tcPr>
          <w:p w14:paraId="39428C4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产出数量</w:t>
            </w:r>
          </w:p>
        </w:tc>
        <w:tc>
          <w:tcPr>
            <w:tcW w:w="1050" w:type="dxa"/>
            <w:shd w:val="clear" w:color="auto" w:fill="auto"/>
            <w:vAlign w:val="center"/>
          </w:tcPr>
          <w:p w14:paraId="16DE7FB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实际完成率</w:t>
            </w:r>
          </w:p>
        </w:tc>
        <w:tc>
          <w:tcPr>
            <w:tcW w:w="1996" w:type="dxa"/>
            <w:shd w:val="clear" w:color="auto" w:fill="auto"/>
            <w:vAlign w:val="center"/>
          </w:tcPr>
          <w:p w14:paraId="0381F28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项目实施的实际产出数与计划产出数的比率，用以反映和考核项目产出数量目标的实现程度。</w:t>
            </w:r>
          </w:p>
        </w:tc>
        <w:tc>
          <w:tcPr>
            <w:tcW w:w="3793" w:type="dxa"/>
            <w:shd w:val="clear" w:color="auto" w:fill="auto"/>
            <w:vAlign w:val="center"/>
          </w:tcPr>
          <w:p w14:paraId="21AB4D4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实际完成率=（实际产出数/计划产出数）×100%。</w:t>
            </w:r>
          </w:p>
          <w:p w14:paraId="0B6EB02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实际产出数：一定时期（本年度或项目期）内项目实际产出的产品或提供的服务数量。</w:t>
            </w:r>
          </w:p>
          <w:p w14:paraId="5BC786F1">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计划产出数：项目绩效目标确定的在一定时期（本年度或项目期）内计划产出的产品或提供的服务数量。</w:t>
            </w:r>
          </w:p>
        </w:tc>
      </w:tr>
      <w:tr w14:paraId="3985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642" w:type="dxa"/>
            <w:vMerge w:val="continue"/>
            <w:shd w:val="clear" w:color="auto" w:fill="auto"/>
            <w:vAlign w:val="center"/>
          </w:tcPr>
          <w:p w14:paraId="6E29C78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shd w:val="clear" w:color="auto" w:fill="auto"/>
            <w:vAlign w:val="center"/>
          </w:tcPr>
          <w:p w14:paraId="4D7E814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产出质量</w:t>
            </w:r>
          </w:p>
        </w:tc>
        <w:tc>
          <w:tcPr>
            <w:tcW w:w="1050" w:type="dxa"/>
            <w:shd w:val="clear" w:color="auto" w:fill="auto"/>
            <w:vAlign w:val="center"/>
          </w:tcPr>
          <w:p w14:paraId="52362C8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质量达标率</w:t>
            </w:r>
          </w:p>
        </w:tc>
        <w:tc>
          <w:tcPr>
            <w:tcW w:w="1996" w:type="dxa"/>
            <w:shd w:val="clear" w:color="auto" w:fill="auto"/>
            <w:vAlign w:val="center"/>
          </w:tcPr>
          <w:p w14:paraId="7D3EFE6D">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项目完成的质量达标产出数与实际产出数的比率，用以反映和考核项目产出质量目标的实现程度。</w:t>
            </w:r>
          </w:p>
        </w:tc>
        <w:tc>
          <w:tcPr>
            <w:tcW w:w="3793" w:type="dxa"/>
            <w:shd w:val="clear" w:color="auto" w:fill="auto"/>
            <w:vAlign w:val="center"/>
          </w:tcPr>
          <w:p w14:paraId="7B01396A">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质量达标率=（质量达标产出数/实际产出数）×100%。</w:t>
            </w:r>
          </w:p>
          <w:p w14:paraId="629B8C40">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14:paraId="3A99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42" w:type="dxa"/>
            <w:vMerge w:val="continue"/>
            <w:shd w:val="clear" w:color="auto" w:fill="auto"/>
            <w:vAlign w:val="center"/>
          </w:tcPr>
          <w:p w14:paraId="572678CB">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shd w:val="clear" w:color="auto" w:fill="auto"/>
            <w:vAlign w:val="center"/>
          </w:tcPr>
          <w:p w14:paraId="1FBCFE89">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产出时效</w:t>
            </w:r>
          </w:p>
        </w:tc>
        <w:tc>
          <w:tcPr>
            <w:tcW w:w="1050" w:type="dxa"/>
            <w:shd w:val="clear" w:color="auto" w:fill="auto"/>
            <w:vAlign w:val="center"/>
          </w:tcPr>
          <w:p w14:paraId="64EFBE7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完成及时性</w:t>
            </w:r>
          </w:p>
        </w:tc>
        <w:tc>
          <w:tcPr>
            <w:tcW w:w="1996" w:type="dxa"/>
            <w:shd w:val="clear" w:color="auto" w:fill="auto"/>
            <w:vAlign w:val="center"/>
          </w:tcPr>
          <w:p w14:paraId="50744CA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项目实际完成时间与计划完成时间的比较，用以反映和考核项目产出时效目标的实现程度。</w:t>
            </w:r>
          </w:p>
        </w:tc>
        <w:tc>
          <w:tcPr>
            <w:tcW w:w="3793" w:type="dxa"/>
            <w:shd w:val="clear" w:color="auto" w:fill="auto"/>
            <w:vAlign w:val="center"/>
          </w:tcPr>
          <w:p w14:paraId="0C0442F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实际完成时间：项目实施单位完成该项目实际所耗用的时间。</w:t>
            </w:r>
          </w:p>
          <w:p w14:paraId="4DC17C2C">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计划完成时间：按照项目实施计划或相关规定完成该项目所需的时间。</w:t>
            </w:r>
          </w:p>
        </w:tc>
      </w:tr>
      <w:tr w14:paraId="4582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69" w:hRule="atLeast"/>
          <w:jc w:val="center"/>
        </w:trPr>
        <w:tc>
          <w:tcPr>
            <w:tcW w:w="642" w:type="dxa"/>
            <w:vMerge w:val="continue"/>
            <w:shd w:val="clear" w:color="auto" w:fill="auto"/>
            <w:vAlign w:val="center"/>
          </w:tcPr>
          <w:p w14:paraId="51E21E8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shd w:val="clear" w:color="auto" w:fill="auto"/>
            <w:vAlign w:val="center"/>
          </w:tcPr>
          <w:p w14:paraId="34E0FA1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产出成本</w:t>
            </w:r>
          </w:p>
        </w:tc>
        <w:tc>
          <w:tcPr>
            <w:tcW w:w="1050" w:type="dxa"/>
            <w:shd w:val="clear" w:color="auto" w:fill="auto"/>
            <w:vAlign w:val="center"/>
          </w:tcPr>
          <w:p w14:paraId="5C6D663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成本节约率</w:t>
            </w:r>
          </w:p>
        </w:tc>
        <w:tc>
          <w:tcPr>
            <w:tcW w:w="1996" w:type="dxa"/>
            <w:shd w:val="clear" w:color="auto" w:fill="auto"/>
            <w:vAlign w:val="center"/>
          </w:tcPr>
          <w:p w14:paraId="719FADF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完成项目计划工作目标的实际节约成本与计划成本的比率，用以反映和考核项目的成本节约程度。</w:t>
            </w:r>
          </w:p>
        </w:tc>
        <w:tc>
          <w:tcPr>
            <w:tcW w:w="3793" w:type="dxa"/>
            <w:shd w:val="clear" w:color="auto" w:fill="auto"/>
            <w:vAlign w:val="center"/>
          </w:tcPr>
          <w:p w14:paraId="2F3FA79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成本节约率=[（计划成本-实际成本）/计划成本]×100%。</w:t>
            </w:r>
          </w:p>
          <w:p w14:paraId="3F9DD6CD">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实际成本：项目实施单位如期、保质、保量完成既定工作目标实际所耗费的支出。</w:t>
            </w:r>
          </w:p>
          <w:p w14:paraId="2BC9ED7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计划成本：项目实施单位为完成工作目标计划安排的支出，一般以项目预算为参考。</w:t>
            </w:r>
          </w:p>
        </w:tc>
      </w:tr>
      <w:tr w14:paraId="2AB1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42" w:type="dxa"/>
            <w:vMerge w:val="restart"/>
            <w:shd w:val="clear" w:color="auto" w:fill="auto"/>
            <w:vAlign w:val="center"/>
          </w:tcPr>
          <w:p w14:paraId="6EC3A22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效益</w:t>
            </w:r>
          </w:p>
        </w:tc>
        <w:tc>
          <w:tcPr>
            <w:tcW w:w="1196" w:type="dxa"/>
            <w:vMerge w:val="restart"/>
            <w:shd w:val="clear" w:color="auto" w:fill="auto"/>
            <w:vAlign w:val="center"/>
          </w:tcPr>
          <w:p w14:paraId="6671BE6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项目效益</w:t>
            </w:r>
          </w:p>
        </w:tc>
        <w:tc>
          <w:tcPr>
            <w:tcW w:w="1050" w:type="dxa"/>
            <w:shd w:val="clear" w:color="auto" w:fill="auto"/>
            <w:vAlign w:val="center"/>
          </w:tcPr>
          <w:p w14:paraId="2BAEEEC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实施效益</w:t>
            </w:r>
          </w:p>
        </w:tc>
        <w:tc>
          <w:tcPr>
            <w:tcW w:w="1996" w:type="dxa"/>
            <w:shd w:val="clear" w:color="auto" w:fill="auto"/>
            <w:vAlign w:val="center"/>
          </w:tcPr>
          <w:p w14:paraId="54D0B733">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项目实施所产生的效益。</w:t>
            </w:r>
          </w:p>
        </w:tc>
        <w:tc>
          <w:tcPr>
            <w:tcW w:w="3793" w:type="dxa"/>
            <w:shd w:val="clear" w:color="auto" w:fill="auto"/>
            <w:vAlign w:val="center"/>
          </w:tcPr>
          <w:p w14:paraId="62458D3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项目实施所产生的社会效益、经济效益、生态效益、可持续影响等。可根据项目实际情况有选择地设置和细化。</w:t>
            </w:r>
          </w:p>
        </w:tc>
      </w:tr>
      <w:tr w14:paraId="7F3C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42" w:type="dxa"/>
            <w:vMerge w:val="continue"/>
            <w:shd w:val="clear" w:color="auto" w:fill="auto"/>
            <w:vAlign w:val="center"/>
          </w:tcPr>
          <w:p w14:paraId="303B8AA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auto"/>
            <w:vAlign w:val="center"/>
          </w:tcPr>
          <w:p w14:paraId="5510D6A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auto"/>
            <w:vAlign w:val="center"/>
          </w:tcPr>
          <w:p w14:paraId="1D6D8EC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满意度</w:t>
            </w:r>
          </w:p>
        </w:tc>
        <w:tc>
          <w:tcPr>
            <w:tcW w:w="1996" w:type="dxa"/>
            <w:shd w:val="clear" w:color="auto" w:fill="auto"/>
            <w:vAlign w:val="center"/>
          </w:tcPr>
          <w:p w14:paraId="12987EE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社会公众或服务对象对项目实施效果的满意程度。</w:t>
            </w:r>
          </w:p>
        </w:tc>
        <w:tc>
          <w:tcPr>
            <w:tcW w:w="3793" w:type="dxa"/>
            <w:shd w:val="clear" w:color="auto" w:fill="auto"/>
            <w:vAlign w:val="center"/>
          </w:tcPr>
          <w:p w14:paraId="2F8E02C0">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社会公众或服务对象是指因该项目实施而受到影响的部门（单位）、群体或个人。一般采取社会调查的方式。</w:t>
            </w:r>
          </w:p>
        </w:tc>
      </w:tr>
    </w:tbl>
    <w:p w14:paraId="06E567A4">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val="en-US" w:eastAsia="zh-CN"/>
        </w:rPr>
      </w:pPr>
      <w:bookmarkStart w:id="30" w:name="_Toc9941"/>
      <w:r>
        <w:rPr>
          <w:rFonts w:hint="eastAsia" w:ascii="宋体" w:hAnsi="宋体" w:eastAsia="宋体"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rPr>
        <w:t>评价</w:t>
      </w:r>
      <w:r>
        <w:rPr>
          <w:rFonts w:hint="eastAsia" w:ascii="宋体" w:hAnsi="宋体" w:eastAsia="宋体" w:cs="宋体"/>
          <w:color w:val="auto"/>
          <w:highlight w:val="none"/>
          <w:shd w:val="clear" w:color="auto" w:fill="auto"/>
          <w:lang w:val="en-US" w:eastAsia="zh-CN"/>
        </w:rPr>
        <w:t>方法</w:t>
      </w:r>
      <w:bookmarkEnd w:id="30"/>
    </w:p>
    <w:p w14:paraId="530D6D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rPr>
        <w:t>本次绩效评价采用的方法</w:t>
      </w:r>
      <w:r>
        <w:rPr>
          <w:rFonts w:hint="eastAsia" w:cs="宋体"/>
          <w:color w:val="auto"/>
          <w:highlight w:val="none"/>
          <w:shd w:val="clear" w:color="auto" w:fill="auto"/>
          <w:lang w:val="en-US" w:eastAsia="zh-CN"/>
        </w:rPr>
        <w:t>为</w:t>
      </w:r>
      <w:r>
        <w:rPr>
          <w:rFonts w:hint="eastAsia" w:ascii="宋体" w:hAnsi="宋体" w:eastAsia="宋体" w:cs="宋体"/>
          <w:color w:val="auto"/>
          <w:highlight w:val="none"/>
          <w:shd w:val="clear" w:color="auto" w:fill="auto"/>
        </w:rPr>
        <w:t>比较法</w:t>
      </w:r>
      <w:r>
        <w:rPr>
          <w:rFonts w:hint="eastAsia" w:ascii="宋体" w:hAnsi="宋体" w:eastAsia="宋体" w:cs="宋体"/>
          <w:color w:val="auto"/>
          <w:highlight w:val="none"/>
          <w:shd w:val="clear" w:color="auto" w:fill="auto"/>
          <w:lang w:eastAsia="zh-CN"/>
        </w:rPr>
        <w:t>、因素分析法、公众评判法</w:t>
      </w:r>
      <w:r>
        <w:rPr>
          <w:rFonts w:hint="eastAsia" w:ascii="宋体" w:hAnsi="宋体" w:eastAsia="宋体" w:cs="宋体"/>
          <w:color w:val="auto"/>
          <w:highlight w:val="none"/>
          <w:shd w:val="clear" w:color="auto" w:fill="auto"/>
          <w:lang w:val="en-US" w:eastAsia="zh-CN"/>
        </w:rPr>
        <w:t>对项目绩效目标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与实施情况进行比较，以及采取公众问卷及抽样调查等方式进行评判的方法对</w:t>
      </w:r>
      <w:r>
        <w:rPr>
          <w:rFonts w:hint="eastAsia" w:cs="宋体"/>
          <w:color w:val="auto"/>
          <w:highlight w:val="none"/>
          <w:shd w:val="clear" w:color="auto" w:fill="auto"/>
          <w:lang w:val="en-US" w:eastAsia="zh-CN"/>
        </w:rPr>
        <w:t>全民健康体检</w:t>
      </w:r>
      <w:r>
        <w:rPr>
          <w:rFonts w:hint="eastAsia" w:ascii="宋体" w:hAnsi="宋体" w:eastAsia="宋体" w:cs="宋体"/>
          <w:color w:val="auto"/>
          <w:highlight w:val="none"/>
          <w:shd w:val="clear" w:color="auto" w:fill="auto"/>
          <w:lang w:val="en-US" w:eastAsia="zh-CN"/>
        </w:rPr>
        <w:t>项目进行评价。</w:t>
      </w:r>
    </w:p>
    <w:p w14:paraId="538886D4">
      <w:pPr>
        <w:pStyle w:val="5"/>
        <w:rPr>
          <w:rFonts w:hint="default" w:ascii="宋体" w:hAnsi="宋体" w:eastAsia="宋体" w:cs="宋体"/>
          <w:color w:val="auto"/>
          <w:highlight w:val="none"/>
          <w:shd w:val="clear" w:color="auto" w:fill="auto"/>
          <w:lang w:val="en-US" w:eastAsia="zh-CN"/>
        </w:rPr>
      </w:pPr>
      <w:bookmarkStart w:id="31" w:name="_Toc25391"/>
      <w:r>
        <w:rPr>
          <w:rFonts w:hint="eastAsia" w:ascii="宋体" w:hAnsi="宋体" w:eastAsia="宋体" w:cs="宋体"/>
          <w:color w:val="auto"/>
          <w:highlight w:val="none"/>
          <w:shd w:val="clear" w:color="auto" w:fill="auto"/>
          <w:lang w:val="en-US" w:eastAsia="zh-CN"/>
        </w:rPr>
        <w:t>4.评价标准</w:t>
      </w:r>
      <w:bookmarkEnd w:id="31"/>
    </w:p>
    <w:p w14:paraId="6637E0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（1）计划标准。指以预先制定的目标、计划、预算、定额等作为评价标准。</w:t>
      </w:r>
    </w:p>
    <w:p w14:paraId="75F341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（2）行业标准。指参照国家公布的行业指标数据制定的评价标准。</w:t>
      </w:r>
    </w:p>
    <w:p w14:paraId="0DAC72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（3）历史标准。指参照历史数据制定的评价标准，为体现绩效改进的原则，在可实现的条件下应当确定相对较高的评价标准。</w:t>
      </w:r>
    </w:p>
    <w:p w14:paraId="1E9075B0">
      <w:pPr>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（4）财政部门和预算部门确认或认可的其他标准。</w:t>
      </w:r>
    </w:p>
    <w:p w14:paraId="31E9CAB6">
      <w:pPr>
        <w:pStyle w:val="5"/>
        <w:outlineLvl w:val="1"/>
        <w:rPr>
          <w:rFonts w:hint="default" w:ascii="宋体" w:hAnsi="宋体" w:eastAsia="宋体" w:cs="宋体"/>
          <w:color w:val="auto"/>
          <w:highlight w:val="none"/>
          <w:shd w:val="clear" w:color="auto" w:fill="auto"/>
          <w:lang w:val="en-US" w:eastAsia="zh-CN"/>
        </w:rPr>
      </w:pPr>
      <w:bookmarkStart w:id="32" w:name="_Toc1070"/>
      <w:r>
        <w:rPr>
          <w:rFonts w:hint="eastAsia" w:ascii="宋体" w:hAnsi="宋体" w:eastAsia="宋体" w:cs="宋体"/>
          <w:color w:val="auto"/>
          <w:highlight w:val="none"/>
          <w:shd w:val="clear" w:color="auto" w:fill="auto"/>
          <w:lang w:val="en-US" w:eastAsia="zh-CN"/>
        </w:rPr>
        <w:t>（三）绩效评价工作过程</w:t>
      </w:r>
      <w:bookmarkEnd w:id="32"/>
    </w:p>
    <w:p w14:paraId="10D903B1">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highlight w:val="none"/>
          <w:shd w:val="clear" w:color="auto" w:fill="auto"/>
          <w:lang w:val="en-US" w:eastAsia="zh-CN"/>
        </w:rPr>
      </w:pPr>
      <w:bookmarkStart w:id="33" w:name="_Toc12862"/>
      <w:r>
        <w:rPr>
          <w:rFonts w:hint="eastAsia" w:ascii="宋体" w:hAnsi="宋体" w:eastAsia="宋体" w:cs="宋体"/>
          <w:color w:val="auto"/>
          <w:highlight w:val="none"/>
          <w:shd w:val="clear" w:color="auto" w:fill="auto"/>
          <w:lang w:val="en-US" w:eastAsia="zh-CN"/>
        </w:rPr>
        <w:t>1.前期准备</w:t>
      </w:r>
      <w:bookmarkEnd w:id="33"/>
    </w:p>
    <w:p w14:paraId="59333A18">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（1）成立绩效评价项目小组</w:t>
      </w:r>
    </w:p>
    <w:p w14:paraId="00F36676">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为确保该项目绩效评价的顺利实施，评价机构组建了绩效评价项目小组。项目小组负责建立联络制度、明确评价责任人、制定评价方案、实施具体评价等工作。</w:t>
      </w:r>
    </w:p>
    <w:p w14:paraId="442662A8">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34" w:name="_Toc31571"/>
      <w:r>
        <w:rPr>
          <w:rFonts w:hint="eastAsia" w:ascii="宋体" w:hAnsi="宋体" w:eastAsia="宋体" w:cs="宋体"/>
          <w:b w:val="0"/>
          <w:bCs w:val="0"/>
          <w:color w:val="auto"/>
          <w:kern w:val="2"/>
          <w:sz w:val="28"/>
          <w:szCs w:val="24"/>
          <w:highlight w:val="none"/>
          <w:shd w:val="clear" w:color="auto" w:fill="auto"/>
          <w:lang w:val="en-US" w:eastAsia="zh-CN" w:bidi="ar-SA"/>
        </w:rPr>
        <w:t>（2）开展前期调研</w:t>
      </w:r>
      <w:bookmarkEnd w:id="34"/>
    </w:p>
    <w:p w14:paraId="4206FC6A">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35" w:name="_Toc21240"/>
      <w:r>
        <w:rPr>
          <w:rFonts w:hint="eastAsia" w:ascii="宋体" w:hAnsi="宋体" w:eastAsia="宋体" w:cs="宋体"/>
          <w:b w:val="0"/>
          <w:bCs w:val="0"/>
          <w:color w:val="auto"/>
          <w:kern w:val="2"/>
          <w:sz w:val="28"/>
          <w:szCs w:val="24"/>
          <w:highlight w:val="none"/>
          <w:shd w:val="clear" w:color="auto" w:fill="auto"/>
          <w:lang w:val="en-US" w:eastAsia="zh-CN" w:bidi="ar-SA"/>
        </w:rPr>
        <w:t>绩效评价项目小组依据此次绩效评价受委托内容，对拟评价的项目实施前期调研。通过调研对全民健康体检项目实施内容、目标信息、预算信息以及其他的一些项目基本信息，有了初步了解，为制定绩效评价工作方案做好准备。</w:t>
      </w:r>
      <w:bookmarkEnd w:id="35"/>
    </w:p>
    <w:p w14:paraId="634AFBF6">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36" w:name="_Toc27977"/>
      <w:r>
        <w:rPr>
          <w:rFonts w:hint="eastAsia" w:ascii="宋体" w:hAnsi="宋体" w:eastAsia="宋体" w:cs="宋体"/>
          <w:b w:val="0"/>
          <w:bCs w:val="0"/>
          <w:color w:val="auto"/>
          <w:kern w:val="2"/>
          <w:sz w:val="28"/>
          <w:szCs w:val="24"/>
          <w:highlight w:val="none"/>
          <w:shd w:val="clear" w:color="auto" w:fill="auto"/>
          <w:lang w:val="en-US" w:eastAsia="zh-CN" w:bidi="ar-SA"/>
        </w:rPr>
        <w:t>（3）制订绩效评价工作方案</w:t>
      </w:r>
      <w:bookmarkEnd w:id="36"/>
    </w:p>
    <w:p w14:paraId="58FF008D">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37" w:name="_Toc19659"/>
      <w:r>
        <w:rPr>
          <w:rFonts w:hint="eastAsia" w:ascii="宋体" w:hAnsi="宋体" w:eastAsia="宋体" w:cs="宋体"/>
          <w:b w:val="0"/>
          <w:bCs w:val="0"/>
          <w:color w:val="auto"/>
          <w:kern w:val="2"/>
          <w:sz w:val="28"/>
          <w:szCs w:val="24"/>
          <w:highlight w:val="none"/>
          <w:shd w:val="clear" w:color="auto" w:fill="auto"/>
          <w:lang w:val="en-US" w:eastAsia="zh-CN" w:bidi="ar-SA"/>
        </w:rPr>
        <w:t>绩效评价项目小组根据有关规定和评价对象的特点以及前期调研收集的一些信息，拟定详细的绩效评价工作方案</w:t>
      </w:r>
      <w:r>
        <w:rPr>
          <w:rFonts w:hint="eastAsia" w:ascii="宋体" w:hAnsi="宋体" w:cs="宋体"/>
          <w:b w:val="0"/>
          <w:bCs w:val="0"/>
          <w:color w:val="auto"/>
          <w:kern w:val="2"/>
          <w:sz w:val="28"/>
          <w:szCs w:val="24"/>
          <w:highlight w:val="none"/>
          <w:shd w:val="clear" w:color="auto" w:fill="auto"/>
          <w:lang w:val="en-US" w:eastAsia="zh-CN" w:bidi="ar-SA"/>
        </w:rPr>
        <w:t>。</w:t>
      </w:r>
      <w:bookmarkEnd w:id="37"/>
    </w:p>
    <w:p w14:paraId="4E20338C">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2"/>
        <w:rPr>
          <w:rFonts w:hint="eastAsia" w:ascii="宋体" w:hAnsi="宋体" w:eastAsia="宋体" w:cs="宋体"/>
          <w:b w:val="0"/>
          <w:bCs w:val="0"/>
          <w:color w:val="auto"/>
          <w:kern w:val="2"/>
          <w:sz w:val="28"/>
          <w:szCs w:val="24"/>
          <w:highlight w:val="none"/>
          <w:shd w:val="clear" w:color="auto" w:fill="auto"/>
          <w:lang w:val="en-US" w:eastAsia="zh-CN" w:bidi="ar-SA"/>
        </w:rPr>
      </w:pPr>
      <w:bookmarkStart w:id="38" w:name="_Toc11353"/>
      <w:r>
        <w:rPr>
          <w:rFonts w:hint="eastAsia" w:ascii="宋体" w:hAnsi="宋体" w:eastAsia="宋体" w:cs="宋体"/>
          <w:b w:val="0"/>
          <w:bCs w:val="0"/>
          <w:color w:val="auto"/>
          <w:kern w:val="2"/>
          <w:sz w:val="28"/>
          <w:szCs w:val="24"/>
          <w:highlight w:val="none"/>
          <w:shd w:val="clear" w:color="auto" w:fill="auto"/>
          <w:lang w:val="en-US" w:eastAsia="zh-CN" w:bidi="ar-SA"/>
        </w:rPr>
        <w:t>2.具体实施</w:t>
      </w:r>
      <w:bookmarkEnd w:id="38"/>
    </w:p>
    <w:p w14:paraId="5F2AD0C9">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39" w:name="_Toc14111"/>
      <w:r>
        <w:rPr>
          <w:rFonts w:hint="eastAsia" w:ascii="宋体" w:hAnsi="宋体" w:eastAsia="宋体" w:cs="宋体"/>
          <w:b w:val="0"/>
          <w:bCs w:val="0"/>
          <w:color w:val="auto"/>
          <w:kern w:val="2"/>
          <w:sz w:val="28"/>
          <w:szCs w:val="24"/>
          <w:highlight w:val="none"/>
          <w:shd w:val="clear" w:color="auto" w:fill="auto"/>
          <w:lang w:val="en-US" w:eastAsia="zh-CN" w:bidi="ar-SA"/>
        </w:rPr>
        <w:t>（1）收集基础资料</w:t>
      </w:r>
      <w:bookmarkEnd w:id="39"/>
    </w:p>
    <w:p w14:paraId="77A2D344">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0" w:name="_Toc28524"/>
      <w:r>
        <w:rPr>
          <w:rFonts w:hint="eastAsia" w:ascii="宋体" w:hAnsi="宋体" w:eastAsia="宋体" w:cs="宋体"/>
          <w:b w:val="0"/>
          <w:bCs w:val="0"/>
          <w:color w:val="auto"/>
          <w:kern w:val="2"/>
          <w:sz w:val="28"/>
          <w:szCs w:val="24"/>
          <w:highlight w:val="none"/>
          <w:shd w:val="clear" w:color="auto" w:fill="auto"/>
          <w:lang w:val="en-US" w:eastAsia="zh-CN" w:bidi="ar-SA"/>
        </w:rPr>
        <w:t>根据评价工作的需要和要求，在前期调研的基础上，通过多种渠道全面收集项目基础信息资料，主要包括：</w:t>
      </w:r>
      <w:bookmarkEnd w:id="40"/>
    </w:p>
    <w:p w14:paraId="1174BC7E">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1" w:name="_Toc32216"/>
      <w:r>
        <w:rPr>
          <w:rFonts w:hint="eastAsia" w:ascii="宋体" w:hAnsi="宋体" w:eastAsia="宋体" w:cs="宋体"/>
          <w:b w:val="0"/>
          <w:bCs w:val="0"/>
          <w:color w:val="auto"/>
          <w:kern w:val="2"/>
          <w:sz w:val="28"/>
          <w:szCs w:val="24"/>
          <w:highlight w:val="none"/>
          <w:shd w:val="clear" w:color="auto" w:fill="auto"/>
          <w:lang w:val="en-US" w:eastAsia="zh-CN" w:bidi="ar-SA"/>
        </w:rPr>
        <w:t>①被评价单位基本概况，如单位职能、事业发展规划、预决算情况、项目立项依据等；</w:t>
      </w:r>
      <w:bookmarkEnd w:id="41"/>
    </w:p>
    <w:p w14:paraId="15A09589">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2" w:name="_Toc10505"/>
      <w:r>
        <w:rPr>
          <w:rFonts w:hint="eastAsia" w:ascii="宋体" w:hAnsi="宋体" w:eastAsia="宋体" w:cs="宋体"/>
          <w:b w:val="0"/>
          <w:bCs w:val="0"/>
          <w:color w:val="auto"/>
          <w:kern w:val="2"/>
          <w:sz w:val="28"/>
          <w:szCs w:val="24"/>
          <w:highlight w:val="none"/>
          <w:shd w:val="clear" w:color="auto" w:fill="auto"/>
          <w:lang w:val="en-US" w:eastAsia="zh-CN" w:bidi="ar-SA"/>
        </w:rPr>
        <w:t>②绩效目标及其设立依据和调整情况；</w:t>
      </w:r>
      <w:bookmarkEnd w:id="42"/>
    </w:p>
    <w:p w14:paraId="1C9FB015">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3" w:name="_Toc28365"/>
      <w:r>
        <w:rPr>
          <w:rFonts w:hint="eastAsia" w:ascii="宋体" w:hAnsi="宋体" w:eastAsia="宋体" w:cs="宋体"/>
          <w:b w:val="0"/>
          <w:bCs w:val="0"/>
          <w:color w:val="auto"/>
          <w:kern w:val="2"/>
          <w:sz w:val="28"/>
          <w:szCs w:val="24"/>
          <w:highlight w:val="none"/>
          <w:shd w:val="clear" w:color="auto" w:fill="auto"/>
          <w:lang w:val="en-US" w:eastAsia="zh-CN" w:bidi="ar-SA"/>
        </w:rPr>
        <w:t>③管理措施及组织实施情况；</w:t>
      </w:r>
      <w:bookmarkEnd w:id="43"/>
    </w:p>
    <w:p w14:paraId="4F70D175">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4" w:name="_Toc10091"/>
      <w:r>
        <w:rPr>
          <w:rFonts w:hint="eastAsia" w:ascii="宋体" w:hAnsi="宋体" w:eastAsia="宋体" w:cs="宋体"/>
          <w:b w:val="0"/>
          <w:bCs w:val="0"/>
          <w:color w:val="auto"/>
          <w:kern w:val="2"/>
          <w:sz w:val="28"/>
          <w:szCs w:val="24"/>
          <w:highlight w:val="none"/>
          <w:shd w:val="clear" w:color="auto" w:fill="auto"/>
          <w:lang w:val="en-US" w:eastAsia="zh-CN" w:bidi="ar-SA"/>
        </w:rPr>
        <w:t>④被评价单位总结分析的绩效目标完成情况及绩效报告；</w:t>
      </w:r>
      <w:bookmarkEnd w:id="44"/>
    </w:p>
    <w:p w14:paraId="31E0C2E8">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5" w:name="_Toc1"/>
      <w:r>
        <w:rPr>
          <w:rFonts w:hint="eastAsia" w:ascii="宋体" w:hAnsi="宋体" w:eastAsia="宋体" w:cs="宋体"/>
          <w:b w:val="0"/>
          <w:bCs w:val="0"/>
          <w:color w:val="auto"/>
          <w:kern w:val="2"/>
          <w:sz w:val="28"/>
          <w:szCs w:val="24"/>
          <w:highlight w:val="none"/>
          <w:shd w:val="clear" w:color="auto" w:fill="auto"/>
          <w:lang w:val="en-US" w:eastAsia="zh-CN" w:bidi="ar-SA"/>
        </w:rPr>
        <w:t>⑤与绩效评价相关的计划标准、行业标准、历史标准等；</w:t>
      </w:r>
      <w:bookmarkEnd w:id="45"/>
    </w:p>
    <w:p w14:paraId="0431E710">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6" w:name="_Toc20059"/>
      <w:r>
        <w:rPr>
          <w:rFonts w:hint="eastAsia" w:ascii="宋体" w:hAnsi="宋体" w:cs="宋体"/>
          <w:b w:val="0"/>
          <w:bCs w:val="0"/>
          <w:color w:val="auto"/>
          <w:kern w:val="2"/>
          <w:sz w:val="28"/>
          <w:szCs w:val="24"/>
          <w:highlight w:val="none"/>
          <w:shd w:val="clear" w:color="auto" w:fill="auto"/>
          <w:lang w:val="en-US" w:eastAsia="zh-CN" w:bidi="ar-SA"/>
        </w:rPr>
        <w:t>⑥</w:t>
      </w:r>
      <w:r>
        <w:rPr>
          <w:rFonts w:hint="eastAsia" w:ascii="宋体" w:hAnsi="宋体" w:eastAsia="宋体" w:cs="宋体"/>
          <w:b w:val="0"/>
          <w:bCs w:val="0"/>
          <w:color w:val="auto"/>
          <w:kern w:val="2"/>
          <w:sz w:val="28"/>
          <w:szCs w:val="24"/>
          <w:highlight w:val="none"/>
          <w:shd w:val="clear" w:color="auto" w:fill="auto"/>
          <w:lang w:val="en-US" w:eastAsia="zh-CN" w:bidi="ar-SA"/>
        </w:rPr>
        <w:t>其他必要的相关资料等。</w:t>
      </w:r>
      <w:bookmarkEnd w:id="46"/>
    </w:p>
    <w:p w14:paraId="5A8A0A6A">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7" w:name="_Toc31911"/>
      <w:r>
        <w:rPr>
          <w:rFonts w:hint="eastAsia" w:ascii="宋体" w:hAnsi="宋体" w:eastAsia="宋体" w:cs="宋体"/>
          <w:b w:val="0"/>
          <w:bCs w:val="0"/>
          <w:color w:val="auto"/>
          <w:kern w:val="2"/>
          <w:sz w:val="28"/>
          <w:szCs w:val="24"/>
          <w:highlight w:val="none"/>
          <w:shd w:val="clear" w:color="auto" w:fill="auto"/>
          <w:lang w:val="en-US" w:eastAsia="zh-CN" w:bidi="ar-SA"/>
        </w:rPr>
        <w:t>（2）整理、研读基础资料</w:t>
      </w:r>
      <w:bookmarkEnd w:id="47"/>
    </w:p>
    <w:p w14:paraId="3B9C4471">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8" w:name="_Toc167"/>
      <w:r>
        <w:rPr>
          <w:rFonts w:hint="eastAsia" w:ascii="宋体" w:hAnsi="宋体" w:eastAsia="宋体" w:cs="宋体"/>
          <w:b w:val="0"/>
          <w:bCs w:val="0"/>
          <w:color w:val="auto"/>
          <w:kern w:val="2"/>
          <w:sz w:val="28"/>
          <w:szCs w:val="24"/>
          <w:highlight w:val="none"/>
          <w:shd w:val="clear" w:color="auto" w:fill="auto"/>
          <w:lang w:val="en-US" w:eastAsia="zh-CN" w:bidi="ar-SA"/>
        </w:rPr>
        <w:t>对收集的基础资料进行分类整理、研读，并对所收集的资料进行核实和全面分析。通过基础资料的整理、研读，了解被评价对象的具体情况，分析被评价对象可能存在的问题，根据工作需要确定实地核查的内容，为现场核查做好准备。</w:t>
      </w:r>
      <w:bookmarkEnd w:id="48"/>
    </w:p>
    <w:p w14:paraId="701B14A9">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2"/>
        <w:rPr>
          <w:rFonts w:hint="default" w:ascii="宋体" w:hAnsi="宋体" w:eastAsia="宋体" w:cs="宋体"/>
          <w:b w:val="0"/>
          <w:bCs w:val="0"/>
          <w:color w:val="auto"/>
          <w:kern w:val="2"/>
          <w:sz w:val="28"/>
          <w:szCs w:val="24"/>
          <w:highlight w:val="none"/>
          <w:shd w:val="clear" w:color="auto" w:fill="auto"/>
          <w:lang w:val="en-US" w:eastAsia="zh-CN" w:bidi="ar-SA"/>
        </w:rPr>
      </w:pPr>
      <w:bookmarkStart w:id="49" w:name="_Toc30513"/>
      <w:r>
        <w:rPr>
          <w:rFonts w:hint="eastAsia" w:ascii="宋体" w:hAnsi="宋体" w:eastAsia="宋体" w:cs="宋体"/>
          <w:b w:val="0"/>
          <w:bCs w:val="0"/>
          <w:color w:val="auto"/>
          <w:kern w:val="2"/>
          <w:sz w:val="28"/>
          <w:szCs w:val="24"/>
          <w:highlight w:val="none"/>
          <w:shd w:val="clear" w:color="auto" w:fill="auto"/>
          <w:lang w:val="en-US" w:eastAsia="zh-CN" w:bidi="ar-SA"/>
        </w:rPr>
        <w:t>3.</w:t>
      </w:r>
      <w:r>
        <w:rPr>
          <w:rFonts w:hint="eastAsia" w:ascii="宋体" w:hAnsi="宋体" w:cs="宋体"/>
          <w:b w:val="0"/>
          <w:bCs w:val="0"/>
          <w:color w:val="auto"/>
          <w:kern w:val="2"/>
          <w:sz w:val="28"/>
          <w:szCs w:val="24"/>
          <w:highlight w:val="none"/>
          <w:shd w:val="clear" w:color="auto" w:fill="auto"/>
          <w:lang w:val="en-US" w:eastAsia="zh-CN" w:bidi="ar-SA"/>
        </w:rPr>
        <w:t>分析评价和撰写报告</w:t>
      </w:r>
      <w:bookmarkEnd w:id="49"/>
    </w:p>
    <w:p w14:paraId="07E9912E">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8"/>
          <w:highlight w:val="none"/>
          <w:shd w:val="clear" w:color="auto" w:fill="auto"/>
          <w:lang w:val="en-US" w:eastAsia="zh-CN" w:bidi="ar-SA"/>
        </w:rPr>
      </w:pPr>
      <w:bookmarkStart w:id="50" w:name="_Toc15974"/>
      <w:r>
        <w:rPr>
          <w:rFonts w:hint="eastAsia"/>
          <w:b w:val="0"/>
          <w:bCs w:val="0"/>
          <w:color w:val="auto"/>
          <w:sz w:val="28"/>
          <w:szCs w:val="28"/>
          <w:highlight w:val="none"/>
        </w:rPr>
        <w:t>（</w:t>
      </w:r>
      <w:r>
        <w:rPr>
          <w:rFonts w:hint="eastAsia" w:ascii="宋体" w:hAnsi="宋体" w:cs="宋体"/>
          <w:b w:val="0"/>
          <w:bCs w:val="0"/>
          <w:color w:val="auto"/>
          <w:kern w:val="2"/>
          <w:sz w:val="28"/>
          <w:szCs w:val="28"/>
          <w:highlight w:val="none"/>
          <w:shd w:val="clear" w:color="auto" w:fill="auto"/>
          <w:lang w:val="en-US" w:eastAsia="zh-CN" w:bidi="ar-SA"/>
        </w:rPr>
        <w:t>1</w:t>
      </w:r>
      <w:r>
        <w:rPr>
          <w:rFonts w:hint="eastAsia" w:ascii="宋体" w:hAnsi="宋体" w:eastAsia="宋体" w:cs="宋体"/>
          <w:b w:val="0"/>
          <w:bCs w:val="0"/>
          <w:color w:val="auto"/>
          <w:kern w:val="2"/>
          <w:sz w:val="28"/>
          <w:szCs w:val="28"/>
          <w:highlight w:val="none"/>
          <w:shd w:val="clear" w:color="auto" w:fill="auto"/>
          <w:lang w:val="en-US" w:eastAsia="zh-CN" w:bidi="ar-SA"/>
        </w:rPr>
        <w:t>）综合分析评价</w:t>
      </w:r>
      <w:bookmarkEnd w:id="50"/>
    </w:p>
    <w:p w14:paraId="70D0D9F9">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8"/>
          <w:highlight w:val="none"/>
          <w:shd w:val="clear" w:color="auto" w:fill="auto"/>
          <w:lang w:val="en-US" w:eastAsia="zh-CN" w:bidi="ar-SA"/>
        </w:rPr>
      </w:pPr>
      <w:bookmarkStart w:id="51" w:name="_Toc4352"/>
      <w:r>
        <w:rPr>
          <w:rFonts w:hint="eastAsia" w:ascii="宋体" w:hAnsi="宋体" w:eastAsia="宋体" w:cs="宋体"/>
          <w:b w:val="0"/>
          <w:bCs w:val="0"/>
          <w:color w:val="auto"/>
          <w:kern w:val="2"/>
          <w:sz w:val="28"/>
          <w:szCs w:val="28"/>
          <w:highlight w:val="none"/>
          <w:shd w:val="clear" w:color="auto" w:fill="auto"/>
          <w:lang w:val="en-US" w:eastAsia="zh-CN" w:bidi="ar-SA"/>
        </w:rPr>
        <w:t>①根据所收集的基础资料，结合现场核查的有关情况，整理出绩效评价所需的项目材料和基础数据。</w:t>
      </w:r>
      <w:bookmarkEnd w:id="51"/>
    </w:p>
    <w:p w14:paraId="37988D02">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bCs/>
          <w:color w:val="auto"/>
          <w:kern w:val="2"/>
          <w:sz w:val="28"/>
          <w:szCs w:val="24"/>
          <w:highlight w:val="none"/>
          <w:shd w:val="clear" w:color="auto" w:fill="auto"/>
          <w:lang w:val="en-US" w:eastAsia="zh-CN" w:bidi="ar-SA"/>
        </w:rPr>
      </w:pPr>
      <w:bookmarkStart w:id="52" w:name="_Toc26231"/>
      <w:r>
        <w:rPr>
          <w:rFonts w:hint="eastAsia" w:ascii="宋体" w:hAnsi="宋体" w:eastAsia="宋体" w:cs="宋体"/>
          <w:b w:val="0"/>
          <w:bCs w:val="0"/>
          <w:color w:val="auto"/>
          <w:kern w:val="2"/>
          <w:sz w:val="28"/>
          <w:szCs w:val="28"/>
          <w:highlight w:val="none"/>
          <w:shd w:val="clear" w:color="auto" w:fill="auto"/>
          <w:lang w:val="en-US" w:eastAsia="zh-CN" w:bidi="ar-SA"/>
        </w:rPr>
        <w:t>②将初步评价结论、调整</w:t>
      </w:r>
      <w:r>
        <w:rPr>
          <w:rFonts w:hint="eastAsia" w:ascii="宋体" w:hAnsi="宋体" w:eastAsia="宋体" w:cs="宋体"/>
          <w:b w:val="0"/>
          <w:bCs w:val="0"/>
          <w:color w:val="auto"/>
          <w:kern w:val="2"/>
          <w:sz w:val="28"/>
          <w:szCs w:val="24"/>
          <w:highlight w:val="none"/>
          <w:shd w:val="clear" w:color="auto" w:fill="auto"/>
          <w:lang w:val="en-US" w:eastAsia="zh-CN" w:bidi="ar-SA"/>
        </w:rPr>
        <w:t>事项、专家咨询意见和有关说明等</w:t>
      </w:r>
      <w:r>
        <w:rPr>
          <w:rFonts w:hint="eastAsia" w:ascii="宋体" w:hAnsi="宋体" w:cs="宋体"/>
          <w:b w:val="0"/>
          <w:bCs w:val="0"/>
          <w:color w:val="auto"/>
          <w:kern w:val="2"/>
          <w:sz w:val="28"/>
          <w:szCs w:val="24"/>
          <w:highlight w:val="none"/>
          <w:shd w:val="clear" w:color="auto" w:fill="auto"/>
          <w:lang w:val="en-US" w:eastAsia="zh-CN" w:bidi="ar-SA"/>
        </w:rPr>
        <w:t>提交单位内部讨论</w:t>
      </w:r>
      <w:r>
        <w:rPr>
          <w:rFonts w:hint="eastAsia" w:ascii="宋体" w:hAnsi="宋体" w:eastAsia="宋体" w:cs="宋体"/>
          <w:b w:val="0"/>
          <w:bCs w:val="0"/>
          <w:color w:val="auto"/>
          <w:kern w:val="2"/>
          <w:sz w:val="28"/>
          <w:szCs w:val="24"/>
          <w:highlight w:val="none"/>
          <w:shd w:val="clear" w:color="auto" w:fill="auto"/>
          <w:lang w:val="en-US" w:eastAsia="zh-CN" w:bidi="ar-SA"/>
        </w:rPr>
        <w:t>并征求意见。之后，对所征求的意见及时地进行收集和整理。</w:t>
      </w:r>
      <w:bookmarkEnd w:id="52"/>
    </w:p>
    <w:p w14:paraId="7740230D">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53" w:name="_Toc27759"/>
      <w:r>
        <w:rPr>
          <w:rFonts w:hint="eastAsia" w:ascii="宋体" w:hAnsi="宋体" w:eastAsia="宋体" w:cs="宋体"/>
          <w:b w:val="0"/>
          <w:bCs w:val="0"/>
          <w:color w:val="auto"/>
          <w:kern w:val="2"/>
          <w:sz w:val="28"/>
          <w:szCs w:val="24"/>
          <w:highlight w:val="none"/>
          <w:shd w:val="clear" w:color="auto" w:fill="auto"/>
          <w:lang w:val="en-US" w:eastAsia="zh-CN" w:bidi="ar-SA"/>
        </w:rPr>
        <w:t>（</w:t>
      </w:r>
      <w:r>
        <w:rPr>
          <w:rFonts w:hint="eastAsia" w:ascii="宋体" w:hAnsi="宋体" w:cs="宋体"/>
          <w:b w:val="0"/>
          <w:bCs w:val="0"/>
          <w:color w:val="auto"/>
          <w:kern w:val="2"/>
          <w:sz w:val="28"/>
          <w:szCs w:val="24"/>
          <w:highlight w:val="none"/>
          <w:shd w:val="clear" w:color="auto" w:fill="auto"/>
          <w:lang w:val="en-US" w:eastAsia="zh-CN" w:bidi="ar-SA"/>
        </w:rPr>
        <w:t>2</w:t>
      </w:r>
      <w:r>
        <w:rPr>
          <w:rFonts w:hint="eastAsia" w:ascii="宋体" w:hAnsi="宋体" w:eastAsia="宋体" w:cs="宋体"/>
          <w:b w:val="0"/>
          <w:bCs w:val="0"/>
          <w:color w:val="auto"/>
          <w:kern w:val="2"/>
          <w:sz w:val="28"/>
          <w:szCs w:val="24"/>
          <w:highlight w:val="none"/>
          <w:shd w:val="clear" w:color="auto" w:fill="auto"/>
          <w:lang w:val="en-US" w:eastAsia="zh-CN" w:bidi="ar-SA"/>
        </w:rPr>
        <w:t>）撰写报告</w:t>
      </w:r>
      <w:bookmarkEnd w:id="53"/>
    </w:p>
    <w:p w14:paraId="6B930F96">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54" w:name="_Toc15579"/>
      <w:r>
        <w:rPr>
          <w:rFonts w:hint="eastAsia" w:ascii="宋体" w:hAnsi="宋体" w:eastAsia="宋体" w:cs="宋体"/>
          <w:b w:val="0"/>
          <w:bCs w:val="0"/>
          <w:color w:val="auto"/>
          <w:kern w:val="2"/>
          <w:sz w:val="28"/>
          <w:szCs w:val="24"/>
          <w:highlight w:val="none"/>
          <w:shd w:val="clear" w:color="auto" w:fill="auto"/>
          <w:lang w:val="en-US" w:eastAsia="zh-CN" w:bidi="ar-SA"/>
        </w:rPr>
        <w:t>绩效评价项目小组依照整理、分析后的项目材料、数据资料，依据评价形成的初步结论，按照既定的格式和内容要求撰写绩效评价初步报告，</w:t>
      </w:r>
      <w:r>
        <w:rPr>
          <w:rFonts w:hint="eastAsia" w:ascii="宋体" w:hAnsi="宋体" w:cs="宋体"/>
          <w:b w:val="0"/>
          <w:bCs w:val="0"/>
          <w:color w:val="auto"/>
          <w:kern w:val="2"/>
          <w:sz w:val="28"/>
          <w:szCs w:val="24"/>
          <w:highlight w:val="none"/>
          <w:shd w:val="clear" w:color="auto" w:fill="auto"/>
          <w:lang w:val="en-US" w:eastAsia="zh-CN" w:bidi="ar-SA"/>
        </w:rPr>
        <w:t>最终</w:t>
      </w:r>
      <w:r>
        <w:rPr>
          <w:rFonts w:hint="eastAsia" w:ascii="宋体" w:hAnsi="宋体" w:eastAsia="宋体" w:cs="宋体"/>
          <w:b w:val="0"/>
          <w:bCs w:val="0"/>
          <w:color w:val="auto"/>
          <w:kern w:val="2"/>
          <w:sz w:val="28"/>
          <w:szCs w:val="24"/>
          <w:highlight w:val="none"/>
          <w:shd w:val="clear" w:color="auto" w:fill="auto"/>
          <w:lang w:val="en-US" w:eastAsia="zh-CN" w:bidi="ar-SA"/>
        </w:rPr>
        <w:t>形成评价结果。</w:t>
      </w:r>
      <w:bookmarkEnd w:id="54"/>
    </w:p>
    <w:p w14:paraId="29E69709">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rPr>
      </w:pPr>
      <w:bookmarkStart w:id="55" w:name="_Toc1100"/>
      <w:r>
        <w:rPr>
          <w:rFonts w:hint="eastAsia" w:ascii="宋体" w:hAnsi="宋体" w:eastAsia="宋体" w:cs="宋体"/>
          <w:b/>
          <w:bCs/>
          <w:color w:val="auto"/>
          <w:highlight w:val="none"/>
          <w:shd w:val="clear" w:color="auto" w:fill="auto"/>
          <w:lang w:val="en-US" w:eastAsia="zh-CN"/>
        </w:rPr>
        <w:t>三、</w:t>
      </w:r>
      <w:r>
        <w:rPr>
          <w:rFonts w:hint="eastAsia" w:ascii="宋体" w:hAnsi="宋体" w:eastAsia="宋体" w:cs="宋体"/>
          <w:b/>
          <w:bCs/>
          <w:color w:val="auto"/>
          <w:highlight w:val="none"/>
          <w:shd w:val="clear" w:color="auto" w:fill="auto"/>
        </w:rPr>
        <w:t>综合评价情况及评价结论</w:t>
      </w:r>
      <w:bookmarkEnd w:id="55"/>
    </w:p>
    <w:p w14:paraId="788043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zh-TW" w:eastAsia="zh-TW"/>
        </w:rPr>
      </w:pPr>
      <w:r>
        <w:rPr>
          <w:rFonts w:hint="eastAsia" w:ascii="宋体" w:hAnsi="宋体" w:eastAsia="宋体" w:cs="宋体"/>
          <w:color w:val="auto"/>
          <w:highlight w:val="none"/>
          <w:shd w:val="clear" w:color="auto" w:fill="auto"/>
          <w:lang w:val="en-US" w:eastAsia="zh-CN"/>
        </w:rPr>
        <w:t>此次绩效评价</w:t>
      </w:r>
      <w:r>
        <w:rPr>
          <w:rFonts w:hint="eastAsia" w:ascii="宋体" w:hAnsi="宋体" w:eastAsia="宋体" w:cs="宋体"/>
          <w:color w:val="auto"/>
          <w:highlight w:val="none"/>
          <w:shd w:val="clear" w:color="auto" w:fill="auto"/>
          <w:lang w:val="zh-TW" w:eastAsia="zh-TW"/>
        </w:rPr>
        <w:t>通过组论证的评价指标体系及评分标准，</w:t>
      </w:r>
      <w:r>
        <w:rPr>
          <w:rFonts w:hint="eastAsia" w:ascii="宋体" w:hAnsi="宋体" w:eastAsia="宋体" w:cs="宋体"/>
          <w:color w:val="auto"/>
          <w:highlight w:val="none"/>
          <w:shd w:val="clear" w:color="auto" w:fill="auto"/>
        </w:rPr>
        <w:t>采用的方法比较法</w:t>
      </w:r>
      <w:r>
        <w:rPr>
          <w:rFonts w:hint="eastAsia" w:ascii="宋体" w:hAnsi="宋体" w:eastAsia="宋体" w:cs="宋体"/>
          <w:color w:val="auto"/>
          <w:highlight w:val="none"/>
          <w:shd w:val="clear" w:color="auto" w:fill="auto"/>
          <w:lang w:eastAsia="zh-CN"/>
        </w:rPr>
        <w:t>、因素分析法、公众评判法，</w:t>
      </w:r>
      <w:r>
        <w:rPr>
          <w:rFonts w:hint="eastAsia" w:ascii="宋体" w:hAnsi="宋体" w:eastAsia="宋体" w:cs="宋体"/>
          <w:color w:val="auto"/>
          <w:highlight w:val="none"/>
          <w:shd w:val="clear" w:color="auto" w:fill="auto"/>
          <w:lang w:val="zh-TW" w:eastAsia="zh-TW"/>
        </w:rPr>
        <w:t>对</w:t>
      </w:r>
      <w:r>
        <w:rPr>
          <w:rFonts w:hint="eastAsia" w:cs="宋体"/>
          <w:color w:val="auto"/>
          <w:highlight w:val="none"/>
          <w:shd w:val="clear" w:color="auto" w:fill="auto"/>
          <w:lang w:val="en-US" w:eastAsia="zh-CN"/>
        </w:rPr>
        <w:t>全民健康体检</w:t>
      </w:r>
      <w:r>
        <w:rPr>
          <w:rFonts w:hint="eastAsia" w:ascii="宋体" w:hAnsi="宋体" w:eastAsia="宋体" w:cs="宋体"/>
          <w:color w:val="auto"/>
          <w:highlight w:val="none"/>
          <w:shd w:val="clear" w:color="auto" w:fill="auto"/>
          <w:lang w:eastAsia="zh-CN"/>
        </w:rPr>
        <w:t>项目</w:t>
      </w:r>
      <w:r>
        <w:rPr>
          <w:rFonts w:hint="eastAsia" w:ascii="宋体" w:hAnsi="宋体" w:eastAsia="宋体" w:cs="宋体"/>
          <w:color w:val="auto"/>
          <w:highlight w:val="none"/>
          <w:shd w:val="clear" w:color="auto" w:fill="auto"/>
          <w:lang w:val="zh-TW" w:eastAsia="zh-TW"/>
        </w:rPr>
        <w:t>绩效进行客观评价，最终评分结果：总分为</w:t>
      </w:r>
      <w:r>
        <w:rPr>
          <w:rFonts w:hint="eastAsia" w:cs="宋体"/>
          <w:color w:val="auto"/>
          <w:highlight w:val="none"/>
          <w:shd w:val="clear" w:color="auto" w:fill="auto"/>
          <w:lang w:val="en-US" w:eastAsia="zh-CN"/>
        </w:rPr>
        <w:t>99</w:t>
      </w:r>
      <w:r>
        <w:rPr>
          <w:rFonts w:hint="eastAsia" w:ascii="宋体" w:hAnsi="宋体" w:eastAsia="宋体" w:cs="宋体"/>
          <w:color w:val="auto"/>
          <w:highlight w:val="none"/>
          <w:shd w:val="clear" w:color="auto" w:fill="auto"/>
          <w:lang w:val="zh-TW" w:eastAsia="zh-TW"/>
        </w:rPr>
        <w:t>分，绩效评级为“</w:t>
      </w:r>
      <w:r>
        <w:rPr>
          <w:rFonts w:hint="eastAsia" w:cs="宋体"/>
          <w:color w:val="auto"/>
          <w:highlight w:val="none"/>
          <w:shd w:val="clear" w:color="auto" w:fill="auto"/>
          <w:lang w:val="en-US" w:eastAsia="zh-CN"/>
        </w:rPr>
        <w:t>优秀</w:t>
      </w:r>
      <w:r>
        <w:rPr>
          <w:rFonts w:hint="eastAsia" w:ascii="宋体" w:hAnsi="宋体" w:eastAsia="宋体" w:cs="宋体"/>
          <w:color w:val="auto"/>
          <w:highlight w:val="none"/>
          <w:shd w:val="clear" w:color="auto" w:fill="auto"/>
          <w:lang w:val="zh-TW" w:eastAsia="zh-TW"/>
        </w:rPr>
        <w:t>”。各部分权重和绩效</w:t>
      </w:r>
      <w:r>
        <w:rPr>
          <w:rFonts w:hint="eastAsia" w:ascii="宋体" w:hAnsi="宋体" w:eastAsia="宋体" w:cs="宋体"/>
          <w:color w:val="auto"/>
          <w:highlight w:val="none"/>
          <w:shd w:val="clear" w:color="auto" w:fill="auto"/>
          <w:lang w:val="en-US" w:eastAsia="zh-CN"/>
        </w:rPr>
        <w:t>汇总</w:t>
      </w:r>
      <w:r>
        <w:rPr>
          <w:rFonts w:hint="eastAsia" w:ascii="宋体" w:hAnsi="宋体" w:eastAsia="宋体" w:cs="宋体"/>
          <w:color w:val="auto"/>
          <w:highlight w:val="none"/>
          <w:shd w:val="clear" w:color="auto" w:fill="auto"/>
          <w:lang w:val="zh-TW" w:eastAsia="zh-TW"/>
        </w:rPr>
        <w:t>分值如下表</w:t>
      </w:r>
      <w:r>
        <w:rPr>
          <w:rFonts w:hint="eastAsia" w:ascii="宋体" w:hAnsi="宋体" w:eastAsia="宋体" w:cs="宋体"/>
          <w:b/>
          <w:bCs/>
          <w:color w:val="auto"/>
          <w:kern w:val="0"/>
          <w:sz w:val="28"/>
          <w:szCs w:val="28"/>
          <w:highlight w:val="none"/>
          <w:shd w:val="clear" w:color="auto" w:fill="auto"/>
          <w:lang w:val="en-US" w:eastAsia="zh-CN"/>
        </w:rPr>
        <w:t>3-1</w:t>
      </w:r>
      <w:r>
        <w:rPr>
          <w:rFonts w:hint="eastAsia" w:ascii="宋体" w:hAnsi="宋体" w:eastAsia="宋体" w:cs="宋体"/>
          <w:color w:val="auto"/>
          <w:highlight w:val="none"/>
          <w:shd w:val="clear" w:color="auto" w:fill="auto"/>
          <w:lang w:val="zh-TW" w:eastAsia="zh-TW"/>
        </w:rPr>
        <w:t>所示</w:t>
      </w:r>
      <w:r>
        <w:rPr>
          <w:rFonts w:hint="eastAsia" w:cs="宋体"/>
          <w:b/>
          <w:bCs/>
          <w:color w:val="auto"/>
          <w:highlight w:val="none"/>
          <w:shd w:val="clear" w:color="auto" w:fill="auto"/>
          <w:lang w:val="zh-TW" w:eastAsia="zh-CN"/>
        </w:rPr>
        <w:t>（</w:t>
      </w:r>
      <w:r>
        <w:rPr>
          <w:rFonts w:hint="eastAsia" w:cs="宋体"/>
          <w:b/>
          <w:bCs/>
          <w:color w:val="auto"/>
          <w:highlight w:val="none"/>
          <w:shd w:val="clear" w:color="auto" w:fill="auto"/>
          <w:lang w:val="en-US" w:eastAsia="zh-CN"/>
        </w:rPr>
        <w:t>详见上传的附件</w:t>
      </w:r>
      <w:r>
        <w:rPr>
          <w:rFonts w:hint="eastAsia" w:cs="宋体"/>
          <w:b/>
          <w:bCs/>
          <w:color w:val="auto"/>
          <w:highlight w:val="none"/>
          <w:shd w:val="clear" w:color="auto" w:fill="auto"/>
          <w:lang w:val="zh-TW" w:eastAsia="zh-CN"/>
        </w:rPr>
        <w:t>）</w:t>
      </w:r>
      <w:r>
        <w:rPr>
          <w:rFonts w:hint="eastAsia" w:ascii="宋体" w:hAnsi="宋体" w:eastAsia="宋体" w:cs="宋体"/>
          <w:color w:val="auto"/>
          <w:highlight w:val="none"/>
          <w:shd w:val="clear" w:color="auto" w:fill="auto"/>
          <w:lang w:val="zh-TW" w:eastAsia="zh-TW"/>
        </w:rPr>
        <w:t>：</w:t>
      </w:r>
    </w:p>
    <w:tbl>
      <w:tblPr>
        <w:tblStyle w:val="12"/>
        <w:tblW w:w="8289" w:type="dxa"/>
        <w:jc w:val="center"/>
        <w:shd w:val="clear" w:color="auto" w:fill="auto"/>
        <w:tblLayout w:type="fixed"/>
        <w:tblCellMar>
          <w:top w:w="0" w:type="dxa"/>
          <w:left w:w="0" w:type="dxa"/>
          <w:bottom w:w="0" w:type="dxa"/>
          <w:right w:w="0" w:type="dxa"/>
        </w:tblCellMar>
      </w:tblPr>
      <w:tblGrid>
        <w:gridCol w:w="1094"/>
        <w:gridCol w:w="1361"/>
        <w:gridCol w:w="1361"/>
        <w:gridCol w:w="1361"/>
        <w:gridCol w:w="1623"/>
        <w:gridCol w:w="1489"/>
      </w:tblGrid>
      <w:tr w14:paraId="3514D6EA">
        <w:tblPrEx>
          <w:shd w:val="clear" w:color="auto" w:fill="auto"/>
          <w:tblCellMar>
            <w:top w:w="0" w:type="dxa"/>
            <w:left w:w="0" w:type="dxa"/>
            <w:bottom w:w="0" w:type="dxa"/>
            <w:right w:w="0" w:type="dxa"/>
          </w:tblCellMar>
        </w:tblPrEx>
        <w:trPr>
          <w:trHeight w:val="375" w:hRule="atLeast"/>
          <w:jc w:val="center"/>
        </w:trPr>
        <w:tc>
          <w:tcPr>
            <w:tcW w:w="8289" w:type="dxa"/>
            <w:gridSpan w:val="6"/>
            <w:tcBorders>
              <w:top w:val="nil"/>
              <w:left w:val="nil"/>
              <w:bottom w:val="nil"/>
              <w:right w:val="nil"/>
            </w:tcBorders>
            <w:shd w:val="clear" w:color="auto" w:fill="auto"/>
            <w:tcMar>
              <w:top w:w="15" w:type="dxa"/>
              <w:left w:w="15" w:type="dxa"/>
              <w:right w:w="15" w:type="dxa"/>
            </w:tcMar>
            <w:vAlign w:val="center"/>
          </w:tcPr>
          <w:p w14:paraId="09A6B9D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en-US" w:eastAsia="zh-CN"/>
              </w:rPr>
              <w:t>表3-1：</w:t>
            </w:r>
            <w:r>
              <w:rPr>
                <w:rFonts w:hint="eastAsia" w:cs="宋体"/>
                <w:b/>
                <w:bCs/>
                <w:color w:val="auto"/>
                <w:kern w:val="0"/>
                <w:sz w:val="28"/>
                <w:szCs w:val="28"/>
                <w:highlight w:val="none"/>
                <w:shd w:val="clear" w:color="auto" w:fill="auto"/>
                <w:lang w:val="en-US" w:eastAsia="zh-CN"/>
              </w:rPr>
              <w:t>全民健康体检</w:t>
            </w:r>
            <w:r>
              <w:rPr>
                <w:rFonts w:hint="eastAsia" w:ascii="宋体" w:hAnsi="宋体" w:eastAsia="宋体" w:cs="宋体"/>
                <w:b/>
                <w:bCs/>
                <w:color w:val="auto"/>
                <w:kern w:val="0"/>
                <w:sz w:val="28"/>
                <w:szCs w:val="28"/>
                <w:highlight w:val="none"/>
                <w:shd w:val="clear" w:color="auto" w:fill="auto"/>
                <w:lang w:val="en-US" w:eastAsia="zh-CN"/>
              </w:rPr>
              <w:t>项目得分表</w:t>
            </w:r>
          </w:p>
          <w:p w14:paraId="2F1AD4E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4"/>
                <w:szCs w:val="24"/>
                <w:highlight w:val="none"/>
                <w:shd w:val="clear" w:color="auto" w:fill="auto"/>
              </w:rPr>
            </w:pPr>
          </w:p>
        </w:tc>
      </w:tr>
      <w:tr w14:paraId="2370AC37">
        <w:tblPrEx>
          <w:shd w:val="clear" w:color="auto" w:fill="auto"/>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4508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指标类别</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1C9D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1.项目决策</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751E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2.过程管理</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E4A6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3.项目产出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1506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4.项目效益</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92E8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合计</w:t>
            </w:r>
          </w:p>
        </w:tc>
      </w:tr>
      <w:tr w14:paraId="2C169B1E">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700C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权重</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AE9E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27D1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8C61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800C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C046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100</w:t>
            </w:r>
          </w:p>
        </w:tc>
      </w:tr>
      <w:tr w14:paraId="5FC42230">
        <w:tblPrEx>
          <w:shd w:val="clear" w:color="auto" w:fill="auto"/>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07A7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分值</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4623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19</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9388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7B8B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8713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5680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99</w:t>
            </w:r>
          </w:p>
        </w:tc>
      </w:tr>
      <w:tr w14:paraId="007A305F">
        <w:tblPrEx>
          <w:shd w:val="clear" w:color="auto" w:fill="auto"/>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18B5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得分率</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99B1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95</w:t>
            </w:r>
            <w:r>
              <w:rPr>
                <w:rFonts w:hint="eastAsia" w:ascii="宋体" w:hAnsi="宋体" w:eastAsia="宋体" w:cs="宋体"/>
                <w:color w:val="auto"/>
                <w:kern w:val="0"/>
                <w:sz w:val="21"/>
                <w:szCs w:val="21"/>
                <w:highlight w:val="none"/>
                <w:shd w:val="clear" w:color="auto" w:fill="auto"/>
                <w:lang w:val="en-US" w:eastAsia="zh-CN"/>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3767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B97F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97C5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6CF5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99</w:t>
            </w:r>
            <w:r>
              <w:rPr>
                <w:rFonts w:hint="eastAsia" w:ascii="宋体" w:hAnsi="宋体" w:eastAsia="宋体" w:cs="宋体"/>
                <w:color w:val="auto"/>
                <w:kern w:val="0"/>
                <w:sz w:val="21"/>
                <w:szCs w:val="21"/>
                <w:highlight w:val="none"/>
                <w:shd w:val="clear" w:color="auto" w:fill="auto"/>
                <w:lang w:val="en-US" w:eastAsia="zh-CN"/>
              </w:rPr>
              <w:t>%</w:t>
            </w:r>
          </w:p>
        </w:tc>
      </w:tr>
    </w:tbl>
    <w:p w14:paraId="269FD3F1">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bookmarkStart w:id="56" w:name="_Toc9421"/>
      <w:r>
        <w:rPr>
          <w:rFonts w:hint="eastAsia" w:ascii="宋体" w:hAnsi="宋体" w:eastAsia="宋体" w:cs="宋体"/>
          <w:b/>
          <w:bCs/>
          <w:color w:val="auto"/>
          <w:highlight w:val="none"/>
          <w:shd w:val="clear" w:color="auto" w:fill="auto"/>
          <w:lang w:val="en-US" w:eastAsia="zh-CN"/>
        </w:rPr>
        <w:t>四、绩效评价指标分析</w:t>
      </w:r>
      <w:bookmarkEnd w:id="56"/>
    </w:p>
    <w:p w14:paraId="78911EAE">
      <w:pPr>
        <w:pStyle w:val="4"/>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highlight w:val="none"/>
          <w:shd w:val="clear" w:color="auto" w:fill="auto"/>
        </w:rPr>
      </w:pPr>
      <w:bookmarkStart w:id="57" w:name="_Toc15355"/>
      <w:r>
        <w:rPr>
          <w:rFonts w:hint="eastAsia" w:ascii="宋体" w:hAnsi="宋体" w:eastAsia="宋体" w:cs="宋体"/>
          <w:color w:val="auto"/>
          <w:highlight w:val="none"/>
          <w:shd w:val="clear" w:color="auto" w:fill="auto"/>
        </w:rPr>
        <w:t>（一）项目决策情况</w:t>
      </w:r>
      <w:bookmarkEnd w:id="57"/>
    </w:p>
    <w:p w14:paraId="5CD78DFC">
      <w:pPr>
        <w:keepNext w:val="0"/>
        <w:keepLines w:val="0"/>
        <w:pageBreakBefore w:val="0"/>
        <w:widowControl w:val="0"/>
        <w:kinsoku/>
        <w:wordWrap/>
        <w:overflowPunct/>
        <w:topLinePunct w:val="0"/>
        <w:autoSpaceDE/>
        <w:autoSpaceDN/>
        <w:bidi w:val="0"/>
        <w:adjustRightInd/>
        <w:snapToGrid/>
        <w:spacing w:line="360" w:lineRule="auto"/>
        <w:ind w:firstLine="723"/>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项目决策由3个二级指标和6个三级指标构成，权重分20分，实际得分</w:t>
      </w:r>
      <w:r>
        <w:rPr>
          <w:rFonts w:hint="eastAsia" w:cs="宋体"/>
          <w:color w:val="auto"/>
          <w:highlight w:val="none"/>
          <w:shd w:val="clear" w:color="auto" w:fill="auto"/>
          <w:lang w:val="en-US" w:eastAsia="zh-CN"/>
        </w:rPr>
        <w:t>19</w:t>
      </w:r>
      <w:r>
        <w:rPr>
          <w:rFonts w:hint="eastAsia" w:ascii="宋体" w:hAnsi="宋体" w:eastAsia="宋体" w:cs="宋体"/>
          <w:color w:val="auto"/>
          <w:highlight w:val="none"/>
          <w:shd w:val="clear" w:color="auto" w:fill="auto"/>
          <w:lang w:val="en-US" w:eastAsia="zh-CN"/>
        </w:rPr>
        <w:t>分，</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b/>
          <w:bCs/>
          <w:color w:val="auto"/>
          <w:kern w:val="2"/>
          <w:highlight w:val="none"/>
          <w:u w:color="000000"/>
          <w:shd w:val="clear" w:color="auto" w:fill="auto"/>
          <w:lang w:val="en-US" w:eastAsia="zh-CN"/>
        </w:rPr>
        <w:t>4</w:t>
      </w:r>
      <w:r>
        <w:rPr>
          <w:rFonts w:hint="eastAsia" w:ascii="宋体" w:hAnsi="宋体" w:eastAsia="宋体" w:cs="宋体"/>
          <w:b/>
          <w:bCs/>
          <w:color w:val="auto"/>
          <w:kern w:val="2"/>
          <w:highlight w:val="none"/>
          <w:u w:color="000000"/>
          <w:shd w:val="clear" w:color="auto" w:fill="auto"/>
          <w:lang w:eastAsia="zh-CN"/>
        </w:rPr>
        <w:t>-1</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highlight w:val="none"/>
          <w:shd w:val="clear" w:color="auto" w:fill="auto"/>
          <w:lang w:val="zh-TW" w:eastAsia="zh-CN"/>
        </w:rPr>
        <w:t>（</w:t>
      </w:r>
      <w:r>
        <w:rPr>
          <w:rFonts w:hint="eastAsia" w:cs="宋体"/>
          <w:b/>
          <w:bCs/>
          <w:color w:val="auto"/>
          <w:highlight w:val="none"/>
          <w:shd w:val="clear" w:color="auto" w:fill="auto"/>
          <w:lang w:val="en-US" w:eastAsia="zh-CN"/>
        </w:rPr>
        <w:t>详见上传的附件</w:t>
      </w:r>
      <w:r>
        <w:rPr>
          <w:rFonts w:hint="eastAsia" w:cs="宋体"/>
          <w:b/>
          <w:bCs/>
          <w:color w:val="auto"/>
          <w:highlight w:val="none"/>
          <w:shd w:val="clear" w:color="auto" w:fill="auto"/>
          <w:lang w:val="zh-TW" w:eastAsia="zh-CN"/>
        </w:rPr>
        <w:t>）</w:t>
      </w:r>
      <w:r>
        <w:rPr>
          <w:rFonts w:hint="eastAsia" w:ascii="宋体" w:hAnsi="宋体" w:eastAsia="宋体" w:cs="宋体"/>
          <w:color w:val="auto"/>
          <w:highlight w:val="none"/>
          <w:shd w:val="clear" w:color="auto" w:fill="auto"/>
          <w:lang w:val="en-US" w:eastAsia="zh-CN"/>
        </w:rPr>
        <w:t>：</w:t>
      </w:r>
    </w:p>
    <w:p w14:paraId="427F8BCF">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4-1</w:t>
      </w:r>
      <w:r>
        <w:rPr>
          <w:rFonts w:hint="eastAsia" w:ascii="宋体" w:hAnsi="宋体" w:eastAsia="宋体" w:cs="宋体"/>
          <w:b/>
          <w:bCs/>
          <w:color w:val="auto"/>
          <w:kern w:val="0"/>
          <w:sz w:val="28"/>
          <w:szCs w:val="28"/>
          <w:highlight w:val="none"/>
          <w:shd w:val="clear" w:color="auto" w:fill="auto"/>
          <w:lang w:val="zh-TW" w:eastAsia="zh-TW"/>
        </w:rPr>
        <w:t>项目决策指标及分值</w:t>
      </w:r>
    </w:p>
    <w:tbl>
      <w:tblPr>
        <w:tblStyle w:val="12"/>
        <w:tblW w:w="8447" w:type="dxa"/>
        <w:jc w:val="center"/>
        <w:tblLayout w:type="fixed"/>
        <w:tblCellMar>
          <w:top w:w="0" w:type="dxa"/>
          <w:left w:w="0" w:type="dxa"/>
          <w:bottom w:w="0" w:type="dxa"/>
          <w:right w:w="0" w:type="dxa"/>
        </w:tblCellMar>
      </w:tblPr>
      <w:tblGrid>
        <w:gridCol w:w="1077"/>
        <w:gridCol w:w="960"/>
        <w:gridCol w:w="1248"/>
        <w:gridCol w:w="794"/>
        <w:gridCol w:w="3"/>
        <w:gridCol w:w="1868"/>
        <w:gridCol w:w="3"/>
        <w:gridCol w:w="1414"/>
        <w:gridCol w:w="3"/>
        <w:gridCol w:w="1074"/>
        <w:gridCol w:w="3"/>
      </w:tblGrid>
      <w:tr w14:paraId="286448B9">
        <w:tblPrEx>
          <w:tblCellMar>
            <w:top w:w="0" w:type="dxa"/>
            <w:left w:w="0" w:type="dxa"/>
            <w:bottom w:w="0" w:type="dxa"/>
            <w:right w:w="0" w:type="dxa"/>
          </w:tblCellMar>
        </w:tblPrEx>
        <w:trPr>
          <w:gridAfter w:val="1"/>
          <w:wAfter w:w="3" w:type="dxa"/>
          <w:trHeight w:val="522" w:hRule="atLeast"/>
          <w:tblHeader/>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8441F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4E3E3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96716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58B48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878D6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C095D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4FA92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得分</w:t>
            </w:r>
          </w:p>
        </w:tc>
      </w:tr>
      <w:tr w14:paraId="5C3F9DC3">
        <w:tblPrEx>
          <w:tblCellMar>
            <w:top w:w="0" w:type="dxa"/>
            <w:left w:w="0" w:type="dxa"/>
            <w:bottom w:w="0" w:type="dxa"/>
            <w:right w:w="0" w:type="dxa"/>
          </w:tblCellMar>
        </w:tblPrEx>
        <w:trPr>
          <w:gridAfter w:val="1"/>
          <w:wAfter w:w="3" w:type="dxa"/>
          <w:trHeight w:val="334" w:hRule="atLeast"/>
          <w:tblHeader/>
          <w:jc w:val="center"/>
        </w:trPr>
        <w:tc>
          <w:tcPr>
            <w:tcW w:w="1077"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1EFD3D6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项目决策</w:t>
            </w:r>
          </w:p>
        </w:tc>
        <w:tc>
          <w:tcPr>
            <w:tcW w:w="960"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2CCC648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248"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38C37A3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项目立项</w:t>
            </w:r>
          </w:p>
        </w:tc>
        <w:tc>
          <w:tcPr>
            <w:tcW w:w="79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5331276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E5798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立项依据充分性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FED64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BA1EF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r>
      <w:tr w14:paraId="0632AD3E">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2C9FF9E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49266F0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72647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9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57C01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9F69F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立项程序规范性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AFE36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5EA3C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14:paraId="789F2609">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2EE5548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433D10F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D14EF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绩效目标</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7F8B5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B7510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绩效目标合理性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F804A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5A71C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r>
      <w:tr w14:paraId="674CD8EA">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0A872FD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7D6AFE0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17B1B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CACCD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8C39F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绩效指标明确性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03B5F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A4CE3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r>
      <w:tr w14:paraId="2A99E4E4">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6D01169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63228F8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1032502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资金投入</w:t>
            </w:r>
          </w:p>
        </w:tc>
        <w:tc>
          <w:tcPr>
            <w:tcW w:w="79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5B64C3A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9958D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预算编制科学性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915DB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1B1C0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r>
      <w:tr w14:paraId="4F283692">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AEF66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95B9D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8DBC5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9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670BA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91074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资金分配合理性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C3315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3C88D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r>
      <w:tr w14:paraId="2188A14F">
        <w:tblPrEx>
          <w:tblCellMar>
            <w:top w:w="0" w:type="dxa"/>
            <w:left w:w="0" w:type="dxa"/>
            <w:bottom w:w="0" w:type="dxa"/>
            <w:right w:w="0" w:type="dxa"/>
          </w:tblCellMar>
        </w:tblPrEx>
        <w:trPr>
          <w:trHeight w:val="334" w:hRule="atLeast"/>
          <w:tblHeader/>
          <w:jc w:val="center"/>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B6D52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7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1A89B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B91CF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B03B1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040F1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19</w:t>
            </w:r>
          </w:p>
        </w:tc>
      </w:tr>
    </w:tbl>
    <w:p w14:paraId="31FE962F">
      <w:pPr>
        <w:bidi w:val="0"/>
        <w:outlineLvl w:val="2"/>
        <w:rPr>
          <w:rFonts w:hint="default"/>
          <w:b/>
          <w:bCs/>
          <w:color w:val="auto"/>
          <w:highlight w:val="none"/>
          <w:lang w:val="en-US" w:eastAsia="zh-CN"/>
        </w:rPr>
      </w:pPr>
      <w:bookmarkStart w:id="58" w:name="_Toc13522"/>
      <w:r>
        <w:rPr>
          <w:rFonts w:hint="eastAsia"/>
          <w:b/>
          <w:bCs/>
          <w:color w:val="auto"/>
          <w:highlight w:val="none"/>
          <w:lang w:val="en-US" w:eastAsia="zh-CN"/>
        </w:rPr>
        <w:t>1.立项依据充分性</w:t>
      </w:r>
      <w:bookmarkEnd w:id="58"/>
    </w:p>
    <w:p w14:paraId="20A87406">
      <w:pPr>
        <w:bidi w:val="0"/>
        <w:rPr>
          <w:rFonts w:hint="eastAsia"/>
          <w:color w:val="auto"/>
          <w:highlight w:val="none"/>
          <w:lang w:eastAsia="zh-CN"/>
        </w:rPr>
      </w:pPr>
      <w:r>
        <w:rPr>
          <w:rFonts w:hint="eastAsia"/>
          <w:color w:val="auto"/>
          <w:highlight w:val="none"/>
          <w:lang w:eastAsia="zh-CN"/>
        </w:rPr>
        <w:t>①项目立项符合《</w:t>
      </w:r>
      <w:r>
        <w:rPr>
          <w:rFonts w:hint="eastAsia"/>
          <w:color w:val="auto"/>
          <w:highlight w:val="none"/>
          <w:lang w:val="en-US" w:eastAsia="zh-CN"/>
        </w:rPr>
        <w:t>关于印发国民健康政策纲要（2019-2030年）的通知</w:t>
      </w:r>
      <w:r>
        <w:rPr>
          <w:rFonts w:hint="eastAsia"/>
          <w:color w:val="auto"/>
          <w:highlight w:val="none"/>
          <w:lang w:eastAsia="zh-CN"/>
        </w:rPr>
        <w:t>》；</w:t>
      </w:r>
    </w:p>
    <w:p w14:paraId="3E0F9D15">
      <w:pPr>
        <w:bidi w:val="0"/>
        <w:rPr>
          <w:rFonts w:hint="eastAsia"/>
          <w:color w:val="auto"/>
          <w:highlight w:val="none"/>
          <w:lang w:eastAsia="zh-CN"/>
        </w:rPr>
      </w:pPr>
      <w:r>
        <w:rPr>
          <w:rFonts w:hint="eastAsia"/>
          <w:color w:val="auto"/>
          <w:highlight w:val="none"/>
          <w:lang w:eastAsia="zh-CN"/>
        </w:rPr>
        <w:t>②项目立项符合</w:t>
      </w:r>
      <w:r>
        <w:rPr>
          <w:rFonts w:hint="eastAsia"/>
          <w:color w:val="auto"/>
          <w:highlight w:val="none"/>
          <w:lang w:val="en-US" w:eastAsia="zh-CN"/>
        </w:rPr>
        <w:t>各级卫生健康行政部门要在健康体检工作中加强健康管理服务能力建设，提高健康管理服务</w:t>
      </w:r>
      <w:r>
        <w:rPr>
          <w:rFonts w:hint="eastAsia"/>
          <w:color w:val="auto"/>
          <w:highlight w:val="none"/>
          <w:lang w:eastAsia="zh-CN"/>
        </w:rPr>
        <w:t>；</w:t>
      </w:r>
    </w:p>
    <w:p w14:paraId="4539B24C">
      <w:pPr>
        <w:bidi w:val="0"/>
        <w:rPr>
          <w:rFonts w:hint="eastAsia"/>
          <w:color w:val="auto"/>
          <w:highlight w:val="none"/>
          <w:lang w:eastAsia="zh-CN"/>
        </w:rPr>
      </w:pPr>
      <w:r>
        <w:rPr>
          <w:rFonts w:hint="eastAsia"/>
          <w:color w:val="auto"/>
          <w:highlight w:val="none"/>
          <w:lang w:eastAsia="zh-CN"/>
        </w:rPr>
        <w:t>③项目立项与</w:t>
      </w:r>
      <w:r>
        <w:rPr>
          <w:rFonts w:hint="eastAsia"/>
          <w:color w:val="auto"/>
          <w:highlight w:val="none"/>
          <w:lang w:val="en-US" w:eastAsia="zh-CN"/>
        </w:rPr>
        <w:t>切实保障辖区内居民全民健康体检、提升居民健康</w:t>
      </w:r>
      <w:r>
        <w:rPr>
          <w:rFonts w:hint="eastAsia"/>
          <w:color w:val="auto"/>
          <w:highlight w:val="none"/>
          <w:lang w:eastAsia="zh-CN"/>
        </w:rPr>
        <w:t>部门职责范围相符，属于部门履职所需；</w:t>
      </w:r>
    </w:p>
    <w:p w14:paraId="7218AA92">
      <w:pPr>
        <w:bidi w:val="0"/>
        <w:rPr>
          <w:rFonts w:hint="eastAsia"/>
          <w:color w:val="auto"/>
          <w:highlight w:val="none"/>
          <w:lang w:eastAsia="zh-CN"/>
        </w:rPr>
      </w:pPr>
      <w:r>
        <w:rPr>
          <w:rFonts w:hint="eastAsia"/>
          <w:color w:val="auto"/>
          <w:highlight w:val="none"/>
          <w:lang w:eastAsia="zh-CN"/>
        </w:rPr>
        <w:t>④项目属于公共财政支持范围，符合中央、地方事权支出责任划分原则；</w:t>
      </w:r>
    </w:p>
    <w:p w14:paraId="0AA25EFE">
      <w:pPr>
        <w:bidi w:val="0"/>
        <w:rPr>
          <w:rFonts w:hint="eastAsia"/>
          <w:color w:val="auto"/>
          <w:highlight w:val="none"/>
          <w:lang w:eastAsia="zh-CN"/>
        </w:rPr>
      </w:pPr>
      <w:r>
        <w:rPr>
          <w:rFonts w:hint="eastAsia"/>
          <w:color w:val="auto"/>
          <w:highlight w:val="none"/>
          <w:lang w:eastAsia="zh-CN"/>
        </w:rPr>
        <w:t>⑤项目与相关部门同类项目或部门内部相关项目</w:t>
      </w:r>
      <w:r>
        <w:rPr>
          <w:rFonts w:hint="eastAsia"/>
          <w:color w:val="auto"/>
          <w:highlight w:val="none"/>
          <w:lang w:val="en-US" w:eastAsia="zh-CN"/>
        </w:rPr>
        <w:t>不</w:t>
      </w:r>
      <w:r>
        <w:rPr>
          <w:rFonts w:hint="eastAsia"/>
          <w:color w:val="auto"/>
          <w:highlight w:val="none"/>
          <w:lang w:eastAsia="zh-CN"/>
        </w:rPr>
        <w:t>重复。</w:t>
      </w:r>
    </w:p>
    <w:p w14:paraId="6E0A8EEB">
      <w:pPr>
        <w:bidi w:val="0"/>
        <w:rPr>
          <w:rFonts w:hint="default"/>
          <w:color w:val="auto"/>
          <w:highlight w:val="none"/>
          <w:lang w:val="en-US" w:eastAsia="zh-CN"/>
        </w:rPr>
      </w:pPr>
      <w:r>
        <w:rPr>
          <w:rFonts w:hint="eastAsia"/>
          <w:b/>
          <w:bCs/>
          <w:color w:val="auto"/>
          <w:highlight w:val="none"/>
          <w:lang w:val="en-US" w:eastAsia="zh-CN"/>
        </w:rPr>
        <w:t>综上，该项指标满分2分，得分2分。</w:t>
      </w:r>
    </w:p>
    <w:p w14:paraId="670C9745">
      <w:pPr>
        <w:bidi w:val="0"/>
        <w:outlineLvl w:val="2"/>
        <w:rPr>
          <w:rFonts w:hint="default"/>
          <w:b/>
          <w:bCs/>
          <w:color w:val="auto"/>
          <w:highlight w:val="none"/>
          <w:lang w:val="en-US" w:eastAsia="zh-CN"/>
        </w:rPr>
      </w:pPr>
      <w:bookmarkStart w:id="59" w:name="_Toc21976"/>
      <w:r>
        <w:rPr>
          <w:rFonts w:hint="eastAsia"/>
          <w:b/>
          <w:bCs/>
          <w:color w:val="auto"/>
          <w:highlight w:val="none"/>
          <w:lang w:val="en-US" w:eastAsia="zh-CN"/>
        </w:rPr>
        <w:t>2.立项程序规范性</w:t>
      </w:r>
      <w:bookmarkEnd w:id="59"/>
    </w:p>
    <w:p w14:paraId="70073291">
      <w:pPr>
        <w:bidi w:val="0"/>
        <w:rPr>
          <w:rFonts w:hint="eastAsia"/>
          <w:color w:val="auto"/>
          <w:highlight w:val="none"/>
          <w:lang w:eastAsia="zh-CN"/>
        </w:rPr>
      </w:pPr>
      <w:r>
        <w:rPr>
          <w:rFonts w:hint="eastAsia"/>
          <w:color w:val="auto"/>
          <w:highlight w:val="none"/>
          <w:lang w:eastAsia="zh-CN"/>
        </w:rPr>
        <w:t>①项目按照规定的程序申请设立；</w:t>
      </w:r>
    </w:p>
    <w:p w14:paraId="4D26BFA1">
      <w:pPr>
        <w:bidi w:val="0"/>
        <w:rPr>
          <w:rFonts w:hint="eastAsia"/>
          <w:color w:val="auto"/>
          <w:highlight w:val="none"/>
          <w:lang w:eastAsia="zh-CN"/>
        </w:rPr>
      </w:pPr>
      <w:r>
        <w:rPr>
          <w:rFonts w:hint="eastAsia"/>
          <w:color w:val="auto"/>
          <w:highlight w:val="none"/>
          <w:lang w:eastAsia="zh-CN"/>
        </w:rPr>
        <w:t>②审批文件、材料符合相关要求；</w:t>
      </w:r>
    </w:p>
    <w:p w14:paraId="69090336">
      <w:pPr>
        <w:bidi w:val="0"/>
        <w:rPr>
          <w:rFonts w:hint="eastAsia"/>
          <w:color w:val="auto"/>
          <w:highlight w:val="none"/>
          <w:lang w:eastAsia="zh-CN"/>
        </w:rPr>
      </w:pPr>
      <w:r>
        <w:rPr>
          <w:rFonts w:hint="eastAsia"/>
          <w:color w:val="auto"/>
          <w:highlight w:val="none"/>
          <w:lang w:eastAsia="zh-CN"/>
        </w:rPr>
        <w:t>③事前未经过必要的可行性研究、专家论证、风险评估、绩效评估、集体决策，</w:t>
      </w:r>
      <w:r>
        <w:rPr>
          <w:rFonts w:hint="eastAsia"/>
          <w:color w:val="auto"/>
          <w:highlight w:val="none"/>
          <w:lang w:val="en-US" w:eastAsia="zh-CN"/>
        </w:rPr>
        <w:t>扣1分</w:t>
      </w:r>
      <w:r>
        <w:rPr>
          <w:rFonts w:hint="eastAsia"/>
          <w:color w:val="auto"/>
          <w:highlight w:val="none"/>
          <w:lang w:eastAsia="zh-CN"/>
        </w:rPr>
        <w:t>。</w:t>
      </w:r>
    </w:p>
    <w:p w14:paraId="00C2599B">
      <w:pPr>
        <w:bidi w:val="0"/>
        <w:rPr>
          <w:rFonts w:hint="eastAsia"/>
          <w:color w:val="auto"/>
          <w:highlight w:val="none"/>
          <w:lang w:eastAsia="zh-CN"/>
        </w:rPr>
      </w:pPr>
      <w:r>
        <w:rPr>
          <w:rFonts w:hint="eastAsia"/>
          <w:b/>
          <w:bCs/>
          <w:color w:val="auto"/>
          <w:highlight w:val="none"/>
          <w:lang w:val="en-US" w:eastAsia="zh-CN"/>
        </w:rPr>
        <w:t>综上，该项指标满分3分，得分2分。</w:t>
      </w:r>
    </w:p>
    <w:p w14:paraId="4241F8F2">
      <w:pPr>
        <w:bidi w:val="0"/>
        <w:outlineLvl w:val="2"/>
        <w:rPr>
          <w:rFonts w:hint="default"/>
          <w:b/>
          <w:bCs/>
          <w:color w:val="auto"/>
          <w:highlight w:val="none"/>
          <w:lang w:val="en-US" w:eastAsia="zh-CN"/>
        </w:rPr>
      </w:pPr>
      <w:bookmarkStart w:id="60" w:name="_Toc15382"/>
      <w:r>
        <w:rPr>
          <w:rFonts w:hint="eastAsia"/>
          <w:b/>
          <w:bCs/>
          <w:color w:val="auto"/>
          <w:highlight w:val="none"/>
          <w:lang w:val="en-US" w:eastAsia="zh-CN"/>
        </w:rPr>
        <w:t>3.绩效目标合理性</w:t>
      </w:r>
      <w:bookmarkEnd w:id="60"/>
    </w:p>
    <w:p w14:paraId="6EF75CA1">
      <w:pPr>
        <w:bidi w:val="0"/>
        <w:rPr>
          <w:rFonts w:hint="eastAsia"/>
          <w:color w:val="auto"/>
          <w:highlight w:val="none"/>
          <w:lang w:eastAsia="zh-CN"/>
        </w:rPr>
      </w:pPr>
      <w:r>
        <w:rPr>
          <w:rFonts w:hint="eastAsia"/>
          <w:color w:val="auto"/>
          <w:highlight w:val="none"/>
          <w:lang w:eastAsia="zh-CN"/>
        </w:rPr>
        <w:t>①项目有绩效目标；</w:t>
      </w:r>
    </w:p>
    <w:p w14:paraId="2E7591F5">
      <w:pPr>
        <w:bidi w:val="0"/>
        <w:rPr>
          <w:rFonts w:hint="eastAsia"/>
          <w:color w:val="auto"/>
          <w:highlight w:val="none"/>
          <w:lang w:eastAsia="zh-CN"/>
        </w:rPr>
      </w:pPr>
      <w:r>
        <w:rPr>
          <w:rFonts w:hint="eastAsia"/>
          <w:color w:val="auto"/>
          <w:highlight w:val="none"/>
          <w:lang w:eastAsia="zh-CN"/>
        </w:rPr>
        <w:t>②项目绩效目标与实际工作内容具有相关性；</w:t>
      </w:r>
    </w:p>
    <w:p w14:paraId="0910B06C">
      <w:pPr>
        <w:bidi w:val="0"/>
        <w:rPr>
          <w:rFonts w:hint="eastAsia"/>
          <w:color w:val="auto"/>
          <w:highlight w:val="none"/>
          <w:lang w:eastAsia="zh-CN"/>
        </w:rPr>
      </w:pPr>
      <w:r>
        <w:rPr>
          <w:rFonts w:hint="eastAsia"/>
          <w:color w:val="auto"/>
          <w:highlight w:val="none"/>
          <w:lang w:eastAsia="zh-CN"/>
        </w:rPr>
        <w:t>③项目预期产出效益和效果符合正常的业绩水平；</w:t>
      </w:r>
    </w:p>
    <w:p w14:paraId="2535B3AB">
      <w:pPr>
        <w:bidi w:val="0"/>
        <w:rPr>
          <w:rFonts w:hint="eastAsia"/>
          <w:color w:val="auto"/>
          <w:highlight w:val="none"/>
          <w:lang w:eastAsia="zh-CN"/>
        </w:rPr>
      </w:pPr>
      <w:r>
        <w:rPr>
          <w:rFonts w:hint="eastAsia"/>
          <w:color w:val="auto"/>
          <w:highlight w:val="none"/>
          <w:lang w:eastAsia="zh-CN"/>
        </w:rPr>
        <w:t>④与预算确定的项目投资额或资金量相匹配。</w:t>
      </w:r>
    </w:p>
    <w:p w14:paraId="1140FFAF">
      <w:pPr>
        <w:bidi w:val="0"/>
        <w:rPr>
          <w:rFonts w:hint="eastAsia"/>
          <w:color w:val="auto"/>
          <w:highlight w:val="none"/>
          <w:lang w:eastAsia="zh-CN"/>
        </w:rPr>
      </w:pPr>
      <w:r>
        <w:rPr>
          <w:rFonts w:hint="eastAsia"/>
          <w:b/>
          <w:bCs/>
          <w:color w:val="auto"/>
          <w:highlight w:val="none"/>
          <w:lang w:val="en-US" w:eastAsia="zh-CN"/>
        </w:rPr>
        <w:t>综上，该项指标满分5分，得分5分。</w:t>
      </w:r>
    </w:p>
    <w:p w14:paraId="24F80425">
      <w:pPr>
        <w:bidi w:val="0"/>
        <w:outlineLvl w:val="2"/>
        <w:rPr>
          <w:rFonts w:hint="default"/>
          <w:b/>
          <w:bCs/>
          <w:color w:val="auto"/>
          <w:highlight w:val="none"/>
          <w:lang w:val="en-US" w:eastAsia="zh-CN"/>
        </w:rPr>
      </w:pPr>
      <w:bookmarkStart w:id="61" w:name="_Toc10650"/>
      <w:r>
        <w:rPr>
          <w:rFonts w:hint="eastAsia"/>
          <w:b/>
          <w:bCs/>
          <w:color w:val="auto"/>
          <w:highlight w:val="none"/>
          <w:lang w:val="en-US" w:eastAsia="zh-CN"/>
        </w:rPr>
        <w:t>4.绩效指标明确性</w:t>
      </w:r>
      <w:bookmarkEnd w:id="61"/>
    </w:p>
    <w:p w14:paraId="71617E6F">
      <w:pPr>
        <w:bidi w:val="0"/>
        <w:rPr>
          <w:rFonts w:hint="eastAsia"/>
          <w:color w:val="auto"/>
          <w:highlight w:val="none"/>
          <w:lang w:eastAsia="zh-CN"/>
        </w:rPr>
      </w:pPr>
      <w:r>
        <w:rPr>
          <w:rFonts w:hint="eastAsia"/>
          <w:color w:val="auto"/>
          <w:highlight w:val="none"/>
          <w:lang w:eastAsia="zh-CN"/>
        </w:rPr>
        <w:t>①将项目绩效目标细化分解为</w:t>
      </w:r>
      <w:r>
        <w:rPr>
          <w:rFonts w:hint="eastAsia" w:cs="宋体"/>
          <w:color w:val="auto"/>
          <w:highlight w:val="none"/>
          <w:shd w:val="clear" w:color="auto" w:fill="auto"/>
          <w:lang w:val="en-US" w:eastAsia="zh-CN"/>
        </w:rPr>
        <w:t>6</w:t>
      </w:r>
      <w:r>
        <w:rPr>
          <w:rFonts w:hint="eastAsia" w:ascii="宋体" w:hAnsi="宋体" w:eastAsia="宋体" w:cs="宋体"/>
          <w:color w:val="auto"/>
          <w:highlight w:val="none"/>
          <w:shd w:val="clear" w:color="auto" w:fill="auto"/>
          <w:lang w:val="en-US" w:eastAsia="zh-CN"/>
        </w:rPr>
        <w:t>个二级指标和</w:t>
      </w:r>
      <w:r>
        <w:rPr>
          <w:rFonts w:hint="eastAsia" w:cs="宋体"/>
          <w:color w:val="auto"/>
          <w:highlight w:val="none"/>
          <w:shd w:val="clear" w:color="auto" w:fill="auto"/>
          <w:lang w:val="en-US" w:eastAsia="zh-CN"/>
        </w:rPr>
        <w:t>8</w:t>
      </w:r>
      <w:r>
        <w:rPr>
          <w:rFonts w:hint="eastAsia" w:ascii="宋体" w:hAnsi="宋体" w:eastAsia="宋体" w:cs="宋体"/>
          <w:color w:val="auto"/>
          <w:highlight w:val="none"/>
          <w:shd w:val="clear" w:color="auto" w:fill="auto"/>
          <w:lang w:val="en-US" w:eastAsia="zh-CN"/>
        </w:rPr>
        <w:t>个三级指标</w:t>
      </w:r>
      <w:r>
        <w:rPr>
          <w:rFonts w:hint="eastAsia"/>
          <w:color w:val="auto"/>
          <w:highlight w:val="none"/>
          <w:lang w:eastAsia="zh-CN"/>
        </w:rPr>
        <w:t>；</w:t>
      </w:r>
    </w:p>
    <w:p w14:paraId="5174FD82">
      <w:pPr>
        <w:bidi w:val="0"/>
        <w:rPr>
          <w:rFonts w:hint="eastAsia"/>
          <w:color w:val="auto"/>
          <w:highlight w:val="none"/>
          <w:lang w:eastAsia="zh-CN"/>
        </w:rPr>
      </w:pPr>
      <w:r>
        <w:rPr>
          <w:rFonts w:hint="eastAsia"/>
          <w:color w:val="auto"/>
          <w:highlight w:val="none"/>
          <w:lang w:eastAsia="zh-CN"/>
        </w:rPr>
        <w:t>②通过清晰、可衡量的指标值予以体现，量化率</w:t>
      </w:r>
      <w:r>
        <w:rPr>
          <w:rFonts w:hint="eastAsia"/>
          <w:color w:val="auto"/>
          <w:highlight w:val="none"/>
          <w:lang w:val="en-US" w:eastAsia="zh-CN"/>
        </w:rPr>
        <w:t>75%</w:t>
      </w:r>
      <w:r>
        <w:rPr>
          <w:rFonts w:hint="eastAsia"/>
          <w:color w:val="auto"/>
          <w:highlight w:val="none"/>
          <w:lang w:eastAsia="zh-CN"/>
        </w:rPr>
        <w:t>；</w:t>
      </w:r>
    </w:p>
    <w:p w14:paraId="6E26849E">
      <w:pPr>
        <w:bidi w:val="0"/>
        <w:rPr>
          <w:rFonts w:hint="eastAsia"/>
          <w:color w:val="auto"/>
          <w:highlight w:val="none"/>
          <w:lang w:eastAsia="zh-CN"/>
        </w:rPr>
      </w:pPr>
      <w:r>
        <w:rPr>
          <w:rFonts w:hint="eastAsia"/>
          <w:color w:val="auto"/>
          <w:highlight w:val="none"/>
          <w:lang w:eastAsia="zh-CN"/>
        </w:rPr>
        <w:t>③与项目目标任务数或计划数相对应。</w:t>
      </w:r>
    </w:p>
    <w:p w14:paraId="7CCF6728">
      <w:pPr>
        <w:bidi w:val="0"/>
        <w:rPr>
          <w:rFonts w:hint="eastAsia"/>
          <w:color w:val="auto"/>
          <w:highlight w:val="none"/>
          <w:lang w:eastAsia="zh-CN"/>
        </w:rPr>
      </w:pPr>
      <w:r>
        <w:rPr>
          <w:rFonts w:hint="eastAsia"/>
          <w:b/>
          <w:bCs/>
          <w:color w:val="auto"/>
          <w:highlight w:val="none"/>
          <w:lang w:val="en-US" w:eastAsia="zh-CN"/>
        </w:rPr>
        <w:t>综上，该项指标满分5分，得分5分。</w:t>
      </w:r>
    </w:p>
    <w:p w14:paraId="407389B8">
      <w:pPr>
        <w:bidi w:val="0"/>
        <w:outlineLvl w:val="2"/>
        <w:rPr>
          <w:rFonts w:hint="default"/>
          <w:b/>
          <w:bCs/>
          <w:color w:val="auto"/>
          <w:highlight w:val="none"/>
          <w:lang w:val="en-US" w:eastAsia="zh-CN"/>
        </w:rPr>
      </w:pPr>
      <w:bookmarkStart w:id="62" w:name="_Toc19401"/>
      <w:r>
        <w:rPr>
          <w:rFonts w:hint="eastAsia"/>
          <w:b/>
          <w:bCs/>
          <w:color w:val="auto"/>
          <w:highlight w:val="none"/>
          <w:lang w:val="en-US" w:eastAsia="zh-CN"/>
        </w:rPr>
        <w:t>5.预算编制科学性</w:t>
      </w:r>
      <w:bookmarkEnd w:id="62"/>
    </w:p>
    <w:p w14:paraId="279C37A4">
      <w:pPr>
        <w:bidi w:val="0"/>
        <w:rPr>
          <w:rFonts w:hint="eastAsia"/>
          <w:color w:val="auto"/>
          <w:highlight w:val="none"/>
          <w:lang w:eastAsia="zh-CN"/>
        </w:rPr>
      </w:pPr>
      <w:r>
        <w:rPr>
          <w:rFonts w:hint="eastAsia"/>
          <w:color w:val="auto"/>
          <w:highlight w:val="none"/>
          <w:lang w:eastAsia="zh-CN"/>
        </w:rPr>
        <w:t>①预算编制经过科学论证；</w:t>
      </w:r>
    </w:p>
    <w:p w14:paraId="444C6B4B">
      <w:pPr>
        <w:bidi w:val="0"/>
        <w:rPr>
          <w:rFonts w:hint="eastAsia"/>
          <w:color w:val="auto"/>
          <w:highlight w:val="none"/>
          <w:lang w:eastAsia="zh-CN"/>
        </w:rPr>
      </w:pPr>
      <w:r>
        <w:rPr>
          <w:rFonts w:hint="eastAsia"/>
          <w:color w:val="auto"/>
          <w:highlight w:val="none"/>
          <w:lang w:eastAsia="zh-CN"/>
        </w:rPr>
        <w:t>②预算内容与项目内容匹配；</w:t>
      </w:r>
    </w:p>
    <w:p w14:paraId="1B21D1C9">
      <w:pPr>
        <w:bidi w:val="0"/>
        <w:rPr>
          <w:rFonts w:hint="eastAsia"/>
          <w:color w:val="auto"/>
          <w:highlight w:val="none"/>
          <w:lang w:eastAsia="zh-CN"/>
        </w:rPr>
      </w:pPr>
      <w:r>
        <w:rPr>
          <w:rFonts w:hint="eastAsia"/>
          <w:color w:val="auto"/>
          <w:highlight w:val="none"/>
          <w:lang w:eastAsia="zh-CN"/>
        </w:rPr>
        <w:t>③预算额度测算依据充分，按照标准编制；</w:t>
      </w:r>
    </w:p>
    <w:p w14:paraId="39CD1F0A">
      <w:pPr>
        <w:bidi w:val="0"/>
        <w:rPr>
          <w:rFonts w:hint="eastAsia"/>
          <w:color w:val="auto"/>
          <w:highlight w:val="none"/>
          <w:lang w:eastAsia="zh-CN"/>
        </w:rPr>
      </w:pPr>
      <w:r>
        <w:rPr>
          <w:rFonts w:hint="eastAsia"/>
          <w:color w:val="auto"/>
          <w:highlight w:val="none"/>
          <w:lang w:eastAsia="zh-CN"/>
        </w:rPr>
        <w:t>④预算确定的项目投资额或资金量与工作任务相匹配。</w:t>
      </w:r>
    </w:p>
    <w:p w14:paraId="09E6E40B">
      <w:pPr>
        <w:bidi w:val="0"/>
        <w:rPr>
          <w:rFonts w:hint="eastAsia"/>
          <w:color w:val="auto"/>
          <w:highlight w:val="none"/>
          <w:lang w:eastAsia="zh-CN"/>
        </w:rPr>
      </w:pPr>
      <w:r>
        <w:rPr>
          <w:rFonts w:hint="eastAsia"/>
          <w:b/>
          <w:bCs/>
          <w:color w:val="auto"/>
          <w:highlight w:val="none"/>
          <w:lang w:val="en-US" w:eastAsia="zh-CN"/>
        </w:rPr>
        <w:t>综上，该项指标满分2分，得分2分。</w:t>
      </w:r>
    </w:p>
    <w:p w14:paraId="3F5B8039">
      <w:pPr>
        <w:bidi w:val="0"/>
        <w:outlineLvl w:val="2"/>
        <w:rPr>
          <w:rFonts w:hint="default"/>
          <w:b/>
          <w:bCs/>
          <w:color w:val="auto"/>
          <w:highlight w:val="none"/>
          <w:lang w:val="en-US" w:eastAsia="zh-CN"/>
        </w:rPr>
      </w:pPr>
      <w:bookmarkStart w:id="63" w:name="_Toc697"/>
      <w:r>
        <w:rPr>
          <w:rFonts w:hint="eastAsia"/>
          <w:b/>
          <w:bCs/>
          <w:color w:val="auto"/>
          <w:highlight w:val="none"/>
          <w:lang w:val="en-US" w:eastAsia="zh-CN"/>
        </w:rPr>
        <w:t>6.资金分配合理性</w:t>
      </w:r>
      <w:bookmarkEnd w:id="63"/>
    </w:p>
    <w:p w14:paraId="40B96C0D">
      <w:pPr>
        <w:bidi w:val="0"/>
        <w:rPr>
          <w:rFonts w:hint="eastAsia"/>
          <w:color w:val="auto"/>
          <w:highlight w:val="none"/>
          <w:lang w:eastAsia="zh-CN"/>
        </w:rPr>
      </w:pPr>
      <w:r>
        <w:rPr>
          <w:rFonts w:hint="eastAsia"/>
          <w:color w:val="auto"/>
          <w:highlight w:val="none"/>
          <w:lang w:eastAsia="zh-CN"/>
        </w:rPr>
        <w:t>①预算资金分配依据充分；</w:t>
      </w:r>
    </w:p>
    <w:p w14:paraId="368FCB36">
      <w:pPr>
        <w:bidi w:val="0"/>
        <w:rPr>
          <w:rFonts w:hint="eastAsia"/>
          <w:color w:val="auto"/>
          <w:highlight w:val="none"/>
          <w:lang w:eastAsia="zh-CN"/>
        </w:rPr>
      </w:pPr>
      <w:r>
        <w:rPr>
          <w:rFonts w:hint="eastAsia"/>
          <w:color w:val="auto"/>
          <w:highlight w:val="none"/>
          <w:lang w:eastAsia="zh-CN"/>
        </w:rPr>
        <w:t>②资金分配额度合理，与项目单位或地方实际相适应。</w:t>
      </w:r>
    </w:p>
    <w:p w14:paraId="3BE8496F">
      <w:pPr>
        <w:bidi w:val="0"/>
        <w:rPr>
          <w:rFonts w:hint="eastAsia"/>
          <w:color w:val="auto"/>
          <w:highlight w:val="none"/>
          <w:lang w:eastAsia="zh-CN"/>
        </w:rPr>
      </w:pPr>
      <w:r>
        <w:rPr>
          <w:rFonts w:hint="eastAsia"/>
          <w:b/>
          <w:bCs/>
          <w:color w:val="auto"/>
          <w:highlight w:val="none"/>
          <w:lang w:val="en-US" w:eastAsia="zh-CN"/>
        </w:rPr>
        <w:t>综上，该项指标满分3分，得分3分。</w:t>
      </w:r>
    </w:p>
    <w:p w14:paraId="50F1FBD0">
      <w:pPr>
        <w:pStyle w:val="4"/>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highlight w:val="none"/>
          <w:shd w:val="clear" w:color="auto" w:fill="auto"/>
        </w:rPr>
      </w:pPr>
      <w:bookmarkStart w:id="64" w:name="_Toc11361"/>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二</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项目过程情况</w:t>
      </w:r>
      <w:bookmarkEnd w:id="64"/>
    </w:p>
    <w:p w14:paraId="213688AC">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rPr>
        <w:t>过程</w:t>
      </w:r>
      <w:r>
        <w:rPr>
          <w:rFonts w:hint="eastAsia" w:ascii="宋体" w:hAnsi="宋体" w:eastAsia="宋体" w:cs="宋体"/>
          <w:color w:val="auto"/>
          <w:kern w:val="2"/>
          <w:highlight w:val="none"/>
          <w:u w:color="000000"/>
          <w:shd w:val="clear" w:color="auto" w:fill="auto"/>
          <w:lang w:eastAsia="zh-CN"/>
        </w:rPr>
        <w:t>管理</w:t>
      </w:r>
      <w:r>
        <w:rPr>
          <w:rFonts w:hint="eastAsia" w:ascii="宋体" w:hAnsi="宋体" w:eastAsia="宋体" w:cs="宋体"/>
          <w:color w:val="auto"/>
          <w:kern w:val="2"/>
          <w:highlight w:val="none"/>
          <w:u w:color="000000"/>
          <w:shd w:val="clear" w:color="auto" w:fill="auto"/>
          <w:lang w:val="zh-TW" w:eastAsia="zh-TW"/>
        </w:rPr>
        <w:t>类指标由</w:t>
      </w:r>
      <w:r>
        <w:rPr>
          <w:rFonts w:hint="eastAsia" w:ascii="宋体" w:hAnsi="宋体" w:eastAsia="宋体" w:cs="宋体"/>
          <w:color w:val="auto"/>
          <w:kern w:val="2"/>
          <w:highlight w:val="none"/>
          <w:u w:color="000000"/>
          <w:shd w:val="clear" w:color="auto" w:fill="auto"/>
          <w:lang w:eastAsia="zh-CN"/>
        </w:rPr>
        <w:t>2</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ascii="宋体" w:hAnsi="宋体" w:eastAsia="宋体" w:cs="宋体"/>
          <w:color w:val="auto"/>
          <w:kern w:val="2"/>
          <w:highlight w:val="none"/>
          <w:u w:color="000000"/>
          <w:shd w:val="clear" w:color="auto" w:fill="auto"/>
          <w:lang w:val="en-US" w:eastAsia="zh-CN"/>
        </w:rPr>
        <w:t>5</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20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20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-2</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14:paraId="5D37725F">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4-2</w:t>
      </w:r>
      <w:r>
        <w:rPr>
          <w:rFonts w:hint="eastAsia" w:ascii="宋体" w:hAnsi="宋体" w:eastAsia="宋体" w:cs="宋体"/>
          <w:b/>
          <w:bCs/>
          <w:color w:val="auto"/>
          <w:kern w:val="0"/>
          <w:sz w:val="28"/>
          <w:szCs w:val="28"/>
          <w:highlight w:val="none"/>
          <w:shd w:val="clear" w:color="auto" w:fill="auto"/>
          <w:lang w:val="zh-TW" w:eastAsia="zh-TW"/>
        </w:rPr>
        <w:t>项目</w:t>
      </w:r>
      <w:r>
        <w:rPr>
          <w:rFonts w:hint="eastAsia" w:ascii="宋体" w:hAnsi="宋体" w:eastAsia="宋体" w:cs="宋体"/>
          <w:b/>
          <w:bCs/>
          <w:color w:val="auto"/>
          <w:kern w:val="0"/>
          <w:sz w:val="28"/>
          <w:szCs w:val="28"/>
          <w:highlight w:val="none"/>
          <w:shd w:val="clear" w:color="auto" w:fill="auto"/>
          <w:lang w:val="zh-TW" w:eastAsia="zh-CN"/>
        </w:rPr>
        <w:t>管理</w:t>
      </w:r>
      <w:r>
        <w:rPr>
          <w:rFonts w:hint="eastAsia" w:ascii="宋体" w:hAnsi="宋体" w:eastAsia="宋体" w:cs="宋体"/>
          <w:b/>
          <w:bCs/>
          <w:color w:val="auto"/>
          <w:kern w:val="0"/>
          <w:sz w:val="28"/>
          <w:szCs w:val="28"/>
          <w:highlight w:val="none"/>
          <w:shd w:val="clear" w:color="auto" w:fill="auto"/>
          <w:lang w:val="zh-TW" w:eastAsia="zh-TW"/>
        </w:rPr>
        <w:t>指标及分值</w:t>
      </w:r>
      <w:r>
        <w:rPr>
          <w:rFonts w:hint="eastAsia" w:ascii="宋体" w:hAnsi="宋体" w:eastAsia="宋体" w:cs="宋体"/>
          <w:b/>
          <w:bCs/>
          <w:color w:val="auto"/>
          <w:kern w:val="0"/>
          <w:sz w:val="28"/>
          <w:szCs w:val="28"/>
          <w:highlight w:val="none"/>
          <w:shd w:val="clear" w:color="auto" w:fill="auto"/>
          <w:lang w:val="en-US" w:eastAsia="zh-CN"/>
        </w:rPr>
        <w:t>情况</w:t>
      </w:r>
    </w:p>
    <w:tbl>
      <w:tblPr>
        <w:tblStyle w:val="12"/>
        <w:tblW w:w="8317" w:type="dxa"/>
        <w:jc w:val="center"/>
        <w:tblLayout w:type="fixed"/>
        <w:tblCellMar>
          <w:top w:w="0" w:type="dxa"/>
          <w:left w:w="0" w:type="dxa"/>
          <w:bottom w:w="0" w:type="dxa"/>
          <w:right w:w="0" w:type="dxa"/>
        </w:tblCellMar>
      </w:tblPr>
      <w:tblGrid>
        <w:gridCol w:w="1182"/>
        <w:gridCol w:w="738"/>
        <w:gridCol w:w="1248"/>
        <w:gridCol w:w="1176"/>
        <w:gridCol w:w="1833"/>
        <w:gridCol w:w="987"/>
        <w:gridCol w:w="1153"/>
      </w:tblGrid>
      <w:tr w14:paraId="61A81D7F">
        <w:tblPrEx>
          <w:tblCellMar>
            <w:top w:w="0" w:type="dxa"/>
            <w:left w:w="0" w:type="dxa"/>
            <w:bottom w:w="0" w:type="dxa"/>
            <w:right w:w="0" w:type="dxa"/>
          </w:tblCellMar>
        </w:tblPrEx>
        <w:trPr>
          <w:trHeight w:val="272" w:hRule="atLeast"/>
          <w:tblHeader/>
          <w:jc w:val="center"/>
        </w:trPr>
        <w:tc>
          <w:tcPr>
            <w:tcW w:w="11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5FB87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一级指标</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CA1D3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152B1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46BAF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5E218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80A02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8E7B6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得分</w:t>
            </w:r>
          </w:p>
        </w:tc>
      </w:tr>
      <w:tr w14:paraId="530030B4">
        <w:tblPrEx>
          <w:tblCellMar>
            <w:top w:w="0" w:type="dxa"/>
            <w:left w:w="0" w:type="dxa"/>
            <w:bottom w:w="0" w:type="dxa"/>
            <w:right w:w="0" w:type="dxa"/>
          </w:tblCellMar>
        </w:tblPrEx>
        <w:trPr>
          <w:trHeight w:val="23"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FCCA9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过程管理</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55B14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28D7C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资金管理</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ACFB4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12</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E7953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资金到位率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1683C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EC09B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r>
      <w:tr w14:paraId="65BA4262">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450C8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34F20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CDDF8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4CB0B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EB23A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预算执行率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438CE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83E09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r>
      <w:tr w14:paraId="7005EF57">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413FD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582A1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1B7FE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1D311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B99A6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资金使用合规性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F6F7D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20BF8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r>
      <w:tr w14:paraId="40F49491">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51CDB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71996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1482A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组织实施</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83019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8</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2F620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管理制度健全性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F084D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98172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r>
      <w:tr w14:paraId="29C78192">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482C6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4CA9E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6D2A6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A3EB7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88F4E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制度执行有效性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E454A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E0061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r>
      <w:tr w14:paraId="7DF8E5C8">
        <w:tblPrEx>
          <w:tblCellMar>
            <w:top w:w="0" w:type="dxa"/>
            <w:left w:w="0" w:type="dxa"/>
            <w:bottom w:w="0" w:type="dxa"/>
            <w:right w:w="0" w:type="dxa"/>
          </w:tblCellMar>
        </w:tblPrEx>
        <w:trPr>
          <w:trHeight w:val="23" w:hRule="atLeast"/>
          <w:jc w:val="center"/>
        </w:trPr>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49633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C3669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7C665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68B29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29DE4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20</w:t>
            </w:r>
          </w:p>
        </w:tc>
      </w:tr>
    </w:tbl>
    <w:p w14:paraId="29F3CEF0">
      <w:pPr>
        <w:bidi w:val="0"/>
        <w:outlineLvl w:val="2"/>
        <w:rPr>
          <w:rFonts w:hint="default"/>
          <w:b/>
          <w:bCs/>
          <w:color w:val="auto"/>
          <w:highlight w:val="none"/>
          <w:lang w:val="en-US" w:eastAsia="zh-CN"/>
        </w:rPr>
      </w:pPr>
      <w:bookmarkStart w:id="65" w:name="_Toc3886"/>
      <w:r>
        <w:rPr>
          <w:rFonts w:hint="eastAsia"/>
          <w:b/>
          <w:bCs/>
          <w:color w:val="auto"/>
          <w:highlight w:val="none"/>
          <w:lang w:val="en-US" w:eastAsia="zh-CN"/>
        </w:rPr>
        <w:t>1.资金到位率</w:t>
      </w:r>
      <w:bookmarkEnd w:id="65"/>
    </w:p>
    <w:p w14:paraId="789CE41B">
      <w:pPr>
        <w:bidi w:val="0"/>
        <w:rPr>
          <w:rFonts w:hint="default"/>
          <w:b/>
          <w:bCs/>
          <w:color w:val="auto"/>
          <w:highlight w:val="none"/>
          <w:lang w:val="en-US" w:eastAsia="zh-CN"/>
        </w:rPr>
      </w:pPr>
      <w:r>
        <w:rPr>
          <w:rFonts w:hint="eastAsia"/>
          <w:color w:val="auto"/>
          <w:highlight w:val="none"/>
          <w:lang w:eastAsia="zh-CN"/>
        </w:rPr>
        <w:t>资金到位率=（</w:t>
      </w:r>
      <w:r>
        <w:rPr>
          <w:rFonts w:hint="eastAsia"/>
          <w:color w:val="auto"/>
          <w:highlight w:val="none"/>
          <w:lang w:val="en-US" w:eastAsia="zh-CN"/>
        </w:rPr>
        <w:t>3.98万元</w:t>
      </w:r>
      <w:r>
        <w:rPr>
          <w:rFonts w:hint="eastAsia"/>
          <w:color w:val="auto"/>
          <w:highlight w:val="none"/>
          <w:lang w:eastAsia="zh-CN"/>
        </w:rPr>
        <w:t>/</w:t>
      </w:r>
      <w:r>
        <w:rPr>
          <w:rFonts w:hint="eastAsia"/>
          <w:color w:val="auto"/>
          <w:highlight w:val="none"/>
          <w:lang w:val="en-US" w:eastAsia="zh-CN"/>
        </w:rPr>
        <w:t>3.98万元</w:t>
      </w:r>
      <w:r>
        <w:rPr>
          <w:rFonts w:hint="eastAsia"/>
          <w:color w:val="auto"/>
          <w:highlight w:val="none"/>
          <w:lang w:eastAsia="zh-CN"/>
        </w:rPr>
        <w:t>）×100%</w:t>
      </w:r>
      <w:r>
        <w:rPr>
          <w:rFonts w:hint="eastAsia"/>
          <w:b/>
          <w:bCs/>
          <w:color w:val="auto"/>
          <w:highlight w:val="none"/>
          <w:lang w:val="en-US" w:eastAsia="zh-CN"/>
        </w:rPr>
        <w:t>=100%</w:t>
      </w:r>
    </w:p>
    <w:p w14:paraId="08BA6676">
      <w:pPr>
        <w:bidi w:val="0"/>
        <w:rPr>
          <w:rFonts w:hint="eastAsia"/>
          <w:color w:val="auto"/>
          <w:highlight w:val="none"/>
          <w:lang w:eastAsia="zh-CN"/>
        </w:rPr>
      </w:pPr>
      <w:r>
        <w:rPr>
          <w:rFonts w:hint="eastAsia"/>
          <w:b/>
          <w:bCs/>
          <w:color w:val="auto"/>
          <w:highlight w:val="none"/>
          <w:lang w:val="en-US" w:eastAsia="zh-CN"/>
        </w:rPr>
        <w:t>综上，该项指标满分4分，得分4分。</w:t>
      </w:r>
    </w:p>
    <w:p w14:paraId="2CBD9201">
      <w:pPr>
        <w:bidi w:val="0"/>
        <w:outlineLvl w:val="2"/>
        <w:rPr>
          <w:rFonts w:hint="default"/>
          <w:b/>
          <w:bCs/>
          <w:color w:val="auto"/>
          <w:highlight w:val="none"/>
          <w:lang w:val="en-US" w:eastAsia="zh-CN"/>
        </w:rPr>
      </w:pPr>
      <w:bookmarkStart w:id="66" w:name="_Toc9705"/>
      <w:r>
        <w:rPr>
          <w:rFonts w:hint="eastAsia"/>
          <w:b/>
          <w:bCs/>
          <w:color w:val="auto"/>
          <w:highlight w:val="none"/>
          <w:lang w:val="en-US" w:eastAsia="zh-CN"/>
        </w:rPr>
        <w:t>2.预算执行率</w:t>
      </w:r>
      <w:bookmarkEnd w:id="66"/>
    </w:p>
    <w:p w14:paraId="0F79960A">
      <w:pPr>
        <w:bidi w:val="0"/>
        <w:rPr>
          <w:rFonts w:hint="default"/>
          <w:color w:val="auto"/>
          <w:highlight w:val="none"/>
          <w:lang w:val="en-US" w:eastAsia="zh-CN"/>
        </w:rPr>
      </w:pPr>
      <w:r>
        <w:rPr>
          <w:rFonts w:hint="eastAsia"/>
          <w:color w:val="auto"/>
          <w:highlight w:val="none"/>
          <w:lang w:eastAsia="zh-CN"/>
        </w:rPr>
        <w:t>预算执行率=（</w:t>
      </w:r>
      <w:r>
        <w:rPr>
          <w:rFonts w:hint="eastAsia"/>
          <w:color w:val="auto"/>
          <w:highlight w:val="none"/>
          <w:lang w:val="en-US" w:eastAsia="zh-CN"/>
        </w:rPr>
        <w:t>3.98</w:t>
      </w:r>
      <w:r>
        <w:rPr>
          <w:rFonts w:hint="eastAsia"/>
          <w:color w:val="auto"/>
          <w:highlight w:val="none"/>
          <w:lang w:eastAsia="zh-CN"/>
        </w:rPr>
        <w:t>/万元</w:t>
      </w:r>
      <w:r>
        <w:rPr>
          <w:rFonts w:hint="eastAsia"/>
          <w:color w:val="auto"/>
          <w:highlight w:val="none"/>
          <w:lang w:val="en-US" w:eastAsia="zh-CN"/>
        </w:rPr>
        <w:t>3.98万元</w:t>
      </w:r>
      <w:r>
        <w:rPr>
          <w:rFonts w:hint="eastAsia"/>
          <w:color w:val="auto"/>
          <w:highlight w:val="none"/>
          <w:lang w:eastAsia="zh-CN"/>
        </w:rPr>
        <w:t>）×100%</w:t>
      </w:r>
      <w:r>
        <w:rPr>
          <w:rFonts w:hint="eastAsia"/>
          <w:b/>
          <w:bCs/>
          <w:color w:val="auto"/>
          <w:highlight w:val="none"/>
          <w:lang w:val="en-US" w:eastAsia="zh-CN"/>
        </w:rPr>
        <w:t>=100%</w:t>
      </w:r>
    </w:p>
    <w:p w14:paraId="5B75A58A">
      <w:pPr>
        <w:bidi w:val="0"/>
        <w:rPr>
          <w:rFonts w:hint="eastAsia"/>
          <w:color w:val="auto"/>
          <w:highlight w:val="none"/>
          <w:lang w:eastAsia="zh-CN"/>
        </w:rPr>
      </w:pPr>
      <w:r>
        <w:rPr>
          <w:rFonts w:hint="eastAsia"/>
          <w:b/>
          <w:bCs/>
          <w:color w:val="auto"/>
          <w:highlight w:val="none"/>
          <w:lang w:val="en-US" w:eastAsia="zh-CN"/>
        </w:rPr>
        <w:t>综上，该项指标满分4分，得分4分。</w:t>
      </w:r>
    </w:p>
    <w:p w14:paraId="31564B4D">
      <w:pPr>
        <w:bidi w:val="0"/>
        <w:outlineLvl w:val="2"/>
        <w:rPr>
          <w:rFonts w:hint="default"/>
          <w:b/>
          <w:bCs/>
          <w:color w:val="auto"/>
          <w:highlight w:val="none"/>
          <w:lang w:val="en-US" w:eastAsia="zh-CN"/>
        </w:rPr>
      </w:pPr>
      <w:bookmarkStart w:id="67" w:name="_Toc18691"/>
      <w:r>
        <w:rPr>
          <w:rFonts w:hint="eastAsia"/>
          <w:b/>
          <w:bCs/>
          <w:color w:val="auto"/>
          <w:highlight w:val="none"/>
          <w:lang w:val="en-US" w:eastAsia="zh-CN"/>
        </w:rPr>
        <w:t>3.资金使用合规性</w:t>
      </w:r>
      <w:bookmarkEnd w:id="67"/>
    </w:p>
    <w:p w14:paraId="16DFB8B2">
      <w:pPr>
        <w:bidi w:val="0"/>
        <w:rPr>
          <w:rFonts w:hint="eastAsia"/>
          <w:color w:val="auto"/>
          <w:highlight w:val="none"/>
          <w:lang w:eastAsia="zh-CN"/>
        </w:rPr>
      </w:pPr>
      <w:r>
        <w:rPr>
          <w:rFonts w:hint="eastAsia"/>
          <w:color w:val="auto"/>
          <w:highlight w:val="none"/>
          <w:lang w:eastAsia="zh-CN"/>
        </w:rPr>
        <w:t>①符合国家《</w:t>
      </w:r>
      <w:r>
        <w:rPr>
          <w:rFonts w:hint="eastAsia"/>
          <w:color w:val="auto"/>
          <w:highlight w:val="none"/>
          <w:lang w:val="en-US" w:eastAsia="zh-CN"/>
        </w:rPr>
        <w:t>政府会计准则</w:t>
      </w:r>
      <w:r>
        <w:rPr>
          <w:rFonts w:hint="eastAsia"/>
          <w:color w:val="auto"/>
          <w:highlight w:val="none"/>
          <w:lang w:eastAsia="zh-CN"/>
        </w:rPr>
        <w:t>》、《</w:t>
      </w:r>
      <w:r>
        <w:rPr>
          <w:rFonts w:hint="eastAsia"/>
          <w:color w:val="auto"/>
          <w:highlight w:val="none"/>
          <w:lang w:val="en-US" w:eastAsia="zh-CN"/>
        </w:rPr>
        <w:t>全民健康体检资金使用办法</w:t>
      </w:r>
      <w:r>
        <w:rPr>
          <w:rFonts w:hint="eastAsia"/>
          <w:color w:val="auto"/>
          <w:highlight w:val="none"/>
          <w:lang w:eastAsia="zh-CN"/>
        </w:rPr>
        <w:t>》以及有关专项资金管理办法的规定；</w:t>
      </w:r>
    </w:p>
    <w:p w14:paraId="78893793">
      <w:pPr>
        <w:bidi w:val="0"/>
        <w:rPr>
          <w:rFonts w:hint="eastAsia"/>
          <w:color w:val="auto"/>
          <w:highlight w:val="none"/>
          <w:lang w:eastAsia="zh-CN"/>
        </w:rPr>
      </w:pPr>
      <w:r>
        <w:rPr>
          <w:rFonts w:hint="eastAsia"/>
          <w:color w:val="auto"/>
          <w:highlight w:val="none"/>
          <w:lang w:eastAsia="zh-CN"/>
        </w:rPr>
        <w:t>②资金的拨付有完整的审批程序和手续；</w:t>
      </w:r>
    </w:p>
    <w:p w14:paraId="154E5BCD">
      <w:pPr>
        <w:bidi w:val="0"/>
        <w:rPr>
          <w:rFonts w:hint="eastAsia"/>
          <w:color w:val="auto"/>
          <w:highlight w:val="none"/>
          <w:lang w:eastAsia="zh-CN"/>
        </w:rPr>
      </w:pPr>
      <w:r>
        <w:rPr>
          <w:rFonts w:hint="eastAsia"/>
          <w:color w:val="auto"/>
          <w:highlight w:val="none"/>
          <w:lang w:eastAsia="zh-CN"/>
        </w:rPr>
        <w:t>③符合项目预算批复或合同规定的用途；</w:t>
      </w:r>
    </w:p>
    <w:p w14:paraId="6ED1BCDB">
      <w:pPr>
        <w:bidi w:val="0"/>
        <w:rPr>
          <w:rFonts w:hint="eastAsia"/>
          <w:color w:val="auto"/>
          <w:highlight w:val="none"/>
          <w:lang w:eastAsia="zh-CN"/>
        </w:rPr>
      </w:pPr>
      <w:r>
        <w:rPr>
          <w:rFonts w:hint="eastAsia"/>
          <w:color w:val="auto"/>
          <w:highlight w:val="none"/>
          <w:lang w:eastAsia="zh-CN"/>
        </w:rPr>
        <w:t>④</w:t>
      </w:r>
      <w:r>
        <w:rPr>
          <w:rFonts w:hint="eastAsia"/>
          <w:color w:val="auto"/>
          <w:highlight w:val="none"/>
          <w:lang w:val="en-US" w:eastAsia="zh-CN"/>
        </w:rPr>
        <w:t>不</w:t>
      </w:r>
      <w:r>
        <w:rPr>
          <w:rFonts w:hint="eastAsia"/>
          <w:color w:val="auto"/>
          <w:highlight w:val="none"/>
          <w:lang w:eastAsia="zh-CN"/>
        </w:rPr>
        <w:t>存在截留、挤占、挪用、虚列支出等情况。</w:t>
      </w:r>
    </w:p>
    <w:p w14:paraId="5CB9A2FE">
      <w:pPr>
        <w:bidi w:val="0"/>
        <w:rPr>
          <w:rFonts w:hint="eastAsia"/>
          <w:color w:val="auto"/>
          <w:highlight w:val="none"/>
          <w:lang w:eastAsia="zh-CN"/>
        </w:rPr>
      </w:pPr>
      <w:r>
        <w:rPr>
          <w:rFonts w:hint="eastAsia"/>
          <w:b/>
          <w:bCs/>
          <w:color w:val="auto"/>
          <w:highlight w:val="none"/>
          <w:lang w:val="en-US" w:eastAsia="zh-CN"/>
        </w:rPr>
        <w:t>综上，该项指标满分4分，得分4分。</w:t>
      </w:r>
    </w:p>
    <w:p w14:paraId="3191DD8B">
      <w:pPr>
        <w:bidi w:val="0"/>
        <w:rPr>
          <w:rFonts w:hint="default"/>
          <w:b/>
          <w:bCs/>
          <w:color w:val="auto"/>
          <w:highlight w:val="none"/>
          <w:lang w:val="en-US" w:eastAsia="zh-CN"/>
        </w:rPr>
      </w:pPr>
      <w:r>
        <w:rPr>
          <w:rFonts w:hint="eastAsia"/>
          <w:b/>
          <w:bCs/>
          <w:color w:val="auto"/>
          <w:highlight w:val="none"/>
          <w:lang w:val="en-US" w:eastAsia="zh-CN"/>
        </w:rPr>
        <w:t>4.管理制度健全性</w:t>
      </w:r>
    </w:p>
    <w:p w14:paraId="520C113C">
      <w:pPr>
        <w:bidi w:val="0"/>
        <w:rPr>
          <w:rFonts w:hint="eastAsia"/>
          <w:color w:val="auto"/>
          <w:highlight w:val="none"/>
          <w:lang w:eastAsia="zh-CN"/>
        </w:rPr>
      </w:pPr>
      <w:r>
        <w:rPr>
          <w:rFonts w:hint="eastAsia"/>
          <w:color w:val="auto"/>
          <w:highlight w:val="none"/>
          <w:lang w:eastAsia="zh-CN"/>
        </w:rPr>
        <w:t>①已制定或具有相应的《阜康市甘河子镇卫生院财务管理制度》；</w:t>
      </w:r>
    </w:p>
    <w:p w14:paraId="024C65CA">
      <w:pPr>
        <w:bidi w:val="0"/>
        <w:rPr>
          <w:rFonts w:hint="eastAsia"/>
          <w:color w:val="auto"/>
          <w:highlight w:val="none"/>
          <w:lang w:eastAsia="zh-CN"/>
        </w:rPr>
      </w:pPr>
      <w:r>
        <w:rPr>
          <w:rFonts w:hint="eastAsia"/>
          <w:color w:val="auto"/>
          <w:highlight w:val="none"/>
          <w:lang w:eastAsia="zh-CN"/>
        </w:rPr>
        <w:t>②财务和业务管理制度合法、合规、完整。</w:t>
      </w:r>
    </w:p>
    <w:p w14:paraId="3410F325">
      <w:pPr>
        <w:bidi w:val="0"/>
        <w:rPr>
          <w:rFonts w:hint="eastAsia"/>
          <w:color w:val="auto"/>
          <w:highlight w:val="none"/>
          <w:lang w:eastAsia="zh-CN"/>
        </w:rPr>
      </w:pPr>
      <w:r>
        <w:rPr>
          <w:rFonts w:hint="eastAsia"/>
          <w:b/>
          <w:bCs/>
          <w:color w:val="auto"/>
          <w:highlight w:val="none"/>
          <w:lang w:val="en-US" w:eastAsia="zh-CN"/>
        </w:rPr>
        <w:t>综上，该项指标满分4分，得分4分。</w:t>
      </w:r>
    </w:p>
    <w:p w14:paraId="01F10088">
      <w:pPr>
        <w:bidi w:val="0"/>
        <w:ind w:left="1403" w:leftChars="200" w:hanging="843" w:hangingChars="300"/>
        <w:outlineLvl w:val="2"/>
        <w:rPr>
          <w:rFonts w:hint="eastAsia"/>
          <w:b/>
          <w:bCs/>
          <w:color w:val="auto"/>
          <w:highlight w:val="none"/>
          <w:lang w:val="en-US" w:eastAsia="zh-CN"/>
        </w:rPr>
      </w:pPr>
      <w:bookmarkStart w:id="68" w:name="_Toc31684"/>
      <w:r>
        <w:rPr>
          <w:rFonts w:hint="eastAsia"/>
          <w:b/>
          <w:bCs/>
          <w:color w:val="auto"/>
          <w:highlight w:val="none"/>
          <w:lang w:val="en-US" w:eastAsia="zh-CN"/>
        </w:rPr>
        <w:t>5.制度执行有效性</w:t>
      </w:r>
      <w:bookmarkEnd w:id="68"/>
    </w:p>
    <w:p w14:paraId="7CF3ECB6">
      <w:pPr>
        <w:bidi w:val="0"/>
        <w:rPr>
          <w:rFonts w:hint="eastAsia"/>
          <w:color w:val="auto"/>
          <w:highlight w:val="none"/>
          <w:lang w:eastAsia="zh-CN"/>
        </w:rPr>
      </w:pPr>
      <w:r>
        <w:rPr>
          <w:rFonts w:hint="eastAsia"/>
          <w:color w:val="auto"/>
          <w:highlight w:val="none"/>
          <w:lang w:eastAsia="zh-CN"/>
        </w:rPr>
        <w:t>①遵守相关法律法规和相关管理规定；</w:t>
      </w:r>
    </w:p>
    <w:p w14:paraId="1B6F19B1">
      <w:pPr>
        <w:bidi w:val="0"/>
        <w:rPr>
          <w:rFonts w:hint="eastAsia"/>
          <w:color w:val="auto"/>
          <w:highlight w:val="none"/>
          <w:lang w:eastAsia="zh-CN"/>
        </w:rPr>
      </w:pPr>
      <w:r>
        <w:rPr>
          <w:rFonts w:hint="eastAsia"/>
          <w:color w:val="auto"/>
          <w:highlight w:val="none"/>
          <w:lang w:eastAsia="zh-CN"/>
        </w:rPr>
        <w:t>②项目未调整；</w:t>
      </w:r>
    </w:p>
    <w:p w14:paraId="679268E6">
      <w:pPr>
        <w:bidi w:val="0"/>
        <w:rPr>
          <w:rFonts w:hint="eastAsia"/>
          <w:color w:val="auto"/>
          <w:highlight w:val="none"/>
          <w:lang w:eastAsia="zh-CN"/>
        </w:rPr>
      </w:pPr>
      <w:r>
        <w:rPr>
          <w:rFonts w:hint="eastAsia"/>
          <w:color w:val="auto"/>
          <w:highlight w:val="none"/>
          <w:lang w:eastAsia="zh-CN"/>
        </w:rPr>
        <w:t>③《</w:t>
      </w:r>
      <w:r>
        <w:rPr>
          <w:rFonts w:hint="eastAsia"/>
          <w:color w:val="auto"/>
          <w:highlight w:val="none"/>
          <w:lang w:val="en-US" w:eastAsia="zh-CN"/>
        </w:rPr>
        <w:t>全民健康体检工作</w:t>
      </w:r>
      <w:r>
        <w:rPr>
          <w:rFonts w:hint="eastAsia"/>
          <w:color w:val="auto"/>
          <w:sz w:val="28"/>
          <w:szCs w:val="28"/>
          <w:highlight w:val="none"/>
          <w:lang w:eastAsia="zh-CN"/>
        </w:rPr>
        <w:t>方案》，各级培训资料，督导资料，质控档案资料，</w:t>
      </w:r>
      <w:r>
        <w:rPr>
          <w:rFonts w:hint="eastAsia"/>
          <w:color w:val="auto"/>
          <w:sz w:val="28"/>
          <w:szCs w:val="28"/>
          <w:highlight w:val="none"/>
          <w:lang w:val="en-US" w:eastAsia="zh-CN"/>
        </w:rPr>
        <w:t>体检</w:t>
      </w:r>
      <w:r>
        <w:rPr>
          <w:rFonts w:hint="eastAsia"/>
          <w:color w:val="auto"/>
          <w:sz w:val="28"/>
          <w:szCs w:val="28"/>
          <w:highlight w:val="none"/>
          <w:lang w:eastAsia="zh-CN"/>
        </w:rPr>
        <w:t>人员资质，</w:t>
      </w:r>
      <w:r>
        <w:rPr>
          <w:rFonts w:hint="eastAsia"/>
          <w:color w:val="auto"/>
          <w:sz w:val="28"/>
          <w:szCs w:val="28"/>
          <w:highlight w:val="none"/>
          <w:lang w:val="en-US" w:eastAsia="zh-CN"/>
        </w:rPr>
        <w:t>被体检</w:t>
      </w:r>
      <w:r>
        <w:rPr>
          <w:rFonts w:hint="eastAsia"/>
          <w:color w:val="auto"/>
          <w:sz w:val="28"/>
          <w:szCs w:val="28"/>
          <w:highlight w:val="none"/>
          <w:lang w:eastAsia="zh-CN"/>
        </w:rPr>
        <w:t>人员健康档案</w:t>
      </w:r>
      <w:r>
        <w:rPr>
          <w:rFonts w:hint="eastAsia"/>
          <w:color w:val="auto"/>
          <w:highlight w:val="none"/>
          <w:lang w:eastAsia="zh-CN"/>
        </w:rPr>
        <w:t>等资料齐全并及时归档；</w:t>
      </w:r>
    </w:p>
    <w:p w14:paraId="3220AD48">
      <w:pPr>
        <w:bidi w:val="0"/>
        <w:rPr>
          <w:rFonts w:hint="eastAsia"/>
          <w:color w:val="auto"/>
          <w:highlight w:val="none"/>
          <w:lang w:eastAsia="zh-CN"/>
        </w:rPr>
      </w:pPr>
      <w:r>
        <w:rPr>
          <w:rFonts w:hint="eastAsia"/>
          <w:color w:val="auto"/>
          <w:highlight w:val="none"/>
          <w:lang w:eastAsia="zh-CN"/>
        </w:rPr>
        <w:t>④项目实施</w:t>
      </w:r>
      <w:r>
        <w:rPr>
          <w:rFonts w:hint="eastAsia" w:cs="宋体"/>
          <w:b w:val="0"/>
          <w:bCs w:val="0"/>
          <w:color w:val="auto"/>
          <w:kern w:val="2"/>
          <w:sz w:val="28"/>
          <w:szCs w:val="28"/>
          <w:highlight w:val="none"/>
          <w:shd w:val="clear" w:color="auto" w:fill="auto"/>
          <w:lang w:val="en-US" w:eastAsia="zh-CN" w:bidi="ar-SA"/>
        </w:rPr>
        <w:t>所需的专项领导小组、工作小组以及个人分工、体检所需分析仪、测量仪器、以及专设的体检科室</w:t>
      </w:r>
      <w:r>
        <w:rPr>
          <w:rFonts w:hint="eastAsia"/>
          <w:color w:val="auto"/>
          <w:highlight w:val="none"/>
          <w:shd w:val="clear"/>
          <w:lang w:eastAsia="zh-CN"/>
        </w:rPr>
        <w:t>、</w:t>
      </w:r>
      <w:r>
        <w:rPr>
          <w:rFonts w:hint="eastAsia"/>
          <w:color w:val="auto"/>
          <w:highlight w:val="none"/>
          <w:shd w:val="clear"/>
          <w:lang w:val="en-US" w:eastAsia="zh-CN"/>
        </w:rPr>
        <w:t>全面健康体检的信息化系统</w:t>
      </w:r>
      <w:r>
        <w:rPr>
          <w:rFonts w:hint="eastAsia"/>
          <w:color w:val="auto"/>
          <w:highlight w:val="none"/>
          <w:shd w:val="clear"/>
          <w:lang w:eastAsia="zh-CN"/>
        </w:rPr>
        <w:t>等落实到</w:t>
      </w:r>
      <w:r>
        <w:rPr>
          <w:rFonts w:hint="eastAsia"/>
          <w:color w:val="auto"/>
          <w:highlight w:val="none"/>
          <w:lang w:eastAsia="zh-CN"/>
        </w:rPr>
        <w:t>位。</w:t>
      </w:r>
    </w:p>
    <w:p w14:paraId="1DF2EE29">
      <w:pPr>
        <w:bidi w:val="0"/>
        <w:rPr>
          <w:rFonts w:hint="eastAsia"/>
          <w:color w:val="auto"/>
          <w:highlight w:val="none"/>
          <w:lang w:eastAsia="zh-CN"/>
        </w:rPr>
      </w:pPr>
      <w:r>
        <w:rPr>
          <w:rFonts w:hint="eastAsia"/>
          <w:b/>
          <w:bCs/>
          <w:color w:val="auto"/>
          <w:highlight w:val="none"/>
          <w:lang w:val="en-US" w:eastAsia="zh-CN"/>
        </w:rPr>
        <w:t>综上，该项指标满分4分，得分4分。</w:t>
      </w:r>
    </w:p>
    <w:p w14:paraId="24CD6D9E">
      <w:pPr>
        <w:pStyle w:val="4"/>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auto"/>
          <w:highlight w:val="none"/>
          <w:shd w:val="clear" w:color="auto" w:fill="auto"/>
        </w:rPr>
      </w:pPr>
      <w:bookmarkStart w:id="69" w:name="_Toc16268"/>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三</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项目产出情况</w:t>
      </w:r>
      <w:bookmarkEnd w:id="69"/>
    </w:p>
    <w:p w14:paraId="08198F76">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lang w:val="en-US" w:eastAsia="zh-CN"/>
        </w:rPr>
        <w:t>产出</w:t>
      </w:r>
      <w:r>
        <w:rPr>
          <w:rFonts w:hint="eastAsia" w:ascii="宋体" w:hAnsi="宋体" w:eastAsia="宋体" w:cs="宋体"/>
          <w:color w:val="auto"/>
          <w:kern w:val="2"/>
          <w:highlight w:val="none"/>
          <w:u w:color="000000"/>
          <w:shd w:val="clear" w:color="auto" w:fill="auto"/>
          <w:lang w:val="zh-TW" w:eastAsia="zh-TW"/>
        </w:rPr>
        <w:t>类指标由</w:t>
      </w:r>
      <w:r>
        <w:rPr>
          <w:rFonts w:hint="eastAsia"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cs="宋体"/>
          <w:color w:val="auto"/>
          <w:kern w:val="2"/>
          <w:highlight w:val="none"/>
          <w:u w:color="000000"/>
          <w:shd w:val="clear" w:color="auto" w:fill="auto"/>
          <w:lang w:val="en-US" w:eastAsia="zh-CN"/>
        </w:rPr>
        <w:t>6</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w:t>
      </w:r>
      <w:r>
        <w:rPr>
          <w:rFonts w:hint="eastAsia" w:ascii="宋体" w:hAnsi="宋体" w:eastAsia="宋体" w:cs="宋体"/>
          <w:color w:val="auto"/>
          <w:kern w:val="2"/>
          <w:highlight w:val="none"/>
          <w:u w:color="000000"/>
          <w:shd w:val="clear" w:color="auto" w:fill="auto"/>
          <w:lang w:val="en-US" w:eastAsia="zh-CN"/>
        </w:rPr>
        <w:t>3</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14:paraId="23A2274B">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4-3项目产出</w:t>
      </w:r>
      <w:r>
        <w:rPr>
          <w:rFonts w:hint="eastAsia" w:ascii="宋体" w:hAnsi="宋体" w:eastAsia="宋体" w:cs="宋体"/>
          <w:b/>
          <w:bCs/>
          <w:color w:val="auto"/>
          <w:kern w:val="0"/>
          <w:sz w:val="28"/>
          <w:szCs w:val="28"/>
          <w:highlight w:val="none"/>
          <w:shd w:val="clear" w:color="auto" w:fill="auto"/>
          <w:lang w:val="zh-TW" w:eastAsia="zh-TW"/>
        </w:rPr>
        <w:t>指标及分值</w:t>
      </w:r>
      <w:r>
        <w:rPr>
          <w:rFonts w:hint="eastAsia" w:ascii="宋体" w:hAnsi="宋体" w:eastAsia="宋体" w:cs="宋体"/>
          <w:b/>
          <w:bCs/>
          <w:color w:val="auto"/>
          <w:kern w:val="0"/>
          <w:sz w:val="28"/>
          <w:szCs w:val="28"/>
          <w:highlight w:val="none"/>
          <w:shd w:val="clear" w:color="auto" w:fill="auto"/>
          <w:lang w:val="en-US" w:eastAsia="zh-CN"/>
        </w:rPr>
        <w:t>情况</w:t>
      </w:r>
    </w:p>
    <w:tbl>
      <w:tblPr>
        <w:tblStyle w:val="12"/>
        <w:tblW w:w="8197" w:type="dxa"/>
        <w:tblInd w:w="0" w:type="dxa"/>
        <w:shd w:val="clear" w:color="auto" w:fill="auto"/>
        <w:tblLayout w:type="fixed"/>
        <w:tblCellMar>
          <w:top w:w="0" w:type="dxa"/>
          <w:left w:w="0" w:type="dxa"/>
          <w:bottom w:w="0" w:type="dxa"/>
          <w:right w:w="0" w:type="dxa"/>
        </w:tblCellMar>
      </w:tblPr>
      <w:tblGrid>
        <w:gridCol w:w="634"/>
        <w:gridCol w:w="928"/>
        <w:gridCol w:w="2644"/>
        <w:gridCol w:w="1437"/>
        <w:gridCol w:w="558"/>
        <w:gridCol w:w="1365"/>
        <w:gridCol w:w="631"/>
      </w:tblGrid>
      <w:tr w14:paraId="3C6B144E">
        <w:tblPrEx>
          <w:shd w:val="clear" w:color="auto" w:fill="auto"/>
          <w:tblCellMar>
            <w:top w:w="0" w:type="dxa"/>
            <w:left w:w="0" w:type="dxa"/>
            <w:bottom w:w="0" w:type="dxa"/>
            <w:right w:w="0" w:type="dxa"/>
          </w:tblCellMar>
        </w:tblPrEx>
        <w:trPr>
          <w:trHeight w:val="7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29CF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7258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D9B5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7C75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年度指标值</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6DF2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标杆分值</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E1FE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全年实际完成值</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C42D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指标得分</w:t>
            </w:r>
          </w:p>
        </w:tc>
      </w:tr>
      <w:tr w14:paraId="1BAA97C3">
        <w:tblPrEx>
          <w:shd w:val="clear" w:color="auto" w:fill="auto"/>
          <w:tblCellMar>
            <w:top w:w="0" w:type="dxa"/>
            <w:left w:w="0" w:type="dxa"/>
            <w:bottom w:w="0" w:type="dxa"/>
            <w:right w:w="0" w:type="dxa"/>
          </w:tblCellMar>
        </w:tblPrEx>
        <w:trPr>
          <w:trHeight w:val="415" w:hRule="atLeast"/>
        </w:trPr>
        <w:tc>
          <w:tcPr>
            <w:tcW w:w="63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2CB45C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产出</w:t>
            </w:r>
          </w:p>
        </w:tc>
        <w:tc>
          <w:tcPr>
            <w:tcW w:w="9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0C969D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数量指标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C853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享受全民健康体检人数</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0443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≥3200人</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F928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E17C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3440人</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EA6C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14:paraId="00FBC41C">
        <w:tblPrEx>
          <w:shd w:val="clear" w:color="auto" w:fill="auto"/>
          <w:tblCellMar>
            <w:top w:w="0" w:type="dxa"/>
            <w:left w:w="0" w:type="dxa"/>
            <w:bottom w:w="0" w:type="dxa"/>
            <w:right w:w="0" w:type="dxa"/>
          </w:tblCellMar>
        </w:tblPrEx>
        <w:trPr>
          <w:trHeight w:val="390"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F32603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1438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A4B4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系统录入人次</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D7DB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≥3200人</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325B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07E4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3440人</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71AB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14:paraId="0A5BA229">
        <w:tblPrEx>
          <w:tblCellMar>
            <w:top w:w="0" w:type="dxa"/>
            <w:left w:w="0" w:type="dxa"/>
            <w:bottom w:w="0" w:type="dxa"/>
            <w:right w:w="0" w:type="dxa"/>
          </w:tblCellMar>
        </w:tblPrEx>
        <w:trPr>
          <w:trHeight w:val="390"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A3F0C2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66AB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质量指标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0DCC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录入合格率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4F4A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9DD9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FA84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F48D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14:paraId="504A5087">
        <w:tblPrEx>
          <w:shd w:val="clear" w:color="auto" w:fill="auto"/>
          <w:tblCellMar>
            <w:top w:w="0" w:type="dxa"/>
            <w:left w:w="0" w:type="dxa"/>
            <w:bottom w:w="0" w:type="dxa"/>
            <w:right w:w="0" w:type="dxa"/>
          </w:tblCellMar>
        </w:tblPrEx>
        <w:trPr>
          <w:trHeight w:val="410"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B490F7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12CC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时效指标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847F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完成时限</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3F38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2023-12-31</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BC0D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A365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0D9E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14:paraId="5B15FF6A">
        <w:tblPrEx>
          <w:shd w:val="clear" w:color="auto" w:fill="auto"/>
          <w:tblCellMar>
            <w:top w:w="0" w:type="dxa"/>
            <w:left w:w="0" w:type="dxa"/>
            <w:bottom w:w="0" w:type="dxa"/>
            <w:right w:w="0" w:type="dxa"/>
          </w:tblCellMar>
        </w:tblPrEx>
        <w:trPr>
          <w:trHeight w:val="428"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6D41CC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697312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成本指标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0575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default" w:ascii="宋体" w:hAnsi="宋体" w:eastAsia="宋体" w:cs="宋体"/>
                <w:color w:val="auto"/>
                <w:kern w:val="0"/>
                <w:sz w:val="20"/>
                <w:szCs w:val="20"/>
                <w:highlight w:val="none"/>
                <w:shd w:val="clear" w:color="auto" w:fill="auto"/>
                <w:lang w:val="en-US" w:eastAsia="zh-CN"/>
              </w:rPr>
              <w:t>体检费用补贴费用区间</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3909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default" w:ascii="宋体" w:hAnsi="宋体" w:eastAsia="宋体" w:cs="宋体"/>
                <w:color w:val="auto"/>
                <w:kern w:val="0"/>
                <w:sz w:val="20"/>
                <w:szCs w:val="20"/>
                <w:highlight w:val="none"/>
                <w:shd w:val="clear" w:color="auto" w:fill="auto"/>
                <w:lang w:val="en-US" w:eastAsia="zh-CN"/>
              </w:rPr>
              <w:t>≤100元/人</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936E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C02F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default" w:ascii="宋体" w:hAnsi="宋体" w:eastAsia="宋体" w:cs="宋体"/>
                <w:color w:val="auto"/>
                <w:kern w:val="0"/>
                <w:sz w:val="20"/>
                <w:szCs w:val="20"/>
                <w:highlight w:val="none"/>
                <w:shd w:val="clear" w:color="auto" w:fill="auto"/>
                <w:lang w:val="en-US" w:eastAsia="zh-CN"/>
              </w:rPr>
              <w:t>100元/人</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9BB8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14:paraId="17240E9B">
        <w:tblPrEx>
          <w:tblCellMar>
            <w:top w:w="0" w:type="dxa"/>
            <w:left w:w="0" w:type="dxa"/>
            <w:bottom w:w="0" w:type="dxa"/>
            <w:right w:w="0" w:type="dxa"/>
          </w:tblCellMar>
        </w:tblPrEx>
        <w:trPr>
          <w:trHeight w:val="428" w:hRule="atLeast"/>
        </w:trPr>
        <w:tc>
          <w:tcPr>
            <w:tcW w:w="63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DB29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015A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116F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全民体检投入经费</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762D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≤3.98万元</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8EFE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2618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3.98万元</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D557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14:paraId="3C4E0033">
        <w:tblPrEx>
          <w:shd w:val="clear" w:color="auto" w:fill="auto"/>
          <w:tblCellMar>
            <w:top w:w="0" w:type="dxa"/>
            <w:left w:w="0" w:type="dxa"/>
            <w:bottom w:w="0" w:type="dxa"/>
            <w:right w:w="0" w:type="dxa"/>
          </w:tblCellMar>
        </w:tblPrEx>
        <w:trPr>
          <w:trHeight w:val="403" w:hRule="atLeast"/>
        </w:trPr>
        <w:tc>
          <w:tcPr>
            <w:tcW w:w="564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341B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BDAF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897D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A0DD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r>
    </w:tbl>
    <w:p w14:paraId="02A1CE3D">
      <w:pPr>
        <w:bidi w:val="0"/>
        <w:outlineLvl w:val="2"/>
        <w:rPr>
          <w:rFonts w:hint="eastAsia"/>
          <w:b/>
          <w:bCs/>
          <w:color w:val="auto"/>
          <w:highlight w:val="none"/>
          <w:lang w:val="en-US" w:eastAsia="zh-CN"/>
        </w:rPr>
      </w:pPr>
      <w:bookmarkStart w:id="70" w:name="_Toc11067"/>
      <w:r>
        <w:rPr>
          <w:rFonts w:hint="eastAsia"/>
          <w:b/>
          <w:bCs/>
          <w:color w:val="auto"/>
          <w:highlight w:val="none"/>
          <w:lang w:val="en-US" w:eastAsia="zh-CN"/>
        </w:rPr>
        <w:t>1.项目完成数量</w:t>
      </w:r>
      <w:bookmarkEnd w:id="70"/>
    </w:p>
    <w:p w14:paraId="7D668644">
      <w:pPr>
        <w:bidi w:val="0"/>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享受全民健康体检人数</w:t>
      </w:r>
      <w:r>
        <w:rPr>
          <w:rFonts w:hint="eastAsia"/>
          <w:color w:val="auto"/>
          <w:highlight w:val="none"/>
          <w:lang w:eastAsia="zh-CN"/>
        </w:rPr>
        <w:t>”</w:t>
      </w:r>
      <w:r>
        <w:rPr>
          <w:rFonts w:hint="eastAsia"/>
          <w:color w:val="auto"/>
          <w:highlight w:val="none"/>
          <w:lang w:val="en-US" w:eastAsia="zh-CN"/>
        </w:rPr>
        <w:t>指标，预期目标值为≥3200人，实际完成为3440人。实际完成率=（3440/3200）×100%=100%。</w:t>
      </w:r>
    </w:p>
    <w:p w14:paraId="4A069811">
      <w:pPr>
        <w:bidi w:val="0"/>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系统录入人次</w:t>
      </w:r>
      <w:r>
        <w:rPr>
          <w:rFonts w:hint="eastAsia"/>
          <w:color w:val="auto"/>
          <w:highlight w:val="none"/>
          <w:lang w:eastAsia="zh-CN"/>
        </w:rPr>
        <w:t>”</w:t>
      </w:r>
      <w:r>
        <w:rPr>
          <w:rFonts w:hint="eastAsia"/>
          <w:color w:val="auto"/>
          <w:highlight w:val="none"/>
          <w:lang w:val="en-US" w:eastAsia="zh-CN"/>
        </w:rPr>
        <w:t>指标，预期目标值为≥3200人，实际完成为3440人。实际完成率=（3440/3200）×100%=100%</w:t>
      </w:r>
    </w:p>
    <w:p w14:paraId="4F6EF96E">
      <w:pPr>
        <w:bidi w:val="0"/>
        <w:rPr>
          <w:rFonts w:hint="eastAsia"/>
          <w:color w:val="auto"/>
          <w:highlight w:val="none"/>
          <w:lang w:eastAsia="zh-CN"/>
        </w:rPr>
      </w:pPr>
      <w:r>
        <w:rPr>
          <w:rFonts w:hint="eastAsia"/>
          <w:b/>
          <w:bCs/>
          <w:color w:val="auto"/>
          <w:highlight w:val="none"/>
          <w:lang w:val="en-US" w:eastAsia="zh-CN"/>
        </w:rPr>
        <w:t>综上，该项指标满分10分，得分10分。</w:t>
      </w:r>
    </w:p>
    <w:p w14:paraId="6E5FBC83">
      <w:pPr>
        <w:bidi w:val="0"/>
        <w:outlineLvl w:val="2"/>
        <w:rPr>
          <w:rFonts w:hint="default"/>
          <w:b/>
          <w:bCs/>
          <w:color w:val="auto"/>
          <w:highlight w:val="none"/>
          <w:lang w:val="en-US" w:eastAsia="zh-CN"/>
        </w:rPr>
      </w:pPr>
      <w:bookmarkStart w:id="71" w:name="_Toc31739"/>
      <w:r>
        <w:rPr>
          <w:rFonts w:hint="eastAsia"/>
          <w:b/>
          <w:bCs/>
          <w:color w:val="auto"/>
          <w:highlight w:val="none"/>
          <w:lang w:val="en-US" w:eastAsia="zh-CN"/>
        </w:rPr>
        <w:t>2.项目完成质量</w:t>
      </w:r>
      <w:bookmarkEnd w:id="71"/>
    </w:p>
    <w:p w14:paraId="25D1AFF1">
      <w:pPr>
        <w:bidi w:val="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录入合格率</w:t>
      </w:r>
      <w:r>
        <w:rPr>
          <w:rFonts w:hint="eastAsia"/>
          <w:color w:val="auto"/>
          <w:highlight w:val="none"/>
          <w:lang w:eastAsia="zh-CN"/>
        </w:rPr>
        <w:t>”</w:t>
      </w:r>
      <w:r>
        <w:rPr>
          <w:rFonts w:hint="eastAsia"/>
          <w:color w:val="auto"/>
          <w:highlight w:val="none"/>
          <w:lang w:val="en-US" w:eastAsia="zh-CN"/>
        </w:rPr>
        <w:t>指标，预期目标值为100%，实际完成为100%。</w:t>
      </w:r>
    </w:p>
    <w:p w14:paraId="4762CCA6">
      <w:pPr>
        <w:bidi w:val="0"/>
        <w:rPr>
          <w:rFonts w:hint="eastAsia"/>
          <w:color w:val="auto"/>
          <w:highlight w:val="none"/>
          <w:lang w:eastAsia="zh-CN"/>
        </w:rPr>
      </w:pPr>
      <w:r>
        <w:rPr>
          <w:rFonts w:hint="eastAsia"/>
          <w:b/>
          <w:bCs/>
          <w:color w:val="auto"/>
          <w:highlight w:val="none"/>
          <w:lang w:val="en-US" w:eastAsia="zh-CN"/>
        </w:rPr>
        <w:t>综上，该项指标满分5分，得分5分。</w:t>
      </w:r>
    </w:p>
    <w:p w14:paraId="4801B51C">
      <w:pPr>
        <w:bidi w:val="0"/>
        <w:outlineLvl w:val="2"/>
        <w:rPr>
          <w:rFonts w:hint="default"/>
          <w:b/>
          <w:bCs/>
          <w:color w:val="auto"/>
          <w:highlight w:val="none"/>
          <w:lang w:val="en-US" w:eastAsia="zh-CN"/>
        </w:rPr>
      </w:pPr>
      <w:bookmarkStart w:id="72" w:name="_Toc18307"/>
      <w:r>
        <w:rPr>
          <w:rFonts w:hint="eastAsia"/>
          <w:b/>
          <w:bCs/>
          <w:color w:val="auto"/>
          <w:highlight w:val="none"/>
          <w:lang w:val="en-US" w:eastAsia="zh-CN"/>
        </w:rPr>
        <w:t>3.项目完成时效</w:t>
      </w:r>
      <w:bookmarkEnd w:id="72"/>
    </w:p>
    <w:p w14:paraId="23A68401">
      <w:pPr>
        <w:bidi w:val="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完成时限</w:t>
      </w:r>
      <w:r>
        <w:rPr>
          <w:rFonts w:hint="eastAsia"/>
          <w:color w:val="auto"/>
          <w:highlight w:val="none"/>
          <w:lang w:eastAsia="zh-CN"/>
        </w:rPr>
        <w:t>”</w:t>
      </w:r>
      <w:r>
        <w:rPr>
          <w:rFonts w:hint="eastAsia"/>
          <w:color w:val="auto"/>
          <w:highlight w:val="none"/>
          <w:lang w:val="en-US" w:eastAsia="zh-CN"/>
        </w:rPr>
        <w:t>指标，预期目标值为2023-12-31，实际完成为100%。</w:t>
      </w:r>
    </w:p>
    <w:p w14:paraId="29FC1361">
      <w:pPr>
        <w:bidi w:val="0"/>
        <w:rPr>
          <w:rFonts w:hint="eastAsia"/>
          <w:color w:val="auto"/>
          <w:highlight w:val="none"/>
          <w:lang w:eastAsia="zh-CN"/>
        </w:rPr>
      </w:pPr>
      <w:r>
        <w:rPr>
          <w:rFonts w:hint="eastAsia"/>
          <w:b/>
          <w:bCs/>
          <w:color w:val="auto"/>
          <w:highlight w:val="none"/>
          <w:lang w:val="en-US" w:eastAsia="zh-CN"/>
        </w:rPr>
        <w:t>综上，该项指标满分5分，得分5分。</w:t>
      </w:r>
    </w:p>
    <w:p w14:paraId="05C64260">
      <w:pPr>
        <w:bidi w:val="0"/>
        <w:outlineLvl w:val="2"/>
        <w:rPr>
          <w:rFonts w:hint="default"/>
          <w:b/>
          <w:bCs/>
          <w:color w:val="auto"/>
          <w:highlight w:val="none"/>
          <w:lang w:val="en-US" w:eastAsia="zh-CN"/>
        </w:rPr>
      </w:pPr>
      <w:bookmarkStart w:id="73" w:name="_Toc32765"/>
      <w:r>
        <w:rPr>
          <w:rFonts w:hint="eastAsia"/>
          <w:b/>
          <w:bCs/>
          <w:color w:val="auto"/>
          <w:highlight w:val="none"/>
          <w:lang w:val="en-US" w:eastAsia="zh-CN"/>
        </w:rPr>
        <w:t>4.项目完成成本</w:t>
      </w:r>
      <w:bookmarkEnd w:id="73"/>
    </w:p>
    <w:p w14:paraId="6CC34A9C">
      <w:pPr>
        <w:bidi w:val="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体检费用补贴费用区间</w:t>
      </w:r>
      <w:r>
        <w:rPr>
          <w:rFonts w:hint="eastAsia"/>
          <w:color w:val="auto"/>
          <w:highlight w:val="none"/>
          <w:lang w:eastAsia="zh-CN"/>
        </w:rPr>
        <w:t>”</w:t>
      </w:r>
      <w:r>
        <w:rPr>
          <w:rFonts w:hint="eastAsia"/>
          <w:color w:val="auto"/>
          <w:highlight w:val="none"/>
          <w:lang w:val="en-US" w:eastAsia="zh-CN"/>
        </w:rPr>
        <w:t>指标，预期目标值为≤100元/人，实际完成为100元/人。实际完成率=（100元/人/100元/人）×100%=100%。</w:t>
      </w:r>
    </w:p>
    <w:p w14:paraId="1D4BECBC">
      <w:pPr>
        <w:bidi w:val="0"/>
        <w:rPr>
          <w:rFonts w:hint="eastAsia"/>
          <w:color w:val="auto"/>
          <w:highlight w:val="none"/>
          <w:lang w:eastAsia="zh-CN"/>
        </w:rPr>
      </w:pPr>
      <w:r>
        <w:rPr>
          <w:rFonts w:hint="eastAsia"/>
          <w:b/>
          <w:bCs/>
          <w:color w:val="auto"/>
          <w:highlight w:val="none"/>
          <w:lang w:val="en-US" w:eastAsia="zh-CN"/>
        </w:rPr>
        <w:t>综上，该项指标满分5分，得分5分。</w:t>
      </w:r>
    </w:p>
    <w:p w14:paraId="0167368F">
      <w:pPr>
        <w:pStyle w:val="4"/>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auto"/>
          <w:highlight w:val="none"/>
          <w:shd w:val="clear" w:color="auto" w:fill="auto"/>
        </w:rPr>
      </w:pPr>
      <w:bookmarkStart w:id="74" w:name="_Toc18446"/>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四</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项目效益情况</w:t>
      </w:r>
      <w:bookmarkEnd w:id="74"/>
    </w:p>
    <w:p w14:paraId="5DBB25AE">
      <w:pPr>
        <w:pageBreakBefore w:val="0"/>
        <w:widowControl w:val="0"/>
        <w:kinsoku/>
        <w:wordWrap/>
        <w:overflowPunct/>
        <w:topLinePunct w:val="0"/>
        <w:autoSpaceDE/>
        <w:autoSpaceDN/>
        <w:bidi w:val="0"/>
        <w:adjustRightInd/>
        <w:spacing w:line="360" w:lineRule="auto"/>
        <w:ind w:firstLine="560"/>
        <w:jc w:val="left"/>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lang w:val="en-US" w:eastAsia="zh-CN"/>
        </w:rPr>
        <w:t>产出</w:t>
      </w:r>
      <w:r>
        <w:rPr>
          <w:rFonts w:hint="eastAsia" w:ascii="宋体" w:hAnsi="宋体" w:eastAsia="宋体" w:cs="宋体"/>
          <w:color w:val="auto"/>
          <w:kern w:val="2"/>
          <w:highlight w:val="none"/>
          <w:u w:color="000000"/>
          <w:shd w:val="clear" w:color="auto" w:fill="auto"/>
          <w:lang w:val="zh-TW" w:eastAsia="zh-TW"/>
        </w:rPr>
        <w:t>类指标由</w:t>
      </w:r>
      <w:r>
        <w:rPr>
          <w:rFonts w:hint="eastAsia" w:cs="宋体"/>
          <w:color w:val="auto"/>
          <w:kern w:val="2"/>
          <w:highlight w:val="none"/>
          <w:u w:color="000000"/>
          <w:shd w:val="clear" w:color="auto" w:fill="auto"/>
          <w:lang w:val="en-US" w:eastAsia="zh-CN"/>
        </w:rPr>
        <w:t>2</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cs="宋体"/>
          <w:color w:val="auto"/>
          <w:kern w:val="2"/>
          <w:highlight w:val="none"/>
          <w:u w:color="000000"/>
          <w:shd w:val="clear" w:color="auto" w:fill="auto"/>
          <w:lang w:val="en-US" w:eastAsia="zh-CN"/>
        </w:rPr>
        <w:t>2</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14:paraId="751C49A8">
      <w:pPr>
        <w:pageBreakBefore w:val="0"/>
        <w:widowControl w:val="0"/>
        <w:kinsoku/>
        <w:wordWrap/>
        <w:overflowPunct/>
        <w:topLinePunct w:val="0"/>
        <w:autoSpaceDE/>
        <w:autoSpaceDN/>
        <w:bidi w:val="0"/>
        <w:adjustRightInd/>
        <w:spacing w:line="360" w:lineRule="auto"/>
        <w:ind w:firstLine="56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4-4项目效益</w:t>
      </w:r>
      <w:r>
        <w:rPr>
          <w:rFonts w:hint="eastAsia" w:ascii="宋体" w:hAnsi="宋体" w:eastAsia="宋体" w:cs="宋体"/>
          <w:b/>
          <w:bCs/>
          <w:color w:val="auto"/>
          <w:kern w:val="0"/>
          <w:sz w:val="28"/>
          <w:szCs w:val="28"/>
          <w:highlight w:val="none"/>
          <w:shd w:val="clear" w:color="auto" w:fill="auto"/>
          <w:lang w:val="zh-TW" w:eastAsia="zh-TW"/>
        </w:rPr>
        <w:t>指标及分值</w:t>
      </w:r>
      <w:r>
        <w:rPr>
          <w:rFonts w:hint="eastAsia" w:ascii="宋体" w:hAnsi="宋体" w:eastAsia="宋体" w:cs="宋体"/>
          <w:b/>
          <w:bCs/>
          <w:color w:val="auto"/>
          <w:kern w:val="0"/>
          <w:sz w:val="28"/>
          <w:szCs w:val="28"/>
          <w:highlight w:val="none"/>
          <w:shd w:val="clear" w:color="auto" w:fill="auto"/>
          <w:lang w:val="en-US" w:eastAsia="zh-CN"/>
        </w:rPr>
        <w:t>情况</w:t>
      </w:r>
    </w:p>
    <w:tbl>
      <w:tblPr>
        <w:tblStyle w:val="12"/>
        <w:tblW w:w="8372" w:type="dxa"/>
        <w:jc w:val="center"/>
        <w:shd w:val="clear" w:color="auto" w:fill="auto"/>
        <w:tblLayout w:type="fixed"/>
        <w:tblCellMar>
          <w:top w:w="0" w:type="dxa"/>
          <w:left w:w="0" w:type="dxa"/>
          <w:bottom w:w="0" w:type="dxa"/>
          <w:right w:w="0" w:type="dxa"/>
        </w:tblCellMar>
      </w:tblPr>
      <w:tblGrid>
        <w:gridCol w:w="685"/>
        <w:gridCol w:w="1725"/>
        <w:gridCol w:w="2744"/>
        <w:gridCol w:w="870"/>
        <w:gridCol w:w="645"/>
        <w:gridCol w:w="1050"/>
        <w:gridCol w:w="653"/>
      </w:tblGrid>
      <w:tr w14:paraId="2D457355">
        <w:tblPrEx>
          <w:shd w:val="clear" w:color="auto" w:fill="auto"/>
          <w:tblCellMar>
            <w:top w:w="0" w:type="dxa"/>
            <w:left w:w="0" w:type="dxa"/>
            <w:bottom w:w="0" w:type="dxa"/>
            <w:right w:w="0" w:type="dxa"/>
          </w:tblCellMar>
        </w:tblPrEx>
        <w:trPr>
          <w:trHeight w:val="816" w:hRule="atLeast"/>
          <w:jc w:val="center"/>
        </w:trPr>
        <w:tc>
          <w:tcPr>
            <w:tcW w:w="68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5C90C7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w:t>
            </w:r>
          </w:p>
          <w:p w14:paraId="6C5F056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w:t>
            </w:r>
          </w:p>
        </w:tc>
        <w:tc>
          <w:tcPr>
            <w:tcW w:w="17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3812E8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F5BD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8634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年度指</w:t>
            </w:r>
          </w:p>
          <w:p w14:paraId="5361620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标值</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267A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标杆</w:t>
            </w:r>
          </w:p>
          <w:p w14:paraId="475E1A0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BDB0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全年实</w:t>
            </w:r>
          </w:p>
          <w:p w14:paraId="511E424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际完成值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FAD7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w:t>
            </w:r>
          </w:p>
          <w:p w14:paraId="1EAA3A1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得分</w:t>
            </w:r>
          </w:p>
        </w:tc>
      </w:tr>
      <w:tr w14:paraId="6BF1D1AA">
        <w:tblPrEx>
          <w:shd w:val="clear" w:color="auto" w:fill="auto"/>
          <w:tblCellMar>
            <w:top w:w="0" w:type="dxa"/>
            <w:left w:w="0" w:type="dxa"/>
            <w:bottom w:w="0" w:type="dxa"/>
            <w:right w:w="0" w:type="dxa"/>
          </w:tblCellMar>
        </w:tblPrEx>
        <w:trPr>
          <w:trHeight w:val="436" w:hRule="atLeast"/>
          <w:jc w:val="center"/>
        </w:trPr>
        <w:tc>
          <w:tcPr>
            <w:tcW w:w="685" w:type="dxa"/>
            <w:vMerge w:val="restart"/>
            <w:tcBorders>
              <w:top w:val="single" w:color="auto" w:sz="4" w:space="0"/>
              <w:left w:val="single" w:color="auto" w:sz="4" w:space="0"/>
              <w:right w:val="single" w:color="000000" w:sz="4" w:space="0"/>
            </w:tcBorders>
            <w:shd w:val="clear" w:color="auto" w:fill="auto"/>
            <w:tcMar>
              <w:top w:w="15" w:type="dxa"/>
              <w:left w:w="15" w:type="dxa"/>
              <w:right w:w="15" w:type="dxa"/>
            </w:tcMar>
            <w:vAlign w:val="center"/>
          </w:tcPr>
          <w:p w14:paraId="5811053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效益</w:t>
            </w:r>
          </w:p>
        </w:tc>
        <w:tc>
          <w:tcPr>
            <w:tcW w:w="1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761C20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社会效益指标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5D9250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default" w:ascii="宋体" w:hAnsi="宋体" w:eastAsia="宋体" w:cs="宋体"/>
                <w:color w:val="auto"/>
                <w:kern w:val="0"/>
                <w:sz w:val="20"/>
                <w:szCs w:val="20"/>
                <w:highlight w:val="none"/>
                <w:shd w:val="clear" w:color="auto" w:fill="auto"/>
                <w:lang w:val="en-US" w:eastAsia="zh-CN"/>
              </w:rPr>
              <w:t>提高全民健康意识及自我健康管理水平</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469C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逐步提升</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9867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4CB3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DB9D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15</w:t>
            </w:r>
          </w:p>
        </w:tc>
      </w:tr>
      <w:tr w14:paraId="1DC4D8A9">
        <w:tblPrEx>
          <w:shd w:val="clear" w:color="auto" w:fill="auto"/>
          <w:tblCellMar>
            <w:top w:w="0" w:type="dxa"/>
            <w:left w:w="0" w:type="dxa"/>
            <w:bottom w:w="0" w:type="dxa"/>
            <w:right w:w="0" w:type="dxa"/>
          </w:tblCellMar>
        </w:tblPrEx>
        <w:trPr>
          <w:trHeight w:val="436" w:hRule="atLeast"/>
          <w:jc w:val="center"/>
        </w:trPr>
        <w:tc>
          <w:tcPr>
            <w:tcW w:w="685" w:type="dxa"/>
            <w:vMerge w:val="continue"/>
            <w:tcBorders>
              <w:left w:val="single" w:color="auto" w:sz="4" w:space="0"/>
              <w:right w:val="single" w:color="000000" w:sz="4" w:space="0"/>
            </w:tcBorders>
            <w:shd w:val="clear" w:color="auto" w:fill="auto"/>
            <w:tcMar>
              <w:top w:w="15" w:type="dxa"/>
              <w:left w:w="15" w:type="dxa"/>
              <w:right w:w="15" w:type="dxa"/>
            </w:tcMar>
            <w:vAlign w:val="center"/>
          </w:tcPr>
          <w:p w14:paraId="16B84FA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789FC44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可持续影响指标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169556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9535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32F2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AAEE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145B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r>
      <w:tr w14:paraId="17090C82">
        <w:tblPrEx>
          <w:tblCellMar>
            <w:top w:w="0" w:type="dxa"/>
            <w:left w:w="0" w:type="dxa"/>
            <w:bottom w:w="0" w:type="dxa"/>
            <w:right w:w="0" w:type="dxa"/>
          </w:tblCellMar>
        </w:tblPrEx>
        <w:trPr>
          <w:trHeight w:val="436" w:hRule="atLeast"/>
          <w:jc w:val="center"/>
        </w:trPr>
        <w:tc>
          <w:tcPr>
            <w:tcW w:w="685"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629C4E2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4887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满意度指标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8EDA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体检居民满意度</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B5A7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≧90%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B161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06E4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AE87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15</w:t>
            </w:r>
          </w:p>
        </w:tc>
      </w:tr>
      <w:tr w14:paraId="6B557734">
        <w:tblPrEx>
          <w:shd w:val="clear" w:color="auto" w:fill="auto"/>
          <w:tblCellMar>
            <w:top w:w="0" w:type="dxa"/>
            <w:left w:w="0" w:type="dxa"/>
            <w:bottom w:w="0" w:type="dxa"/>
            <w:right w:w="0" w:type="dxa"/>
          </w:tblCellMar>
        </w:tblPrEx>
        <w:trPr>
          <w:trHeight w:val="469" w:hRule="atLeast"/>
          <w:jc w:val="center"/>
        </w:trPr>
        <w:tc>
          <w:tcPr>
            <w:tcW w:w="60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F92C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593F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7183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D832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r>
    </w:tbl>
    <w:p w14:paraId="7E2FB8ED">
      <w:pPr>
        <w:bidi w:val="0"/>
        <w:outlineLvl w:val="2"/>
        <w:rPr>
          <w:rFonts w:hint="default"/>
          <w:b/>
          <w:bCs/>
          <w:color w:val="auto"/>
          <w:highlight w:val="none"/>
          <w:lang w:val="en-US" w:eastAsia="zh-CN"/>
        </w:rPr>
      </w:pPr>
      <w:bookmarkStart w:id="75" w:name="_Toc8010"/>
      <w:r>
        <w:rPr>
          <w:rFonts w:hint="eastAsia"/>
          <w:b/>
          <w:bCs/>
          <w:color w:val="auto"/>
          <w:highlight w:val="none"/>
          <w:lang w:val="en-US" w:eastAsia="zh-CN"/>
        </w:rPr>
        <w:t>1.经济效益指标</w:t>
      </w:r>
      <w:bookmarkEnd w:id="75"/>
    </w:p>
    <w:p w14:paraId="2F1DFAA8">
      <w:pPr>
        <w:bidi w:val="0"/>
        <w:rPr>
          <w:rFonts w:hint="eastAsia"/>
          <w:b/>
          <w:bCs/>
          <w:color w:val="auto"/>
          <w:highlight w:val="none"/>
          <w:lang w:val="en-US" w:eastAsia="zh-CN"/>
        </w:rPr>
      </w:pPr>
      <w:r>
        <w:rPr>
          <w:rFonts w:hint="eastAsia"/>
          <w:color w:val="auto"/>
          <w:highlight w:val="none"/>
          <w:lang w:eastAsia="zh-CN"/>
        </w:rPr>
        <w:t>本项目不涉及经济效益指标</w:t>
      </w:r>
      <w:r>
        <w:rPr>
          <w:rFonts w:hint="eastAsia"/>
          <w:color w:val="auto"/>
          <w:highlight w:val="none"/>
          <w:lang w:val="en-US" w:eastAsia="zh-CN"/>
        </w:rPr>
        <w:t>。</w:t>
      </w:r>
    </w:p>
    <w:p w14:paraId="3B25EC8A">
      <w:pPr>
        <w:bidi w:val="0"/>
        <w:outlineLvl w:val="2"/>
        <w:rPr>
          <w:rFonts w:hint="eastAsia"/>
          <w:b/>
          <w:bCs/>
          <w:color w:val="auto"/>
          <w:highlight w:val="none"/>
          <w:lang w:val="en-US" w:eastAsia="zh-CN"/>
        </w:rPr>
      </w:pPr>
      <w:bookmarkStart w:id="76" w:name="_Toc27006"/>
      <w:r>
        <w:rPr>
          <w:rFonts w:hint="eastAsia"/>
          <w:b/>
          <w:bCs/>
          <w:color w:val="auto"/>
          <w:highlight w:val="none"/>
          <w:lang w:val="en-US" w:eastAsia="zh-CN"/>
        </w:rPr>
        <w:t>2.社会效益指标</w:t>
      </w:r>
      <w:bookmarkEnd w:id="76"/>
    </w:p>
    <w:p w14:paraId="274924D7">
      <w:pPr>
        <w:bidi w:val="0"/>
        <w:rPr>
          <w:rFonts w:hint="eastAsia"/>
          <w:b w:val="0"/>
          <w:bCs w:val="0"/>
          <w:color w:val="auto"/>
          <w:highlight w:val="none"/>
          <w:lang w:val="en-US" w:eastAsia="zh-CN"/>
        </w:rPr>
      </w:pPr>
      <w:r>
        <w:rPr>
          <w:rFonts w:hint="eastAsia"/>
          <w:color w:val="auto"/>
          <w:highlight w:val="none"/>
          <w:lang w:val="en-US" w:eastAsia="zh-CN"/>
        </w:rPr>
        <w:t>“</w:t>
      </w:r>
      <w:r>
        <w:rPr>
          <w:rFonts w:hint="default"/>
          <w:color w:val="auto"/>
          <w:highlight w:val="none"/>
          <w:lang w:val="en-US" w:eastAsia="zh-CN"/>
        </w:rPr>
        <w:t>提高全民健康意识及自我健康管理水平</w:t>
      </w:r>
      <w:r>
        <w:rPr>
          <w:rFonts w:hint="eastAsia"/>
          <w:color w:val="auto"/>
          <w:highlight w:val="none"/>
          <w:lang w:val="en-US" w:eastAsia="zh-CN"/>
        </w:rPr>
        <w:t>”指标，预期目标值为逐步提升，实际完成为100%。</w:t>
      </w:r>
    </w:p>
    <w:p w14:paraId="5674D24B">
      <w:pPr>
        <w:bidi w:val="0"/>
        <w:rPr>
          <w:rFonts w:hint="default"/>
          <w:b w:val="0"/>
          <w:bCs w:val="0"/>
          <w:color w:val="auto"/>
          <w:highlight w:val="none"/>
          <w:lang w:val="en-US" w:eastAsia="zh-CN"/>
        </w:rPr>
      </w:pPr>
      <w:r>
        <w:rPr>
          <w:rFonts w:hint="eastAsia"/>
          <w:b w:val="0"/>
          <w:bCs w:val="0"/>
          <w:color w:val="auto"/>
          <w:highlight w:val="none"/>
          <w:lang w:val="en-US" w:eastAsia="zh-CN"/>
        </w:rPr>
        <w:t>通过项目的实施，甘河子卫生院辖区人口</w:t>
      </w:r>
      <w:r>
        <w:rPr>
          <w:rFonts w:hint="eastAsia" w:ascii="宋体" w:hAnsi="宋体" w:eastAsia="宋体" w:cs="宋体"/>
          <w:b w:val="0"/>
          <w:bCs w:val="0"/>
          <w:color w:val="auto"/>
          <w:kern w:val="0"/>
          <w:sz w:val="28"/>
          <w:szCs w:val="32"/>
          <w:highlight w:val="none"/>
          <w:shd w:val="clear" w:color="auto" w:fill="auto"/>
          <w:lang w:val="en-US" w:eastAsia="zh-CN" w:bidi="ar-SA"/>
        </w:rPr>
        <w:t>及时掌握</w:t>
      </w:r>
      <w:r>
        <w:rPr>
          <w:rFonts w:hint="eastAsia" w:cs="宋体"/>
          <w:b w:val="0"/>
          <w:bCs w:val="0"/>
          <w:color w:val="auto"/>
          <w:kern w:val="0"/>
          <w:sz w:val="28"/>
          <w:szCs w:val="32"/>
          <w:highlight w:val="none"/>
          <w:shd w:val="clear" w:color="auto" w:fill="auto"/>
          <w:lang w:val="en-US" w:eastAsia="zh-CN" w:bidi="ar-SA"/>
        </w:rPr>
        <w:t>自身</w:t>
      </w:r>
      <w:r>
        <w:rPr>
          <w:rFonts w:hint="eastAsia" w:ascii="宋体" w:hAnsi="宋体" w:eastAsia="宋体" w:cs="宋体"/>
          <w:b w:val="0"/>
          <w:bCs w:val="0"/>
          <w:color w:val="auto"/>
          <w:kern w:val="0"/>
          <w:sz w:val="28"/>
          <w:szCs w:val="32"/>
          <w:highlight w:val="none"/>
          <w:shd w:val="clear" w:color="auto" w:fill="auto"/>
          <w:lang w:val="en-US" w:eastAsia="zh-CN" w:bidi="ar-SA"/>
        </w:rPr>
        <w:t>的身体健康状况，预防和治疗一些潜在的疾病</w:t>
      </w:r>
      <w:r>
        <w:rPr>
          <w:rFonts w:hint="eastAsia" w:cs="宋体"/>
          <w:b w:val="0"/>
          <w:bCs w:val="0"/>
          <w:color w:val="auto"/>
          <w:kern w:val="0"/>
          <w:sz w:val="28"/>
          <w:szCs w:val="32"/>
          <w:highlight w:val="none"/>
          <w:shd w:val="clear" w:color="auto" w:fill="auto"/>
          <w:lang w:val="en-US" w:eastAsia="zh-CN" w:bidi="ar-SA"/>
        </w:rPr>
        <w:t>，</w:t>
      </w:r>
      <w:r>
        <w:rPr>
          <w:rFonts w:hint="eastAsia" w:ascii="宋体" w:hAnsi="宋体" w:eastAsia="宋体" w:cs="宋体"/>
          <w:b w:val="0"/>
          <w:bCs w:val="0"/>
          <w:color w:val="auto"/>
          <w:kern w:val="0"/>
          <w:sz w:val="28"/>
          <w:szCs w:val="32"/>
          <w:highlight w:val="none"/>
          <w:shd w:val="clear" w:color="auto" w:fill="auto"/>
          <w:lang w:val="en-US" w:eastAsia="zh-CN" w:bidi="ar-SA"/>
        </w:rPr>
        <w:t>及时了解自己的健康状况，提高健康意识，从而彻底预防健康问题的出现</w:t>
      </w:r>
      <w:r>
        <w:rPr>
          <w:rFonts w:hint="eastAsia"/>
          <w:b w:val="0"/>
          <w:bCs w:val="0"/>
          <w:color w:val="auto"/>
          <w:highlight w:val="none"/>
          <w:lang w:val="en-US" w:eastAsia="zh-CN"/>
        </w:rPr>
        <w:t>，卫生院运营越来越出色。</w:t>
      </w:r>
    </w:p>
    <w:p w14:paraId="4B863B5C">
      <w:pPr>
        <w:bidi w:val="0"/>
        <w:rPr>
          <w:rFonts w:hint="eastAsia"/>
          <w:color w:val="auto"/>
          <w:highlight w:val="none"/>
          <w:lang w:val="en-US" w:eastAsia="zh-CN"/>
        </w:rPr>
      </w:pPr>
      <w:r>
        <w:rPr>
          <w:rFonts w:hint="eastAsia"/>
          <w:b/>
          <w:bCs/>
          <w:color w:val="auto"/>
          <w:highlight w:val="none"/>
          <w:lang w:val="en-US" w:eastAsia="zh-CN"/>
        </w:rPr>
        <w:t>综上，该项指标满分15分，得分15分。</w:t>
      </w:r>
    </w:p>
    <w:p w14:paraId="77831A8B">
      <w:pPr>
        <w:bidi w:val="0"/>
        <w:outlineLvl w:val="2"/>
        <w:rPr>
          <w:rFonts w:hint="eastAsia"/>
          <w:color w:val="auto"/>
          <w:highlight w:val="none"/>
          <w:lang w:val="en-US" w:eastAsia="zh-CN"/>
        </w:rPr>
      </w:pPr>
      <w:bookmarkStart w:id="77" w:name="_Toc23106"/>
      <w:r>
        <w:rPr>
          <w:rFonts w:hint="eastAsia"/>
          <w:b/>
          <w:bCs/>
          <w:color w:val="auto"/>
          <w:highlight w:val="none"/>
          <w:lang w:val="en-US" w:eastAsia="zh-CN"/>
        </w:rPr>
        <w:t>3.生态效益指标</w:t>
      </w:r>
      <w:bookmarkEnd w:id="77"/>
    </w:p>
    <w:p w14:paraId="2EA72DAB">
      <w:pPr>
        <w:bidi w:val="0"/>
        <w:rPr>
          <w:rFonts w:hint="eastAsia"/>
          <w:color w:val="auto"/>
          <w:highlight w:val="none"/>
          <w:lang w:val="en-US" w:eastAsia="zh-CN"/>
        </w:rPr>
      </w:pPr>
      <w:r>
        <w:rPr>
          <w:rFonts w:hint="eastAsia"/>
          <w:color w:val="auto"/>
          <w:highlight w:val="none"/>
          <w:lang w:eastAsia="zh-CN"/>
        </w:rPr>
        <w:t>本项目不涉及经济效益指标</w:t>
      </w:r>
      <w:r>
        <w:rPr>
          <w:rFonts w:hint="eastAsia"/>
          <w:b/>
          <w:bCs/>
          <w:color w:val="auto"/>
          <w:highlight w:val="none"/>
          <w:lang w:val="en-US" w:eastAsia="zh-CN"/>
        </w:rPr>
        <w:t>。</w:t>
      </w:r>
    </w:p>
    <w:p w14:paraId="258FA911">
      <w:pPr>
        <w:bidi w:val="0"/>
        <w:outlineLvl w:val="2"/>
        <w:rPr>
          <w:rFonts w:hint="eastAsia"/>
          <w:b/>
          <w:bCs/>
          <w:color w:val="auto"/>
          <w:highlight w:val="none"/>
          <w:lang w:val="en-US" w:eastAsia="zh-CN"/>
        </w:rPr>
      </w:pPr>
      <w:bookmarkStart w:id="78" w:name="_Toc3271"/>
      <w:r>
        <w:rPr>
          <w:rFonts w:hint="eastAsia"/>
          <w:b/>
          <w:bCs/>
          <w:color w:val="auto"/>
          <w:highlight w:val="none"/>
          <w:lang w:val="en-US" w:eastAsia="zh-CN"/>
        </w:rPr>
        <w:t>4.满意度指标</w:t>
      </w:r>
      <w:bookmarkEnd w:id="78"/>
    </w:p>
    <w:p w14:paraId="312CAD89">
      <w:pPr>
        <w:bidi w:val="0"/>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体检居民满意度”指标，预期目标值为≧90%，实际完成为100%。</w:t>
      </w:r>
    </w:p>
    <w:p w14:paraId="6EC42ADF">
      <w:pPr>
        <w:bidi w:val="0"/>
        <w:rPr>
          <w:rFonts w:hint="eastAsia"/>
          <w:color w:val="auto"/>
          <w:highlight w:val="none"/>
          <w:lang w:val="en-US" w:eastAsia="zh-CN"/>
        </w:rPr>
      </w:pPr>
      <w:r>
        <w:rPr>
          <w:rFonts w:hint="eastAsia"/>
          <w:color w:val="auto"/>
          <w:highlight w:val="none"/>
          <w:lang w:val="en-US" w:eastAsia="zh-CN"/>
        </w:rPr>
        <w:t>综上，该项指标满分15分，得分15分。</w:t>
      </w:r>
    </w:p>
    <w:p w14:paraId="3AEC02E3">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bookmarkStart w:id="79" w:name="_Toc19962"/>
      <w:r>
        <w:rPr>
          <w:rFonts w:hint="eastAsia" w:ascii="宋体" w:hAnsi="宋体" w:eastAsia="宋体" w:cs="宋体"/>
          <w:b/>
          <w:bCs/>
          <w:color w:val="auto"/>
          <w:highlight w:val="none"/>
          <w:shd w:val="clear" w:color="auto" w:fill="auto"/>
          <w:lang w:val="en-US" w:eastAsia="zh-CN"/>
        </w:rPr>
        <w:t>五、预算执行进度与指标偏差</w:t>
      </w:r>
      <w:bookmarkEnd w:id="79"/>
    </w:p>
    <w:p w14:paraId="26EFFD6F">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eastAsia" w:ascii="仿宋_GB2312" w:hAnsi="仿宋_GB2312" w:cs="仿宋_GB2312"/>
          <w:b w:val="0"/>
          <w:bCs w:val="0"/>
          <w:color w:val="auto"/>
          <w:sz w:val="28"/>
          <w:szCs w:val="28"/>
          <w:highlight w:val="none"/>
        </w:rPr>
      </w:pPr>
      <w:r>
        <w:rPr>
          <w:rFonts w:hint="eastAsia" w:cs="仿宋_GB2312"/>
          <w:b w:val="0"/>
          <w:bCs w:val="0"/>
          <w:color w:val="auto"/>
          <w:sz w:val="28"/>
          <w:szCs w:val="28"/>
          <w:highlight w:val="none"/>
          <w:lang w:val="en-US" w:eastAsia="zh-CN"/>
        </w:rPr>
        <w:t>该</w:t>
      </w:r>
      <w:r>
        <w:rPr>
          <w:rFonts w:hint="eastAsia" w:cs="仿宋_GB2312"/>
          <w:b w:val="0"/>
          <w:bCs w:val="0"/>
          <w:color w:val="auto"/>
          <w:sz w:val="28"/>
          <w:szCs w:val="28"/>
          <w:highlight w:val="none"/>
          <w:lang w:eastAsia="zh-CN"/>
        </w:rPr>
        <w:t>项目预算资金总额为</w:t>
      </w:r>
      <w:r>
        <w:rPr>
          <w:rFonts w:hint="eastAsia"/>
          <w:b w:val="0"/>
          <w:bCs w:val="0"/>
          <w:color w:val="auto"/>
          <w:highlight w:val="none"/>
          <w:lang w:val="en-US" w:eastAsia="zh-CN"/>
        </w:rPr>
        <w:t>3.98</w:t>
      </w:r>
      <w:r>
        <w:rPr>
          <w:rFonts w:hint="eastAsia" w:cs="仿宋_GB2312"/>
          <w:b w:val="0"/>
          <w:bCs w:val="0"/>
          <w:color w:val="auto"/>
          <w:sz w:val="28"/>
          <w:szCs w:val="28"/>
          <w:highlight w:val="none"/>
          <w:lang w:val="en-US" w:eastAsia="zh-CN"/>
        </w:rPr>
        <w:t>万元，全年执行数为</w:t>
      </w:r>
      <w:r>
        <w:rPr>
          <w:rFonts w:hint="eastAsia"/>
          <w:b w:val="0"/>
          <w:bCs w:val="0"/>
          <w:color w:val="auto"/>
          <w:highlight w:val="none"/>
          <w:lang w:val="en-US" w:eastAsia="zh-CN"/>
        </w:rPr>
        <w:t>3.98</w:t>
      </w:r>
      <w:r>
        <w:rPr>
          <w:rFonts w:hint="eastAsia" w:cs="仿宋_GB2312"/>
          <w:b w:val="0"/>
          <w:bCs w:val="0"/>
          <w:color w:val="auto"/>
          <w:sz w:val="28"/>
          <w:szCs w:val="28"/>
          <w:highlight w:val="none"/>
          <w:lang w:val="en-US" w:eastAsia="zh-CN"/>
        </w:rPr>
        <w:t>万元，预算执行率为</w:t>
      </w:r>
      <w:r>
        <w:rPr>
          <w:rFonts w:hint="eastAsia"/>
          <w:b w:val="0"/>
          <w:bCs w:val="0"/>
          <w:color w:val="auto"/>
          <w:highlight w:val="none"/>
          <w:lang w:val="en-US" w:eastAsia="zh-CN"/>
        </w:rPr>
        <w:t>100</w:t>
      </w:r>
      <w:r>
        <w:rPr>
          <w:rFonts w:hint="eastAsia" w:cs="仿宋_GB2312"/>
          <w:b w:val="0"/>
          <w:bCs w:val="0"/>
          <w:color w:val="auto"/>
          <w:sz w:val="28"/>
          <w:szCs w:val="28"/>
          <w:highlight w:val="none"/>
          <w:lang w:val="en-US" w:eastAsia="zh-CN"/>
        </w:rPr>
        <w:t>%，</w:t>
      </w:r>
      <w:r>
        <w:rPr>
          <w:rFonts w:hint="eastAsia" w:cs="仿宋_GB2312"/>
          <w:b w:val="0"/>
          <w:bCs w:val="0"/>
          <w:color w:val="auto"/>
          <w:sz w:val="28"/>
          <w:szCs w:val="28"/>
          <w:highlight w:val="none"/>
          <w:lang w:eastAsia="zh-CN"/>
        </w:rPr>
        <w:t>总体完成率为</w:t>
      </w:r>
      <w:r>
        <w:rPr>
          <w:rFonts w:hint="eastAsia"/>
          <w:b w:val="0"/>
          <w:bCs w:val="0"/>
          <w:color w:val="auto"/>
          <w:highlight w:val="none"/>
          <w:lang w:val="en-US" w:eastAsia="zh-CN"/>
        </w:rPr>
        <w:t>100</w:t>
      </w:r>
      <w:r>
        <w:rPr>
          <w:rFonts w:hint="eastAsia" w:cs="仿宋_GB2312"/>
          <w:b w:val="0"/>
          <w:bCs w:val="0"/>
          <w:color w:val="auto"/>
          <w:sz w:val="28"/>
          <w:szCs w:val="28"/>
          <w:highlight w:val="none"/>
          <w:lang w:val="zh-TW" w:eastAsia="zh-TW"/>
        </w:rPr>
        <w:t>%。</w:t>
      </w:r>
      <w:r>
        <w:rPr>
          <w:rFonts w:hint="eastAsia" w:cs="仿宋_GB2312"/>
          <w:b w:val="0"/>
          <w:bCs w:val="0"/>
          <w:color w:val="auto"/>
          <w:sz w:val="28"/>
          <w:szCs w:val="28"/>
          <w:highlight w:val="none"/>
          <w:lang w:val="en-US" w:eastAsia="zh-CN"/>
        </w:rPr>
        <w:t>预算执行率与总体完成率之间的偏差为</w:t>
      </w:r>
      <w:r>
        <w:rPr>
          <w:rFonts w:hint="eastAsia"/>
          <w:b w:val="0"/>
          <w:bCs w:val="0"/>
          <w:color w:val="auto"/>
          <w:highlight w:val="none"/>
          <w:lang w:val="en-US" w:eastAsia="zh-CN"/>
        </w:rPr>
        <w:t>0</w:t>
      </w:r>
      <w:r>
        <w:rPr>
          <w:rFonts w:hint="eastAsia" w:cs="仿宋_GB2312"/>
          <w:b w:val="0"/>
          <w:bCs w:val="0"/>
          <w:color w:val="auto"/>
          <w:sz w:val="28"/>
          <w:szCs w:val="28"/>
          <w:highlight w:val="none"/>
          <w:lang w:val="en-US" w:eastAsia="zh-CN"/>
        </w:rPr>
        <w:t>%，无</w:t>
      </w:r>
      <w:r>
        <w:rPr>
          <w:rFonts w:hint="eastAsia"/>
          <w:b w:val="0"/>
          <w:bCs w:val="0"/>
          <w:color w:val="auto"/>
          <w:highlight w:val="none"/>
        </w:rPr>
        <w:t>偏差</w:t>
      </w:r>
      <w:r>
        <w:rPr>
          <w:rFonts w:hint="eastAsia" w:ascii="仿宋_GB2312" w:hAnsi="仿宋_GB2312" w:cs="仿宋_GB2312"/>
          <w:b w:val="0"/>
          <w:bCs w:val="0"/>
          <w:color w:val="auto"/>
          <w:sz w:val="28"/>
          <w:szCs w:val="28"/>
          <w:highlight w:val="none"/>
        </w:rPr>
        <w:t>。</w:t>
      </w:r>
    </w:p>
    <w:p w14:paraId="4F97032E">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bookmarkStart w:id="80" w:name="_Toc29934"/>
      <w:r>
        <w:rPr>
          <w:rFonts w:hint="eastAsia" w:ascii="宋体" w:hAnsi="宋体" w:eastAsia="宋体" w:cs="宋体"/>
          <w:b/>
          <w:bCs/>
          <w:color w:val="auto"/>
          <w:highlight w:val="none"/>
          <w:shd w:val="clear" w:color="auto" w:fill="auto"/>
          <w:lang w:val="en-US" w:eastAsia="zh-CN"/>
        </w:rPr>
        <w:t>六、主要经验及做法、存在的问题及原因分析</w:t>
      </w:r>
      <w:bookmarkEnd w:id="80"/>
    </w:p>
    <w:p w14:paraId="7CD65F0E">
      <w:pPr>
        <w:numPr>
          <w:ilvl w:val="0"/>
          <w:numId w:val="0"/>
        </w:numPr>
        <w:bidi w:val="0"/>
        <w:ind w:left="560" w:leftChars="0"/>
        <w:outlineLvl w:val="1"/>
        <w:rPr>
          <w:rFonts w:hint="eastAsia"/>
          <w:b/>
          <w:bCs/>
          <w:color w:val="auto"/>
          <w:highlight w:val="none"/>
          <w:lang w:eastAsia="zh-CN"/>
        </w:rPr>
      </w:pPr>
      <w:bookmarkStart w:id="81" w:name="_Toc13160"/>
      <w:bookmarkStart w:id="82" w:name="_Toc1921"/>
      <w:bookmarkStart w:id="83" w:name="_Toc28290"/>
      <w:r>
        <w:rPr>
          <w:rFonts w:hint="eastAsia"/>
          <w:b/>
          <w:bCs/>
          <w:color w:val="auto"/>
          <w:highlight w:val="none"/>
          <w:lang w:eastAsia="zh-CN"/>
        </w:rPr>
        <w:t>（</w:t>
      </w:r>
      <w:r>
        <w:rPr>
          <w:rFonts w:hint="eastAsia"/>
          <w:b/>
          <w:bCs/>
          <w:color w:val="auto"/>
          <w:highlight w:val="none"/>
          <w:lang w:val="en-US" w:eastAsia="zh-CN"/>
        </w:rPr>
        <w:t>一</w:t>
      </w:r>
      <w:r>
        <w:rPr>
          <w:rFonts w:hint="eastAsia"/>
          <w:b/>
          <w:bCs/>
          <w:color w:val="auto"/>
          <w:highlight w:val="none"/>
          <w:lang w:eastAsia="zh-CN"/>
        </w:rPr>
        <w:t>）</w:t>
      </w:r>
      <w:r>
        <w:rPr>
          <w:rFonts w:hint="eastAsia"/>
          <w:b/>
          <w:bCs/>
          <w:color w:val="auto"/>
          <w:highlight w:val="none"/>
        </w:rPr>
        <w:t>主要经验及做法</w:t>
      </w:r>
      <w:bookmarkEnd w:id="81"/>
    </w:p>
    <w:p w14:paraId="7D16F681">
      <w:pPr>
        <w:bidi w:val="0"/>
        <w:rPr>
          <w:rFonts w:hint="eastAsia"/>
          <w:color w:val="auto"/>
          <w:highlight w:val="none"/>
          <w:lang w:eastAsia="zh-CN"/>
        </w:rPr>
      </w:pPr>
      <w:r>
        <w:rPr>
          <w:rFonts w:hint="eastAsia"/>
          <w:color w:val="auto"/>
          <w:highlight w:val="none"/>
          <w:lang w:val="en-US" w:eastAsia="zh-CN"/>
        </w:rPr>
        <w:t>全民健康体检项目</w:t>
      </w:r>
      <w:r>
        <w:rPr>
          <w:rFonts w:hint="eastAsia"/>
          <w:color w:val="auto"/>
          <w:highlight w:val="none"/>
          <w:lang w:eastAsia="zh-CN"/>
        </w:rPr>
        <w:t>20</w:t>
      </w:r>
      <w:r>
        <w:rPr>
          <w:rFonts w:hint="eastAsia"/>
          <w:color w:val="auto"/>
          <w:highlight w:val="none"/>
          <w:lang w:val="en-US" w:eastAsia="zh-CN"/>
        </w:rPr>
        <w:t>23</w:t>
      </w:r>
      <w:r>
        <w:rPr>
          <w:rFonts w:hint="eastAsia"/>
          <w:color w:val="auto"/>
          <w:highlight w:val="none"/>
          <w:lang w:eastAsia="zh-CN"/>
        </w:rPr>
        <w:t>年预算</w:t>
      </w:r>
      <w:r>
        <w:rPr>
          <w:rFonts w:hint="eastAsia"/>
          <w:color w:val="auto"/>
          <w:highlight w:val="none"/>
          <w:lang w:val="en-US" w:eastAsia="zh-CN"/>
        </w:rPr>
        <w:t>数</w:t>
      </w:r>
      <w:r>
        <w:rPr>
          <w:rFonts w:hint="eastAsia"/>
          <w:color w:val="auto"/>
          <w:highlight w:val="none"/>
          <w:lang w:eastAsia="zh-CN"/>
        </w:rPr>
        <w:t>为</w:t>
      </w:r>
      <w:r>
        <w:rPr>
          <w:rFonts w:hint="eastAsia"/>
          <w:color w:val="auto"/>
          <w:highlight w:val="none"/>
          <w:lang w:val="en-US" w:eastAsia="zh-CN"/>
        </w:rPr>
        <w:t>3.98</w:t>
      </w:r>
      <w:r>
        <w:rPr>
          <w:rFonts w:hint="eastAsia"/>
          <w:color w:val="auto"/>
          <w:highlight w:val="none"/>
          <w:lang w:eastAsia="zh-CN"/>
        </w:rPr>
        <w:t>万元，</w:t>
      </w:r>
      <w:r>
        <w:rPr>
          <w:rFonts w:hint="eastAsia"/>
          <w:color w:val="auto"/>
          <w:highlight w:val="none"/>
          <w:lang w:val="en-US" w:eastAsia="zh-CN"/>
        </w:rPr>
        <w:t>截至2023年12月31日共</w:t>
      </w:r>
      <w:r>
        <w:rPr>
          <w:rFonts w:hint="eastAsia"/>
          <w:color w:val="auto"/>
          <w:highlight w:val="none"/>
          <w:lang w:eastAsia="zh-CN"/>
        </w:rPr>
        <w:t>支出</w:t>
      </w:r>
      <w:r>
        <w:rPr>
          <w:rFonts w:hint="eastAsia"/>
          <w:color w:val="auto"/>
          <w:highlight w:val="none"/>
          <w:lang w:val="en-US" w:eastAsia="zh-CN"/>
        </w:rPr>
        <w:t>3.98</w:t>
      </w:r>
      <w:r>
        <w:rPr>
          <w:rFonts w:hint="eastAsia"/>
          <w:color w:val="auto"/>
          <w:highlight w:val="none"/>
          <w:lang w:eastAsia="zh-CN"/>
        </w:rPr>
        <w:t>万元，预算</w:t>
      </w:r>
      <w:r>
        <w:rPr>
          <w:rFonts w:hint="eastAsia"/>
          <w:color w:val="auto"/>
          <w:highlight w:val="none"/>
          <w:lang w:val="en-US" w:eastAsia="zh-CN"/>
        </w:rPr>
        <w:t>执行</w:t>
      </w:r>
      <w:r>
        <w:rPr>
          <w:rFonts w:hint="eastAsia"/>
          <w:color w:val="auto"/>
          <w:highlight w:val="none"/>
          <w:lang w:eastAsia="zh-CN"/>
        </w:rPr>
        <w:t>率为</w:t>
      </w:r>
      <w:r>
        <w:rPr>
          <w:rFonts w:hint="eastAsia"/>
          <w:color w:val="auto"/>
          <w:highlight w:val="none"/>
          <w:lang w:val="en-US" w:eastAsia="zh-CN"/>
        </w:rPr>
        <w:t>100</w:t>
      </w:r>
      <w:r>
        <w:rPr>
          <w:rFonts w:hint="eastAsia"/>
          <w:color w:val="auto"/>
          <w:highlight w:val="none"/>
          <w:lang w:eastAsia="zh-CN"/>
        </w:rPr>
        <w:t>%。</w:t>
      </w:r>
    </w:p>
    <w:p w14:paraId="35BD68E5">
      <w:pPr>
        <w:bidi w:val="0"/>
        <w:rPr>
          <w:rFonts w:hint="eastAsia"/>
          <w:color w:val="auto"/>
          <w:highlight w:val="none"/>
          <w:lang w:eastAsia="zh-CN"/>
        </w:rPr>
      </w:pPr>
      <w:r>
        <w:rPr>
          <w:rFonts w:hint="eastAsia"/>
          <w:color w:val="auto"/>
          <w:highlight w:val="none"/>
          <w:lang w:val="en-US" w:eastAsia="zh-CN"/>
        </w:rPr>
        <w:t>阜康市甘河子镇卫生院</w:t>
      </w:r>
      <w:r>
        <w:rPr>
          <w:rFonts w:hint="eastAsia"/>
          <w:color w:val="auto"/>
          <w:highlight w:val="none"/>
          <w:lang w:eastAsia="zh-CN"/>
        </w:rPr>
        <w:t>建立健全了预算管理规章制度，各部门严格按照预算编制的原则和要求做好当年预算编制工作，在预算绩效管理工作中，做到合理安排各项资金，重点保障基本支出，按轻重缓急顺序原则，优先安排了</w:t>
      </w:r>
      <w:r>
        <w:rPr>
          <w:rFonts w:hint="eastAsia"/>
          <w:color w:val="auto"/>
          <w:highlight w:val="none"/>
          <w:lang w:val="en-US" w:eastAsia="zh-CN"/>
        </w:rPr>
        <w:t>阜康市甘河子镇卫生院</w:t>
      </w:r>
      <w:r>
        <w:rPr>
          <w:rFonts w:hint="eastAsia"/>
          <w:color w:val="auto"/>
          <w:highlight w:val="none"/>
          <w:lang w:eastAsia="zh-CN"/>
        </w:rPr>
        <w:t>事业发展中关系民生与稳定的项目，切实优化资源配置，提高了资金使用的效率和效果。</w:t>
      </w:r>
    </w:p>
    <w:bookmarkEnd w:id="82"/>
    <w:bookmarkEnd w:id="83"/>
    <w:p w14:paraId="6DF556D8">
      <w:pPr>
        <w:bidi w:val="0"/>
        <w:outlineLvl w:val="1"/>
        <w:rPr>
          <w:rFonts w:hint="eastAsia"/>
          <w:b/>
          <w:bCs/>
          <w:color w:val="auto"/>
          <w:highlight w:val="none"/>
          <w:lang w:eastAsia="zh-CN"/>
        </w:rPr>
      </w:pPr>
      <w:bookmarkStart w:id="84" w:name="_Toc9582"/>
      <w:r>
        <w:rPr>
          <w:rFonts w:hint="eastAsia"/>
          <w:b/>
          <w:bCs/>
          <w:color w:val="auto"/>
          <w:highlight w:val="none"/>
          <w:lang w:eastAsia="zh-CN"/>
        </w:rPr>
        <w:t>（</w:t>
      </w:r>
      <w:r>
        <w:rPr>
          <w:rFonts w:hint="eastAsia"/>
          <w:b/>
          <w:bCs/>
          <w:color w:val="auto"/>
          <w:highlight w:val="none"/>
          <w:lang w:val="en-US" w:eastAsia="zh-CN"/>
        </w:rPr>
        <w:t>二</w:t>
      </w:r>
      <w:r>
        <w:rPr>
          <w:rFonts w:hint="eastAsia"/>
          <w:b/>
          <w:bCs/>
          <w:color w:val="auto"/>
          <w:highlight w:val="none"/>
          <w:lang w:eastAsia="zh-CN"/>
        </w:rPr>
        <w:t>）</w:t>
      </w:r>
      <w:r>
        <w:rPr>
          <w:rFonts w:hint="eastAsia"/>
          <w:b/>
          <w:bCs/>
          <w:color w:val="auto"/>
          <w:highlight w:val="none"/>
        </w:rPr>
        <w:t>存在的问题及原因分析</w:t>
      </w:r>
      <w:bookmarkEnd w:id="84"/>
    </w:p>
    <w:p w14:paraId="055BBA1C">
      <w:pPr>
        <w:bidi w:val="0"/>
        <w:rPr>
          <w:rFonts w:hint="eastAsia"/>
          <w:b w:val="0"/>
          <w:bCs w:val="0"/>
          <w:color w:val="auto"/>
          <w:highlight w:val="none"/>
          <w:shd w:val="clear" w:color="auto" w:fill="auto"/>
          <w:lang w:val="en-US" w:eastAsia="zh-CN"/>
        </w:rPr>
      </w:pPr>
      <w:r>
        <w:rPr>
          <w:rFonts w:hint="eastAsia"/>
          <w:b w:val="0"/>
          <w:bCs w:val="0"/>
          <w:color w:val="auto"/>
          <w:highlight w:val="none"/>
          <w:shd w:val="clear" w:color="auto" w:fill="auto"/>
          <w:lang w:val="en-US" w:eastAsia="zh-CN"/>
        </w:rPr>
        <w:t>1、部分群众对实施全民健康体检的重要意义认识不足，主动参与意识不强，自我健康管理意识淡薄，一部分群众没有参与全民健康体检，影响疾病早发现、早干预、早治疗。</w:t>
      </w:r>
    </w:p>
    <w:p w14:paraId="0118C604">
      <w:pPr>
        <w:bidi w:val="0"/>
        <w:rPr>
          <w:rFonts w:hint="default"/>
          <w:color w:val="auto"/>
          <w:highlight w:val="none"/>
          <w:lang w:val="en-US" w:eastAsia="zh-CN"/>
        </w:rPr>
      </w:pPr>
      <w:r>
        <w:rPr>
          <w:rFonts w:hint="eastAsia"/>
          <w:b w:val="0"/>
          <w:bCs w:val="0"/>
          <w:color w:val="auto"/>
          <w:highlight w:val="none"/>
          <w:shd w:val="clear" w:color="auto" w:fill="auto"/>
          <w:lang w:val="en-US" w:eastAsia="zh-CN"/>
        </w:rPr>
        <w:t>2、全民健康体检宣传、组织、发动工作力度有待进一步加强。各乡镇（街道）、各相关部门对全民健康体检的宣传工作动员方式单一。</w:t>
      </w:r>
    </w:p>
    <w:p w14:paraId="1A826719">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bookmarkStart w:id="85" w:name="_Toc5230"/>
      <w:r>
        <w:rPr>
          <w:rFonts w:hint="eastAsia" w:ascii="宋体" w:hAnsi="宋体" w:eastAsia="宋体" w:cs="宋体"/>
          <w:b/>
          <w:bCs/>
          <w:color w:val="auto"/>
          <w:highlight w:val="none"/>
          <w:shd w:val="clear" w:color="auto" w:fill="auto"/>
          <w:lang w:val="en-US" w:eastAsia="zh-CN"/>
        </w:rPr>
        <w:t>七、有关建议</w:t>
      </w:r>
      <w:bookmarkEnd w:id="85"/>
    </w:p>
    <w:p w14:paraId="22C33D84">
      <w:pPr>
        <w:bidi w:val="0"/>
        <w:outlineLvl w:val="1"/>
        <w:rPr>
          <w:rFonts w:hint="eastAsia"/>
          <w:b w:val="0"/>
          <w:bCs w:val="0"/>
          <w:color w:val="auto"/>
          <w:highlight w:val="none"/>
          <w:shd w:val="clear" w:color="auto" w:fill="auto"/>
          <w:lang w:val="en-US" w:eastAsia="zh-CN"/>
        </w:rPr>
      </w:pPr>
      <w:bookmarkStart w:id="86" w:name="_Toc20454"/>
      <w:r>
        <w:rPr>
          <w:rFonts w:hint="eastAsia" w:cs="宋体"/>
          <w:color w:val="auto"/>
          <w:kern w:val="2"/>
          <w:sz w:val="28"/>
          <w:szCs w:val="28"/>
          <w:highlight w:val="none"/>
          <w:lang w:val="en-US" w:eastAsia="zh-CN" w:bidi="ar-SA"/>
        </w:rPr>
        <w:t>（一）</w:t>
      </w:r>
      <w:r>
        <w:rPr>
          <w:rFonts w:hint="eastAsia" w:ascii="宋体" w:hAnsi="宋体" w:eastAsia="宋体" w:cs="宋体"/>
          <w:color w:val="auto"/>
          <w:kern w:val="2"/>
          <w:sz w:val="28"/>
          <w:szCs w:val="28"/>
          <w:highlight w:val="none"/>
          <w:lang w:val="en-US" w:eastAsia="zh-CN" w:bidi="ar-SA"/>
        </w:rPr>
        <w:t>加强绩效业务学习及培训，</w:t>
      </w:r>
      <w:bookmarkEnd w:id="86"/>
      <w:r>
        <w:rPr>
          <w:rFonts w:hint="eastAsia"/>
          <w:b w:val="0"/>
          <w:bCs w:val="0"/>
          <w:color w:val="auto"/>
          <w:highlight w:val="none"/>
          <w:shd w:val="clear" w:color="auto" w:fill="auto"/>
          <w:lang w:val="en-US" w:eastAsia="zh-CN"/>
        </w:rPr>
        <w:t>健全各部门协调配合机制，层层压实责任，提高群众对全民健康体检的参与度和知晓率，提高居民健康水平。</w:t>
      </w:r>
    </w:p>
    <w:p w14:paraId="04270546">
      <w:pPr>
        <w:bidi w:val="0"/>
        <w:outlineLvl w:val="1"/>
        <w:rPr>
          <w:rFonts w:hint="eastAsia" w:ascii="宋体" w:hAnsi="宋体" w:eastAsia="宋体" w:cs="宋体"/>
          <w:color w:val="auto"/>
          <w:highlight w:val="none"/>
          <w:lang w:eastAsia="zh-CN"/>
        </w:rPr>
      </w:pPr>
      <w:r>
        <w:rPr>
          <w:rFonts w:hint="eastAsia"/>
          <w:b w:val="0"/>
          <w:bCs w:val="0"/>
          <w:color w:val="auto"/>
          <w:highlight w:val="none"/>
          <w:shd w:val="clear" w:color="auto" w:fill="auto"/>
          <w:lang w:val="en-US" w:eastAsia="zh-CN"/>
        </w:rPr>
        <w:t>（二）充分发挥乡镇（街道）全民健康体检主体责任，利用广播、电视、微信、网络等媒介对健康体检工作进行广泛宣传，积极采取多种方式持续开展健康体检惠民政策的引导，提升各族群众自我保健意识，提高群众知晓率及参与度</w:t>
      </w:r>
      <w:r>
        <w:rPr>
          <w:rFonts w:hint="eastAsia" w:cs="宋体"/>
          <w:b/>
          <w:bCs/>
          <w:color w:val="auto"/>
          <w:highlight w:val="none"/>
          <w:lang w:eastAsia="zh-CN"/>
        </w:rPr>
        <w:t>。</w:t>
      </w:r>
    </w:p>
    <w:p w14:paraId="7318AA5D">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bookmarkStart w:id="87" w:name="_Toc15618"/>
      <w:r>
        <w:rPr>
          <w:rFonts w:hint="eastAsia" w:ascii="宋体" w:hAnsi="宋体" w:eastAsia="宋体" w:cs="宋体"/>
          <w:b/>
          <w:bCs/>
          <w:color w:val="auto"/>
          <w:highlight w:val="none"/>
          <w:shd w:val="clear" w:color="auto" w:fill="auto"/>
          <w:lang w:val="en-US" w:eastAsia="zh-CN"/>
        </w:rPr>
        <w:t>八、其他需要说明的问题</w:t>
      </w:r>
      <w:bookmarkEnd w:id="87"/>
    </w:p>
    <w:p w14:paraId="674420E8">
      <w:pPr>
        <w:bidi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无其他需要说明的问题。</w:t>
      </w:r>
    </w:p>
    <w:p w14:paraId="7AD4D980">
      <w:pPr>
        <w:pageBreakBefore w:val="0"/>
        <w:kinsoku/>
        <w:wordWrap/>
        <w:overflowPunct/>
        <w:topLinePunct w:val="0"/>
        <w:autoSpaceDE/>
        <w:autoSpaceDN/>
        <w:bidi w:val="0"/>
        <w:adjustRightInd/>
        <w:spacing w:line="360" w:lineRule="auto"/>
        <w:textAlignment w:val="auto"/>
        <w:rPr>
          <w:rFonts w:hint="eastAsia" w:cs="宋体"/>
          <w:color w:val="auto"/>
          <w:highlight w:val="none"/>
          <w:shd w:val="clear" w:color="auto" w:fill="auto"/>
          <w:lang w:val="en-US" w:eastAsia="zh-CN"/>
        </w:rPr>
      </w:pPr>
    </w:p>
    <w:p w14:paraId="29217A7F">
      <w:pPr>
        <w:rPr>
          <w:rFonts w:hint="eastAsia" w:ascii="宋体" w:hAnsi="宋体" w:eastAsia="宋体" w:cs="宋体"/>
          <w:b/>
          <w:bCs/>
          <w:color w:val="auto"/>
          <w:kern w:val="2"/>
          <w:sz w:val="36"/>
          <w:szCs w:val="28"/>
          <w:highlight w:val="none"/>
          <w:lang w:val="en-US" w:eastAsia="zh-CN" w:bidi="ar-SA"/>
        </w:rPr>
        <w:sectPr>
          <w:footerReference r:id="rId5" w:type="default"/>
          <w:pgSz w:w="11906" w:h="16838"/>
          <w:pgMar w:top="1440" w:right="1800" w:bottom="1440" w:left="1800" w:header="737" w:footer="851" w:gutter="0"/>
          <w:pgNumType w:fmt="decimal" w:start="1"/>
          <w:cols w:space="720" w:num="1"/>
          <w:docGrid w:type="lines" w:linePitch="408" w:charSpace="0"/>
        </w:sectPr>
      </w:pPr>
      <w:r>
        <w:rPr>
          <w:rFonts w:hint="eastAsia" w:ascii="宋体" w:hAnsi="宋体" w:eastAsia="宋体" w:cs="宋体"/>
          <w:b/>
          <w:bCs/>
          <w:color w:val="auto"/>
          <w:kern w:val="2"/>
          <w:sz w:val="36"/>
          <w:szCs w:val="28"/>
          <w:highlight w:val="none"/>
          <w:lang w:val="en-US" w:eastAsia="zh-CN" w:bidi="ar-SA"/>
        </w:rPr>
        <w:br w:type="page"/>
      </w:r>
    </w:p>
    <w:p w14:paraId="50FBD4D3">
      <w:pPr>
        <w:pStyle w:val="2"/>
        <w:rPr>
          <w:rFonts w:hint="eastAsia"/>
          <w:lang w:val="en-US" w:eastAsia="zh-CN"/>
        </w:rPr>
      </w:pPr>
    </w:p>
    <w:p w14:paraId="7D38E688">
      <w:pPr>
        <w:pStyle w:val="3"/>
        <w:pageBreakBefore w:val="0"/>
        <w:numPr>
          <w:ilvl w:val="0"/>
          <w:numId w:val="0"/>
        </w:numPr>
        <w:kinsoku/>
        <w:wordWrap/>
        <w:overflowPunct/>
        <w:topLinePunct w:val="0"/>
        <w:autoSpaceDE/>
        <w:autoSpaceDN/>
        <w:bidi w:val="0"/>
        <w:adjustRightInd/>
        <w:spacing w:beforeLines="0" w:afterLines="0" w:line="360" w:lineRule="auto"/>
        <w:textAlignment w:val="auto"/>
        <w:rPr>
          <w:color w:val="auto"/>
          <w:highlight w:val="none"/>
        </w:rPr>
      </w:pPr>
      <w:bookmarkStart w:id="88" w:name="_Toc11349"/>
      <w:r>
        <w:rPr>
          <w:rFonts w:hint="eastAsia" w:ascii="宋体" w:hAnsi="宋体" w:eastAsia="宋体" w:cs="宋体"/>
          <w:b/>
          <w:bCs/>
          <w:color w:val="auto"/>
          <w:highlight w:val="none"/>
          <w:shd w:val="clear" w:color="auto" w:fill="auto"/>
          <w:lang w:val="en-US" w:eastAsia="zh-CN"/>
        </w:rPr>
        <w:t>附件一、项目支出绩效自评表</w:t>
      </w:r>
      <w:bookmarkEnd w:id="88"/>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86"/>
        <w:gridCol w:w="886"/>
        <w:gridCol w:w="886"/>
        <w:gridCol w:w="886"/>
        <w:gridCol w:w="1592"/>
        <w:gridCol w:w="886"/>
        <w:gridCol w:w="886"/>
        <w:gridCol w:w="975"/>
        <w:gridCol w:w="886"/>
        <w:gridCol w:w="886"/>
        <w:gridCol w:w="1328"/>
        <w:gridCol w:w="1328"/>
        <w:gridCol w:w="976"/>
        <w:gridCol w:w="887"/>
      </w:tblGrid>
      <w:tr w14:paraId="6C94B68F">
        <w:tblPrEx>
          <w:shd w:val="clear" w:color="auto" w:fill="auto"/>
          <w:tblCellMar>
            <w:top w:w="0" w:type="dxa"/>
            <w:left w:w="108" w:type="dxa"/>
            <w:bottom w:w="0" w:type="dxa"/>
            <w:right w:w="108" w:type="dxa"/>
          </w:tblCellMar>
        </w:tblPrEx>
        <w:trPr>
          <w:trHeight w:val="800" w:hRule="atLeast"/>
        </w:trPr>
        <w:tc>
          <w:tcPr>
            <w:tcW w:w="14174" w:type="dxa"/>
            <w:gridSpan w:val="14"/>
            <w:tcBorders>
              <w:top w:val="nil"/>
              <w:left w:val="nil"/>
              <w:bottom w:val="nil"/>
              <w:right w:val="nil"/>
            </w:tcBorders>
            <w:shd w:val="clear" w:color="auto" w:fill="auto"/>
            <w:vAlign w:val="center"/>
          </w:tcPr>
          <w:p w14:paraId="10E9797C">
            <w:pPr>
              <w:keepNext w:val="0"/>
              <w:keepLines w:val="0"/>
              <w:widowControl/>
              <w:suppressLineNumbers w:val="0"/>
              <w:ind w:firstLine="801" w:firstLineChars="200"/>
              <w:jc w:val="center"/>
              <w:textAlignment w:val="center"/>
              <w:rPr>
                <w:rFonts w:ascii="华文中宋" w:hAnsi="华文中宋" w:eastAsia="华文中宋" w:cs="华文中宋"/>
                <w:b/>
                <w:bCs/>
                <w:i w:val="0"/>
                <w:iCs w:val="0"/>
                <w:color w:val="000000"/>
                <w:sz w:val="40"/>
                <w:szCs w:val="40"/>
                <w:u w:val="none"/>
              </w:rPr>
            </w:pPr>
            <w:r>
              <w:rPr>
                <w:rFonts w:hint="eastAsia" w:ascii="华文中宋" w:hAnsi="华文中宋" w:eastAsia="华文中宋" w:cs="华文中宋"/>
                <w:b/>
                <w:bCs/>
                <w:i w:val="0"/>
                <w:iCs w:val="0"/>
                <w:color w:val="000000"/>
                <w:kern w:val="0"/>
                <w:sz w:val="40"/>
                <w:szCs w:val="40"/>
                <w:u w:val="none"/>
                <w:lang w:val="en-US" w:eastAsia="zh-CN" w:bidi="ar"/>
              </w:rPr>
              <w:t>项目支出绩效自评表</w:t>
            </w:r>
          </w:p>
        </w:tc>
      </w:tr>
      <w:tr w14:paraId="2D16F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174" w:type="dxa"/>
            <w:gridSpan w:val="14"/>
            <w:tcBorders>
              <w:top w:val="nil"/>
              <w:left w:val="nil"/>
              <w:bottom w:val="single" w:color="auto" w:sz="4" w:space="0"/>
              <w:right w:val="nil"/>
            </w:tcBorders>
            <w:shd w:val="clear" w:color="auto" w:fill="auto"/>
            <w:vAlign w:val="center"/>
          </w:tcPr>
          <w:p w14:paraId="162B1FED">
            <w:pPr>
              <w:keepNext w:val="0"/>
              <w:keepLines w:val="0"/>
              <w:widowControl/>
              <w:suppressLineNumbers w:val="0"/>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（2023年度）</w:t>
            </w:r>
          </w:p>
        </w:tc>
      </w:tr>
      <w:tr w14:paraId="32E0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50" w:type="dxa"/>
            <w:gridSpan w:val="2"/>
            <w:tcBorders>
              <w:top w:val="single" w:color="auto" w:sz="4" w:space="0"/>
            </w:tcBorders>
            <w:shd w:val="clear" w:color="auto" w:fill="auto"/>
            <w:vAlign w:val="center"/>
          </w:tcPr>
          <w:p w14:paraId="7B68568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824" w:type="dxa"/>
            <w:gridSpan w:val="12"/>
            <w:tcBorders>
              <w:top w:val="single" w:color="auto" w:sz="4" w:space="0"/>
            </w:tcBorders>
            <w:shd w:val="clear" w:color="auto" w:fill="auto"/>
            <w:vAlign w:val="center"/>
          </w:tcPr>
          <w:p w14:paraId="10347A9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自治区公共卫生服务【地方公共卫生】补助资金全民健康体检</w:t>
            </w:r>
          </w:p>
        </w:tc>
      </w:tr>
      <w:tr w14:paraId="72B3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350" w:type="dxa"/>
            <w:gridSpan w:val="2"/>
            <w:shd w:val="clear" w:color="auto" w:fill="auto"/>
            <w:vAlign w:val="center"/>
          </w:tcPr>
          <w:p w14:paraId="1706449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4896" w:type="dxa"/>
            <w:gridSpan w:val="5"/>
            <w:shd w:val="clear" w:color="auto" w:fill="auto"/>
            <w:vAlign w:val="center"/>
          </w:tcPr>
          <w:p w14:paraId="2B77B7F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阜康市卫生健康委员会</w:t>
            </w:r>
          </w:p>
        </w:tc>
        <w:tc>
          <w:tcPr>
            <w:tcW w:w="1928" w:type="dxa"/>
            <w:gridSpan w:val="2"/>
            <w:shd w:val="clear" w:color="auto" w:fill="auto"/>
            <w:vAlign w:val="center"/>
          </w:tcPr>
          <w:p w14:paraId="706BE58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6000" w:type="dxa"/>
            <w:gridSpan w:val="5"/>
            <w:shd w:val="clear" w:color="auto" w:fill="auto"/>
            <w:vAlign w:val="center"/>
          </w:tcPr>
          <w:p w14:paraId="7B46F96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阜康市甘河子镇卫生院</w:t>
            </w:r>
          </w:p>
        </w:tc>
      </w:tr>
      <w:tr w14:paraId="32B6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350" w:type="dxa"/>
            <w:gridSpan w:val="2"/>
            <w:vMerge w:val="restart"/>
            <w:shd w:val="clear" w:color="auto" w:fill="auto"/>
            <w:vAlign w:val="center"/>
          </w:tcPr>
          <w:p w14:paraId="29F5E7D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987" w:type="dxa"/>
            <w:gridSpan w:val="2"/>
            <w:shd w:val="clear" w:color="auto" w:fill="auto"/>
            <w:vAlign w:val="center"/>
          </w:tcPr>
          <w:p w14:paraId="219D2A3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资金来源</w:t>
            </w:r>
          </w:p>
        </w:tc>
        <w:tc>
          <w:tcPr>
            <w:tcW w:w="1133" w:type="dxa"/>
            <w:shd w:val="clear" w:color="auto" w:fill="auto"/>
            <w:vAlign w:val="center"/>
          </w:tcPr>
          <w:p w14:paraId="2490ACD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776" w:type="dxa"/>
            <w:gridSpan w:val="2"/>
            <w:shd w:val="clear" w:color="auto" w:fill="auto"/>
            <w:vAlign w:val="center"/>
          </w:tcPr>
          <w:p w14:paraId="0FF29A3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928" w:type="dxa"/>
            <w:gridSpan w:val="2"/>
            <w:shd w:val="clear" w:color="auto" w:fill="auto"/>
            <w:vAlign w:val="center"/>
          </w:tcPr>
          <w:p w14:paraId="20FD066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2103" w:type="dxa"/>
            <w:gridSpan w:val="2"/>
            <w:shd w:val="clear" w:color="auto" w:fill="auto"/>
            <w:vAlign w:val="center"/>
          </w:tcPr>
          <w:p w14:paraId="11BE9FB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分值权重</w:t>
            </w:r>
          </w:p>
        </w:tc>
        <w:tc>
          <w:tcPr>
            <w:tcW w:w="2091" w:type="dxa"/>
            <w:gridSpan w:val="2"/>
            <w:shd w:val="clear" w:color="auto" w:fill="auto"/>
            <w:vAlign w:val="center"/>
          </w:tcPr>
          <w:p w14:paraId="69C86CA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c>
          <w:tcPr>
            <w:tcW w:w="1806" w:type="dxa"/>
            <w:shd w:val="clear" w:color="auto" w:fill="auto"/>
            <w:vAlign w:val="center"/>
          </w:tcPr>
          <w:p w14:paraId="7C9D091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64A4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50" w:type="dxa"/>
            <w:gridSpan w:val="2"/>
            <w:vMerge w:val="continue"/>
            <w:shd w:val="clear" w:color="auto" w:fill="auto"/>
            <w:vAlign w:val="center"/>
          </w:tcPr>
          <w:p w14:paraId="1DCAD62B">
            <w:pPr>
              <w:jc w:val="center"/>
              <w:rPr>
                <w:rFonts w:hint="eastAsia" w:ascii="宋体" w:hAnsi="宋体" w:eastAsia="宋体" w:cs="宋体"/>
                <w:i w:val="0"/>
                <w:iCs w:val="0"/>
                <w:color w:val="000000"/>
                <w:sz w:val="20"/>
                <w:szCs w:val="20"/>
                <w:u w:val="none"/>
              </w:rPr>
            </w:pPr>
          </w:p>
        </w:tc>
        <w:tc>
          <w:tcPr>
            <w:tcW w:w="1987" w:type="dxa"/>
            <w:gridSpan w:val="2"/>
            <w:shd w:val="clear" w:color="auto" w:fill="auto"/>
            <w:vAlign w:val="center"/>
          </w:tcPr>
          <w:p w14:paraId="20E6A02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133" w:type="dxa"/>
            <w:shd w:val="clear" w:color="auto" w:fill="auto"/>
            <w:vAlign w:val="center"/>
          </w:tcPr>
          <w:p w14:paraId="0713C20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3.98 </w:t>
            </w:r>
          </w:p>
        </w:tc>
        <w:tc>
          <w:tcPr>
            <w:tcW w:w="1776" w:type="dxa"/>
            <w:gridSpan w:val="2"/>
            <w:shd w:val="clear" w:color="auto" w:fill="auto"/>
            <w:vAlign w:val="center"/>
          </w:tcPr>
          <w:p w14:paraId="5881831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3.98 </w:t>
            </w:r>
          </w:p>
        </w:tc>
        <w:tc>
          <w:tcPr>
            <w:tcW w:w="1928" w:type="dxa"/>
            <w:gridSpan w:val="2"/>
            <w:shd w:val="clear" w:color="auto" w:fill="auto"/>
            <w:vAlign w:val="center"/>
          </w:tcPr>
          <w:p w14:paraId="247143F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3.98 </w:t>
            </w:r>
          </w:p>
        </w:tc>
        <w:tc>
          <w:tcPr>
            <w:tcW w:w="2103" w:type="dxa"/>
            <w:gridSpan w:val="2"/>
            <w:shd w:val="clear" w:color="auto" w:fill="auto"/>
            <w:vAlign w:val="center"/>
          </w:tcPr>
          <w:p w14:paraId="4C156A0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91" w:type="dxa"/>
            <w:gridSpan w:val="2"/>
            <w:shd w:val="clear" w:color="auto" w:fill="auto"/>
            <w:vAlign w:val="center"/>
          </w:tcPr>
          <w:p w14:paraId="497DE5D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806" w:type="dxa"/>
            <w:shd w:val="clear" w:color="auto" w:fill="auto"/>
            <w:vAlign w:val="center"/>
          </w:tcPr>
          <w:p w14:paraId="41AA1DE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40EB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350" w:type="dxa"/>
            <w:gridSpan w:val="2"/>
            <w:vMerge w:val="continue"/>
            <w:shd w:val="clear" w:color="auto" w:fill="auto"/>
            <w:vAlign w:val="center"/>
          </w:tcPr>
          <w:p w14:paraId="5121B09E">
            <w:pPr>
              <w:jc w:val="center"/>
              <w:rPr>
                <w:rFonts w:hint="eastAsia" w:ascii="宋体" w:hAnsi="宋体" w:eastAsia="宋体" w:cs="宋体"/>
                <w:i w:val="0"/>
                <w:iCs w:val="0"/>
                <w:color w:val="000000"/>
                <w:sz w:val="20"/>
                <w:szCs w:val="20"/>
                <w:u w:val="none"/>
              </w:rPr>
            </w:pPr>
          </w:p>
        </w:tc>
        <w:tc>
          <w:tcPr>
            <w:tcW w:w="1987" w:type="dxa"/>
            <w:gridSpan w:val="2"/>
            <w:shd w:val="clear" w:color="auto" w:fill="auto"/>
            <w:vAlign w:val="center"/>
          </w:tcPr>
          <w:p w14:paraId="3FD5831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w:t>
            </w:r>
          </w:p>
        </w:tc>
        <w:tc>
          <w:tcPr>
            <w:tcW w:w="1133" w:type="dxa"/>
            <w:shd w:val="clear" w:color="auto" w:fill="auto"/>
            <w:vAlign w:val="center"/>
          </w:tcPr>
          <w:p w14:paraId="27F6F37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3.98 </w:t>
            </w:r>
          </w:p>
        </w:tc>
        <w:tc>
          <w:tcPr>
            <w:tcW w:w="1776" w:type="dxa"/>
            <w:gridSpan w:val="2"/>
            <w:shd w:val="clear" w:color="auto" w:fill="auto"/>
            <w:vAlign w:val="center"/>
          </w:tcPr>
          <w:p w14:paraId="176C3CF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3.98 </w:t>
            </w:r>
          </w:p>
        </w:tc>
        <w:tc>
          <w:tcPr>
            <w:tcW w:w="1928" w:type="dxa"/>
            <w:gridSpan w:val="2"/>
            <w:shd w:val="clear" w:color="auto" w:fill="auto"/>
            <w:vAlign w:val="center"/>
          </w:tcPr>
          <w:p w14:paraId="3212CCA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3.98 </w:t>
            </w:r>
          </w:p>
        </w:tc>
        <w:tc>
          <w:tcPr>
            <w:tcW w:w="2103" w:type="dxa"/>
            <w:gridSpan w:val="2"/>
            <w:shd w:val="clear" w:color="auto" w:fill="auto"/>
            <w:vAlign w:val="center"/>
          </w:tcPr>
          <w:p w14:paraId="7B0731E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091" w:type="dxa"/>
            <w:gridSpan w:val="2"/>
            <w:shd w:val="clear" w:color="auto" w:fill="auto"/>
            <w:vAlign w:val="center"/>
          </w:tcPr>
          <w:p w14:paraId="0C5E92A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6" w:type="dxa"/>
            <w:shd w:val="clear" w:color="auto" w:fill="auto"/>
            <w:vAlign w:val="center"/>
          </w:tcPr>
          <w:p w14:paraId="5CFEE1D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343F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50" w:type="dxa"/>
            <w:gridSpan w:val="2"/>
            <w:vMerge w:val="continue"/>
            <w:shd w:val="clear" w:color="auto" w:fill="auto"/>
            <w:vAlign w:val="center"/>
          </w:tcPr>
          <w:p w14:paraId="07E97DDF">
            <w:pPr>
              <w:jc w:val="center"/>
              <w:rPr>
                <w:rFonts w:hint="eastAsia" w:ascii="宋体" w:hAnsi="宋体" w:eastAsia="宋体" w:cs="宋体"/>
                <w:i w:val="0"/>
                <w:iCs w:val="0"/>
                <w:color w:val="000000"/>
                <w:sz w:val="20"/>
                <w:szCs w:val="20"/>
                <w:u w:val="none"/>
              </w:rPr>
            </w:pPr>
          </w:p>
        </w:tc>
        <w:tc>
          <w:tcPr>
            <w:tcW w:w="1987" w:type="dxa"/>
            <w:gridSpan w:val="2"/>
            <w:shd w:val="clear" w:color="auto" w:fill="auto"/>
            <w:vAlign w:val="center"/>
          </w:tcPr>
          <w:p w14:paraId="409B7C8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133" w:type="dxa"/>
            <w:shd w:val="clear" w:color="auto" w:fill="auto"/>
            <w:vAlign w:val="center"/>
          </w:tcPr>
          <w:p w14:paraId="3CB7A5D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776" w:type="dxa"/>
            <w:gridSpan w:val="2"/>
            <w:shd w:val="clear" w:color="auto" w:fill="auto"/>
            <w:vAlign w:val="center"/>
          </w:tcPr>
          <w:p w14:paraId="01ACDCF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928" w:type="dxa"/>
            <w:gridSpan w:val="2"/>
            <w:shd w:val="clear" w:color="auto" w:fill="auto"/>
            <w:vAlign w:val="center"/>
          </w:tcPr>
          <w:p w14:paraId="2FFBC20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103" w:type="dxa"/>
            <w:gridSpan w:val="2"/>
            <w:shd w:val="clear" w:color="auto" w:fill="auto"/>
            <w:vAlign w:val="center"/>
          </w:tcPr>
          <w:p w14:paraId="4EF7BEC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091" w:type="dxa"/>
            <w:gridSpan w:val="2"/>
            <w:shd w:val="clear" w:color="auto" w:fill="auto"/>
            <w:vAlign w:val="center"/>
          </w:tcPr>
          <w:p w14:paraId="4E52100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6" w:type="dxa"/>
            <w:shd w:val="clear" w:color="auto" w:fill="auto"/>
            <w:vAlign w:val="center"/>
          </w:tcPr>
          <w:p w14:paraId="4FBABEE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255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675" w:type="dxa"/>
            <w:vMerge w:val="restart"/>
            <w:shd w:val="clear" w:color="auto" w:fill="auto"/>
            <w:vAlign w:val="center"/>
          </w:tcPr>
          <w:p w14:paraId="322CD75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7499" w:type="dxa"/>
            <w:gridSpan w:val="8"/>
            <w:shd w:val="clear" w:color="auto" w:fill="auto"/>
            <w:vAlign w:val="center"/>
          </w:tcPr>
          <w:p w14:paraId="521F896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6000" w:type="dxa"/>
            <w:gridSpan w:val="5"/>
            <w:shd w:val="clear" w:color="auto" w:fill="auto"/>
            <w:vAlign w:val="center"/>
          </w:tcPr>
          <w:p w14:paraId="07E782B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总体目标完成情况</w:t>
            </w:r>
          </w:p>
        </w:tc>
      </w:tr>
      <w:tr w14:paraId="7577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0" w:hRule="atLeast"/>
        </w:trPr>
        <w:tc>
          <w:tcPr>
            <w:tcW w:w="675" w:type="dxa"/>
            <w:vMerge w:val="continue"/>
            <w:shd w:val="clear" w:color="auto" w:fill="auto"/>
            <w:vAlign w:val="center"/>
          </w:tcPr>
          <w:p w14:paraId="5BD5C892">
            <w:pPr>
              <w:jc w:val="center"/>
              <w:rPr>
                <w:rFonts w:hint="eastAsia" w:ascii="宋体" w:hAnsi="宋体" w:eastAsia="宋体" w:cs="宋体"/>
                <w:i w:val="0"/>
                <w:iCs w:val="0"/>
                <w:color w:val="000000"/>
                <w:sz w:val="20"/>
                <w:szCs w:val="20"/>
                <w:u w:val="none"/>
              </w:rPr>
            </w:pPr>
          </w:p>
        </w:tc>
        <w:tc>
          <w:tcPr>
            <w:tcW w:w="7499" w:type="dxa"/>
            <w:gridSpan w:val="8"/>
            <w:shd w:val="clear" w:color="auto" w:fill="auto"/>
            <w:vAlign w:val="center"/>
          </w:tcPr>
          <w:p w14:paraId="37F2980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对此目阜康市甘河子镇卫生院负责开展全民健康体检及拨付补贴，落实全民健康体检工作，阜康市甘河子镇卫生院预计完成3200人的体检，系统录入人次数达到3200人次，系统录入合格率达到100%，预2023年12月底前完成，居民健康保健意识和知晓率逐步提高,居民健康水平提高。</w:t>
            </w:r>
          </w:p>
        </w:tc>
        <w:tc>
          <w:tcPr>
            <w:tcW w:w="6000" w:type="dxa"/>
            <w:gridSpan w:val="5"/>
            <w:shd w:val="clear" w:color="auto" w:fill="auto"/>
            <w:vAlign w:val="center"/>
          </w:tcPr>
          <w:p w14:paraId="5AC5961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截止2023年12月31日，我院共计完成全民体3303人次，录入系统人次3303人次，录入合格率达到100%，完成全民体检投入3.98万元，提高全民健康意识及自我健康管理水平，体检居民满意度达到90%以上。</w:t>
            </w:r>
          </w:p>
        </w:tc>
      </w:tr>
      <w:tr w14:paraId="1D19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675" w:type="dxa"/>
            <w:shd w:val="clear" w:color="auto" w:fill="auto"/>
            <w:vAlign w:val="center"/>
          </w:tcPr>
          <w:p w14:paraId="0A5362EF">
            <w:pPr>
              <w:jc w:val="center"/>
              <w:rPr>
                <w:rFonts w:hint="eastAsia" w:ascii="宋体" w:hAnsi="宋体" w:eastAsia="宋体" w:cs="宋体"/>
                <w:i w:val="0"/>
                <w:iCs w:val="0"/>
                <w:color w:val="000000"/>
                <w:sz w:val="20"/>
                <w:szCs w:val="20"/>
                <w:u w:val="none"/>
              </w:rPr>
            </w:pPr>
          </w:p>
        </w:tc>
        <w:tc>
          <w:tcPr>
            <w:tcW w:w="675" w:type="dxa"/>
            <w:shd w:val="clear" w:color="auto" w:fill="auto"/>
            <w:vAlign w:val="center"/>
          </w:tcPr>
          <w:p w14:paraId="7B20810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877" w:type="dxa"/>
            <w:shd w:val="clear" w:color="auto" w:fill="auto"/>
            <w:vAlign w:val="center"/>
          </w:tcPr>
          <w:p w14:paraId="6135EEF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110" w:type="dxa"/>
            <w:shd w:val="clear" w:color="auto" w:fill="auto"/>
            <w:vAlign w:val="center"/>
          </w:tcPr>
          <w:p w14:paraId="63C5D97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133" w:type="dxa"/>
            <w:shd w:val="clear" w:color="auto" w:fill="auto"/>
            <w:vAlign w:val="center"/>
          </w:tcPr>
          <w:p w14:paraId="4B08304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888" w:type="dxa"/>
            <w:shd w:val="clear" w:color="auto" w:fill="auto"/>
            <w:vAlign w:val="center"/>
          </w:tcPr>
          <w:p w14:paraId="4BF4B9F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指标值设置依据</w:t>
            </w:r>
          </w:p>
        </w:tc>
        <w:tc>
          <w:tcPr>
            <w:tcW w:w="888" w:type="dxa"/>
            <w:shd w:val="clear" w:color="auto" w:fill="auto"/>
            <w:vAlign w:val="center"/>
          </w:tcPr>
          <w:p w14:paraId="0ABA516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上年完成值</w:t>
            </w:r>
          </w:p>
        </w:tc>
        <w:tc>
          <w:tcPr>
            <w:tcW w:w="964" w:type="dxa"/>
            <w:shd w:val="clear" w:color="auto" w:fill="auto"/>
            <w:vAlign w:val="center"/>
          </w:tcPr>
          <w:p w14:paraId="7A2AD82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指标分值权重</w:t>
            </w:r>
          </w:p>
        </w:tc>
        <w:tc>
          <w:tcPr>
            <w:tcW w:w="964" w:type="dxa"/>
            <w:shd w:val="clear" w:color="auto" w:fill="auto"/>
            <w:vAlign w:val="center"/>
          </w:tcPr>
          <w:p w14:paraId="4B8698C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指标赋分规则</w:t>
            </w:r>
          </w:p>
        </w:tc>
        <w:tc>
          <w:tcPr>
            <w:tcW w:w="1074" w:type="dxa"/>
            <w:shd w:val="clear" w:color="auto" w:fill="auto"/>
            <w:vAlign w:val="center"/>
          </w:tcPr>
          <w:p w14:paraId="5C8ED73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佐证资料</w:t>
            </w:r>
          </w:p>
        </w:tc>
        <w:tc>
          <w:tcPr>
            <w:tcW w:w="1029" w:type="dxa"/>
            <w:shd w:val="clear" w:color="auto" w:fill="auto"/>
            <w:vAlign w:val="center"/>
          </w:tcPr>
          <w:p w14:paraId="1C6FD86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指标实际完成值</w:t>
            </w:r>
          </w:p>
        </w:tc>
        <w:tc>
          <w:tcPr>
            <w:tcW w:w="1139" w:type="dxa"/>
            <w:shd w:val="clear" w:color="auto" w:fill="auto"/>
            <w:vAlign w:val="center"/>
          </w:tcPr>
          <w:p w14:paraId="6693190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c>
          <w:tcPr>
            <w:tcW w:w="952" w:type="dxa"/>
            <w:shd w:val="clear" w:color="auto" w:fill="auto"/>
            <w:vAlign w:val="center"/>
          </w:tcPr>
          <w:p w14:paraId="0667CD6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指标得分</w:t>
            </w:r>
          </w:p>
        </w:tc>
        <w:tc>
          <w:tcPr>
            <w:tcW w:w="1806" w:type="dxa"/>
            <w:shd w:val="clear" w:color="auto" w:fill="auto"/>
            <w:vAlign w:val="center"/>
          </w:tcPr>
          <w:p w14:paraId="5244479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2789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675" w:type="dxa"/>
            <w:vMerge w:val="restart"/>
            <w:shd w:val="clear" w:color="auto" w:fill="auto"/>
            <w:vAlign w:val="center"/>
          </w:tcPr>
          <w:p w14:paraId="1C5678A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675" w:type="dxa"/>
            <w:vMerge w:val="restart"/>
            <w:shd w:val="clear" w:color="auto" w:fill="auto"/>
            <w:vAlign w:val="center"/>
          </w:tcPr>
          <w:p w14:paraId="559883B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877" w:type="dxa"/>
            <w:shd w:val="clear" w:color="auto" w:fill="auto"/>
            <w:vAlign w:val="center"/>
          </w:tcPr>
          <w:p w14:paraId="5380E23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110" w:type="dxa"/>
            <w:shd w:val="clear" w:color="auto" w:fill="auto"/>
            <w:vAlign w:val="center"/>
          </w:tcPr>
          <w:p w14:paraId="1B882E3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享受全民健康体检人数</w:t>
            </w:r>
          </w:p>
        </w:tc>
        <w:tc>
          <w:tcPr>
            <w:tcW w:w="1133" w:type="dxa"/>
            <w:shd w:val="clear" w:color="auto" w:fill="auto"/>
            <w:vAlign w:val="center"/>
          </w:tcPr>
          <w:p w14:paraId="2D0680F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≥3200人</w:t>
            </w:r>
          </w:p>
        </w:tc>
        <w:tc>
          <w:tcPr>
            <w:tcW w:w="888" w:type="dxa"/>
            <w:shd w:val="clear" w:color="auto" w:fill="auto"/>
            <w:vAlign w:val="center"/>
          </w:tcPr>
          <w:p w14:paraId="13FF789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888" w:type="dxa"/>
            <w:shd w:val="clear" w:color="auto" w:fill="auto"/>
            <w:vAlign w:val="center"/>
          </w:tcPr>
          <w:p w14:paraId="330DA4B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4" w:type="dxa"/>
            <w:shd w:val="clear" w:color="auto" w:fill="auto"/>
            <w:vAlign w:val="center"/>
          </w:tcPr>
          <w:p w14:paraId="1CEBBBF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64" w:type="dxa"/>
            <w:shd w:val="clear" w:color="auto" w:fill="auto"/>
            <w:vAlign w:val="center"/>
          </w:tcPr>
          <w:p w14:paraId="619D5EC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074" w:type="dxa"/>
            <w:shd w:val="clear" w:color="auto" w:fill="auto"/>
            <w:vAlign w:val="center"/>
          </w:tcPr>
          <w:p w14:paraId="6AED447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29" w:type="dxa"/>
            <w:shd w:val="clear" w:color="auto" w:fill="auto"/>
            <w:vAlign w:val="center"/>
          </w:tcPr>
          <w:p w14:paraId="447B61A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3440人</w:t>
            </w:r>
          </w:p>
        </w:tc>
        <w:tc>
          <w:tcPr>
            <w:tcW w:w="1139" w:type="dxa"/>
            <w:shd w:val="clear" w:color="auto" w:fill="auto"/>
            <w:vAlign w:val="center"/>
          </w:tcPr>
          <w:p w14:paraId="35B19E6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952" w:type="dxa"/>
            <w:shd w:val="clear" w:color="auto" w:fill="auto"/>
            <w:vAlign w:val="center"/>
          </w:tcPr>
          <w:p w14:paraId="0B963FF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806" w:type="dxa"/>
            <w:shd w:val="clear" w:color="auto" w:fill="auto"/>
            <w:vAlign w:val="center"/>
          </w:tcPr>
          <w:p w14:paraId="7A01C742">
            <w:pPr>
              <w:jc w:val="center"/>
              <w:rPr>
                <w:rFonts w:hint="eastAsia" w:ascii="宋体" w:hAnsi="宋体" w:eastAsia="宋体" w:cs="宋体"/>
                <w:i w:val="0"/>
                <w:iCs w:val="0"/>
                <w:color w:val="000000"/>
                <w:sz w:val="20"/>
                <w:szCs w:val="20"/>
                <w:u w:val="none"/>
              </w:rPr>
            </w:pPr>
          </w:p>
        </w:tc>
      </w:tr>
      <w:tr w14:paraId="49EB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675" w:type="dxa"/>
            <w:vMerge w:val="continue"/>
            <w:shd w:val="clear" w:color="auto" w:fill="auto"/>
            <w:vAlign w:val="center"/>
          </w:tcPr>
          <w:p w14:paraId="65231474">
            <w:pPr>
              <w:jc w:val="center"/>
              <w:rPr>
                <w:rFonts w:hint="eastAsia" w:ascii="宋体" w:hAnsi="宋体" w:eastAsia="宋体" w:cs="宋体"/>
                <w:i w:val="0"/>
                <w:iCs w:val="0"/>
                <w:color w:val="000000"/>
                <w:sz w:val="20"/>
                <w:szCs w:val="20"/>
                <w:u w:val="none"/>
              </w:rPr>
            </w:pPr>
          </w:p>
        </w:tc>
        <w:tc>
          <w:tcPr>
            <w:tcW w:w="675" w:type="dxa"/>
            <w:vMerge w:val="continue"/>
            <w:shd w:val="clear" w:color="auto" w:fill="auto"/>
            <w:vAlign w:val="center"/>
          </w:tcPr>
          <w:p w14:paraId="596EA531">
            <w:pPr>
              <w:jc w:val="center"/>
              <w:rPr>
                <w:rFonts w:hint="eastAsia" w:ascii="宋体" w:hAnsi="宋体" w:eastAsia="宋体" w:cs="宋体"/>
                <w:i w:val="0"/>
                <w:iCs w:val="0"/>
                <w:color w:val="000000"/>
                <w:sz w:val="20"/>
                <w:szCs w:val="20"/>
                <w:u w:val="none"/>
              </w:rPr>
            </w:pPr>
          </w:p>
        </w:tc>
        <w:tc>
          <w:tcPr>
            <w:tcW w:w="877" w:type="dxa"/>
            <w:shd w:val="clear" w:color="auto" w:fill="auto"/>
            <w:vAlign w:val="center"/>
          </w:tcPr>
          <w:p w14:paraId="6AFFF75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110" w:type="dxa"/>
            <w:shd w:val="clear" w:color="auto" w:fill="auto"/>
            <w:vAlign w:val="center"/>
          </w:tcPr>
          <w:p w14:paraId="048E72A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系统录入人次</w:t>
            </w:r>
          </w:p>
        </w:tc>
        <w:tc>
          <w:tcPr>
            <w:tcW w:w="1133" w:type="dxa"/>
            <w:shd w:val="clear" w:color="auto" w:fill="auto"/>
            <w:vAlign w:val="center"/>
          </w:tcPr>
          <w:p w14:paraId="2A5FE55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≥3200人</w:t>
            </w:r>
          </w:p>
        </w:tc>
        <w:tc>
          <w:tcPr>
            <w:tcW w:w="888" w:type="dxa"/>
            <w:shd w:val="clear" w:color="auto" w:fill="auto"/>
            <w:vAlign w:val="center"/>
          </w:tcPr>
          <w:p w14:paraId="6E01429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888" w:type="dxa"/>
            <w:shd w:val="clear" w:color="auto" w:fill="auto"/>
            <w:vAlign w:val="center"/>
          </w:tcPr>
          <w:p w14:paraId="239EB30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4" w:type="dxa"/>
            <w:shd w:val="clear" w:color="auto" w:fill="auto"/>
            <w:vAlign w:val="center"/>
          </w:tcPr>
          <w:p w14:paraId="711E9E8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64" w:type="dxa"/>
            <w:shd w:val="clear" w:color="auto" w:fill="auto"/>
            <w:vAlign w:val="center"/>
          </w:tcPr>
          <w:p w14:paraId="3337B12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074" w:type="dxa"/>
            <w:shd w:val="clear" w:color="auto" w:fill="auto"/>
            <w:vAlign w:val="center"/>
          </w:tcPr>
          <w:p w14:paraId="5FEAA9E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29" w:type="dxa"/>
            <w:shd w:val="clear" w:color="auto" w:fill="auto"/>
            <w:vAlign w:val="center"/>
          </w:tcPr>
          <w:p w14:paraId="65F9CC9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3440人</w:t>
            </w:r>
          </w:p>
        </w:tc>
        <w:tc>
          <w:tcPr>
            <w:tcW w:w="1139" w:type="dxa"/>
            <w:shd w:val="clear" w:color="auto" w:fill="auto"/>
            <w:vAlign w:val="center"/>
          </w:tcPr>
          <w:p w14:paraId="6D59354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952" w:type="dxa"/>
            <w:shd w:val="clear" w:color="auto" w:fill="auto"/>
            <w:vAlign w:val="center"/>
          </w:tcPr>
          <w:p w14:paraId="592CF37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806" w:type="dxa"/>
            <w:shd w:val="clear" w:color="auto" w:fill="auto"/>
            <w:vAlign w:val="center"/>
          </w:tcPr>
          <w:p w14:paraId="3EA2476E">
            <w:pPr>
              <w:jc w:val="center"/>
              <w:rPr>
                <w:rFonts w:hint="eastAsia" w:ascii="宋体" w:hAnsi="宋体" w:eastAsia="宋体" w:cs="宋体"/>
                <w:i w:val="0"/>
                <w:iCs w:val="0"/>
                <w:color w:val="000000"/>
                <w:sz w:val="20"/>
                <w:szCs w:val="20"/>
                <w:u w:val="none"/>
              </w:rPr>
            </w:pPr>
          </w:p>
        </w:tc>
      </w:tr>
      <w:tr w14:paraId="46F4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40" w:hRule="atLeast"/>
        </w:trPr>
        <w:tc>
          <w:tcPr>
            <w:tcW w:w="675" w:type="dxa"/>
            <w:vMerge w:val="continue"/>
            <w:shd w:val="clear" w:color="auto" w:fill="auto"/>
            <w:vAlign w:val="center"/>
          </w:tcPr>
          <w:p w14:paraId="03A1D7F3">
            <w:pPr>
              <w:jc w:val="center"/>
              <w:rPr>
                <w:rFonts w:hint="eastAsia" w:ascii="宋体" w:hAnsi="宋体" w:eastAsia="宋体" w:cs="宋体"/>
                <w:i w:val="0"/>
                <w:iCs w:val="0"/>
                <w:color w:val="000000"/>
                <w:sz w:val="20"/>
                <w:szCs w:val="20"/>
                <w:u w:val="none"/>
              </w:rPr>
            </w:pPr>
          </w:p>
        </w:tc>
        <w:tc>
          <w:tcPr>
            <w:tcW w:w="675" w:type="dxa"/>
            <w:vMerge w:val="continue"/>
            <w:shd w:val="clear" w:color="auto" w:fill="auto"/>
            <w:vAlign w:val="center"/>
          </w:tcPr>
          <w:p w14:paraId="2869E12C">
            <w:pPr>
              <w:jc w:val="center"/>
              <w:rPr>
                <w:rFonts w:hint="eastAsia" w:ascii="宋体" w:hAnsi="宋体" w:eastAsia="宋体" w:cs="宋体"/>
                <w:i w:val="0"/>
                <w:iCs w:val="0"/>
                <w:color w:val="000000"/>
                <w:sz w:val="20"/>
                <w:szCs w:val="20"/>
                <w:u w:val="none"/>
              </w:rPr>
            </w:pPr>
          </w:p>
        </w:tc>
        <w:tc>
          <w:tcPr>
            <w:tcW w:w="877" w:type="dxa"/>
            <w:shd w:val="clear" w:color="auto" w:fill="auto"/>
            <w:vAlign w:val="center"/>
          </w:tcPr>
          <w:p w14:paraId="48375D5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110" w:type="dxa"/>
            <w:shd w:val="clear" w:color="auto" w:fill="auto"/>
            <w:vAlign w:val="center"/>
          </w:tcPr>
          <w:p w14:paraId="4CAF055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录入合格率</w:t>
            </w:r>
          </w:p>
        </w:tc>
        <w:tc>
          <w:tcPr>
            <w:tcW w:w="1133" w:type="dxa"/>
            <w:shd w:val="clear" w:color="auto" w:fill="auto"/>
            <w:vAlign w:val="center"/>
          </w:tcPr>
          <w:p w14:paraId="2A86F72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88" w:type="dxa"/>
            <w:shd w:val="clear" w:color="auto" w:fill="auto"/>
            <w:vAlign w:val="center"/>
          </w:tcPr>
          <w:p w14:paraId="4A41DAC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888" w:type="dxa"/>
            <w:shd w:val="clear" w:color="auto" w:fill="auto"/>
            <w:vAlign w:val="center"/>
          </w:tcPr>
          <w:p w14:paraId="7E78571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4" w:type="dxa"/>
            <w:shd w:val="clear" w:color="auto" w:fill="auto"/>
            <w:vAlign w:val="center"/>
          </w:tcPr>
          <w:p w14:paraId="019D7F5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64" w:type="dxa"/>
            <w:shd w:val="clear" w:color="auto" w:fill="auto"/>
            <w:vAlign w:val="center"/>
          </w:tcPr>
          <w:p w14:paraId="31ACA2E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074" w:type="dxa"/>
            <w:shd w:val="clear" w:color="auto" w:fill="auto"/>
            <w:vAlign w:val="center"/>
          </w:tcPr>
          <w:p w14:paraId="42A2852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29" w:type="dxa"/>
            <w:shd w:val="clear" w:color="auto" w:fill="auto"/>
            <w:vAlign w:val="center"/>
          </w:tcPr>
          <w:p w14:paraId="6888CEB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39" w:type="dxa"/>
            <w:shd w:val="clear" w:color="auto" w:fill="auto"/>
            <w:vAlign w:val="center"/>
          </w:tcPr>
          <w:p w14:paraId="2CF8F4B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52" w:type="dxa"/>
            <w:shd w:val="clear" w:color="auto" w:fill="auto"/>
            <w:vAlign w:val="center"/>
          </w:tcPr>
          <w:p w14:paraId="035D877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06" w:type="dxa"/>
            <w:shd w:val="clear" w:color="auto" w:fill="auto"/>
            <w:vAlign w:val="center"/>
          </w:tcPr>
          <w:p w14:paraId="5D19CDB3">
            <w:pPr>
              <w:jc w:val="center"/>
              <w:rPr>
                <w:rFonts w:hint="eastAsia" w:ascii="宋体" w:hAnsi="宋体" w:eastAsia="宋体" w:cs="宋体"/>
                <w:i w:val="0"/>
                <w:iCs w:val="0"/>
                <w:color w:val="000000"/>
                <w:sz w:val="20"/>
                <w:szCs w:val="20"/>
                <w:u w:val="none"/>
              </w:rPr>
            </w:pPr>
          </w:p>
        </w:tc>
      </w:tr>
      <w:tr w14:paraId="1291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0" w:hRule="atLeast"/>
        </w:trPr>
        <w:tc>
          <w:tcPr>
            <w:tcW w:w="675" w:type="dxa"/>
            <w:vMerge w:val="continue"/>
            <w:shd w:val="clear" w:color="auto" w:fill="auto"/>
            <w:vAlign w:val="center"/>
          </w:tcPr>
          <w:p w14:paraId="52CA41A9">
            <w:pPr>
              <w:jc w:val="center"/>
              <w:rPr>
                <w:rFonts w:hint="eastAsia" w:ascii="宋体" w:hAnsi="宋体" w:eastAsia="宋体" w:cs="宋体"/>
                <w:i w:val="0"/>
                <w:iCs w:val="0"/>
                <w:color w:val="000000"/>
                <w:sz w:val="20"/>
                <w:szCs w:val="20"/>
                <w:u w:val="none"/>
              </w:rPr>
            </w:pPr>
          </w:p>
        </w:tc>
        <w:tc>
          <w:tcPr>
            <w:tcW w:w="675" w:type="dxa"/>
            <w:vMerge w:val="continue"/>
            <w:shd w:val="clear" w:color="auto" w:fill="auto"/>
            <w:vAlign w:val="center"/>
          </w:tcPr>
          <w:p w14:paraId="6160A596">
            <w:pPr>
              <w:jc w:val="center"/>
              <w:rPr>
                <w:rFonts w:hint="eastAsia" w:ascii="宋体" w:hAnsi="宋体" w:eastAsia="宋体" w:cs="宋体"/>
                <w:i w:val="0"/>
                <w:iCs w:val="0"/>
                <w:color w:val="000000"/>
                <w:sz w:val="20"/>
                <w:szCs w:val="20"/>
                <w:u w:val="none"/>
              </w:rPr>
            </w:pPr>
          </w:p>
        </w:tc>
        <w:tc>
          <w:tcPr>
            <w:tcW w:w="877" w:type="dxa"/>
            <w:shd w:val="clear" w:color="auto" w:fill="auto"/>
            <w:vAlign w:val="center"/>
          </w:tcPr>
          <w:p w14:paraId="7A4C8DA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110" w:type="dxa"/>
            <w:shd w:val="clear" w:color="auto" w:fill="auto"/>
            <w:vAlign w:val="center"/>
          </w:tcPr>
          <w:p w14:paraId="2BA24DD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完成时限</w:t>
            </w:r>
          </w:p>
        </w:tc>
        <w:tc>
          <w:tcPr>
            <w:tcW w:w="1133" w:type="dxa"/>
            <w:shd w:val="clear" w:color="auto" w:fill="auto"/>
            <w:vAlign w:val="center"/>
          </w:tcPr>
          <w:p w14:paraId="0E07033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2023/12/31</w:t>
            </w:r>
          </w:p>
        </w:tc>
        <w:tc>
          <w:tcPr>
            <w:tcW w:w="888" w:type="dxa"/>
            <w:shd w:val="clear" w:color="auto" w:fill="auto"/>
            <w:vAlign w:val="center"/>
          </w:tcPr>
          <w:p w14:paraId="24FA1DD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888" w:type="dxa"/>
            <w:shd w:val="clear" w:color="auto" w:fill="auto"/>
            <w:vAlign w:val="center"/>
          </w:tcPr>
          <w:p w14:paraId="129C0A8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4" w:type="dxa"/>
            <w:shd w:val="clear" w:color="auto" w:fill="auto"/>
            <w:vAlign w:val="center"/>
          </w:tcPr>
          <w:p w14:paraId="5FBE505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64" w:type="dxa"/>
            <w:shd w:val="clear" w:color="auto" w:fill="auto"/>
            <w:vAlign w:val="center"/>
          </w:tcPr>
          <w:p w14:paraId="1993C53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直接赋分</w:t>
            </w:r>
          </w:p>
        </w:tc>
        <w:tc>
          <w:tcPr>
            <w:tcW w:w="1074" w:type="dxa"/>
            <w:shd w:val="clear" w:color="auto" w:fill="auto"/>
            <w:vAlign w:val="center"/>
          </w:tcPr>
          <w:p w14:paraId="29FFF2C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29" w:type="dxa"/>
            <w:shd w:val="clear" w:color="auto" w:fill="auto"/>
            <w:vAlign w:val="center"/>
          </w:tcPr>
          <w:p w14:paraId="42BCF84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39" w:type="dxa"/>
            <w:shd w:val="clear" w:color="auto" w:fill="auto"/>
            <w:vAlign w:val="center"/>
          </w:tcPr>
          <w:p w14:paraId="022AA00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52" w:type="dxa"/>
            <w:shd w:val="clear" w:color="auto" w:fill="auto"/>
            <w:vAlign w:val="center"/>
          </w:tcPr>
          <w:p w14:paraId="0809B07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06" w:type="dxa"/>
            <w:shd w:val="clear" w:color="auto" w:fill="auto"/>
            <w:vAlign w:val="center"/>
          </w:tcPr>
          <w:p w14:paraId="1A2BEAFF">
            <w:pPr>
              <w:jc w:val="center"/>
              <w:rPr>
                <w:rFonts w:hint="eastAsia" w:ascii="宋体" w:hAnsi="宋体" w:eastAsia="宋体" w:cs="宋体"/>
                <w:b/>
                <w:bCs/>
                <w:i w:val="0"/>
                <w:iCs w:val="0"/>
                <w:color w:val="000000"/>
                <w:sz w:val="20"/>
                <w:szCs w:val="20"/>
                <w:u w:val="none"/>
              </w:rPr>
            </w:pPr>
          </w:p>
        </w:tc>
      </w:tr>
      <w:tr w14:paraId="37DF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0" w:hRule="atLeast"/>
        </w:trPr>
        <w:tc>
          <w:tcPr>
            <w:tcW w:w="675" w:type="dxa"/>
            <w:vMerge w:val="continue"/>
            <w:shd w:val="clear" w:color="auto" w:fill="auto"/>
            <w:vAlign w:val="center"/>
          </w:tcPr>
          <w:p w14:paraId="6EAC639C">
            <w:pPr>
              <w:jc w:val="center"/>
              <w:rPr>
                <w:rFonts w:hint="eastAsia" w:ascii="宋体" w:hAnsi="宋体" w:eastAsia="宋体" w:cs="宋体"/>
                <w:i w:val="0"/>
                <w:iCs w:val="0"/>
                <w:color w:val="000000"/>
                <w:sz w:val="20"/>
                <w:szCs w:val="20"/>
                <w:u w:val="none"/>
              </w:rPr>
            </w:pPr>
          </w:p>
        </w:tc>
        <w:tc>
          <w:tcPr>
            <w:tcW w:w="675" w:type="dxa"/>
            <w:vMerge w:val="restart"/>
            <w:shd w:val="clear" w:color="auto" w:fill="auto"/>
            <w:vAlign w:val="center"/>
          </w:tcPr>
          <w:p w14:paraId="27C0705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877" w:type="dxa"/>
            <w:shd w:val="clear" w:color="auto" w:fill="auto"/>
            <w:vAlign w:val="center"/>
          </w:tcPr>
          <w:p w14:paraId="09AB9ED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1110" w:type="dxa"/>
            <w:shd w:val="clear" w:color="auto" w:fill="auto"/>
            <w:vAlign w:val="center"/>
          </w:tcPr>
          <w:p w14:paraId="44F5291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体检费用补贴费用区间</w:t>
            </w:r>
          </w:p>
        </w:tc>
        <w:tc>
          <w:tcPr>
            <w:tcW w:w="1133" w:type="dxa"/>
            <w:shd w:val="clear" w:color="auto" w:fill="auto"/>
            <w:vAlign w:val="center"/>
          </w:tcPr>
          <w:p w14:paraId="3003EEF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≤100元/人</w:t>
            </w:r>
          </w:p>
        </w:tc>
        <w:tc>
          <w:tcPr>
            <w:tcW w:w="888" w:type="dxa"/>
            <w:shd w:val="clear" w:color="auto" w:fill="auto"/>
            <w:vAlign w:val="center"/>
          </w:tcPr>
          <w:p w14:paraId="3E567BF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预算支出标准</w:t>
            </w:r>
          </w:p>
        </w:tc>
        <w:tc>
          <w:tcPr>
            <w:tcW w:w="888" w:type="dxa"/>
            <w:shd w:val="clear" w:color="auto" w:fill="auto"/>
            <w:vAlign w:val="center"/>
          </w:tcPr>
          <w:p w14:paraId="041EF1D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4" w:type="dxa"/>
            <w:shd w:val="clear" w:color="auto" w:fill="auto"/>
            <w:vAlign w:val="center"/>
          </w:tcPr>
          <w:p w14:paraId="3ABBA40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64" w:type="dxa"/>
            <w:shd w:val="clear" w:color="auto" w:fill="auto"/>
            <w:vAlign w:val="center"/>
          </w:tcPr>
          <w:p w14:paraId="6EDB277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074" w:type="dxa"/>
            <w:shd w:val="clear" w:color="auto" w:fill="auto"/>
            <w:vAlign w:val="center"/>
          </w:tcPr>
          <w:p w14:paraId="09C7875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29" w:type="dxa"/>
            <w:shd w:val="clear" w:color="auto" w:fill="auto"/>
            <w:vAlign w:val="center"/>
          </w:tcPr>
          <w:p w14:paraId="7A2186B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100元/人</w:t>
            </w:r>
          </w:p>
        </w:tc>
        <w:tc>
          <w:tcPr>
            <w:tcW w:w="1139" w:type="dxa"/>
            <w:shd w:val="clear" w:color="auto" w:fill="auto"/>
            <w:vAlign w:val="center"/>
          </w:tcPr>
          <w:p w14:paraId="4F86A19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52" w:type="dxa"/>
            <w:shd w:val="clear" w:color="auto" w:fill="auto"/>
            <w:vAlign w:val="center"/>
          </w:tcPr>
          <w:p w14:paraId="6614965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06" w:type="dxa"/>
            <w:shd w:val="clear" w:color="auto" w:fill="auto"/>
            <w:vAlign w:val="center"/>
          </w:tcPr>
          <w:p w14:paraId="53B62358">
            <w:pPr>
              <w:jc w:val="center"/>
              <w:rPr>
                <w:rFonts w:hint="eastAsia" w:ascii="宋体" w:hAnsi="宋体" w:eastAsia="宋体" w:cs="宋体"/>
                <w:i w:val="0"/>
                <w:iCs w:val="0"/>
                <w:color w:val="000000"/>
                <w:sz w:val="20"/>
                <w:szCs w:val="20"/>
                <w:u w:val="none"/>
              </w:rPr>
            </w:pPr>
          </w:p>
        </w:tc>
      </w:tr>
      <w:tr w14:paraId="41D9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0" w:hRule="atLeast"/>
        </w:trPr>
        <w:tc>
          <w:tcPr>
            <w:tcW w:w="675" w:type="dxa"/>
            <w:vMerge w:val="continue"/>
            <w:shd w:val="clear" w:color="auto" w:fill="auto"/>
            <w:vAlign w:val="center"/>
          </w:tcPr>
          <w:p w14:paraId="7737E285">
            <w:pPr>
              <w:jc w:val="center"/>
              <w:rPr>
                <w:rFonts w:hint="eastAsia" w:ascii="宋体" w:hAnsi="宋体" w:eastAsia="宋体" w:cs="宋体"/>
                <w:i w:val="0"/>
                <w:iCs w:val="0"/>
                <w:color w:val="000000"/>
                <w:sz w:val="20"/>
                <w:szCs w:val="20"/>
                <w:u w:val="none"/>
              </w:rPr>
            </w:pPr>
          </w:p>
        </w:tc>
        <w:tc>
          <w:tcPr>
            <w:tcW w:w="675" w:type="dxa"/>
            <w:vMerge w:val="continue"/>
            <w:shd w:val="clear" w:color="auto" w:fill="auto"/>
            <w:vAlign w:val="center"/>
          </w:tcPr>
          <w:p w14:paraId="0105CF72">
            <w:pPr>
              <w:jc w:val="center"/>
              <w:rPr>
                <w:rFonts w:hint="eastAsia" w:ascii="宋体" w:hAnsi="宋体" w:eastAsia="宋体" w:cs="宋体"/>
                <w:i w:val="0"/>
                <w:iCs w:val="0"/>
                <w:color w:val="000000"/>
                <w:sz w:val="20"/>
                <w:szCs w:val="20"/>
                <w:u w:val="none"/>
              </w:rPr>
            </w:pPr>
          </w:p>
        </w:tc>
        <w:tc>
          <w:tcPr>
            <w:tcW w:w="877" w:type="dxa"/>
            <w:shd w:val="clear" w:color="auto" w:fill="auto"/>
            <w:vAlign w:val="center"/>
          </w:tcPr>
          <w:p w14:paraId="1C4A4A8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1110" w:type="dxa"/>
            <w:shd w:val="clear" w:color="auto" w:fill="auto"/>
            <w:vAlign w:val="center"/>
          </w:tcPr>
          <w:p w14:paraId="40743F1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全民体检投入经费</w:t>
            </w:r>
          </w:p>
        </w:tc>
        <w:tc>
          <w:tcPr>
            <w:tcW w:w="1133" w:type="dxa"/>
            <w:shd w:val="clear" w:color="auto" w:fill="auto"/>
            <w:vAlign w:val="center"/>
          </w:tcPr>
          <w:p w14:paraId="5535A03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≤3.98万元</w:t>
            </w:r>
          </w:p>
        </w:tc>
        <w:tc>
          <w:tcPr>
            <w:tcW w:w="888" w:type="dxa"/>
            <w:shd w:val="clear" w:color="auto" w:fill="auto"/>
            <w:vAlign w:val="center"/>
          </w:tcPr>
          <w:p w14:paraId="3D6BBEE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预算支出标准</w:t>
            </w:r>
          </w:p>
        </w:tc>
        <w:tc>
          <w:tcPr>
            <w:tcW w:w="888" w:type="dxa"/>
            <w:shd w:val="clear" w:color="auto" w:fill="auto"/>
            <w:vAlign w:val="center"/>
          </w:tcPr>
          <w:p w14:paraId="37462C6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4" w:type="dxa"/>
            <w:shd w:val="clear" w:color="auto" w:fill="auto"/>
            <w:vAlign w:val="center"/>
          </w:tcPr>
          <w:p w14:paraId="565126F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64" w:type="dxa"/>
            <w:shd w:val="clear" w:color="auto" w:fill="auto"/>
            <w:vAlign w:val="center"/>
          </w:tcPr>
          <w:p w14:paraId="7B38D0D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直接赋分</w:t>
            </w:r>
          </w:p>
        </w:tc>
        <w:tc>
          <w:tcPr>
            <w:tcW w:w="1074" w:type="dxa"/>
            <w:shd w:val="clear" w:color="auto" w:fill="auto"/>
            <w:vAlign w:val="center"/>
          </w:tcPr>
          <w:p w14:paraId="11A2778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29" w:type="dxa"/>
            <w:shd w:val="clear" w:color="auto" w:fill="auto"/>
            <w:vAlign w:val="center"/>
          </w:tcPr>
          <w:p w14:paraId="6CE54A7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39" w:type="dxa"/>
            <w:shd w:val="clear" w:color="auto" w:fill="auto"/>
            <w:vAlign w:val="center"/>
          </w:tcPr>
          <w:p w14:paraId="3D3E77B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52" w:type="dxa"/>
            <w:shd w:val="clear" w:color="auto" w:fill="auto"/>
            <w:vAlign w:val="center"/>
          </w:tcPr>
          <w:p w14:paraId="55FC381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806" w:type="dxa"/>
            <w:shd w:val="clear" w:color="auto" w:fill="auto"/>
            <w:vAlign w:val="center"/>
          </w:tcPr>
          <w:p w14:paraId="1E382B11">
            <w:pPr>
              <w:jc w:val="center"/>
              <w:rPr>
                <w:rFonts w:hint="eastAsia" w:ascii="宋体" w:hAnsi="宋体" w:eastAsia="宋体" w:cs="宋体"/>
                <w:i w:val="0"/>
                <w:iCs w:val="0"/>
                <w:color w:val="000000"/>
                <w:sz w:val="20"/>
                <w:szCs w:val="20"/>
                <w:u w:val="none"/>
              </w:rPr>
            </w:pPr>
          </w:p>
        </w:tc>
      </w:tr>
      <w:tr w14:paraId="256A0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0" w:hRule="atLeast"/>
        </w:trPr>
        <w:tc>
          <w:tcPr>
            <w:tcW w:w="675" w:type="dxa"/>
            <w:vMerge w:val="continue"/>
            <w:shd w:val="clear" w:color="auto" w:fill="auto"/>
            <w:vAlign w:val="center"/>
          </w:tcPr>
          <w:p w14:paraId="3CE17C7C">
            <w:pPr>
              <w:jc w:val="center"/>
              <w:rPr>
                <w:rFonts w:hint="eastAsia" w:ascii="宋体" w:hAnsi="宋体" w:eastAsia="宋体" w:cs="宋体"/>
                <w:i w:val="0"/>
                <w:iCs w:val="0"/>
                <w:color w:val="000000"/>
                <w:sz w:val="20"/>
                <w:szCs w:val="20"/>
                <w:u w:val="none"/>
              </w:rPr>
            </w:pPr>
          </w:p>
        </w:tc>
        <w:tc>
          <w:tcPr>
            <w:tcW w:w="675" w:type="dxa"/>
            <w:vMerge w:val="continue"/>
            <w:shd w:val="clear" w:color="auto" w:fill="auto"/>
            <w:vAlign w:val="center"/>
          </w:tcPr>
          <w:p w14:paraId="439DE93C">
            <w:pPr>
              <w:jc w:val="center"/>
              <w:rPr>
                <w:rFonts w:hint="eastAsia" w:ascii="宋体" w:hAnsi="宋体" w:eastAsia="宋体" w:cs="宋体"/>
                <w:i w:val="0"/>
                <w:iCs w:val="0"/>
                <w:color w:val="000000"/>
                <w:sz w:val="20"/>
                <w:szCs w:val="20"/>
                <w:u w:val="none"/>
              </w:rPr>
            </w:pPr>
          </w:p>
        </w:tc>
        <w:tc>
          <w:tcPr>
            <w:tcW w:w="877" w:type="dxa"/>
            <w:shd w:val="clear" w:color="auto" w:fill="auto"/>
            <w:vAlign w:val="center"/>
          </w:tcPr>
          <w:p w14:paraId="34DB8D7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社会成本指标</w:t>
            </w:r>
          </w:p>
        </w:tc>
        <w:tc>
          <w:tcPr>
            <w:tcW w:w="1110" w:type="dxa"/>
            <w:shd w:val="clear" w:color="auto" w:fill="auto"/>
            <w:vAlign w:val="center"/>
          </w:tcPr>
          <w:p w14:paraId="11D38C9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33" w:type="dxa"/>
            <w:shd w:val="clear" w:color="auto" w:fill="auto"/>
            <w:vAlign w:val="center"/>
          </w:tcPr>
          <w:p w14:paraId="2418C9C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8" w:type="dxa"/>
            <w:shd w:val="clear" w:color="auto" w:fill="auto"/>
            <w:vAlign w:val="center"/>
          </w:tcPr>
          <w:p w14:paraId="0F1B31E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8" w:type="dxa"/>
            <w:shd w:val="clear" w:color="auto" w:fill="auto"/>
            <w:vAlign w:val="center"/>
          </w:tcPr>
          <w:p w14:paraId="2AC5260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4" w:type="dxa"/>
            <w:shd w:val="clear" w:color="auto" w:fill="auto"/>
            <w:vAlign w:val="center"/>
          </w:tcPr>
          <w:p w14:paraId="461DE8B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4" w:type="dxa"/>
            <w:shd w:val="clear" w:color="auto" w:fill="auto"/>
            <w:vAlign w:val="center"/>
          </w:tcPr>
          <w:p w14:paraId="1637D0B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4" w:type="dxa"/>
            <w:shd w:val="clear" w:color="auto" w:fill="auto"/>
            <w:vAlign w:val="center"/>
          </w:tcPr>
          <w:p w14:paraId="103675B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9" w:type="dxa"/>
            <w:shd w:val="clear" w:color="auto" w:fill="auto"/>
            <w:vAlign w:val="center"/>
          </w:tcPr>
          <w:p w14:paraId="6E2F9689">
            <w:pPr>
              <w:jc w:val="center"/>
              <w:rPr>
                <w:rFonts w:hint="eastAsia" w:ascii="宋体" w:hAnsi="宋体" w:eastAsia="宋体" w:cs="宋体"/>
                <w:i w:val="0"/>
                <w:iCs w:val="0"/>
                <w:color w:val="000000"/>
                <w:sz w:val="20"/>
                <w:szCs w:val="20"/>
                <w:u w:val="none"/>
              </w:rPr>
            </w:pPr>
          </w:p>
        </w:tc>
        <w:tc>
          <w:tcPr>
            <w:tcW w:w="1139" w:type="dxa"/>
            <w:shd w:val="clear" w:color="auto" w:fill="auto"/>
            <w:vAlign w:val="center"/>
          </w:tcPr>
          <w:p w14:paraId="182BE545">
            <w:pPr>
              <w:jc w:val="center"/>
              <w:rPr>
                <w:rFonts w:hint="eastAsia" w:ascii="宋体" w:hAnsi="宋体" w:eastAsia="宋体" w:cs="宋体"/>
                <w:i w:val="0"/>
                <w:iCs w:val="0"/>
                <w:color w:val="000000"/>
                <w:sz w:val="20"/>
                <w:szCs w:val="20"/>
                <w:u w:val="none"/>
              </w:rPr>
            </w:pPr>
          </w:p>
        </w:tc>
        <w:tc>
          <w:tcPr>
            <w:tcW w:w="952" w:type="dxa"/>
            <w:shd w:val="clear" w:color="auto" w:fill="auto"/>
            <w:vAlign w:val="center"/>
          </w:tcPr>
          <w:p w14:paraId="20A650D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6" w:type="dxa"/>
            <w:shd w:val="clear" w:color="auto" w:fill="auto"/>
            <w:vAlign w:val="center"/>
          </w:tcPr>
          <w:p w14:paraId="451D36E2">
            <w:pPr>
              <w:jc w:val="center"/>
              <w:rPr>
                <w:rFonts w:hint="eastAsia" w:ascii="宋体" w:hAnsi="宋体" w:eastAsia="宋体" w:cs="宋体"/>
                <w:i w:val="0"/>
                <w:iCs w:val="0"/>
                <w:color w:val="000000"/>
                <w:sz w:val="20"/>
                <w:szCs w:val="20"/>
                <w:u w:val="none"/>
              </w:rPr>
            </w:pPr>
          </w:p>
        </w:tc>
      </w:tr>
      <w:tr w14:paraId="4B2E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0" w:hRule="atLeast"/>
        </w:trPr>
        <w:tc>
          <w:tcPr>
            <w:tcW w:w="675" w:type="dxa"/>
            <w:vMerge w:val="continue"/>
            <w:shd w:val="clear" w:color="auto" w:fill="auto"/>
            <w:vAlign w:val="center"/>
          </w:tcPr>
          <w:p w14:paraId="56100BA8">
            <w:pPr>
              <w:jc w:val="center"/>
              <w:rPr>
                <w:rFonts w:hint="eastAsia" w:ascii="宋体" w:hAnsi="宋体" w:eastAsia="宋体" w:cs="宋体"/>
                <w:i w:val="0"/>
                <w:iCs w:val="0"/>
                <w:color w:val="000000"/>
                <w:sz w:val="20"/>
                <w:szCs w:val="20"/>
                <w:u w:val="none"/>
              </w:rPr>
            </w:pPr>
          </w:p>
        </w:tc>
        <w:tc>
          <w:tcPr>
            <w:tcW w:w="675" w:type="dxa"/>
            <w:vMerge w:val="continue"/>
            <w:shd w:val="clear" w:color="auto" w:fill="auto"/>
            <w:vAlign w:val="center"/>
          </w:tcPr>
          <w:p w14:paraId="047ADF36">
            <w:pPr>
              <w:jc w:val="center"/>
              <w:rPr>
                <w:rFonts w:hint="eastAsia" w:ascii="宋体" w:hAnsi="宋体" w:eastAsia="宋体" w:cs="宋体"/>
                <w:i w:val="0"/>
                <w:iCs w:val="0"/>
                <w:color w:val="000000"/>
                <w:sz w:val="20"/>
                <w:szCs w:val="20"/>
                <w:u w:val="none"/>
              </w:rPr>
            </w:pPr>
          </w:p>
        </w:tc>
        <w:tc>
          <w:tcPr>
            <w:tcW w:w="877" w:type="dxa"/>
            <w:shd w:val="clear" w:color="auto" w:fill="auto"/>
            <w:vAlign w:val="center"/>
          </w:tcPr>
          <w:p w14:paraId="2ECDBE4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生态环境成本指标</w:t>
            </w:r>
          </w:p>
        </w:tc>
        <w:tc>
          <w:tcPr>
            <w:tcW w:w="1110" w:type="dxa"/>
            <w:shd w:val="clear" w:color="auto" w:fill="auto"/>
            <w:vAlign w:val="center"/>
          </w:tcPr>
          <w:p w14:paraId="69E4B80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33" w:type="dxa"/>
            <w:shd w:val="clear" w:color="auto" w:fill="auto"/>
            <w:vAlign w:val="center"/>
          </w:tcPr>
          <w:p w14:paraId="32564C4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8" w:type="dxa"/>
            <w:shd w:val="clear" w:color="auto" w:fill="auto"/>
            <w:vAlign w:val="center"/>
          </w:tcPr>
          <w:p w14:paraId="34CBAB4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8" w:type="dxa"/>
            <w:shd w:val="clear" w:color="auto" w:fill="auto"/>
            <w:vAlign w:val="center"/>
          </w:tcPr>
          <w:p w14:paraId="051CB90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4" w:type="dxa"/>
            <w:shd w:val="clear" w:color="auto" w:fill="auto"/>
            <w:vAlign w:val="center"/>
          </w:tcPr>
          <w:p w14:paraId="44E4559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4" w:type="dxa"/>
            <w:shd w:val="clear" w:color="auto" w:fill="auto"/>
            <w:vAlign w:val="center"/>
          </w:tcPr>
          <w:p w14:paraId="3C26530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4" w:type="dxa"/>
            <w:shd w:val="clear" w:color="auto" w:fill="auto"/>
            <w:vAlign w:val="center"/>
          </w:tcPr>
          <w:p w14:paraId="6106CBF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9" w:type="dxa"/>
            <w:shd w:val="clear" w:color="auto" w:fill="auto"/>
            <w:vAlign w:val="center"/>
          </w:tcPr>
          <w:p w14:paraId="1AA0A035">
            <w:pPr>
              <w:jc w:val="center"/>
              <w:rPr>
                <w:rFonts w:hint="eastAsia" w:ascii="宋体" w:hAnsi="宋体" w:eastAsia="宋体" w:cs="宋体"/>
                <w:i w:val="0"/>
                <w:iCs w:val="0"/>
                <w:color w:val="000000"/>
                <w:sz w:val="20"/>
                <w:szCs w:val="20"/>
                <w:u w:val="none"/>
              </w:rPr>
            </w:pPr>
          </w:p>
        </w:tc>
        <w:tc>
          <w:tcPr>
            <w:tcW w:w="1139" w:type="dxa"/>
            <w:shd w:val="clear" w:color="auto" w:fill="auto"/>
            <w:vAlign w:val="center"/>
          </w:tcPr>
          <w:p w14:paraId="50B3620E">
            <w:pPr>
              <w:jc w:val="center"/>
              <w:rPr>
                <w:rFonts w:hint="eastAsia" w:ascii="宋体" w:hAnsi="宋体" w:eastAsia="宋体" w:cs="宋体"/>
                <w:i w:val="0"/>
                <w:iCs w:val="0"/>
                <w:color w:val="000000"/>
                <w:sz w:val="20"/>
                <w:szCs w:val="20"/>
                <w:u w:val="none"/>
              </w:rPr>
            </w:pPr>
          </w:p>
        </w:tc>
        <w:tc>
          <w:tcPr>
            <w:tcW w:w="952" w:type="dxa"/>
            <w:shd w:val="clear" w:color="auto" w:fill="auto"/>
            <w:vAlign w:val="center"/>
          </w:tcPr>
          <w:p w14:paraId="4C1DDA4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6" w:type="dxa"/>
            <w:shd w:val="clear" w:color="auto" w:fill="auto"/>
            <w:vAlign w:val="center"/>
          </w:tcPr>
          <w:p w14:paraId="48C5CA61">
            <w:pPr>
              <w:jc w:val="center"/>
              <w:rPr>
                <w:rFonts w:hint="eastAsia" w:ascii="宋体" w:hAnsi="宋体" w:eastAsia="宋体" w:cs="宋体"/>
                <w:i w:val="0"/>
                <w:iCs w:val="0"/>
                <w:color w:val="000000"/>
                <w:sz w:val="20"/>
                <w:szCs w:val="20"/>
                <w:u w:val="none"/>
              </w:rPr>
            </w:pPr>
          </w:p>
        </w:tc>
      </w:tr>
      <w:tr w14:paraId="12DE5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0" w:hRule="atLeast"/>
        </w:trPr>
        <w:tc>
          <w:tcPr>
            <w:tcW w:w="675" w:type="dxa"/>
            <w:vMerge w:val="continue"/>
            <w:shd w:val="clear" w:color="auto" w:fill="auto"/>
            <w:vAlign w:val="center"/>
          </w:tcPr>
          <w:p w14:paraId="3F303FAD">
            <w:pPr>
              <w:jc w:val="center"/>
              <w:rPr>
                <w:rFonts w:hint="eastAsia" w:ascii="宋体" w:hAnsi="宋体" w:eastAsia="宋体" w:cs="宋体"/>
                <w:i w:val="0"/>
                <w:iCs w:val="0"/>
                <w:color w:val="000000"/>
                <w:sz w:val="20"/>
                <w:szCs w:val="20"/>
                <w:u w:val="none"/>
              </w:rPr>
            </w:pPr>
          </w:p>
        </w:tc>
        <w:tc>
          <w:tcPr>
            <w:tcW w:w="675" w:type="dxa"/>
            <w:vMerge w:val="restart"/>
            <w:shd w:val="clear" w:color="auto" w:fill="auto"/>
            <w:vAlign w:val="center"/>
          </w:tcPr>
          <w:p w14:paraId="4C497DF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877" w:type="dxa"/>
            <w:shd w:val="clear" w:color="auto" w:fill="auto"/>
            <w:vAlign w:val="center"/>
          </w:tcPr>
          <w:p w14:paraId="12F765F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110" w:type="dxa"/>
            <w:shd w:val="clear" w:color="auto" w:fill="auto"/>
            <w:vAlign w:val="center"/>
          </w:tcPr>
          <w:p w14:paraId="731DFD5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33" w:type="dxa"/>
            <w:shd w:val="clear" w:color="auto" w:fill="auto"/>
            <w:vAlign w:val="center"/>
          </w:tcPr>
          <w:p w14:paraId="71BC6D2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8" w:type="dxa"/>
            <w:shd w:val="clear" w:color="auto" w:fill="auto"/>
            <w:vAlign w:val="center"/>
          </w:tcPr>
          <w:p w14:paraId="209A200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8" w:type="dxa"/>
            <w:shd w:val="clear" w:color="auto" w:fill="auto"/>
            <w:vAlign w:val="center"/>
          </w:tcPr>
          <w:p w14:paraId="5B7DB70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4" w:type="dxa"/>
            <w:shd w:val="clear" w:color="auto" w:fill="auto"/>
            <w:vAlign w:val="center"/>
          </w:tcPr>
          <w:p w14:paraId="532FC35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4" w:type="dxa"/>
            <w:shd w:val="clear" w:color="auto" w:fill="auto"/>
            <w:vAlign w:val="center"/>
          </w:tcPr>
          <w:p w14:paraId="517EA41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4" w:type="dxa"/>
            <w:shd w:val="clear" w:color="auto" w:fill="auto"/>
            <w:vAlign w:val="center"/>
          </w:tcPr>
          <w:p w14:paraId="72E8A92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9" w:type="dxa"/>
            <w:shd w:val="clear" w:color="auto" w:fill="auto"/>
            <w:vAlign w:val="center"/>
          </w:tcPr>
          <w:p w14:paraId="6E1A0333">
            <w:pPr>
              <w:jc w:val="left"/>
              <w:rPr>
                <w:rFonts w:hint="eastAsia" w:ascii="宋体" w:hAnsi="宋体" w:eastAsia="宋体" w:cs="宋体"/>
                <w:i w:val="0"/>
                <w:iCs w:val="0"/>
                <w:color w:val="000000"/>
                <w:sz w:val="20"/>
                <w:szCs w:val="20"/>
                <w:u w:val="none"/>
              </w:rPr>
            </w:pPr>
          </w:p>
        </w:tc>
        <w:tc>
          <w:tcPr>
            <w:tcW w:w="1139" w:type="dxa"/>
            <w:shd w:val="clear" w:color="auto" w:fill="auto"/>
            <w:vAlign w:val="center"/>
          </w:tcPr>
          <w:p w14:paraId="1DDB9B90">
            <w:pPr>
              <w:jc w:val="center"/>
              <w:rPr>
                <w:rFonts w:hint="eastAsia" w:ascii="宋体" w:hAnsi="宋体" w:eastAsia="宋体" w:cs="宋体"/>
                <w:i w:val="0"/>
                <w:iCs w:val="0"/>
                <w:color w:val="000000"/>
                <w:sz w:val="20"/>
                <w:szCs w:val="20"/>
                <w:u w:val="none"/>
              </w:rPr>
            </w:pPr>
          </w:p>
        </w:tc>
        <w:tc>
          <w:tcPr>
            <w:tcW w:w="952" w:type="dxa"/>
            <w:shd w:val="clear" w:color="auto" w:fill="auto"/>
            <w:vAlign w:val="center"/>
          </w:tcPr>
          <w:p w14:paraId="65635CD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6" w:type="dxa"/>
            <w:shd w:val="clear" w:color="auto" w:fill="auto"/>
            <w:vAlign w:val="center"/>
          </w:tcPr>
          <w:p w14:paraId="59DD524C">
            <w:pPr>
              <w:jc w:val="center"/>
              <w:rPr>
                <w:rFonts w:hint="eastAsia" w:ascii="宋体" w:hAnsi="宋体" w:eastAsia="宋体" w:cs="宋体"/>
                <w:i w:val="0"/>
                <w:iCs w:val="0"/>
                <w:color w:val="000000"/>
                <w:sz w:val="20"/>
                <w:szCs w:val="20"/>
                <w:u w:val="none"/>
              </w:rPr>
            </w:pPr>
          </w:p>
        </w:tc>
      </w:tr>
      <w:tr w14:paraId="4B9E9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20" w:hRule="atLeast"/>
        </w:trPr>
        <w:tc>
          <w:tcPr>
            <w:tcW w:w="675" w:type="dxa"/>
            <w:vMerge w:val="continue"/>
            <w:shd w:val="clear" w:color="auto" w:fill="auto"/>
            <w:vAlign w:val="center"/>
          </w:tcPr>
          <w:p w14:paraId="2A6D8E10">
            <w:pPr>
              <w:jc w:val="center"/>
              <w:rPr>
                <w:rFonts w:hint="eastAsia" w:ascii="宋体" w:hAnsi="宋体" w:eastAsia="宋体" w:cs="宋体"/>
                <w:i w:val="0"/>
                <w:iCs w:val="0"/>
                <w:color w:val="000000"/>
                <w:sz w:val="20"/>
                <w:szCs w:val="20"/>
                <w:u w:val="none"/>
              </w:rPr>
            </w:pPr>
          </w:p>
        </w:tc>
        <w:tc>
          <w:tcPr>
            <w:tcW w:w="675" w:type="dxa"/>
            <w:vMerge w:val="continue"/>
            <w:shd w:val="clear" w:color="auto" w:fill="auto"/>
            <w:vAlign w:val="center"/>
          </w:tcPr>
          <w:p w14:paraId="465B033F">
            <w:pPr>
              <w:jc w:val="center"/>
              <w:rPr>
                <w:rFonts w:hint="eastAsia" w:ascii="宋体" w:hAnsi="宋体" w:eastAsia="宋体" w:cs="宋体"/>
                <w:i w:val="0"/>
                <w:iCs w:val="0"/>
                <w:color w:val="000000"/>
                <w:sz w:val="20"/>
                <w:szCs w:val="20"/>
                <w:u w:val="none"/>
              </w:rPr>
            </w:pPr>
          </w:p>
        </w:tc>
        <w:tc>
          <w:tcPr>
            <w:tcW w:w="877" w:type="dxa"/>
            <w:shd w:val="clear" w:color="auto" w:fill="auto"/>
            <w:vAlign w:val="center"/>
          </w:tcPr>
          <w:p w14:paraId="6549B72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110" w:type="dxa"/>
            <w:shd w:val="clear" w:color="auto" w:fill="auto"/>
            <w:vAlign w:val="center"/>
          </w:tcPr>
          <w:p w14:paraId="7C2F192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提高全民健康意识及自我健康管理水平</w:t>
            </w:r>
          </w:p>
        </w:tc>
        <w:tc>
          <w:tcPr>
            <w:tcW w:w="1133" w:type="dxa"/>
            <w:shd w:val="clear" w:color="auto" w:fill="auto"/>
            <w:vAlign w:val="center"/>
          </w:tcPr>
          <w:p w14:paraId="13804F7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逐步提升</w:t>
            </w:r>
          </w:p>
        </w:tc>
        <w:tc>
          <w:tcPr>
            <w:tcW w:w="888" w:type="dxa"/>
            <w:shd w:val="clear" w:color="auto" w:fill="auto"/>
            <w:vAlign w:val="center"/>
          </w:tcPr>
          <w:p w14:paraId="346F52E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888" w:type="dxa"/>
            <w:shd w:val="clear" w:color="auto" w:fill="auto"/>
            <w:vAlign w:val="center"/>
          </w:tcPr>
          <w:p w14:paraId="0D81024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4" w:type="dxa"/>
            <w:shd w:val="clear" w:color="auto" w:fill="auto"/>
            <w:vAlign w:val="center"/>
          </w:tcPr>
          <w:p w14:paraId="35CBEED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64" w:type="dxa"/>
            <w:shd w:val="clear" w:color="auto" w:fill="auto"/>
            <w:vAlign w:val="center"/>
          </w:tcPr>
          <w:p w14:paraId="6C0AAE2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按照评判等级赋分</w:t>
            </w:r>
          </w:p>
        </w:tc>
        <w:tc>
          <w:tcPr>
            <w:tcW w:w="1074" w:type="dxa"/>
            <w:shd w:val="clear" w:color="auto" w:fill="auto"/>
            <w:vAlign w:val="center"/>
          </w:tcPr>
          <w:p w14:paraId="6C9CE87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说明资料</w:t>
            </w:r>
          </w:p>
        </w:tc>
        <w:tc>
          <w:tcPr>
            <w:tcW w:w="1029" w:type="dxa"/>
            <w:shd w:val="clear" w:color="auto" w:fill="auto"/>
            <w:vAlign w:val="center"/>
          </w:tcPr>
          <w:p w14:paraId="753CB06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139" w:type="dxa"/>
            <w:shd w:val="clear" w:color="auto" w:fill="auto"/>
            <w:vAlign w:val="center"/>
          </w:tcPr>
          <w:p w14:paraId="4C0842B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952" w:type="dxa"/>
            <w:shd w:val="clear" w:color="auto" w:fill="auto"/>
            <w:vAlign w:val="center"/>
          </w:tcPr>
          <w:p w14:paraId="01CE257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806" w:type="dxa"/>
            <w:shd w:val="clear" w:color="auto" w:fill="auto"/>
            <w:vAlign w:val="center"/>
          </w:tcPr>
          <w:p w14:paraId="2417F98A">
            <w:pPr>
              <w:jc w:val="center"/>
              <w:rPr>
                <w:rFonts w:hint="eastAsia" w:ascii="宋体" w:hAnsi="宋体" w:eastAsia="宋体" w:cs="宋体"/>
                <w:i w:val="0"/>
                <w:iCs w:val="0"/>
                <w:color w:val="000000"/>
                <w:sz w:val="20"/>
                <w:szCs w:val="20"/>
                <w:u w:val="none"/>
              </w:rPr>
            </w:pPr>
          </w:p>
        </w:tc>
      </w:tr>
      <w:tr w14:paraId="13D3A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40" w:hRule="atLeast"/>
        </w:trPr>
        <w:tc>
          <w:tcPr>
            <w:tcW w:w="675" w:type="dxa"/>
            <w:vMerge w:val="continue"/>
            <w:shd w:val="clear" w:color="auto" w:fill="auto"/>
            <w:vAlign w:val="center"/>
          </w:tcPr>
          <w:p w14:paraId="0D76B8A0">
            <w:pPr>
              <w:jc w:val="center"/>
              <w:rPr>
                <w:rFonts w:hint="eastAsia" w:ascii="宋体" w:hAnsi="宋体" w:eastAsia="宋体" w:cs="宋体"/>
                <w:i w:val="0"/>
                <w:iCs w:val="0"/>
                <w:color w:val="000000"/>
                <w:sz w:val="20"/>
                <w:szCs w:val="20"/>
                <w:u w:val="none"/>
              </w:rPr>
            </w:pPr>
          </w:p>
        </w:tc>
        <w:tc>
          <w:tcPr>
            <w:tcW w:w="675" w:type="dxa"/>
            <w:vMerge w:val="continue"/>
            <w:shd w:val="clear" w:color="auto" w:fill="auto"/>
            <w:vAlign w:val="center"/>
          </w:tcPr>
          <w:p w14:paraId="5262E329">
            <w:pPr>
              <w:jc w:val="center"/>
              <w:rPr>
                <w:rFonts w:hint="eastAsia" w:ascii="宋体" w:hAnsi="宋体" w:eastAsia="宋体" w:cs="宋体"/>
                <w:i w:val="0"/>
                <w:iCs w:val="0"/>
                <w:color w:val="000000"/>
                <w:sz w:val="20"/>
                <w:szCs w:val="20"/>
                <w:u w:val="none"/>
              </w:rPr>
            </w:pPr>
          </w:p>
        </w:tc>
        <w:tc>
          <w:tcPr>
            <w:tcW w:w="877" w:type="dxa"/>
            <w:shd w:val="clear" w:color="auto" w:fill="auto"/>
            <w:vAlign w:val="center"/>
          </w:tcPr>
          <w:p w14:paraId="3B63E15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1110" w:type="dxa"/>
            <w:shd w:val="clear" w:color="auto" w:fill="auto"/>
            <w:vAlign w:val="center"/>
          </w:tcPr>
          <w:p w14:paraId="27ECE84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33" w:type="dxa"/>
            <w:shd w:val="clear" w:color="auto" w:fill="auto"/>
            <w:vAlign w:val="center"/>
          </w:tcPr>
          <w:p w14:paraId="63AE3BB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8" w:type="dxa"/>
            <w:shd w:val="clear" w:color="auto" w:fill="auto"/>
            <w:vAlign w:val="center"/>
          </w:tcPr>
          <w:p w14:paraId="52A48DD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8" w:type="dxa"/>
            <w:shd w:val="clear" w:color="auto" w:fill="auto"/>
            <w:vAlign w:val="center"/>
          </w:tcPr>
          <w:p w14:paraId="5A0F73A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4" w:type="dxa"/>
            <w:shd w:val="clear" w:color="auto" w:fill="auto"/>
            <w:vAlign w:val="center"/>
          </w:tcPr>
          <w:p w14:paraId="7E75DBA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4" w:type="dxa"/>
            <w:shd w:val="clear" w:color="auto" w:fill="auto"/>
            <w:vAlign w:val="center"/>
          </w:tcPr>
          <w:p w14:paraId="6B07507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4" w:type="dxa"/>
            <w:shd w:val="clear" w:color="auto" w:fill="auto"/>
            <w:vAlign w:val="center"/>
          </w:tcPr>
          <w:p w14:paraId="4637B28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9" w:type="dxa"/>
            <w:shd w:val="clear" w:color="auto" w:fill="auto"/>
            <w:vAlign w:val="center"/>
          </w:tcPr>
          <w:p w14:paraId="66DA7EA0">
            <w:pPr>
              <w:jc w:val="left"/>
              <w:rPr>
                <w:rFonts w:hint="eastAsia" w:ascii="宋体" w:hAnsi="宋体" w:eastAsia="宋体" w:cs="宋体"/>
                <w:i w:val="0"/>
                <w:iCs w:val="0"/>
                <w:color w:val="000000"/>
                <w:sz w:val="20"/>
                <w:szCs w:val="20"/>
                <w:u w:val="none"/>
              </w:rPr>
            </w:pPr>
          </w:p>
        </w:tc>
        <w:tc>
          <w:tcPr>
            <w:tcW w:w="1139" w:type="dxa"/>
            <w:shd w:val="clear" w:color="auto" w:fill="auto"/>
            <w:vAlign w:val="center"/>
          </w:tcPr>
          <w:p w14:paraId="2F14AF70">
            <w:pPr>
              <w:jc w:val="center"/>
              <w:rPr>
                <w:rFonts w:hint="eastAsia" w:ascii="宋体" w:hAnsi="宋体" w:eastAsia="宋体" w:cs="宋体"/>
                <w:i w:val="0"/>
                <w:iCs w:val="0"/>
                <w:color w:val="000000"/>
                <w:sz w:val="20"/>
                <w:szCs w:val="20"/>
                <w:u w:val="none"/>
              </w:rPr>
            </w:pPr>
          </w:p>
        </w:tc>
        <w:tc>
          <w:tcPr>
            <w:tcW w:w="952" w:type="dxa"/>
            <w:shd w:val="clear" w:color="auto" w:fill="auto"/>
            <w:vAlign w:val="center"/>
          </w:tcPr>
          <w:p w14:paraId="7DCF15A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6" w:type="dxa"/>
            <w:shd w:val="clear" w:color="auto" w:fill="auto"/>
            <w:vAlign w:val="center"/>
          </w:tcPr>
          <w:p w14:paraId="59B2D0F7">
            <w:pPr>
              <w:jc w:val="center"/>
              <w:rPr>
                <w:rFonts w:hint="eastAsia" w:ascii="宋体" w:hAnsi="宋体" w:eastAsia="宋体" w:cs="宋体"/>
                <w:i w:val="0"/>
                <w:iCs w:val="0"/>
                <w:color w:val="000000"/>
                <w:sz w:val="20"/>
                <w:szCs w:val="20"/>
                <w:u w:val="none"/>
              </w:rPr>
            </w:pPr>
          </w:p>
        </w:tc>
      </w:tr>
      <w:tr w14:paraId="523DB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675" w:type="dxa"/>
            <w:vMerge w:val="continue"/>
            <w:shd w:val="clear" w:color="auto" w:fill="auto"/>
            <w:vAlign w:val="center"/>
          </w:tcPr>
          <w:p w14:paraId="63A8EECE">
            <w:pPr>
              <w:jc w:val="center"/>
              <w:rPr>
                <w:rFonts w:hint="eastAsia" w:ascii="宋体" w:hAnsi="宋体" w:eastAsia="宋体" w:cs="宋体"/>
                <w:i w:val="0"/>
                <w:iCs w:val="0"/>
                <w:color w:val="000000"/>
                <w:sz w:val="20"/>
                <w:szCs w:val="20"/>
                <w:u w:val="none"/>
              </w:rPr>
            </w:pPr>
          </w:p>
        </w:tc>
        <w:tc>
          <w:tcPr>
            <w:tcW w:w="675" w:type="dxa"/>
            <w:shd w:val="clear" w:color="auto" w:fill="auto"/>
            <w:vAlign w:val="center"/>
          </w:tcPr>
          <w:p w14:paraId="6CC9999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877" w:type="dxa"/>
            <w:shd w:val="clear" w:color="auto" w:fill="auto"/>
            <w:vAlign w:val="center"/>
          </w:tcPr>
          <w:p w14:paraId="5CE37B7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110" w:type="dxa"/>
            <w:shd w:val="clear" w:color="auto" w:fill="auto"/>
            <w:vAlign w:val="center"/>
          </w:tcPr>
          <w:p w14:paraId="0AC3496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体检居民满意度</w:t>
            </w:r>
          </w:p>
        </w:tc>
        <w:tc>
          <w:tcPr>
            <w:tcW w:w="1133" w:type="dxa"/>
            <w:shd w:val="clear" w:color="auto" w:fill="auto"/>
            <w:vAlign w:val="center"/>
          </w:tcPr>
          <w:p w14:paraId="4815D42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888" w:type="dxa"/>
            <w:shd w:val="clear" w:color="auto" w:fill="auto"/>
            <w:vAlign w:val="center"/>
          </w:tcPr>
          <w:p w14:paraId="16E042B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计划指标</w:t>
            </w:r>
          </w:p>
        </w:tc>
        <w:tc>
          <w:tcPr>
            <w:tcW w:w="888" w:type="dxa"/>
            <w:shd w:val="clear" w:color="auto" w:fill="auto"/>
            <w:vAlign w:val="center"/>
          </w:tcPr>
          <w:p w14:paraId="4F91F21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4" w:type="dxa"/>
            <w:shd w:val="clear" w:color="auto" w:fill="auto"/>
            <w:vAlign w:val="center"/>
          </w:tcPr>
          <w:p w14:paraId="67BE641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64" w:type="dxa"/>
            <w:shd w:val="clear" w:color="auto" w:fill="auto"/>
            <w:vAlign w:val="center"/>
          </w:tcPr>
          <w:p w14:paraId="46DE4E6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满意度赋分</w:t>
            </w:r>
          </w:p>
        </w:tc>
        <w:tc>
          <w:tcPr>
            <w:tcW w:w="1074" w:type="dxa"/>
            <w:shd w:val="clear" w:color="auto" w:fill="auto"/>
            <w:vAlign w:val="center"/>
          </w:tcPr>
          <w:p w14:paraId="5CFC308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29" w:type="dxa"/>
            <w:shd w:val="clear" w:color="auto" w:fill="auto"/>
            <w:vAlign w:val="center"/>
          </w:tcPr>
          <w:p w14:paraId="19CBBB2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139" w:type="dxa"/>
            <w:shd w:val="clear" w:color="auto" w:fill="auto"/>
            <w:vAlign w:val="center"/>
          </w:tcPr>
          <w:p w14:paraId="366E26A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952" w:type="dxa"/>
            <w:shd w:val="clear" w:color="auto" w:fill="auto"/>
            <w:vAlign w:val="center"/>
          </w:tcPr>
          <w:p w14:paraId="1E0016E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06" w:type="dxa"/>
            <w:shd w:val="clear" w:color="auto" w:fill="auto"/>
            <w:vAlign w:val="center"/>
          </w:tcPr>
          <w:p w14:paraId="42799BEC">
            <w:pPr>
              <w:jc w:val="center"/>
              <w:rPr>
                <w:rFonts w:hint="eastAsia" w:ascii="宋体" w:hAnsi="宋体" w:eastAsia="宋体" w:cs="宋体"/>
                <w:i w:val="0"/>
                <w:iCs w:val="0"/>
                <w:color w:val="000000"/>
                <w:sz w:val="20"/>
                <w:szCs w:val="20"/>
                <w:u w:val="none"/>
              </w:rPr>
            </w:pPr>
          </w:p>
        </w:tc>
      </w:tr>
      <w:tr w14:paraId="793A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337" w:type="dxa"/>
            <w:gridSpan w:val="4"/>
            <w:shd w:val="clear" w:color="auto" w:fill="auto"/>
            <w:vAlign w:val="center"/>
          </w:tcPr>
          <w:p w14:paraId="3B47A5A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1133" w:type="dxa"/>
            <w:shd w:val="clear" w:color="auto" w:fill="auto"/>
            <w:vAlign w:val="center"/>
          </w:tcPr>
          <w:p w14:paraId="421E918D">
            <w:pPr>
              <w:jc w:val="center"/>
              <w:rPr>
                <w:rFonts w:hint="eastAsia" w:ascii="宋体" w:hAnsi="宋体" w:eastAsia="宋体" w:cs="宋体"/>
                <w:i w:val="0"/>
                <w:iCs w:val="0"/>
                <w:color w:val="000000"/>
                <w:sz w:val="20"/>
                <w:szCs w:val="20"/>
                <w:u w:val="none"/>
              </w:rPr>
            </w:pPr>
          </w:p>
        </w:tc>
        <w:tc>
          <w:tcPr>
            <w:tcW w:w="888" w:type="dxa"/>
            <w:shd w:val="clear" w:color="auto" w:fill="auto"/>
            <w:vAlign w:val="center"/>
          </w:tcPr>
          <w:p w14:paraId="7E8662AA">
            <w:pPr>
              <w:rPr>
                <w:rFonts w:hint="eastAsia" w:ascii="宋体" w:hAnsi="宋体" w:eastAsia="宋体" w:cs="宋体"/>
                <w:b/>
                <w:bCs/>
                <w:i w:val="0"/>
                <w:iCs w:val="0"/>
                <w:color w:val="000000"/>
                <w:sz w:val="20"/>
                <w:szCs w:val="20"/>
                <w:u w:val="none"/>
              </w:rPr>
            </w:pPr>
          </w:p>
        </w:tc>
        <w:tc>
          <w:tcPr>
            <w:tcW w:w="888" w:type="dxa"/>
            <w:shd w:val="clear" w:color="auto" w:fill="auto"/>
            <w:vAlign w:val="center"/>
          </w:tcPr>
          <w:p w14:paraId="3CC911EE">
            <w:pPr>
              <w:jc w:val="center"/>
              <w:rPr>
                <w:rFonts w:hint="eastAsia" w:ascii="宋体" w:hAnsi="宋体" w:eastAsia="宋体" w:cs="宋体"/>
                <w:i w:val="0"/>
                <w:iCs w:val="0"/>
                <w:color w:val="000000"/>
                <w:sz w:val="20"/>
                <w:szCs w:val="20"/>
                <w:u w:val="none"/>
              </w:rPr>
            </w:pPr>
          </w:p>
        </w:tc>
        <w:tc>
          <w:tcPr>
            <w:tcW w:w="964" w:type="dxa"/>
            <w:shd w:val="clear" w:color="auto" w:fill="auto"/>
            <w:vAlign w:val="center"/>
          </w:tcPr>
          <w:p w14:paraId="7CCC7C2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100分</w:t>
            </w:r>
          </w:p>
        </w:tc>
        <w:tc>
          <w:tcPr>
            <w:tcW w:w="964" w:type="dxa"/>
            <w:shd w:val="clear" w:color="auto" w:fill="auto"/>
            <w:vAlign w:val="center"/>
          </w:tcPr>
          <w:p w14:paraId="4881A487">
            <w:pPr>
              <w:jc w:val="center"/>
              <w:rPr>
                <w:rFonts w:hint="eastAsia" w:ascii="宋体" w:hAnsi="宋体" w:eastAsia="宋体" w:cs="宋体"/>
                <w:i w:val="0"/>
                <w:iCs w:val="0"/>
                <w:color w:val="000000"/>
                <w:sz w:val="20"/>
                <w:szCs w:val="20"/>
                <w:u w:val="none"/>
              </w:rPr>
            </w:pPr>
          </w:p>
        </w:tc>
        <w:tc>
          <w:tcPr>
            <w:tcW w:w="1074" w:type="dxa"/>
            <w:shd w:val="clear" w:color="auto" w:fill="auto"/>
            <w:vAlign w:val="center"/>
          </w:tcPr>
          <w:p w14:paraId="71D1590E">
            <w:pPr>
              <w:rPr>
                <w:rFonts w:hint="eastAsia" w:ascii="宋体" w:hAnsi="宋体" w:eastAsia="宋体" w:cs="宋体"/>
                <w:i w:val="0"/>
                <w:iCs w:val="0"/>
                <w:color w:val="000000"/>
                <w:sz w:val="20"/>
                <w:szCs w:val="20"/>
                <w:u w:val="none"/>
              </w:rPr>
            </w:pPr>
          </w:p>
        </w:tc>
        <w:tc>
          <w:tcPr>
            <w:tcW w:w="1029" w:type="dxa"/>
            <w:shd w:val="clear" w:color="auto" w:fill="auto"/>
            <w:vAlign w:val="center"/>
          </w:tcPr>
          <w:p w14:paraId="57D027C4">
            <w:pPr>
              <w:rPr>
                <w:rFonts w:hint="eastAsia" w:ascii="宋体" w:hAnsi="宋体" w:eastAsia="宋体" w:cs="宋体"/>
                <w:i w:val="0"/>
                <w:iCs w:val="0"/>
                <w:color w:val="000000"/>
                <w:sz w:val="20"/>
                <w:szCs w:val="20"/>
                <w:u w:val="none"/>
              </w:rPr>
            </w:pPr>
          </w:p>
        </w:tc>
        <w:tc>
          <w:tcPr>
            <w:tcW w:w="1139" w:type="dxa"/>
            <w:shd w:val="clear" w:color="auto" w:fill="auto"/>
            <w:vAlign w:val="center"/>
          </w:tcPr>
          <w:p w14:paraId="1B5094A6">
            <w:pPr>
              <w:rPr>
                <w:rFonts w:hint="eastAsia" w:ascii="宋体" w:hAnsi="宋体" w:eastAsia="宋体" w:cs="宋体"/>
                <w:i w:val="0"/>
                <w:iCs w:val="0"/>
                <w:color w:val="000000"/>
                <w:sz w:val="20"/>
                <w:szCs w:val="20"/>
                <w:u w:val="none"/>
              </w:rPr>
            </w:pPr>
          </w:p>
        </w:tc>
        <w:tc>
          <w:tcPr>
            <w:tcW w:w="952" w:type="dxa"/>
            <w:shd w:val="clear" w:color="auto" w:fill="auto"/>
            <w:vAlign w:val="center"/>
          </w:tcPr>
          <w:p w14:paraId="0261ECC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806" w:type="dxa"/>
            <w:shd w:val="clear" w:color="auto" w:fill="auto"/>
            <w:vAlign w:val="center"/>
          </w:tcPr>
          <w:p w14:paraId="163A1F14">
            <w:pPr>
              <w:rPr>
                <w:rFonts w:hint="eastAsia" w:ascii="宋体" w:hAnsi="宋体" w:eastAsia="宋体" w:cs="宋体"/>
                <w:i w:val="0"/>
                <w:iCs w:val="0"/>
                <w:color w:val="000000"/>
                <w:sz w:val="20"/>
                <w:szCs w:val="20"/>
                <w:u w:val="none"/>
              </w:rPr>
            </w:pPr>
          </w:p>
        </w:tc>
      </w:tr>
    </w:tbl>
    <w:p w14:paraId="098FEB62">
      <w:pPr>
        <w:rPr>
          <w:rFonts w:hint="default"/>
          <w:color w:val="auto"/>
          <w:highlight w:val="none"/>
          <w:lang w:val="en-US" w:eastAsia="zh-CN"/>
        </w:rPr>
        <w:sectPr>
          <w:pgSz w:w="16838" w:h="11906" w:orient="landscape"/>
          <w:pgMar w:top="1800" w:right="1440" w:bottom="1800" w:left="1440" w:header="737" w:footer="851" w:gutter="0"/>
          <w:pgNumType w:fmt="decimal" w:start="1"/>
          <w:cols w:space="720" w:num="1"/>
          <w:docGrid w:type="lines" w:linePitch="408" w:charSpace="0"/>
        </w:sectPr>
      </w:pPr>
    </w:p>
    <w:p w14:paraId="05C1222B">
      <w:pPr>
        <w:pStyle w:val="3"/>
        <w:pageBreakBefore w:val="0"/>
        <w:numPr>
          <w:ilvl w:val="0"/>
          <w:numId w:val="0"/>
        </w:numPr>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bookmarkStart w:id="89" w:name="_Toc15067"/>
      <w:r>
        <w:rPr>
          <w:rFonts w:hint="eastAsia" w:ascii="宋体" w:hAnsi="宋体" w:eastAsia="宋体" w:cs="宋体"/>
          <w:b/>
          <w:bCs/>
          <w:color w:val="auto"/>
          <w:highlight w:val="none"/>
          <w:shd w:val="clear" w:color="auto" w:fill="auto"/>
          <w:lang w:val="en-US" w:eastAsia="zh-CN"/>
        </w:rPr>
        <w:t>附件二、项目支出绩效评价指标体系打分表</w:t>
      </w:r>
      <w:bookmarkEnd w:id="89"/>
    </w:p>
    <w:tbl>
      <w:tblPr>
        <w:tblStyle w:val="12"/>
        <w:tblW w:w="1392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861"/>
        <w:gridCol w:w="727"/>
        <w:gridCol w:w="820"/>
        <w:gridCol w:w="2141"/>
        <w:gridCol w:w="7821"/>
        <w:gridCol w:w="785"/>
        <w:gridCol w:w="769"/>
      </w:tblGrid>
      <w:tr w14:paraId="27D9DB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2" w:hRule="atLeast"/>
          <w:tblHeader/>
          <w:jc w:val="center"/>
        </w:trPr>
        <w:tc>
          <w:tcPr>
            <w:tcW w:w="861" w:type="dxa"/>
            <w:shd w:val="clear" w:color="auto" w:fill="auto"/>
            <w:vAlign w:val="center"/>
          </w:tcPr>
          <w:p w14:paraId="5D794A80">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一级指标</w:t>
            </w:r>
          </w:p>
        </w:tc>
        <w:tc>
          <w:tcPr>
            <w:tcW w:w="727" w:type="dxa"/>
            <w:shd w:val="clear" w:color="auto" w:fill="auto"/>
            <w:vAlign w:val="center"/>
          </w:tcPr>
          <w:p w14:paraId="0F8F3216">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二级指标</w:t>
            </w:r>
          </w:p>
        </w:tc>
        <w:tc>
          <w:tcPr>
            <w:tcW w:w="820" w:type="dxa"/>
            <w:shd w:val="clear" w:color="auto" w:fill="auto"/>
            <w:vAlign w:val="center"/>
          </w:tcPr>
          <w:p w14:paraId="30B6D98F">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三级指标</w:t>
            </w:r>
          </w:p>
        </w:tc>
        <w:tc>
          <w:tcPr>
            <w:tcW w:w="2141" w:type="dxa"/>
            <w:shd w:val="clear" w:color="auto" w:fill="auto"/>
            <w:vAlign w:val="center"/>
          </w:tcPr>
          <w:p w14:paraId="6C8A3372">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指标解释</w:t>
            </w:r>
          </w:p>
        </w:tc>
        <w:tc>
          <w:tcPr>
            <w:tcW w:w="7821" w:type="dxa"/>
            <w:shd w:val="clear" w:color="auto" w:fill="auto"/>
            <w:vAlign w:val="center"/>
          </w:tcPr>
          <w:p w14:paraId="1D60FE38">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指标说明</w:t>
            </w:r>
          </w:p>
        </w:tc>
        <w:tc>
          <w:tcPr>
            <w:tcW w:w="785" w:type="dxa"/>
            <w:shd w:val="clear" w:color="auto" w:fill="auto"/>
            <w:vAlign w:val="center"/>
          </w:tcPr>
          <w:p w14:paraId="0B1D8FAC">
            <w:pPr>
              <w:widowControl/>
              <w:spacing w:line="0" w:lineRule="atLeast"/>
              <w:ind w:firstLine="0" w:firstLineChars="0"/>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分值</w:t>
            </w:r>
          </w:p>
        </w:tc>
        <w:tc>
          <w:tcPr>
            <w:tcW w:w="769" w:type="dxa"/>
            <w:shd w:val="clear" w:color="auto" w:fill="auto"/>
            <w:vAlign w:val="center"/>
          </w:tcPr>
          <w:p w14:paraId="078830D1">
            <w:pPr>
              <w:widowControl/>
              <w:spacing w:line="0" w:lineRule="atLeast"/>
              <w:ind w:firstLine="0" w:firstLineChars="0"/>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得分</w:t>
            </w:r>
          </w:p>
        </w:tc>
      </w:tr>
      <w:tr w14:paraId="226A47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318" w:hRule="atLeast"/>
          <w:jc w:val="center"/>
        </w:trPr>
        <w:tc>
          <w:tcPr>
            <w:tcW w:w="861" w:type="dxa"/>
            <w:vMerge w:val="restart"/>
            <w:shd w:val="clear" w:color="auto" w:fill="auto"/>
            <w:vAlign w:val="center"/>
          </w:tcPr>
          <w:p w14:paraId="3C3BEE61">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决策　</w:t>
            </w:r>
          </w:p>
          <w:p w14:paraId="52F4F7F3">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p w14:paraId="10DAF630">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727" w:type="dxa"/>
            <w:vMerge w:val="restart"/>
            <w:shd w:val="clear" w:color="auto" w:fill="auto"/>
            <w:vAlign w:val="center"/>
          </w:tcPr>
          <w:p w14:paraId="2C0C599D">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项目立项　</w:t>
            </w:r>
          </w:p>
        </w:tc>
        <w:tc>
          <w:tcPr>
            <w:tcW w:w="820" w:type="dxa"/>
            <w:shd w:val="clear" w:color="auto" w:fill="auto"/>
            <w:vAlign w:val="center"/>
          </w:tcPr>
          <w:p w14:paraId="759E7DBC">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立项依据</w:t>
            </w:r>
          </w:p>
          <w:p w14:paraId="620A75CE">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充分性</w:t>
            </w:r>
          </w:p>
        </w:tc>
        <w:tc>
          <w:tcPr>
            <w:tcW w:w="2141" w:type="dxa"/>
            <w:shd w:val="clear" w:color="auto" w:fill="auto"/>
            <w:vAlign w:val="center"/>
          </w:tcPr>
          <w:p w14:paraId="2A31AD0E">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项目立项是否符合法律法规、相关政策、发展规划以及部门职责，用以反映和考核项目立项依据情况。</w:t>
            </w:r>
          </w:p>
        </w:tc>
        <w:tc>
          <w:tcPr>
            <w:tcW w:w="7821" w:type="dxa"/>
            <w:shd w:val="clear" w:color="auto" w:fill="auto"/>
            <w:vAlign w:val="center"/>
          </w:tcPr>
          <w:p w14:paraId="17306CAB">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32452723">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①项目立项是否符合国家法律法规、国民经济发展规划和相关政策；</w:t>
            </w:r>
          </w:p>
          <w:p w14:paraId="10B0730D">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②项目立项是否符合行业发展规划和政策要求；</w:t>
            </w:r>
          </w:p>
          <w:p w14:paraId="09C41400">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③项目立项是否与部门职责范围相符，属于部门履职所需；</w:t>
            </w:r>
          </w:p>
          <w:p w14:paraId="5D0C8535">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④项目是否属于公共财政支持范围，是否符合中央、地方事权支出责任划分原则；</w:t>
            </w:r>
          </w:p>
          <w:p w14:paraId="7975FED9">
            <w:pPr>
              <w:widowControl/>
              <w:spacing w:line="0" w:lineRule="atLeast"/>
              <w:ind w:firstLine="0" w:firstLineChars="0"/>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⑤项目是否与相关部门同类项目或部门内部相关项目重复。</w:t>
            </w:r>
          </w:p>
        </w:tc>
        <w:tc>
          <w:tcPr>
            <w:tcW w:w="785" w:type="dxa"/>
            <w:shd w:val="clear" w:color="auto" w:fill="auto"/>
            <w:vAlign w:val="center"/>
          </w:tcPr>
          <w:p w14:paraId="2248539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shd w:val="clear" w:color="auto" w:fill="auto"/>
            <w:vAlign w:val="center"/>
          </w:tcPr>
          <w:p w14:paraId="3F643D7A">
            <w:pPr>
              <w:widowControl/>
              <w:spacing w:line="0" w:lineRule="atLeast"/>
              <w:ind w:firstLine="0" w:firstLineChars="0"/>
              <w:jc w:val="left"/>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2</w:t>
            </w:r>
          </w:p>
        </w:tc>
      </w:tr>
      <w:tr w14:paraId="656956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40" w:hRule="atLeast"/>
          <w:jc w:val="center"/>
        </w:trPr>
        <w:tc>
          <w:tcPr>
            <w:tcW w:w="861" w:type="dxa"/>
            <w:vMerge w:val="continue"/>
            <w:shd w:val="clear" w:color="auto" w:fill="auto"/>
            <w:vAlign w:val="center"/>
          </w:tcPr>
          <w:p w14:paraId="63468F43">
            <w:pPr>
              <w:spacing w:line="0" w:lineRule="atLeast"/>
              <w:ind w:firstLine="0" w:firstLineChars="0"/>
              <w:jc w:val="center"/>
              <w:rPr>
                <w:rFonts w:ascii="宋体" w:hAnsi="宋体" w:eastAsia="宋体" w:cs="宋体"/>
                <w:color w:val="auto"/>
                <w:kern w:val="0"/>
                <w:sz w:val="22"/>
                <w:szCs w:val="22"/>
                <w:highlight w:val="none"/>
              </w:rPr>
            </w:pPr>
          </w:p>
        </w:tc>
        <w:tc>
          <w:tcPr>
            <w:tcW w:w="727" w:type="dxa"/>
            <w:vMerge w:val="continue"/>
            <w:shd w:val="clear" w:color="auto" w:fill="auto"/>
            <w:vAlign w:val="center"/>
          </w:tcPr>
          <w:p w14:paraId="0A49F496">
            <w:pPr>
              <w:widowControl/>
              <w:spacing w:line="0" w:lineRule="atLeast"/>
              <w:ind w:firstLine="0" w:firstLineChars="0"/>
              <w:jc w:val="center"/>
              <w:rPr>
                <w:rFonts w:ascii="宋体" w:hAnsi="宋体" w:eastAsia="宋体" w:cs="宋体"/>
                <w:color w:val="auto"/>
                <w:kern w:val="0"/>
                <w:sz w:val="22"/>
                <w:szCs w:val="22"/>
                <w:highlight w:val="none"/>
              </w:rPr>
            </w:pPr>
          </w:p>
        </w:tc>
        <w:tc>
          <w:tcPr>
            <w:tcW w:w="820" w:type="dxa"/>
            <w:shd w:val="clear" w:color="auto" w:fill="auto"/>
            <w:vAlign w:val="center"/>
          </w:tcPr>
          <w:p w14:paraId="61A368DA">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立项程序</w:t>
            </w:r>
          </w:p>
          <w:p w14:paraId="350B836B">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规范性</w:t>
            </w:r>
          </w:p>
        </w:tc>
        <w:tc>
          <w:tcPr>
            <w:tcW w:w="2141" w:type="dxa"/>
            <w:shd w:val="clear" w:color="auto" w:fill="auto"/>
            <w:vAlign w:val="center"/>
          </w:tcPr>
          <w:p w14:paraId="3CC42D28">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项目申请、设立过程是否符合相关要求，用以反映和考核项目立项的规范情况。</w:t>
            </w:r>
          </w:p>
        </w:tc>
        <w:tc>
          <w:tcPr>
            <w:tcW w:w="7821" w:type="dxa"/>
            <w:shd w:val="clear" w:color="auto" w:fill="auto"/>
            <w:vAlign w:val="center"/>
          </w:tcPr>
          <w:p w14:paraId="5C20FA42">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601B9EB7">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①项目是否按照规定的程序申请设立；</w:t>
            </w:r>
          </w:p>
          <w:p w14:paraId="12F25B69">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②审批文件、材料是否符合相关要求；</w:t>
            </w:r>
          </w:p>
          <w:p w14:paraId="03C3B884">
            <w:pPr>
              <w:widowControl/>
              <w:spacing w:line="0" w:lineRule="atLeast"/>
              <w:ind w:firstLine="0" w:firstLineChars="0"/>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③事前是否已经过必要的可行性研究、专家论证、风险评估、绩效评估、集体决策。</w:t>
            </w:r>
          </w:p>
        </w:tc>
        <w:tc>
          <w:tcPr>
            <w:tcW w:w="785" w:type="dxa"/>
            <w:shd w:val="clear" w:color="auto" w:fill="auto"/>
            <w:vAlign w:val="center"/>
          </w:tcPr>
          <w:p w14:paraId="139594C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shd w:val="clear" w:color="auto" w:fill="auto"/>
            <w:vAlign w:val="center"/>
          </w:tcPr>
          <w:p w14:paraId="51BD7F70">
            <w:pPr>
              <w:widowControl/>
              <w:spacing w:line="0" w:lineRule="atLeast"/>
              <w:ind w:firstLine="0" w:firstLineChars="0"/>
              <w:jc w:val="left"/>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2</w:t>
            </w:r>
          </w:p>
        </w:tc>
      </w:tr>
      <w:tr w14:paraId="6D2DF8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19" w:hRule="atLeast"/>
          <w:jc w:val="center"/>
        </w:trPr>
        <w:tc>
          <w:tcPr>
            <w:tcW w:w="861" w:type="dxa"/>
            <w:vMerge w:val="continue"/>
            <w:shd w:val="clear" w:color="auto" w:fill="auto"/>
            <w:vAlign w:val="center"/>
          </w:tcPr>
          <w:p w14:paraId="675A7397">
            <w:pPr>
              <w:spacing w:line="0" w:lineRule="atLeast"/>
              <w:ind w:firstLine="0" w:firstLineChars="0"/>
              <w:jc w:val="center"/>
              <w:rPr>
                <w:rFonts w:ascii="宋体" w:hAnsi="宋体" w:eastAsia="宋体" w:cs="宋体"/>
                <w:color w:val="auto"/>
                <w:kern w:val="0"/>
                <w:sz w:val="22"/>
                <w:szCs w:val="22"/>
                <w:highlight w:val="none"/>
              </w:rPr>
            </w:pPr>
          </w:p>
        </w:tc>
        <w:tc>
          <w:tcPr>
            <w:tcW w:w="727" w:type="dxa"/>
            <w:shd w:val="clear" w:color="auto" w:fill="auto"/>
            <w:vAlign w:val="center"/>
          </w:tcPr>
          <w:p w14:paraId="0A5B58D4">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绩效目标　</w:t>
            </w:r>
          </w:p>
        </w:tc>
        <w:tc>
          <w:tcPr>
            <w:tcW w:w="820" w:type="dxa"/>
            <w:shd w:val="clear" w:color="auto" w:fill="auto"/>
            <w:vAlign w:val="center"/>
          </w:tcPr>
          <w:p w14:paraId="1C45D7AF">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绩效目标</w:t>
            </w:r>
          </w:p>
          <w:p w14:paraId="16243B8E">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合理性</w:t>
            </w:r>
          </w:p>
        </w:tc>
        <w:tc>
          <w:tcPr>
            <w:tcW w:w="2141" w:type="dxa"/>
            <w:shd w:val="clear" w:color="auto" w:fill="auto"/>
            <w:vAlign w:val="center"/>
          </w:tcPr>
          <w:p w14:paraId="306F6717">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项目所设定的绩效目标是否依据充分，是否符合客观实际，用以反映和考核项目绩效目标与项目实施的相符情况。</w:t>
            </w:r>
          </w:p>
        </w:tc>
        <w:tc>
          <w:tcPr>
            <w:tcW w:w="7821" w:type="dxa"/>
            <w:shd w:val="clear" w:color="auto" w:fill="auto"/>
            <w:vAlign w:val="center"/>
          </w:tcPr>
          <w:p w14:paraId="725C879E">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16405201">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（如未设定预算绩效目标，也可考核其他工作任务目标）</w:t>
            </w:r>
          </w:p>
          <w:p w14:paraId="10CEF7C9">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①项目是否有绩效目标；</w:t>
            </w:r>
          </w:p>
          <w:p w14:paraId="7A384290">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②项目绩效目标与实际工作内容是否具有相关性；</w:t>
            </w:r>
          </w:p>
          <w:p w14:paraId="61BDDD71">
            <w:pPr>
              <w:widowControl/>
              <w:spacing w:line="0" w:lineRule="atLeast"/>
              <w:ind w:firstLine="0" w:firstLineChars="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③项目预期产出效益和效果是否符合正常的业绩水平；</w:t>
            </w:r>
          </w:p>
          <w:p w14:paraId="7401017A">
            <w:pPr>
              <w:widowControl/>
              <w:spacing w:line="0" w:lineRule="atLeast"/>
              <w:ind w:firstLine="0" w:firstLineChars="0"/>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④是否与预算确定的项目投资额或资金量相匹配。</w:t>
            </w:r>
          </w:p>
        </w:tc>
        <w:tc>
          <w:tcPr>
            <w:tcW w:w="785" w:type="dxa"/>
            <w:shd w:val="clear" w:color="auto" w:fill="auto"/>
            <w:vAlign w:val="center"/>
          </w:tcPr>
          <w:p w14:paraId="213BD96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shd w:val="clear" w:color="auto" w:fill="auto"/>
            <w:vAlign w:val="center"/>
          </w:tcPr>
          <w:p w14:paraId="05133EBD">
            <w:pPr>
              <w:widowControl/>
              <w:spacing w:line="0" w:lineRule="atLeast"/>
              <w:ind w:firstLine="0" w:firstLineChars="0"/>
              <w:jc w:val="left"/>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5</w:t>
            </w:r>
          </w:p>
        </w:tc>
      </w:tr>
      <w:tr w14:paraId="03D88D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464" w:hRule="atLeast"/>
          <w:jc w:val="center"/>
        </w:trPr>
        <w:tc>
          <w:tcPr>
            <w:tcW w:w="861" w:type="dxa"/>
            <w:vMerge w:val="restart"/>
            <w:shd w:val="clear" w:color="auto" w:fill="auto"/>
            <w:vAlign w:val="center"/>
          </w:tcPr>
          <w:p w14:paraId="240F91FD">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决策　</w:t>
            </w:r>
          </w:p>
        </w:tc>
        <w:tc>
          <w:tcPr>
            <w:tcW w:w="727" w:type="dxa"/>
            <w:shd w:val="clear" w:color="auto" w:fill="auto"/>
            <w:vAlign w:val="center"/>
          </w:tcPr>
          <w:p w14:paraId="00D1E8F3">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绩效目标</w:t>
            </w:r>
          </w:p>
        </w:tc>
        <w:tc>
          <w:tcPr>
            <w:tcW w:w="820" w:type="dxa"/>
            <w:shd w:val="clear" w:color="auto" w:fill="auto"/>
            <w:vAlign w:val="center"/>
          </w:tcPr>
          <w:p w14:paraId="742E78A1">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绩效指标</w:t>
            </w:r>
          </w:p>
          <w:p w14:paraId="1A22F01D">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明确性</w:t>
            </w:r>
          </w:p>
        </w:tc>
        <w:tc>
          <w:tcPr>
            <w:tcW w:w="2141" w:type="dxa"/>
            <w:shd w:val="clear" w:color="auto" w:fill="auto"/>
            <w:vAlign w:val="center"/>
          </w:tcPr>
          <w:p w14:paraId="4C17970B">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依据绩效目标设定的绩效指标是否清晰、细化、可衡量等，用以反映和考核项目绩效目标的明细化情况。</w:t>
            </w:r>
          </w:p>
        </w:tc>
        <w:tc>
          <w:tcPr>
            <w:tcW w:w="7821" w:type="dxa"/>
            <w:shd w:val="clear" w:color="auto" w:fill="auto"/>
            <w:vAlign w:val="center"/>
          </w:tcPr>
          <w:p w14:paraId="322D4547">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54126DBB">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①是否将项目绩效目标细化分解为具体的绩效指标；</w:t>
            </w:r>
          </w:p>
          <w:p w14:paraId="70FD3A6C">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②是否通过清晰、可衡量的指标值予以体现；</w:t>
            </w:r>
          </w:p>
          <w:p w14:paraId="19FA1324">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③是否与项目目标任务数或计划数相对应。</w:t>
            </w:r>
          </w:p>
          <w:p w14:paraId="71407448">
            <w:pPr>
              <w:widowControl/>
              <w:spacing w:line="0" w:lineRule="atLeast"/>
              <w:ind w:firstLine="0" w:firstLineChars="0"/>
              <w:rPr>
                <w:rFonts w:hint="eastAsia" w:ascii="宋体" w:hAnsi="宋体" w:eastAsia="宋体" w:cs="宋体"/>
                <w:color w:val="auto"/>
                <w:kern w:val="0"/>
                <w:sz w:val="22"/>
                <w:szCs w:val="22"/>
                <w:highlight w:val="none"/>
                <w:lang w:eastAsia="zh-CN"/>
              </w:rPr>
            </w:pPr>
          </w:p>
        </w:tc>
        <w:tc>
          <w:tcPr>
            <w:tcW w:w="785" w:type="dxa"/>
            <w:shd w:val="clear" w:color="auto" w:fill="auto"/>
            <w:vAlign w:val="center"/>
          </w:tcPr>
          <w:p w14:paraId="67CE324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shd w:val="clear" w:color="auto" w:fill="auto"/>
            <w:vAlign w:val="center"/>
          </w:tcPr>
          <w:p w14:paraId="7EEB61D9">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5</w:t>
            </w:r>
          </w:p>
        </w:tc>
      </w:tr>
      <w:tr w14:paraId="46DA63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42" w:hRule="atLeast"/>
          <w:jc w:val="center"/>
        </w:trPr>
        <w:tc>
          <w:tcPr>
            <w:tcW w:w="861" w:type="dxa"/>
            <w:vMerge w:val="continue"/>
            <w:shd w:val="clear" w:color="auto" w:fill="auto"/>
            <w:vAlign w:val="center"/>
          </w:tcPr>
          <w:p w14:paraId="2ACEDEC6">
            <w:pPr>
              <w:spacing w:line="0" w:lineRule="atLeast"/>
              <w:ind w:firstLine="0" w:firstLineChars="0"/>
              <w:jc w:val="center"/>
              <w:rPr>
                <w:rFonts w:ascii="宋体" w:hAnsi="宋体" w:eastAsia="宋体" w:cs="宋体"/>
                <w:color w:val="auto"/>
                <w:kern w:val="0"/>
                <w:sz w:val="22"/>
                <w:szCs w:val="22"/>
                <w:highlight w:val="none"/>
              </w:rPr>
            </w:pPr>
          </w:p>
        </w:tc>
        <w:tc>
          <w:tcPr>
            <w:tcW w:w="727" w:type="dxa"/>
            <w:vMerge w:val="restart"/>
            <w:shd w:val="clear" w:color="auto" w:fill="auto"/>
            <w:vAlign w:val="center"/>
          </w:tcPr>
          <w:p w14:paraId="146D2BF5">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资金投入</w:t>
            </w:r>
          </w:p>
          <w:p w14:paraId="1E645BFB">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20" w:type="dxa"/>
            <w:shd w:val="clear" w:color="auto" w:fill="auto"/>
            <w:vAlign w:val="center"/>
          </w:tcPr>
          <w:p w14:paraId="08CDC90F">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预算编制</w:t>
            </w:r>
          </w:p>
          <w:p w14:paraId="01B70C65">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科学性</w:t>
            </w:r>
          </w:p>
        </w:tc>
        <w:tc>
          <w:tcPr>
            <w:tcW w:w="2141" w:type="dxa"/>
            <w:shd w:val="clear" w:color="auto" w:fill="auto"/>
            <w:vAlign w:val="center"/>
          </w:tcPr>
          <w:p w14:paraId="5EF47DE0">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项目预算编制是否经过科学论证、有明确标准，资金额度与年度目标是否相适应，用以反映和考核项目预算编制的科学性、合理性情况。</w:t>
            </w:r>
          </w:p>
        </w:tc>
        <w:tc>
          <w:tcPr>
            <w:tcW w:w="7821" w:type="dxa"/>
            <w:shd w:val="clear" w:color="auto" w:fill="auto"/>
            <w:vAlign w:val="center"/>
          </w:tcPr>
          <w:p w14:paraId="39CA024A">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13230978">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①预算编制是否经过科学论证；</w:t>
            </w:r>
          </w:p>
          <w:p w14:paraId="6EB2B5F8">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②预算内容与项目内容是否匹配；</w:t>
            </w:r>
          </w:p>
          <w:p w14:paraId="437E268F">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③预算额度测算依据是否充分，是否按照标准编制；</w:t>
            </w:r>
          </w:p>
          <w:p w14:paraId="39835B37">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④预算确定的项目投资额或资金量是否与工作任务相匹配。</w:t>
            </w:r>
          </w:p>
        </w:tc>
        <w:tc>
          <w:tcPr>
            <w:tcW w:w="785" w:type="dxa"/>
            <w:shd w:val="clear" w:color="auto" w:fill="auto"/>
            <w:vAlign w:val="center"/>
          </w:tcPr>
          <w:p w14:paraId="25FEBC5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shd w:val="clear" w:color="auto" w:fill="auto"/>
            <w:vAlign w:val="center"/>
          </w:tcPr>
          <w:p w14:paraId="14194D22">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2</w:t>
            </w:r>
          </w:p>
        </w:tc>
      </w:tr>
      <w:tr w14:paraId="39B9A6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861" w:type="dxa"/>
            <w:vMerge w:val="continue"/>
            <w:shd w:val="clear" w:color="auto" w:fill="auto"/>
            <w:vAlign w:val="center"/>
          </w:tcPr>
          <w:p w14:paraId="072AAACD">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vMerge w:val="continue"/>
            <w:shd w:val="clear" w:color="auto" w:fill="auto"/>
            <w:vAlign w:val="center"/>
          </w:tcPr>
          <w:p w14:paraId="32C111B6">
            <w:pPr>
              <w:widowControl/>
              <w:spacing w:line="0" w:lineRule="atLeast"/>
              <w:ind w:firstLine="0" w:firstLineChars="0"/>
              <w:jc w:val="center"/>
              <w:rPr>
                <w:rFonts w:ascii="宋体" w:hAnsi="宋体" w:eastAsia="宋体" w:cs="宋体"/>
                <w:color w:val="auto"/>
                <w:kern w:val="0"/>
                <w:sz w:val="22"/>
                <w:szCs w:val="22"/>
                <w:highlight w:val="none"/>
              </w:rPr>
            </w:pPr>
          </w:p>
        </w:tc>
        <w:tc>
          <w:tcPr>
            <w:tcW w:w="820" w:type="dxa"/>
            <w:shd w:val="clear" w:color="auto" w:fill="auto"/>
            <w:vAlign w:val="center"/>
          </w:tcPr>
          <w:p w14:paraId="01DA48E2">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资金分配</w:t>
            </w:r>
          </w:p>
          <w:p w14:paraId="0BA2F495">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合理性</w:t>
            </w:r>
          </w:p>
        </w:tc>
        <w:tc>
          <w:tcPr>
            <w:tcW w:w="2141" w:type="dxa"/>
            <w:shd w:val="clear" w:color="auto" w:fill="auto"/>
            <w:vAlign w:val="center"/>
          </w:tcPr>
          <w:p w14:paraId="3CE51778">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项目预算资金分配是否有测算依据，与补助单位或地方实际是否相适应，用以反映和考核项目预算资金分配的科学性、合理性情况。</w:t>
            </w:r>
          </w:p>
        </w:tc>
        <w:tc>
          <w:tcPr>
            <w:tcW w:w="7821" w:type="dxa"/>
            <w:shd w:val="clear" w:color="auto" w:fill="auto"/>
            <w:vAlign w:val="center"/>
          </w:tcPr>
          <w:p w14:paraId="40AAE405">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4A809B1A">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①预算资金分配依据是否充分；</w:t>
            </w:r>
          </w:p>
          <w:p w14:paraId="777E4DC1">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②资金分配额度是否合理，与项目单位或地方实际是否相适应。</w:t>
            </w:r>
          </w:p>
        </w:tc>
        <w:tc>
          <w:tcPr>
            <w:tcW w:w="785" w:type="dxa"/>
            <w:shd w:val="clear" w:color="auto" w:fill="auto"/>
            <w:vAlign w:val="center"/>
          </w:tcPr>
          <w:p w14:paraId="01F0ECC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shd w:val="clear" w:color="auto" w:fill="auto"/>
            <w:vAlign w:val="center"/>
          </w:tcPr>
          <w:p w14:paraId="2B880D0E">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3</w:t>
            </w:r>
          </w:p>
        </w:tc>
      </w:tr>
      <w:tr w14:paraId="303179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415" w:hRule="atLeast"/>
          <w:jc w:val="center"/>
        </w:trPr>
        <w:tc>
          <w:tcPr>
            <w:tcW w:w="861" w:type="dxa"/>
            <w:vMerge w:val="restart"/>
            <w:shd w:val="clear" w:color="auto" w:fill="auto"/>
            <w:vAlign w:val="center"/>
          </w:tcPr>
          <w:p w14:paraId="676586EF">
            <w:pPr>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过程</w:t>
            </w:r>
          </w:p>
        </w:tc>
        <w:tc>
          <w:tcPr>
            <w:tcW w:w="727" w:type="dxa"/>
            <w:vMerge w:val="restart"/>
            <w:shd w:val="clear" w:color="auto" w:fill="auto"/>
            <w:vAlign w:val="center"/>
          </w:tcPr>
          <w:p w14:paraId="4DAC9D99">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资金管理</w:t>
            </w:r>
          </w:p>
        </w:tc>
        <w:tc>
          <w:tcPr>
            <w:tcW w:w="820" w:type="dxa"/>
            <w:shd w:val="clear" w:color="auto" w:fill="auto"/>
            <w:vAlign w:val="center"/>
          </w:tcPr>
          <w:p w14:paraId="2C03C2E8">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资金到位率</w:t>
            </w:r>
          </w:p>
        </w:tc>
        <w:tc>
          <w:tcPr>
            <w:tcW w:w="2141" w:type="dxa"/>
            <w:shd w:val="clear" w:color="auto" w:fill="auto"/>
            <w:vAlign w:val="center"/>
          </w:tcPr>
          <w:p w14:paraId="7125EEC4">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实际到位资金与预算资金的比率，用以反映和考核资金落实情况对项目实施的总体保障程度。</w:t>
            </w:r>
          </w:p>
        </w:tc>
        <w:tc>
          <w:tcPr>
            <w:tcW w:w="7821" w:type="dxa"/>
            <w:shd w:val="clear" w:color="auto" w:fill="auto"/>
            <w:vAlign w:val="center"/>
          </w:tcPr>
          <w:p w14:paraId="5448FAC5">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资金到位率=（实际到位资金/预算资金）×100%。</w:t>
            </w:r>
          </w:p>
          <w:p w14:paraId="320A9ABF">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实际到位资金：一定时期（本年度或项目期）内落实到具体项目的资金。</w:t>
            </w:r>
          </w:p>
          <w:p w14:paraId="338AA66E">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预算资金：一定时期（本年度或项目期）内预算安排到具体项目的资金。</w:t>
            </w:r>
          </w:p>
        </w:tc>
        <w:tc>
          <w:tcPr>
            <w:tcW w:w="785" w:type="dxa"/>
            <w:shd w:val="clear" w:color="auto" w:fill="auto"/>
            <w:vAlign w:val="center"/>
          </w:tcPr>
          <w:p w14:paraId="55B692E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vAlign w:val="center"/>
          </w:tcPr>
          <w:p w14:paraId="75556439">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r>
      <w:tr w14:paraId="3E42D9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320" w:hRule="atLeast"/>
          <w:jc w:val="center"/>
        </w:trPr>
        <w:tc>
          <w:tcPr>
            <w:tcW w:w="861" w:type="dxa"/>
            <w:vMerge w:val="continue"/>
            <w:shd w:val="clear" w:color="auto" w:fill="auto"/>
            <w:vAlign w:val="center"/>
          </w:tcPr>
          <w:p w14:paraId="16835A5B">
            <w:pPr>
              <w:spacing w:line="0" w:lineRule="atLeast"/>
              <w:ind w:firstLine="0" w:firstLineChars="0"/>
              <w:jc w:val="center"/>
              <w:rPr>
                <w:rFonts w:hint="eastAsia" w:ascii="宋体" w:hAnsi="宋体" w:eastAsia="宋体" w:cs="宋体"/>
                <w:color w:val="auto"/>
                <w:kern w:val="0"/>
                <w:sz w:val="22"/>
                <w:szCs w:val="22"/>
                <w:highlight w:val="none"/>
              </w:rPr>
            </w:pPr>
          </w:p>
        </w:tc>
        <w:tc>
          <w:tcPr>
            <w:tcW w:w="727" w:type="dxa"/>
            <w:vMerge w:val="continue"/>
            <w:shd w:val="clear" w:color="auto" w:fill="auto"/>
            <w:vAlign w:val="center"/>
          </w:tcPr>
          <w:p w14:paraId="577BEA55">
            <w:pPr>
              <w:spacing w:line="0" w:lineRule="atLeast"/>
              <w:ind w:firstLine="0" w:firstLineChars="0"/>
              <w:jc w:val="center"/>
              <w:rPr>
                <w:rFonts w:hint="eastAsia" w:ascii="宋体" w:hAnsi="宋体" w:eastAsia="宋体" w:cs="宋体"/>
                <w:color w:val="auto"/>
                <w:kern w:val="0"/>
                <w:sz w:val="22"/>
                <w:szCs w:val="22"/>
                <w:highlight w:val="none"/>
              </w:rPr>
            </w:pPr>
          </w:p>
        </w:tc>
        <w:tc>
          <w:tcPr>
            <w:tcW w:w="820" w:type="dxa"/>
            <w:shd w:val="clear" w:color="auto" w:fill="auto"/>
            <w:vAlign w:val="center"/>
          </w:tcPr>
          <w:p w14:paraId="326E3691">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预算执行率</w:t>
            </w:r>
          </w:p>
        </w:tc>
        <w:tc>
          <w:tcPr>
            <w:tcW w:w="2141" w:type="dxa"/>
            <w:shd w:val="clear" w:color="auto" w:fill="auto"/>
            <w:vAlign w:val="center"/>
          </w:tcPr>
          <w:p w14:paraId="27B4F525">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项目预算资金是否按照计划执行，用以反映或考核项目预算执行情况。</w:t>
            </w:r>
          </w:p>
        </w:tc>
        <w:tc>
          <w:tcPr>
            <w:tcW w:w="7821" w:type="dxa"/>
            <w:shd w:val="clear" w:color="auto" w:fill="auto"/>
            <w:vAlign w:val="center"/>
          </w:tcPr>
          <w:p w14:paraId="426EB146">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预算执行率=（实际支出资金/实际到位资金）×100%。</w:t>
            </w:r>
          </w:p>
          <w:p w14:paraId="3023D744">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实际支出资金：一定时期（本年度或项目期）内项目实际拨付的资金。</w:t>
            </w:r>
          </w:p>
        </w:tc>
        <w:tc>
          <w:tcPr>
            <w:tcW w:w="785" w:type="dxa"/>
            <w:shd w:val="clear" w:color="auto" w:fill="auto"/>
            <w:vAlign w:val="center"/>
          </w:tcPr>
          <w:p w14:paraId="772E672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vAlign w:val="center"/>
          </w:tcPr>
          <w:p w14:paraId="312F7BEE">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r>
      <w:tr w14:paraId="7652F1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076" w:hRule="atLeast"/>
          <w:jc w:val="center"/>
        </w:trPr>
        <w:tc>
          <w:tcPr>
            <w:tcW w:w="861" w:type="dxa"/>
            <w:vMerge w:val="restart"/>
            <w:shd w:val="clear" w:color="auto" w:fill="auto"/>
            <w:vAlign w:val="center"/>
          </w:tcPr>
          <w:p w14:paraId="31893D52">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p w14:paraId="1F185AB2">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过程　</w:t>
            </w:r>
          </w:p>
        </w:tc>
        <w:tc>
          <w:tcPr>
            <w:tcW w:w="727" w:type="dxa"/>
            <w:shd w:val="clear" w:color="auto" w:fill="auto"/>
            <w:vAlign w:val="center"/>
          </w:tcPr>
          <w:p w14:paraId="237EC135">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资金管理</w:t>
            </w:r>
          </w:p>
        </w:tc>
        <w:tc>
          <w:tcPr>
            <w:tcW w:w="820" w:type="dxa"/>
            <w:shd w:val="clear" w:color="auto" w:fill="auto"/>
            <w:vAlign w:val="center"/>
          </w:tcPr>
          <w:p w14:paraId="72E961C2">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资金使用</w:t>
            </w:r>
          </w:p>
          <w:p w14:paraId="26CA2AFE">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合规性</w:t>
            </w:r>
          </w:p>
        </w:tc>
        <w:tc>
          <w:tcPr>
            <w:tcW w:w="2141" w:type="dxa"/>
            <w:shd w:val="clear" w:color="auto" w:fill="auto"/>
            <w:vAlign w:val="center"/>
          </w:tcPr>
          <w:p w14:paraId="06D4869F">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项目资金使用是否符合相关的财务管理制度规定，用以反映和考核项目资金的规范运行情况。</w:t>
            </w:r>
          </w:p>
        </w:tc>
        <w:tc>
          <w:tcPr>
            <w:tcW w:w="7821" w:type="dxa"/>
            <w:shd w:val="clear" w:color="auto" w:fill="auto"/>
            <w:vAlign w:val="center"/>
          </w:tcPr>
          <w:p w14:paraId="32FC8136">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041A9D0F">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①是否符合国家财经法规和财务管理制度以及有关专项资金管理办法的规定；</w:t>
            </w:r>
          </w:p>
          <w:p w14:paraId="3B829BDD">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②资金的拨付是否有完整的审批程序和手续；</w:t>
            </w:r>
          </w:p>
          <w:p w14:paraId="5F43E05F">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③是否符合项目预算批复或合同规定的用途；</w:t>
            </w:r>
          </w:p>
          <w:p w14:paraId="58DC4517">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④是否存在截留、挤占、挪用、虚列支出等情况。</w:t>
            </w:r>
          </w:p>
        </w:tc>
        <w:tc>
          <w:tcPr>
            <w:tcW w:w="785" w:type="dxa"/>
            <w:shd w:val="clear" w:color="auto" w:fill="auto"/>
            <w:vAlign w:val="center"/>
          </w:tcPr>
          <w:p w14:paraId="3CEEA77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vAlign w:val="center"/>
          </w:tcPr>
          <w:p w14:paraId="036FDD11">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r>
      <w:tr w14:paraId="175A8C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861" w:type="dxa"/>
            <w:vMerge w:val="continue"/>
            <w:shd w:val="clear" w:color="auto" w:fill="auto"/>
            <w:vAlign w:val="center"/>
          </w:tcPr>
          <w:p w14:paraId="46E57671">
            <w:pPr>
              <w:spacing w:line="0" w:lineRule="atLeast"/>
              <w:ind w:firstLine="0" w:firstLineChars="0"/>
              <w:jc w:val="center"/>
              <w:rPr>
                <w:rFonts w:ascii="宋体" w:hAnsi="宋体" w:eastAsia="宋体" w:cs="宋体"/>
                <w:color w:val="auto"/>
                <w:kern w:val="0"/>
                <w:sz w:val="22"/>
                <w:szCs w:val="22"/>
                <w:highlight w:val="none"/>
              </w:rPr>
            </w:pPr>
          </w:p>
        </w:tc>
        <w:tc>
          <w:tcPr>
            <w:tcW w:w="727" w:type="dxa"/>
            <w:vMerge w:val="restart"/>
            <w:shd w:val="clear" w:color="auto" w:fill="auto"/>
            <w:vAlign w:val="center"/>
          </w:tcPr>
          <w:p w14:paraId="119DE32F">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组织实施</w:t>
            </w:r>
          </w:p>
          <w:p w14:paraId="629DB215">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20" w:type="dxa"/>
            <w:shd w:val="clear" w:color="auto" w:fill="auto"/>
            <w:vAlign w:val="center"/>
          </w:tcPr>
          <w:p w14:paraId="47D5C953">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管理制度</w:t>
            </w:r>
          </w:p>
          <w:p w14:paraId="69E73569">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健全性</w:t>
            </w:r>
          </w:p>
        </w:tc>
        <w:tc>
          <w:tcPr>
            <w:tcW w:w="2141" w:type="dxa"/>
            <w:shd w:val="clear" w:color="auto" w:fill="auto"/>
            <w:vAlign w:val="center"/>
          </w:tcPr>
          <w:p w14:paraId="39F24DD8">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项目实施单位的财务和业务管理制度是否健全，用以反映和考核财务和业务管理制度对项目顺利实施的保障情况。</w:t>
            </w:r>
          </w:p>
        </w:tc>
        <w:tc>
          <w:tcPr>
            <w:tcW w:w="7821" w:type="dxa"/>
            <w:shd w:val="clear" w:color="auto" w:fill="auto"/>
            <w:vAlign w:val="center"/>
          </w:tcPr>
          <w:p w14:paraId="5B691337">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0CAB6733">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①是否已制定或具有相应的财务和业务管理制度；</w:t>
            </w:r>
          </w:p>
          <w:p w14:paraId="0DBFD304">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②财务和业务管理制度是否合法、合规、完整。</w:t>
            </w:r>
          </w:p>
        </w:tc>
        <w:tc>
          <w:tcPr>
            <w:tcW w:w="785" w:type="dxa"/>
            <w:shd w:val="clear" w:color="auto" w:fill="auto"/>
            <w:vAlign w:val="center"/>
          </w:tcPr>
          <w:p w14:paraId="25BF4C1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vAlign w:val="center"/>
          </w:tcPr>
          <w:p w14:paraId="44C53ECE">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r>
      <w:tr w14:paraId="2207D4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69" w:hRule="atLeast"/>
          <w:jc w:val="center"/>
        </w:trPr>
        <w:tc>
          <w:tcPr>
            <w:tcW w:w="861" w:type="dxa"/>
            <w:vMerge w:val="continue"/>
            <w:shd w:val="clear" w:color="auto" w:fill="auto"/>
            <w:vAlign w:val="center"/>
          </w:tcPr>
          <w:p w14:paraId="5498D4F5">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vMerge w:val="continue"/>
            <w:shd w:val="clear" w:color="auto" w:fill="auto"/>
            <w:vAlign w:val="center"/>
          </w:tcPr>
          <w:p w14:paraId="74FED19D">
            <w:pPr>
              <w:widowControl/>
              <w:spacing w:line="0" w:lineRule="atLeast"/>
              <w:ind w:firstLine="0" w:firstLineChars="0"/>
              <w:jc w:val="center"/>
              <w:rPr>
                <w:rFonts w:ascii="宋体" w:hAnsi="宋体" w:eastAsia="宋体" w:cs="宋体"/>
                <w:color w:val="auto"/>
                <w:kern w:val="0"/>
                <w:sz w:val="22"/>
                <w:szCs w:val="22"/>
                <w:highlight w:val="none"/>
              </w:rPr>
            </w:pPr>
          </w:p>
        </w:tc>
        <w:tc>
          <w:tcPr>
            <w:tcW w:w="820" w:type="dxa"/>
            <w:shd w:val="clear" w:color="auto" w:fill="auto"/>
            <w:vAlign w:val="center"/>
          </w:tcPr>
          <w:p w14:paraId="02CCBF79">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制度执行</w:t>
            </w:r>
          </w:p>
          <w:p w14:paraId="5DC45646">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有效性</w:t>
            </w:r>
          </w:p>
        </w:tc>
        <w:tc>
          <w:tcPr>
            <w:tcW w:w="2141" w:type="dxa"/>
            <w:shd w:val="clear" w:color="auto" w:fill="auto"/>
            <w:vAlign w:val="center"/>
          </w:tcPr>
          <w:p w14:paraId="66F0A33F">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项目实施是否符合相关管理规定，用以反映和考核相关管理制度的有效执行情况。</w:t>
            </w:r>
          </w:p>
        </w:tc>
        <w:tc>
          <w:tcPr>
            <w:tcW w:w="7821" w:type="dxa"/>
            <w:shd w:val="clear" w:color="auto" w:fill="auto"/>
            <w:vAlign w:val="center"/>
          </w:tcPr>
          <w:p w14:paraId="2E826ADD">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2BA61775">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①是否遵守相关法律法规和相关管理规定；</w:t>
            </w:r>
          </w:p>
          <w:p w14:paraId="7904D11A">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②项目调整及支出调整手续是否完备；</w:t>
            </w:r>
          </w:p>
          <w:p w14:paraId="5ACFD102">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③项目合同书、验收报告、技术鉴定等资料是否齐全并及时归档；</w:t>
            </w:r>
          </w:p>
          <w:p w14:paraId="153F48B6">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④项目实施的人员条件、场地设备、信息支撑等是否落实到位。</w:t>
            </w:r>
          </w:p>
        </w:tc>
        <w:tc>
          <w:tcPr>
            <w:tcW w:w="785" w:type="dxa"/>
            <w:shd w:val="clear" w:color="auto" w:fill="auto"/>
            <w:vAlign w:val="center"/>
          </w:tcPr>
          <w:p w14:paraId="2AB3581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vAlign w:val="center"/>
          </w:tcPr>
          <w:p w14:paraId="12213170">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r>
      <w:tr w14:paraId="6EB698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861" w:type="dxa"/>
            <w:vMerge w:val="restart"/>
            <w:shd w:val="clear" w:color="auto" w:fill="auto"/>
            <w:vAlign w:val="center"/>
          </w:tcPr>
          <w:p w14:paraId="4C0CC84F">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000000"/>
                <w:kern w:val="0"/>
                <w:sz w:val="22"/>
                <w:szCs w:val="22"/>
                <w:highlight w:val="none"/>
              </w:rPr>
              <w:t>产出</w:t>
            </w:r>
          </w:p>
        </w:tc>
        <w:tc>
          <w:tcPr>
            <w:tcW w:w="727" w:type="dxa"/>
            <w:vMerge w:val="restart"/>
            <w:shd w:val="clear" w:color="auto" w:fill="auto"/>
            <w:vAlign w:val="center"/>
          </w:tcPr>
          <w:p w14:paraId="31667868">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000000"/>
                <w:kern w:val="0"/>
                <w:sz w:val="22"/>
                <w:szCs w:val="22"/>
                <w:highlight w:val="none"/>
              </w:rPr>
              <w:t>数量指标</w:t>
            </w:r>
          </w:p>
        </w:tc>
        <w:tc>
          <w:tcPr>
            <w:tcW w:w="820" w:type="dxa"/>
            <w:shd w:val="clear" w:color="auto" w:fill="auto"/>
            <w:vAlign w:val="center"/>
          </w:tcPr>
          <w:p w14:paraId="17B80509">
            <w:pPr>
              <w:widowControl/>
              <w:spacing w:line="0" w:lineRule="atLeast"/>
              <w:ind w:firstLine="0" w:firstLineChars="0"/>
              <w:jc w:val="center"/>
              <w:rPr>
                <w:rFonts w:ascii="宋体" w:hAnsi="宋体" w:eastAsia="宋体" w:cs="宋体"/>
                <w:color w:val="auto"/>
                <w:kern w:val="0"/>
                <w:sz w:val="22"/>
                <w:szCs w:val="22"/>
                <w:highlight w:val="yellow"/>
              </w:rPr>
            </w:pPr>
            <w:r>
              <w:rPr>
                <w:rFonts w:hint="eastAsia" w:ascii="宋体" w:hAnsi="宋体" w:eastAsia="宋体" w:cs="宋体"/>
                <w:color w:val="000000"/>
                <w:kern w:val="0"/>
                <w:sz w:val="22"/>
                <w:szCs w:val="22"/>
                <w:highlight w:val="none"/>
              </w:rPr>
              <w:t>全民健康体检人数</w:t>
            </w:r>
          </w:p>
        </w:tc>
        <w:tc>
          <w:tcPr>
            <w:tcW w:w="2141" w:type="dxa"/>
            <w:shd w:val="clear" w:color="auto" w:fill="auto"/>
            <w:vAlign w:val="center"/>
          </w:tcPr>
          <w:p w14:paraId="24531357">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000000"/>
                <w:kern w:val="0"/>
                <w:sz w:val="22"/>
                <w:szCs w:val="22"/>
                <w:highlight w:val="none"/>
              </w:rPr>
              <w:t>项目实施的实际产出数与计划产出数的比率，用以反映和考核项目产出数量目标的实现程度。</w:t>
            </w:r>
          </w:p>
        </w:tc>
        <w:tc>
          <w:tcPr>
            <w:tcW w:w="7821" w:type="dxa"/>
            <w:shd w:val="clear" w:color="auto" w:fill="auto"/>
            <w:vAlign w:val="center"/>
          </w:tcPr>
          <w:p w14:paraId="7FC55C0D">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实际完成率=（实际产出数/计划产出数）×100%。</w:t>
            </w:r>
          </w:p>
          <w:p w14:paraId="27D99DC7">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实际产出数：一定时期（本年度或项目期）内项目实际产出的产品或提供的服务数量。</w:t>
            </w:r>
          </w:p>
          <w:p w14:paraId="0BE917EC">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000000"/>
                <w:kern w:val="0"/>
                <w:sz w:val="22"/>
                <w:szCs w:val="22"/>
              </w:rPr>
              <w:t>计划产出数：项目绩效目标确定的在一定时期（本年度或项目期）内计划产出的产品或提供的服务数量。</w:t>
            </w:r>
          </w:p>
        </w:tc>
        <w:tc>
          <w:tcPr>
            <w:tcW w:w="785" w:type="dxa"/>
            <w:shd w:val="clear" w:color="auto" w:fill="auto"/>
            <w:vAlign w:val="center"/>
          </w:tcPr>
          <w:p w14:paraId="4E09A00D">
            <w:pPr>
              <w:widowControl/>
              <w:spacing w:line="0" w:lineRule="atLeast"/>
              <w:ind w:firstLine="0" w:firstLineChars="0"/>
              <w:rPr>
                <w:rFonts w:hint="default" w:ascii="宋体" w:hAnsi="宋体" w:eastAsia="宋体" w:cs="宋体"/>
                <w:color w:val="auto"/>
                <w:kern w:val="0"/>
                <w:sz w:val="22"/>
                <w:szCs w:val="22"/>
                <w:highlight w:val="yellow"/>
                <w:lang w:val="en-US" w:eastAsia="zh-CN"/>
              </w:rPr>
            </w:pPr>
            <w:r>
              <w:rPr>
                <w:rFonts w:hint="eastAsia" w:cs="宋体"/>
                <w:color w:val="000000"/>
                <w:kern w:val="0"/>
                <w:sz w:val="22"/>
                <w:szCs w:val="22"/>
                <w:lang w:val="en-US" w:eastAsia="zh-CN"/>
              </w:rPr>
              <w:t>5</w:t>
            </w:r>
          </w:p>
        </w:tc>
        <w:tc>
          <w:tcPr>
            <w:tcW w:w="769" w:type="dxa"/>
            <w:shd w:val="clear" w:color="auto" w:fill="auto"/>
            <w:vAlign w:val="center"/>
          </w:tcPr>
          <w:p w14:paraId="56A82E4B">
            <w:pPr>
              <w:widowControl/>
              <w:spacing w:line="0" w:lineRule="atLeast"/>
              <w:ind w:firstLine="0" w:firstLineChars="0"/>
              <w:rPr>
                <w:rFonts w:hint="default" w:ascii="宋体" w:hAnsi="宋体" w:eastAsia="宋体" w:cs="宋体"/>
                <w:color w:val="auto"/>
                <w:kern w:val="0"/>
                <w:sz w:val="22"/>
                <w:szCs w:val="22"/>
                <w:highlight w:val="yellow"/>
                <w:lang w:val="en-US" w:eastAsia="zh-CN"/>
              </w:rPr>
            </w:pPr>
            <w:r>
              <w:rPr>
                <w:rFonts w:hint="eastAsia" w:cs="宋体"/>
                <w:color w:val="000000"/>
                <w:kern w:val="0"/>
                <w:sz w:val="22"/>
                <w:szCs w:val="22"/>
                <w:lang w:val="en-US" w:eastAsia="zh-CN"/>
              </w:rPr>
              <w:t>5</w:t>
            </w:r>
          </w:p>
        </w:tc>
      </w:tr>
      <w:tr w14:paraId="24B0B6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17" w:hRule="atLeast"/>
          <w:jc w:val="center"/>
        </w:trPr>
        <w:tc>
          <w:tcPr>
            <w:tcW w:w="861" w:type="dxa"/>
            <w:vMerge w:val="continue"/>
            <w:shd w:val="clear" w:color="auto" w:fill="auto"/>
            <w:vAlign w:val="center"/>
          </w:tcPr>
          <w:p w14:paraId="12F87040">
            <w:pPr>
              <w:widowControl/>
              <w:spacing w:line="0" w:lineRule="atLeast"/>
              <w:ind w:firstLine="0" w:firstLineChars="0"/>
              <w:jc w:val="center"/>
              <w:rPr>
                <w:rFonts w:hint="eastAsia" w:ascii="宋体" w:hAnsi="宋体" w:eastAsia="宋体" w:cs="宋体"/>
                <w:color w:val="auto"/>
                <w:kern w:val="0"/>
                <w:sz w:val="22"/>
                <w:szCs w:val="22"/>
                <w:highlight w:val="none"/>
              </w:rPr>
            </w:pPr>
          </w:p>
        </w:tc>
        <w:tc>
          <w:tcPr>
            <w:tcW w:w="727" w:type="dxa"/>
            <w:vMerge w:val="continue"/>
            <w:shd w:val="clear" w:color="auto" w:fill="auto"/>
            <w:vAlign w:val="center"/>
          </w:tcPr>
          <w:p w14:paraId="27744A62">
            <w:pPr>
              <w:widowControl/>
              <w:spacing w:line="0" w:lineRule="atLeast"/>
              <w:ind w:firstLine="0" w:firstLineChars="0"/>
              <w:jc w:val="center"/>
              <w:rPr>
                <w:rFonts w:hint="eastAsia" w:ascii="宋体" w:hAnsi="宋体" w:eastAsia="宋体" w:cs="宋体"/>
                <w:color w:val="auto"/>
                <w:kern w:val="0"/>
                <w:sz w:val="22"/>
                <w:szCs w:val="22"/>
                <w:highlight w:val="none"/>
              </w:rPr>
            </w:pPr>
          </w:p>
        </w:tc>
        <w:tc>
          <w:tcPr>
            <w:tcW w:w="820" w:type="dxa"/>
            <w:shd w:val="clear" w:color="auto" w:fill="auto"/>
            <w:vAlign w:val="center"/>
          </w:tcPr>
          <w:p w14:paraId="2BD16A7D">
            <w:pPr>
              <w:widowControl/>
              <w:spacing w:line="0" w:lineRule="atLeast"/>
              <w:ind w:firstLine="0" w:firstLineChars="0"/>
              <w:jc w:val="center"/>
              <w:rPr>
                <w:rFonts w:hint="eastAsia" w:ascii="宋体" w:hAnsi="宋体" w:eastAsia="宋体" w:cs="宋体"/>
                <w:color w:val="auto"/>
                <w:kern w:val="0"/>
                <w:sz w:val="22"/>
                <w:szCs w:val="22"/>
                <w:highlight w:val="yellow"/>
              </w:rPr>
            </w:pPr>
            <w:r>
              <w:rPr>
                <w:rFonts w:hint="eastAsia" w:ascii="宋体" w:hAnsi="宋体" w:eastAsia="宋体" w:cs="宋体"/>
                <w:color w:val="000000"/>
                <w:kern w:val="0"/>
                <w:sz w:val="22"/>
                <w:szCs w:val="22"/>
                <w:highlight w:val="none"/>
              </w:rPr>
              <w:t>系统录入人次</w:t>
            </w:r>
          </w:p>
        </w:tc>
        <w:tc>
          <w:tcPr>
            <w:tcW w:w="2141" w:type="dxa"/>
            <w:shd w:val="clear" w:color="auto" w:fill="auto"/>
            <w:vAlign w:val="center"/>
          </w:tcPr>
          <w:p w14:paraId="57CEE546">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000000"/>
                <w:kern w:val="0"/>
                <w:sz w:val="22"/>
                <w:szCs w:val="22"/>
                <w:highlight w:val="none"/>
              </w:rPr>
              <w:t>项目实施的实际产出数与计划产出数的比率，用以反映和考核项目产出数量目标的实现程度。</w:t>
            </w:r>
          </w:p>
        </w:tc>
        <w:tc>
          <w:tcPr>
            <w:tcW w:w="7821" w:type="dxa"/>
            <w:shd w:val="clear" w:color="auto" w:fill="auto"/>
            <w:vAlign w:val="center"/>
          </w:tcPr>
          <w:p w14:paraId="3F4A2077">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实际完成率=（实际产出数/计划产出数）×100%。</w:t>
            </w:r>
          </w:p>
          <w:p w14:paraId="247DB575">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实际产出数：一定时期（本年度或项目期）内项目实际产出的产品或提供的服务数量。</w:t>
            </w:r>
          </w:p>
          <w:p w14:paraId="00F4CB66">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000000"/>
                <w:kern w:val="0"/>
                <w:sz w:val="22"/>
                <w:szCs w:val="22"/>
              </w:rPr>
              <w:t>计划产出数：项目绩效目标确定的在一定时期（本年度或项目期）内计划产出的产品或提供的服务数量。</w:t>
            </w:r>
          </w:p>
        </w:tc>
        <w:tc>
          <w:tcPr>
            <w:tcW w:w="785" w:type="dxa"/>
            <w:shd w:val="clear" w:color="auto" w:fill="auto"/>
            <w:vAlign w:val="center"/>
          </w:tcPr>
          <w:p w14:paraId="6848244F">
            <w:pPr>
              <w:widowControl/>
              <w:spacing w:line="0" w:lineRule="atLeast"/>
              <w:ind w:firstLine="0" w:firstLineChars="0"/>
              <w:rPr>
                <w:rFonts w:hint="eastAsia" w:cs="宋体"/>
                <w:color w:val="auto"/>
                <w:kern w:val="0"/>
                <w:sz w:val="22"/>
                <w:szCs w:val="22"/>
                <w:highlight w:val="yellow"/>
                <w:lang w:val="en-US" w:eastAsia="zh-CN"/>
              </w:rPr>
            </w:pPr>
            <w:r>
              <w:rPr>
                <w:rFonts w:hint="eastAsia" w:cs="宋体"/>
                <w:color w:val="000000"/>
                <w:kern w:val="0"/>
                <w:sz w:val="22"/>
                <w:szCs w:val="22"/>
                <w:lang w:val="en-US" w:eastAsia="zh-CN"/>
              </w:rPr>
              <w:t>5</w:t>
            </w:r>
          </w:p>
        </w:tc>
        <w:tc>
          <w:tcPr>
            <w:tcW w:w="769" w:type="dxa"/>
            <w:shd w:val="clear" w:color="auto" w:fill="auto"/>
            <w:vAlign w:val="center"/>
          </w:tcPr>
          <w:p w14:paraId="50AB4D7A">
            <w:pPr>
              <w:widowControl/>
              <w:spacing w:line="0" w:lineRule="atLeast"/>
              <w:ind w:firstLine="0" w:firstLineChars="0"/>
              <w:rPr>
                <w:rFonts w:hint="eastAsia" w:cs="宋体"/>
                <w:color w:val="auto"/>
                <w:kern w:val="0"/>
                <w:sz w:val="22"/>
                <w:szCs w:val="22"/>
                <w:highlight w:val="yellow"/>
                <w:lang w:val="en-US" w:eastAsia="zh-CN"/>
              </w:rPr>
            </w:pPr>
            <w:r>
              <w:rPr>
                <w:rFonts w:hint="eastAsia" w:cs="宋体"/>
                <w:color w:val="000000"/>
                <w:kern w:val="0"/>
                <w:sz w:val="22"/>
                <w:szCs w:val="22"/>
                <w:lang w:val="en-US" w:eastAsia="zh-CN"/>
              </w:rPr>
              <w:t>5</w:t>
            </w:r>
          </w:p>
        </w:tc>
      </w:tr>
      <w:tr w14:paraId="777F26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17" w:hRule="atLeast"/>
          <w:jc w:val="center"/>
        </w:trPr>
        <w:tc>
          <w:tcPr>
            <w:tcW w:w="861" w:type="dxa"/>
            <w:vMerge w:val="continue"/>
            <w:shd w:val="clear" w:color="auto" w:fill="auto"/>
            <w:vAlign w:val="center"/>
          </w:tcPr>
          <w:p w14:paraId="4BDC7F18">
            <w:pPr>
              <w:widowControl/>
              <w:spacing w:line="0" w:lineRule="atLeast"/>
              <w:ind w:firstLine="0" w:firstLineChars="0"/>
              <w:jc w:val="center"/>
              <w:rPr>
                <w:rFonts w:hint="eastAsia" w:ascii="宋体" w:hAnsi="宋体" w:eastAsia="宋体" w:cs="宋体"/>
                <w:color w:val="auto"/>
                <w:kern w:val="0"/>
                <w:sz w:val="22"/>
                <w:szCs w:val="22"/>
                <w:highlight w:val="none"/>
              </w:rPr>
            </w:pPr>
          </w:p>
        </w:tc>
        <w:tc>
          <w:tcPr>
            <w:tcW w:w="727" w:type="dxa"/>
            <w:shd w:val="clear" w:color="auto" w:fill="auto"/>
            <w:vAlign w:val="center"/>
          </w:tcPr>
          <w:p w14:paraId="4DC01E55">
            <w:pPr>
              <w:widowControl/>
              <w:spacing w:line="0" w:lineRule="atLeast"/>
              <w:ind w:firstLine="0" w:firstLineChars="0"/>
              <w:jc w:val="center"/>
              <w:rPr>
                <w:rFonts w:hint="eastAsia" w:ascii="宋体" w:hAnsi="宋体" w:eastAsia="宋体" w:cs="宋体"/>
                <w:color w:val="auto"/>
                <w:kern w:val="0"/>
                <w:sz w:val="22"/>
                <w:szCs w:val="22"/>
                <w:highlight w:val="none"/>
                <w:lang w:eastAsia="zh-CN"/>
              </w:rPr>
            </w:pPr>
            <w:r>
              <w:rPr>
                <w:rFonts w:hint="eastAsia" w:cs="宋体"/>
                <w:color w:val="auto"/>
                <w:kern w:val="0"/>
                <w:sz w:val="22"/>
                <w:szCs w:val="22"/>
                <w:highlight w:val="none"/>
                <w:lang w:eastAsia="zh-CN"/>
              </w:rPr>
              <w:t>质量时效</w:t>
            </w:r>
          </w:p>
        </w:tc>
        <w:tc>
          <w:tcPr>
            <w:tcW w:w="820" w:type="dxa"/>
            <w:shd w:val="clear" w:color="auto" w:fill="auto"/>
            <w:vAlign w:val="center"/>
          </w:tcPr>
          <w:p w14:paraId="43AF6737">
            <w:pPr>
              <w:widowControl/>
              <w:spacing w:line="0" w:lineRule="atLeast"/>
              <w:ind w:firstLine="0" w:firstLineChars="0"/>
              <w:jc w:val="center"/>
              <w:rPr>
                <w:rFonts w:hint="eastAsia" w:ascii="宋体" w:hAnsi="宋体" w:eastAsia="宋体" w:cs="宋体"/>
                <w:color w:val="auto"/>
                <w:kern w:val="0"/>
                <w:sz w:val="22"/>
                <w:szCs w:val="22"/>
                <w:highlight w:val="yellow"/>
              </w:rPr>
            </w:pPr>
            <w:r>
              <w:rPr>
                <w:rFonts w:hint="eastAsia" w:ascii="宋体" w:hAnsi="宋体" w:eastAsia="宋体" w:cs="宋体"/>
                <w:color w:val="000000"/>
                <w:kern w:val="0"/>
                <w:sz w:val="22"/>
                <w:szCs w:val="22"/>
                <w:highlight w:val="none"/>
              </w:rPr>
              <w:t>录入合格率100%</w:t>
            </w:r>
          </w:p>
        </w:tc>
        <w:tc>
          <w:tcPr>
            <w:tcW w:w="2141" w:type="dxa"/>
            <w:shd w:val="clear" w:color="auto" w:fill="auto"/>
            <w:vAlign w:val="center"/>
          </w:tcPr>
          <w:p w14:paraId="2ABEB885">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000000"/>
                <w:kern w:val="0"/>
                <w:sz w:val="22"/>
                <w:szCs w:val="22"/>
                <w:highlight w:val="none"/>
              </w:rPr>
              <w:t>项目完成的质量达标产出数与实际产出数的比率，用以反映和考核项目产出质量目标的实现程度。</w:t>
            </w:r>
          </w:p>
        </w:tc>
        <w:tc>
          <w:tcPr>
            <w:tcW w:w="7821" w:type="dxa"/>
            <w:shd w:val="clear" w:color="auto" w:fill="auto"/>
            <w:vAlign w:val="center"/>
          </w:tcPr>
          <w:p w14:paraId="1CFE40AA">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质量达标率=（质量达标产出数/实际产出数）×100%。</w:t>
            </w:r>
          </w:p>
          <w:p w14:paraId="4A28EE26">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000000"/>
                <w:kern w:val="0"/>
                <w:sz w:val="22"/>
                <w:szCs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785" w:type="dxa"/>
            <w:shd w:val="clear" w:color="auto" w:fill="auto"/>
            <w:vAlign w:val="center"/>
          </w:tcPr>
          <w:p w14:paraId="0F2A9EA9">
            <w:pPr>
              <w:widowControl/>
              <w:spacing w:line="0" w:lineRule="atLeast"/>
              <w:ind w:firstLine="0" w:firstLineChars="0"/>
              <w:rPr>
                <w:rFonts w:hint="eastAsia" w:cs="宋体"/>
                <w:color w:val="auto"/>
                <w:kern w:val="0"/>
                <w:sz w:val="22"/>
                <w:szCs w:val="22"/>
                <w:highlight w:val="yellow"/>
                <w:lang w:val="en-US" w:eastAsia="zh-CN"/>
              </w:rPr>
            </w:pPr>
            <w:r>
              <w:rPr>
                <w:rFonts w:hint="eastAsia" w:cs="宋体"/>
                <w:color w:val="000000"/>
                <w:kern w:val="0"/>
                <w:sz w:val="22"/>
                <w:szCs w:val="22"/>
                <w:lang w:val="en-US" w:eastAsia="zh-CN"/>
              </w:rPr>
              <w:t>5</w:t>
            </w:r>
          </w:p>
        </w:tc>
        <w:tc>
          <w:tcPr>
            <w:tcW w:w="769" w:type="dxa"/>
            <w:shd w:val="clear" w:color="auto" w:fill="auto"/>
            <w:vAlign w:val="center"/>
          </w:tcPr>
          <w:p w14:paraId="50309861">
            <w:pPr>
              <w:widowControl/>
              <w:spacing w:line="0" w:lineRule="atLeast"/>
              <w:ind w:firstLine="0" w:firstLineChars="0"/>
              <w:rPr>
                <w:rFonts w:hint="eastAsia" w:cs="宋体"/>
                <w:color w:val="auto"/>
                <w:kern w:val="0"/>
                <w:sz w:val="22"/>
                <w:szCs w:val="22"/>
                <w:highlight w:val="yellow"/>
                <w:lang w:val="en-US" w:eastAsia="zh-CN"/>
              </w:rPr>
            </w:pPr>
            <w:r>
              <w:rPr>
                <w:rFonts w:hint="eastAsia" w:cs="宋体"/>
                <w:color w:val="000000"/>
                <w:kern w:val="0"/>
                <w:sz w:val="22"/>
                <w:szCs w:val="22"/>
                <w:lang w:val="en-US" w:eastAsia="zh-CN"/>
              </w:rPr>
              <w:t>5</w:t>
            </w:r>
          </w:p>
        </w:tc>
      </w:tr>
      <w:tr w14:paraId="000B4A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861" w:type="dxa"/>
            <w:vMerge w:val="restart"/>
            <w:shd w:val="clear" w:color="auto" w:fill="auto"/>
            <w:vAlign w:val="center"/>
          </w:tcPr>
          <w:p w14:paraId="3DF9A3F3">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000000"/>
                <w:kern w:val="0"/>
                <w:sz w:val="22"/>
                <w:szCs w:val="22"/>
                <w:highlight w:val="none"/>
              </w:rPr>
              <w:t>产出</w:t>
            </w:r>
          </w:p>
        </w:tc>
        <w:tc>
          <w:tcPr>
            <w:tcW w:w="727" w:type="dxa"/>
            <w:shd w:val="clear" w:color="auto" w:fill="auto"/>
            <w:vAlign w:val="center"/>
          </w:tcPr>
          <w:p w14:paraId="01A040A9">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000000"/>
                <w:kern w:val="0"/>
                <w:sz w:val="22"/>
                <w:szCs w:val="22"/>
                <w:highlight w:val="none"/>
              </w:rPr>
              <w:t>时效指标</w:t>
            </w:r>
          </w:p>
        </w:tc>
        <w:tc>
          <w:tcPr>
            <w:tcW w:w="820" w:type="dxa"/>
            <w:shd w:val="clear" w:color="auto" w:fill="auto"/>
            <w:vAlign w:val="center"/>
          </w:tcPr>
          <w:p w14:paraId="6EADD82F">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000000"/>
                <w:kern w:val="0"/>
                <w:sz w:val="22"/>
                <w:szCs w:val="22"/>
                <w:highlight w:val="none"/>
              </w:rPr>
              <w:t>完成</w:t>
            </w:r>
            <w:r>
              <w:rPr>
                <w:rFonts w:hint="eastAsia" w:cs="宋体"/>
                <w:color w:val="000000"/>
                <w:kern w:val="0"/>
                <w:sz w:val="22"/>
                <w:szCs w:val="22"/>
                <w:highlight w:val="none"/>
                <w:lang w:val="en-US" w:eastAsia="zh-CN"/>
              </w:rPr>
              <w:t>时限</w:t>
            </w:r>
          </w:p>
        </w:tc>
        <w:tc>
          <w:tcPr>
            <w:tcW w:w="2141" w:type="dxa"/>
            <w:shd w:val="clear" w:color="auto" w:fill="auto"/>
            <w:vAlign w:val="center"/>
          </w:tcPr>
          <w:p w14:paraId="475B9102">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000000"/>
                <w:kern w:val="0"/>
                <w:sz w:val="22"/>
                <w:szCs w:val="22"/>
                <w:highlight w:val="none"/>
              </w:rPr>
              <w:t>项目实际完成时间与计划完成时间的比较，用以反映和考核项目产出时效目标的实现程度。</w:t>
            </w:r>
          </w:p>
        </w:tc>
        <w:tc>
          <w:tcPr>
            <w:tcW w:w="7821" w:type="dxa"/>
            <w:shd w:val="clear" w:color="auto" w:fill="auto"/>
            <w:vAlign w:val="center"/>
          </w:tcPr>
          <w:p w14:paraId="5DA50635">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实际完成时间：项目实施单位完成该项目实际所耗用的时间。</w:t>
            </w:r>
          </w:p>
          <w:p w14:paraId="057CF5E5">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000000"/>
                <w:kern w:val="0"/>
                <w:sz w:val="22"/>
                <w:szCs w:val="22"/>
              </w:rPr>
              <w:t>计划完成时间：按照项目实施计划或相关规定完成该项目所需的时间。</w:t>
            </w:r>
          </w:p>
        </w:tc>
        <w:tc>
          <w:tcPr>
            <w:tcW w:w="785" w:type="dxa"/>
            <w:shd w:val="clear" w:color="auto" w:fill="auto"/>
            <w:vAlign w:val="center"/>
          </w:tcPr>
          <w:p w14:paraId="507AC275">
            <w:pPr>
              <w:widowControl/>
              <w:spacing w:line="0" w:lineRule="atLeast"/>
              <w:ind w:firstLine="0" w:firstLineChars="0"/>
              <w:rPr>
                <w:rFonts w:hint="eastAsia" w:cs="宋体"/>
                <w:color w:val="auto"/>
                <w:kern w:val="0"/>
                <w:sz w:val="22"/>
                <w:szCs w:val="22"/>
                <w:highlight w:val="yellow"/>
                <w:lang w:val="en-US" w:eastAsia="zh-CN"/>
              </w:rPr>
            </w:pPr>
            <w:r>
              <w:rPr>
                <w:rFonts w:hint="eastAsia" w:cs="宋体"/>
                <w:color w:val="000000"/>
                <w:kern w:val="0"/>
                <w:sz w:val="22"/>
                <w:szCs w:val="22"/>
                <w:lang w:val="en-US" w:eastAsia="zh-CN"/>
              </w:rPr>
              <w:t>5</w:t>
            </w:r>
          </w:p>
        </w:tc>
        <w:tc>
          <w:tcPr>
            <w:tcW w:w="769" w:type="dxa"/>
            <w:shd w:val="clear" w:color="auto" w:fill="auto"/>
            <w:vAlign w:val="center"/>
          </w:tcPr>
          <w:p w14:paraId="62529D51">
            <w:pPr>
              <w:widowControl/>
              <w:spacing w:line="0" w:lineRule="atLeast"/>
              <w:ind w:firstLine="0" w:firstLineChars="0"/>
              <w:rPr>
                <w:rFonts w:hint="eastAsia" w:cs="宋体"/>
                <w:color w:val="auto"/>
                <w:kern w:val="0"/>
                <w:sz w:val="22"/>
                <w:szCs w:val="22"/>
                <w:highlight w:val="yellow"/>
                <w:lang w:val="en-US" w:eastAsia="zh-CN"/>
              </w:rPr>
            </w:pPr>
            <w:r>
              <w:rPr>
                <w:rFonts w:hint="eastAsia" w:cs="宋体"/>
                <w:color w:val="000000"/>
                <w:kern w:val="0"/>
                <w:sz w:val="22"/>
                <w:szCs w:val="22"/>
                <w:lang w:val="en-US" w:eastAsia="zh-CN"/>
              </w:rPr>
              <w:t>5</w:t>
            </w:r>
          </w:p>
        </w:tc>
      </w:tr>
      <w:tr w14:paraId="05E36A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861" w:type="dxa"/>
            <w:vMerge w:val="continue"/>
            <w:shd w:val="clear" w:color="auto" w:fill="auto"/>
            <w:vAlign w:val="center"/>
          </w:tcPr>
          <w:p w14:paraId="17497473">
            <w:pPr>
              <w:spacing w:line="0" w:lineRule="atLeast"/>
              <w:ind w:firstLine="0" w:firstLineChars="0"/>
              <w:jc w:val="center"/>
              <w:rPr>
                <w:rFonts w:hint="eastAsia" w:ascii="宋体" w:hAnsi="宋体" w:eastAsia="宋体" w:cs="宋体"/>
                <w:color w:val="auto"/>
                <w:kern w:val="0"/>
                <w:sz w:val="22"/>
                <w:szCs w:val="22"/>
                <w:highlight w:val="none"/>
              </w:rPr>
            </w:pPr>
          </w:p>
        </w:tc>
        <w:tc>
          <w:tcPr>
            <w:tcW w:w="727" w:type="dxa"/>
            <w:vMerge w:val="restart"/>
            <w:shd w:val="clear" w:color="auto" w:fill="auto"/>
            <w:vAlign w:val="center"/>
          </w:tcPr>
          <w:p w14:paraId="553D0180">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cs="宋体"/>
                <w:color w:val="000000"/>
                <w:kern w:val="0"/>
                <w:sz w:val="22"/>
                <w:szCs w:val="22"/>
                <w:highlight w:val="none"/>
                <w:lang w:val="en-US" w:eastAsia="zh-CN"/>
              </w:rPr>
              <w:t>经济成本</w:t>
            </w:r>
            <w:r>
              <w:rPr>
                <w:rFonts w:hint="eastAsia" w:ascii="宋体" w:hAnsi="宋体" w:eastAsia="宋体" w:cs="宋体"/>
                <w:color w:val="000000"/>
                <w:kern w:val="0"/>
                <w:sz w:val="22"/>
                <w:szCs w:val="22"/>
                <w:highlight w:val="none"/>
              </w:rPr>
              <w:t>指标</w:t>
            </w:r>
          </w:p>
        </w:tc>
        <w:tc>
          <w:tcPr>
            <w:tcW w:w="820" w:type="dxa"/>
            <w:shd w:val="clear" w:color="auto" w:fill="auto"/>
            <w:vAlign w:val="center"/>
          </w:tcPr>
          <w:p w14:paraId="3369AC63">
            <w:pPr>
              <w:widowControl/>
              <w:spacing w:line="0" w:lineRule="atLeast"/>
              <w:ind w:firstLine="0" w:firstLineChars="0"/>
              <w:jc w:val="center"/>
              <w:rPr>
                <w:rFonts w:hint="eastAsia" w:ascii="宋体" w:hAnsi="宋体" w:eastAsia="宋体" w:cs="宋体"/>
                <w:color w:val="auto"/>
                <w:kern w:val="0"/>
                <w:sz w:val="22"/>
                <w:szCs w:val="22"/>
                <w:highlight w:val="yellow"/>
              </w:rPr>
            </w:pPr>
            <w:r>
              <w:rPr>
                <w:rFonts w:hint="eastAsia" w:ascii="宋体" w:hAnsi="宋体" w:eastAsia="宋体" w:cs="宋体"/>
                <w:color w:val="000000"/>
                <w:kern w:val="0"/>
                <w:sz w:val="22"/>
                <w:szCs w:val="22"/>
                <w:highlight w:val="none"/>
              </w:rPr>
              <w:t>体检费用补贴费用区间</w:t>
            </w:r>
          </w:p>
        </w:tc>
        <w:tc>
          <w:tcPr>
            <w:tcW w:w="2141" w:type="dxa"/>
            <w:shd w:val="clear" w:color="auto" w:fill="auto"/>
            <w:vAlign w:val="center"/>
          </w:tcPr>
          <w:p w14:paraId="3B7CF6D5">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000000"/>
                <w:kern w:val="0"/>
                <w:sz w:val="22"/>
                <w:szCs w:val="22"/>
                <w:highlight w:val="none"/>
              </w:rPr>
              <w:t>完成项目计划工作目标的实际节约成本与计划成本的比率，用以反映和考核项目的成本节约程度。</w:t>
            </w:r>
          </w:p>
        </w:tc>
        <w:tc>
          <w:tcPr>
            <w:tcW w:w="7821" w:type="dxa"/>
            <w:shd w:val="clear" w:color="auto" w:fill="auto"/>
            <w:vAlign w:val="center"/>
          </w:tcPr>
          <w:p w14:paraId="2AD58863">
            <w:pPr>
              <w:widowControl/>
              <w:spacing w:line="0" w:lineRule="atLeast"/>
              <w:ind w:firstLine="0" w:firstLineChars="0"/>
              <w:rPr>
                <w:rFonts w:hint="eastAsia" w:ascii="宋体" w:hAnsi="宋体" w:eastAsia="宋体" w:cs="宋体"/>
                <w:color w:val="000000"/>
                <w:kern w:val="0"/>
                <w:sz w:val="22"/>
                <w:szCs w:val="22"/>
                <w:lang w:eastAsia="zh-CN"/>
              </w:rPr>
            </w:pPr>
          </w:p>
          <w:p w14:paraId="10B63F36">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成本节约率=[（计划成本-实际成本）/计划成本]×100%。</w:t>
            </w:r>
          </w:p>
          <w:p w14:paraId="798E6DAF">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实际成本：项目实施单位如期、保质、保量完成既定工作目标实际所耗费的支出。</w:t>
            </w:r>
          </w:p>
          <w:p w14:paraId="45562535">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000000"/>
                <w:kern w:val="0"/>
                <w:sz w:val="22"/>
                <w:szCs w:val="22"/>
              </w:rPr>
              <w:t>计划成本：项目实施单位为完成工作目标计划安排的支出，一般以项目预算为参考。</w:t>
            </w:r>
          </w:p>
        </w:tc>
        <w:tc>
          <w:tcPr>
            <w:tcW w:w="785" w:type="dxa"/>
            <w:shd w:val="clear" w:color="auto" w:fill="auto"/>
            <w:vAlign w:val="center"/>
          </w:tcPr>
          <w:p w14:paraId="066A0FF0">
            <w:pPr>
              <w:widowControl/>
              <w:spacing w:line="0" w:lineRule="atLeast"/>
              <w:ind w:firstLine="0" w:firstLineChars="0"/>
              <w:rPr>
                <w:rFonts w:hint="eastAsia" w:cs="宋体"/>
                <w:color w:val="auto"/>
                <w:kern w:val="0"/>
                <w:sz w:val="22"/>
                <w:szCs w:val="22"/>
                <w:highlight w:val="yellow"/>
                <w:lang w:val="en-US" w:eastAsia="zh-CN"/>
              </w:rPr>
            </w:pPr>
            <w:r>
              <w:rPr>
                <w:rFonts w:hint="eastAsia" w:cs="宋体"/>
                <w:color w:val="000000"/>
                <w:kern w:val="0"/>
                <w:sz w:val="22"/>
                <w:szCs w:val="22"/>
                <w:lang w:val="en-US" w:eastAsia="zh-CN"/>
              </w:rPr>
              <w:t>5</w:t>
            </w:r>
          </w:p>
        </w:tc>
        <w:tc>
          <w:tcPr>
            <w:tcW w:w="769" w:type="dxa"/>
            <w:shd w:val="clear" w:color="auto" w:fill="auto"/>
            <w:vAlign w:val="center"/>
          </w:tcPr>
          <w:p w14:paraId="0D4E1868">
            <w:pPr>
              <w:widowControl/>
              <w:spacing w:line="0" w:lineRule="atLeast"/>
              <w:ind w:firstLine="0" w:firstLineChars="0"/>
              <w:rPr>
                <w:rFonts w:hint="eastAsia" w:cs="宋体"/>
                <w:color w:val="auto"/>
                <w:kern w:val="0"/>
                <w:sz w:val="22"/>
                <w:szCs w:val="22"/>
                <w:highlight w:val="yellow"/>
                <w:lang w:val="en-US" w:eastAsia="zh-CN"/>
              </w:rPr>
            </w:pPr>
            <w:r>
              <w:rPr>
                <w:rFonts w:hint="eastAsia" w:cs="宋体"/>
                <w:color w:val="000000"/>
                <w:kern w:val="0"/>
                <w:sz w:val="22"/>
                <w:szCs w:val="22"/>
                <w:lang w:val="en-US" w:eastAsia="zh-CN"/>
              </w:rPr>
              <w:t>5</w:t>
            </w:r>
          </w:p>
        </w:tc>
      </w:tr>
      <w:tr w14:paraId="758F25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861" w:type="dxa"/>
            <w:vMerge w:val="continue"/>
            <w:shd w:val="clear" w:color="auto" w:fill="auto"/>
            <w:vAlign w:val="center"/>
          </w:tcPr>
          <w:p w14:paraId="58C11469">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vMerge w:val="continue"/>
            <w:shd w:val="clear" w:color="auto" w:fill="auto"/>
            <w:vAlign w:val="center"/>
          </w:tcPr>
          <w:p w14:paraId="52EE667A">
            <w:pPr>
              <w:widowControl/>
              <w:spacing w:line="0" w:lineRule="atLeast"/>
              <w:ind w:firstLine="0" w:firstLineChars="0"/>
              <w:jc w:val="center"/>
              <w:rPr>
                <w:rFonts w:ascii="宋体" w:hAnsi="宋体" w:eastAsia="宋体" w:cs="宋体"/>
                <w:color w:val="auto"/>
                <w:kern w:val="0"/>
                <w:sz w:val="22"/>
                <w:szCs w:val="22"/>
                <w:highlight w:val="none"/>
              </w:rPr>
            </w:pPr>
          </w:p>
        </w:tc>
        <w:tc>
          <w:tcPr>
            <w:tcW w:w="820" w:type="dxa"/>
            <w:shd w:val="clear" w:color="auto" w:fill="auto"/>
            <w:vAlign w:val="center"/>
          </w:tcPr>
          <w:p w14:paraId="6A8CC4F3">
            <w:pPr>
              <w:widowControl/>
              <w:spacing w:line="0" w:lineRule="atLeast"/>
              <w:ind w:firstLine="0" w:firstLineChars="0"/>
              <w:jc w:val="center"/>
              <w:rPr>
                <w:rFonts w:ascii="宋体" w:hAnsi="宋体" w:eastAsia="宋体" w:cs="宋体"/>
                <w:color w:val="auto"/>
                <w:kern w:val="0"/>
                <w:sz w:val="22"/>
                <w:szCs w:val="22"/>
                <w:highlight w:val="yellow"/>
              </w:rPr>
            </w:pPr>
            <w:r>
              <w:rPr>
                <w:rFonts w:hint="eastAsia" w:ascii="宋体" w:hAnsi="宋体" w:eastAsia="宋体" w:cs="宋体"/>
                <w:color w:val="000000"/>
                <w:kern w:val="0"/>
                <w:sz w:val="22"/>
                <w:szCs w:val="22"/>
                <w:highlight w:val="none"/>
              </w:rPr>
              <w:t>全民体检投入经费</w:t>
            </w:r>
          </w:p>
        </w:tc>
        <w:tc>
          <w:tcPr>
            <w:tcW w:w="2141" w:type="dxa"/>
            <w:shd w:val="clear" w:color="auto" w:fill="auto"/>
            <w:vAlign w:val="center"/>
          </w:tcPr>
          <w:p w14:paraId="7346B25A">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000000"/>
                <w:kern w:val="0"/>
                <w:sz w:val="22"/>
                <w:szCs w:val="22"/>
                <w:highlight w:val="none"/>
              </w:rPr>
              <w:t>完成项目计划工作目标的实际节约成本与计划成本的比率，用以反映和考核项目的成本节约程度。</w:t>
            </w:r>
          </w:p>
        </w:tc>
        <w:tc>
          <w:tcPr>
            <w:tcW w:w="7821" w:type="dxa"/>
            <w:shd w:val="clear" w:color="auto" w:fill="auto"/>
            <w:vAlign w:val="center"/>
          </w:tcPr>
          <w:p w14:paraId="519FC0EE">
            <w:pPr>
              <w:widowControl/>
              <w:spacing w:line="0" w:lineRule="atLeast"/>
              <w:ind w:firstLine="0" w:firstLineChars="0"/>
              <w:rPr>
                <w:rFonts w:hint="eastAsia" w:ascii="宋体" w:hAnsi="宋体" w:eastAsia="宋体" w:cs="宋体"/>
                <w:color w:val="000000"/>
                <w:kern w:val="0"/>
                <w:sz w:val="22"/>
                <w:szCs w:val="22"/>
                <w:lang w:eastAsia="zh-CN"/>
              </w:rPr>
            </w:pPr>
          </w:p>
          <w:p w14:paraId="746DAEAA">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成本节约率=[（计划成本-实际成本）/计划成本]×100%。</w:t>
            </w:r>
          </w:p>
          <w:p w14:paraId="11D719F0">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实际成本：项目实施单位如期、保质、保量完成既定工作目标实际所耗费的支出。</w:t>
            </w:r>
          </w:p>
          <w:p w14:paraId="71D3EA9B">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000000"/>
                <w:kern w:val="0"/>
                <w:sz w:val="22"/>
                <w:szCs w:val="22"/>
              </w:rPr>
              <w:t>计划成本：项目实施单位为完成工作目标计划安排的支出，一般以项目预算为参考。</w:t>
            </w:r>
          </w:p>
        </w:tc>
        <w:tc>
          <w:tcPr>
            <w:tcW w:w="785" w:type="dxa"/>
            <w:shd w:val="clear" w:color="auto" w:fill="auto"/>
            <w:vAlign w:val="center"/>
          </w:tcPr>
          <w:p w14:paraId="416BE5BE">
            <w:pPr>
              <w:widowControl/>
              <w:spacing w:line="0" w:lineRule="atLeast"/>
              <w:ind w:firstLine="0" w:firstLineChars="0"/>
              <w:rPr>
                <w:rFonts w:hint="eastAsia" w:ascii="宋体" w:hAnsi="宋体" w:eastAsia="宋体" w:cs="宋体"/>
                <w:color w:val="auto"/>
                <w:kern w:val="0"/>
                <w:sz w:val="22"/>
                <w:szCs w:val="22"/>
                <w:highlight w:val="yellow"/>
                <w:lang w:val="en-US" w:eastAsia="zh-CN"/>
              </w:rPr>
            </w:pPr>
            <w:r>
              <w:rPr>
                <w:rFonts w:hint="eastAsia" w:cs="宋体"/>
                <w:color w:val="000000"/>
                <w:kern w:val="0"/>
                <w:sz w:val="22"/>
                <w:szCs w:val="22"/>
                <w:lang w:val="en-US" w:eastAsia="zh-CN"/>
              </w:rPr>
              <w:t>5</w:t>
            </w:r>
          </w:p>
        </w:tc>
        <w:tc>
          <w:tcPr>
            <w:tcW w:w="769" w:type="dxa"/>
            <w:shd w:val="clear" w:color="auto" w:fill="auto"/>
            <w:vAlign w:val="center"/>
          </w:tcPr>
          <w:p w14:paraId="6B799470">
            <w:pPr>
              <w:widowControl/>
              <w:spacing w:line="0" w:lineRule="atLeast"/>
              <w:ind w:firstLine="0" w:firstLineChars="0"/>
              <w:rPr>
                <w:rFonts w:hint="eastAsia" w:ascii="宋体" w:hAnsi="宋体" w:eastAsia="宋体" w:cs="宋体"/>
                <w:color w:val="auto"/>
                <w:kern w:val="0"/>
                <w:sz w:val="22"/>
                <w:szCs w:val="22"/>
                <w:highlight w:val="yellow"/>
                <w:lang w:val="en-US" w:eastAsia="zh-CN"/>
              </w:rPr>
            </w:pPr>
            <w:r>
              <w:rPr>
                <w:rFonts w:hint="eastAsia" w:cs="宋体"/>
                <w:color w:val="000000"/>
                <w:kern w:val="0"/>
                <w:sz w:val="22"/>
                <w:szCs w:val="22"/>
                <w:lang w:val="en-US" w:eastAsia="zh-CN"/>
              </w:rPr>
              <w:t>5</w:t>
            </w:r>
          </w:p>
        </w:tc>
      </w:tr>
      <w:tr w14:paraId="1D1D5B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506" w:hRule="atLeast"/>
          <w:jc w:val="center"/>
        </w:trPr>
        <w:tc>
          <w:tcPr>
            <w:tcW w:w="861" w:type="dxa"/>
            <w:shd w:val="clear" w:color="auto" w:fill="auto"/>
            <w:vAlign w:val="center"/>
          </w:tcPr>
          <w:p w14:paraId="37534F37">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shd w:val="clear" w:color="auto" w:fill="auto"/>
            <w:vAlign w:val="center"/>
          </w:tcPr>
          <w:p w14:paraId="0A144776">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cs="宋体"/>
                <w:color w:val="000000"/>
                <w:kern w:val="0"/>
                <w:sz w:val="22"/>
                <w:szCs w:val="22"/>
                <w:highlight w:val="none"/>
                <w:lang w:val="en-US" w:eastAsia="zh-CN"/>
              </w:rPr>
              <w:t>效益指标</w:t>
            </w:r>
          </w:p>
        </w:tc>
        <w:tc>
          <w:tcPr>
            <w:tcW w:w="820" w:type="dxa"/>
            <w:shd w:val="clear" w:color="auto" w:fill="auto"/>
            <w:vAlign w:val="center"/>
          </w:tcPr>
          <w:p w14:paraId="1E628BD3">
            <w:pPr>
              <w:widowControl/>
              <w:spacing w:line="0" w:lineRule="atLeast"/>
              <w:ind w:firstLine="0" w:firstLineChars="0"/>
              <w:jc w:val="center"/>
              <w:rPr>
                <w:rFonts w:ascii="宋体" w:hAnsi="宋体" w:eastAsia="宋体" w:cs="宋体"/>
                <w:color w:val="auto"/>
                <w:kern w:val="0"/>
                <w:sz w:val="22"/>
                <w:szCs w:val="22"/>
                <w:highlight w:val="yellow"/>
              </w:rPr>
            </w:pPr>
            <w:r>
              <w:rPr>
                <w:rFonts w:hint="eastAsia" w:ascii="宋体" w:hAnsi="宋体" w:eastAsia="宋体" w:cs="宋体"/>
                <w:color w:val="000000"/>
                <w:kern w:val="0"/>
                <w:sz w:val="22"/>
                <w:szCs w:val="22"/>
                <w:highlight w:val="none"/>
              </w:rPr>
              <w:t>提高全民健康意识和水平</w:t>
            </w:r>
          </w:p>
        </w:tc>
        <w:tc>
          <w:tcPr>
            <w:tcW w:w="2141" w:type="dxa"/>
            <w:shd w:val="clear" w:color="auto" w:fill="auto"/>
            <w:vAlign w:val="center"/>
          </w:tcPr>
          <w:p w14:paraId="482BB393">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000000"/>
                <w:kern w:val="0"/>
                <w:sz w:val="22"/>
                <w:szCs w:val="22"/>
                <w:highlight w:val="none"/>
              </w:rPr>
              <w:t>项目实施所产生的效益。</w:t>
            </w:r>
          </w:p>
        </w:tc>
        <w:tc>
          <w:tcPr>
            <w:tcW w:w="7821" w:type="dxa"/>
            <w:shd w:val="clear" w:color="auto" w:fill="auto"/>
            <w:vAlign w:val="center"/>
          </w:tcPr>
          <w:p w14:paraId="7A7EECCE">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000000"/>
                <w:kern w:val="0"/>
                <w:sz w:val="22"/>
                <w:szCs w:val="22"/>
              </w:rPr>
              <w:t>项目实施所产生的社会效益、经济效益、生态效益、可持续影响等。可根据项目实际情况有选择地设置和细化。</w:t>
            </w:r>
          </w:p>
        </w:tc>
        <w:tc>
          <w:tcPr>
            <w:tcW w:w="785" w:type="dxa"/>
            <w:shd w:val="clear" w:color="auto" w:fill="auto"/>
            <w:vAlign w:val="center"/>
          </w:tcPr>
          <w:p w14:paraId="5E97282F">
            <w:pPr>
              <w:widowControl/>
              <w:spacing w:line="0" w:lineRule="atLeast"/>
              <w:ind w:firstLine="0" w:firstLineChars="0"/>
              <w:rPr>
                <w:rFonts w:hint="eastAsia" w:ascii="宋体" w:hAnsi="宋体" w:eastAsia="宋体" w:cs="宋体"/>
                <w:color w:val="auto"/>
                <w:kern w:val="0"/>
                <w:sz w:val="22"/>
                <w:szCs w:val="22"/>
                <w:highlight w:val="yellow"/>
                <w:lang w:val="en-US" w:eastAsia="zh-CN"/>
              </w:rPr>
            </w:pPr>
            <w:r>
              <w:rPr>
                <w:rFonts w:hint="eastAsia" w:cs="宋体"/>
                <w:color w:val="000000"/>
                <w:kern w:val="0"/>
                <w:sz w:val="22"/>
                <w:szCs w:val="22"/>
                <w:lang w:val="en-US" w:eastAsia="zh-CN"/>
              </w:rPr>
              <w:t>15</w:t>
            </w:r>
          </w:p>
        </w:tc>
        <w:tc>
          <w:tcPr>
            <w:tcW w:w="769" w:type="dxa"/>
            <w:shd w:val="clear" w:color="auto" w:fill="auto"/>
            <w:vAlign w:val="center"/>
          </w:tcPr>
          <w:p w14:paraId="33B2F5BB">
            <w:pPr>
              <w:widowControl/>
              <w:spacing w:line="0" w:lineRule="atLeast"/>
              <w:ind w:firstLine="0" w:firstLineChars="0"/>
              <w:rPr>
                <w:rFonts w:hint="eastAsia" w:ascii="宋体" w:hAnsi="宋体" w:eastAsia="宋体" w:cs="宋体"/>
                <w:color w:val="auto"/>
                <w:kern w:val="0"/>
                <w:sz w:val="22"/>
                <w:szCs w:val="22"/>
                <w:highlight w:val="yellow"/>
                <w:lang w:val="en-US" w:eastAsia="zh-CN"/>
              </w:rPr>
            </w:pPr>
            <w:r>
              <w:rPr>
                <w:rFonts w:hint="eastAsia" w:cs="宋体"/>
                <w:color w:val="000000"/>
                <w:kern w:val="0"/>
                <w:sz w:val="22"/>
                <w:szCs w:val="22"/>
                <w:lang w:val="en-US" w:eastAsia="zh-CN"/>
              </w:rPr>
              <w:t>15</w:t>
            </w:r>
          </w:p>
        </w:tc>
      </w:tr>
      <w:tr w14:paraId="0D6D1B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861" w:type="dxa"/>
            <w:shd w:val="clear" w:color="auto" w:fill="auto"/>
            <w:vAlign w:val="center"/>
          </w:tcPr>
          <w:p w14:paraId="04DCEC9F">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shd w:val="clear" w:color="auto" w:fill="auto"/>
            <w:vAlign w:val="center"/>
          </w:tcPr>
          <w:p w14:paraId="6041D0CD">
            <w:pPr>
              <w:keepNext w:val="0"/>
              <w:keepLines w:val="0"/>
              <w:widowControl/>
              <w:suppressLineNumbers w:val="0"/>
              <w:ind w:left="0" w:leftChars="0" w:firstLine="0" w:firstLineChars="0"/>
              <w:jc w:val="both"/>
              <w:textAlignment w:val="center"/>
              <w:rPr>
                <w:rFonts w:ascii="宋体" w:hAnsi="宋体" w:eastAsia="宋体" w:cs="宋体"/>
                <w:color w:val="auto"/>
                <w:kern w:val="0"/>
                <w:sz w:val="22"/>
                <w:szCs w:val="22"/>
                <w:highlight w:val="none"/>
              </w:rPr>
            </w:pPr>
            <w:r>
              <w:rPr>
                <w:rFonts w:hint="eastAsia" w:cs="宋体"/>
                <w:color w:val="000000"/>
                <w:kern w:val="0"/>
                <w:sz w:val="22"/>
                <w:szCs w:val="22"/>
                <w:highlight w:val="none"/>
                <w:lang w:val="en-US" w:eastAsia="zh-CN"/>
              </w:rPr>
              <w:t>满意度指标</w:t>
            </w:r>
          </w:p>
        </w:tc>
        <w:tc>
          <w:tcPr>
            <w:tcW w:w="820" w:type="dxa"/>
            <w:shd w:val="clear" w:color="auto" w:fill="auto"/>
            <w:vAlign w:val="center"/>
          </w:tcPr>
          <w:p w14:paraId="09F0632D">
            <w:pPr>
              <w:widowControl/>
              <w:spacing w:line="0" w:lineRule="atLeast"/>
              <w:ind w:firstLine="0" w:firstLineChars="0"/>
              <w:jc w:val="center"/>
              <w:rPr>
                <w:rFonts w:ascii="宋体" w:hAnsi="宋体" w:eastAsia="宋体" w:cs="宋体"/>
                <w:color w:val="auto"/>
                <w:kern w:val="0"/>
                <w:sz w:val="22"/>
                <w:szCs w:val="22"/>
                <w:highlight w:val="yellow"/>
              </w:rPr>
            </w:pPr>
            <w:r>
              <w:rPr>
                <w:rFonts w:hint="eastAsia" w:cs="宋体"/>
                <w:color w:val="000000"/>
                <w:kern w:val="0"/>
                <w:sz w:val="22"/>
                <w:szCs w:val="22"/>
                <w:highlight w:val="none"/>
                <w:lang w:val="en-US" w:eastAsia="zh-CN"/>
              </w:rPr>
              <w:t>体检居民</w:t>
            </w:r>
            <w:r>
              <w:rPr>
                <w:rFonts w:hint="eastAsia" w:ascii="宋体" w:hAnsi="宋体" w:eastAsia="宋体" w:cs="宋体"/>
                <w:color w:val="000000"/>
                <w:kern w:val="0"/>
                <w:sz w:val="22"/>
                <w:szCs w:val="22"/>
                <w:highlight w:val="none"/>
              </w:rPr>
              <w:t>满意度</w:t>
            </w:r>
          </w:p>
        </w:tc>
        <w:tc>
          <w:tcPr>
            <w:tcW w:w="2141" w:type="dxa"/>
            <w:shd w:val="clear" w:color="auto" w:fill="auto"/>
            <w:vAlign w:val="center"/>
          </w:tcPr>
          <w:p w14:paraId="79B85FF2">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000000"/>
                <w:kern w:val="0"/>
                <w:sz w:val="22"/>
                <w:szCs w:val="22"/>
                <w:highlight w:val="none"/>
              </w:rPr>
              <w:t>社会公众或服务对象对项目实施效果的满意程度。</w:t>
            </w:r>
          </w:p>
        </w:tc>
        <w:tc>
          <w:tcPr>
            <w:tcW w:w="7821" w:type="dxa"/>
            <w:shd w:val="clear" w:color="auto" w:fill="auto"/>
            <w:vAlign w:val="center"/>
          </w:tcPr>
          <w:p w14:paraId="067D3226">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000000"/>
                <w:kern w:val="0"/>
                <w:sz w:val="22"/>
                <w:szCs w:val="22"/>
              </w:rPr>
              <w:t>社会公众或服务对象是指因该项目实施而受到影响的部门（单位）、群体或个人。一般采取社会调查的方式。</w:t>
            </w:r>
          </w:p>
        </w:tc>
        <w:tc>
          <w:tcPr>
            <w:tcW w:w="785" w:type="dxa"/>
            <w:shd w:val="clear" w:color="auto" w:fill="auto"/>
            <w:vAlign w:val="center"/>
          </w:tcPr>
          <w:p w14:paraId="4CD103A0">
            <w:pPr>
              <w:widowControl/>
              <w:spacing w:line="0" w:lineRule="atLeast"/>
              <w:ind w:firstLine="0" w:firstLineChars="0"/>
              <w:rPr>
                <w:rFonts w:hint="default" w:ascii="宋体" w:hAnsi="宋体" w:eastAsia="宋体" w:cs="宋体"/>
                <w:color w:val="auto"/>
                <w:kern w:val="0"/>
                <w:sz w:val="22"/>
                <w:szCs w:val="22"/>
                <w:highlight w:val="yellow"/>
                <w:lang w:val="en-US" w:eastAsia="zh-CN"/>
              </w:rPr>
            </w:pPr>
            <w:r>
              <w:rPr>
                <w:rFonts w:hint="eastAsia" w:cs="宋体"/>
                <w:color w:val="000000"/>
                <w:kern w:val="0"/>
                <w:sz w:val="22"/>
                <w:szCs w:val="22"/>
                <w:lang w:val="en-US" w:eastAsia="zh-CN"/>
              </w:rPr>
              <w:t>15</w:t>
            </w:r>
          </w:p>
        </w:tc>
        <w:tc>
          <w:tcPr>
            <w:tcW w:w="769" w:type="dxa"/>
            <w:shd w:val="clear" w:color="auto" w:fill="auto"/>
            <w:vAlign w:val="center"/>
          </w:tcPr>
          <w:p w14:paraId="7AE95107">
            <w:pPr>
              <w:widowControl/>
              <w:spacing w:line="0" w:lineRule="atLeast"/>
              <w:ind w:firstLine="0" w:firstLineChars="0"/>
              <w:rPr>
                <w:rFonts w:hint="default" w:ascii="宋体" w:hAnsi="宋体" w:eastAsia="宋体" w:cs="宋体"/>
                <w:color w:val="auto"/>
                <w:kern w:val="0"/>
                <w:sz w:val="22"/>
                <w:szCs w:val="22"/>
                <w:highlight w:val="yellow"/>
                <w:lang w:val="en-US" w:eastAsia="zh-CN"/>
              </w:rPr>
            </w:pPr>
            <w:r>
              <w:rPr>
                <w:rFonts w:hint="eastAsia" w:cs="宋体"/>
                <w:color w:val="000000"/>
                <w:kern w:val="0"/>
                <w:sz w:val="22"/>
                <w:szCs w:val="22"/>
                <w:lang w:val="en-US" w:eastAsia="zh-CN"/>
              </w:rPr>
              <w:t>15</w:t>
            </w:r>
          </w:p>
        </w:tc>
      </w:tr>
      <w:tr w14:paraId="5AE9B4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7" w:hRule="atLeast"/>
          <w:jc w:val="center"/>
        </w:trPr>
        <w:tc>
          <w:tcPr>
            <w:tcW w:w="4549" w:type="dxa"/>
            <w:gridSpan w:val="4"/>
            <w:shd w:val="clear" w:color="auto" w:fill="auto"/>
            <w:vAlign w:val="center"/>
          </w:tcPr>
          <w:p w14:paraId="14948A03">
            <w:pPr>
              <w:widowControl/>
              <w:spacing w:line="0" w:lineRule="atLeast"/>
              <w:ind w:firstLine="0" w:firstLineChars="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合计</w:t>
            </w:r>
          </w:p>
        </w:tc>
        <w:tc>
          <w:tcPr>
            <w:tcW w:w="7821" w:type="dxa"/>
            <w:shd w:val="clear" w:color="auto" w:fill="auto"/>
            <w:vAlign w:val="center"/>
          </w:tcPr>
          <w:p w14:paraId="7F238B37">
            <w:pPr>
              <w:widowControl/>
              <w:spacing w:line="0" w:lineRule="atLeast"/>
              <w:ind w:firstLine="0" w:firstLineChars="0"/>
              <w:rPr>
                <w:rFonts w:hint="eastAsia" w:ascii="宋体" w:hAnsi="宋体" w:eastAsia="宋体" w:cs="宋体"/>
                <w:color w:val="auto"/>
                <w:kern w:val="0"/>
                <w:sz w:val="22"/>
                <w:szCs w:val="22"/>
                <w:highlight w:val="none"/>
              </w:rPr>
            </w:pPr>
          </w:p>
        </w:tc>
        <w:tc>
          <w:tcPr>
            <w:tcW w:w="785" w:type="dxa"/>
            <w:shd w:val="clear" w:color="auto" w:fill="auto"/>
            <w:vAlign w:val="center"/>
          </w:tcPr>
          <w:p w14:paraId="252ED7FC">
            <w:pPr>
              <w:widowControl/>
              <w:spacing w:line="0" w:lineRule="atLeast"/>
              <w:ind w:firstLine="0" w:firstLineChars="0"/>
              <w:jc w:val="center"/>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100</w:t>
            </w:r>
          </w:p>
        </w:tc>
        <w:tc>
          <w:tcPr>
            <w:tcW w:w="769" w:type="dxa"/>
            <w:shd w:val="clear" w:color="auto" w:fill="auto"/>
            <w:vAlign w:val="center"/>
          </w:tcPr>
          <w:p w14:paraId="0652ADDB">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99</w:t>
            </w:r>
          </w:p>
        </w:tc>
      </w:tr>
    </w:tbl>
    <w:p w14:paraId="6ECF339B">
      <w:pPr>
        <w:spacing w:line="240" w:lineRule="auto"/>
        <w:ind w:firstLine="0" w:firstLineChars="0"/>
        <w:rPr>
          <w:rFonts w:ascii="Times New Roman" w:hAnsi="Times New Roman" w:eastAsia="仿宋_GB2312" w:cs="Times New Roman"/>
          <w:color w:val="auto"/>
          <w:sz w:val="30"/>
          <w:szCs w:val="24"/>
          <w:highlight w:val="none"/>
        </w:rPr>
      </w:pPr>
    </w:p>
    <w:p w14:paraId="240671B7">
      <w:pPr>
        <w:rPr>
          <w:rFonts w:hint="default"/>
          <w:color w:val="auto"/>
          <w:highlight w:val="none"/>
          <w:lang w:val="en-US" w:eastAsia="zh-CN"/>
        </w:rPr>
      </w:pPr>
    </w:p>
    <w:sectPr>
      <w:pgSz w:w="16838" w:h="11906" w:orient="landscape"/>
      <w:pgMar w:top="1800" w:right="1440" w:bottom="1800" w:left="1440" w:header="737" w:footer="851" w:gutter="0"/>
      <w:pgNumType w:fmt="decimal"/>
      <w:cols w:space="720"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75305">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4D462">
                          <w:pPr>
                            <w:pStyle w:val="10"/>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E4D462">
                    <w:pPr>
                      <w:pStyle w:val="10"/>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C92B9"/>
    <w:multiLevelType w:val="singleLevel"/>
    <w:tmpl w:val="826C92B9"/>
    <w:lvl w:ilvl="0" w:tentative="0">
      <w:start w:val="2"/>
      <w:numFmt w:val="chineseCounting"/>
      <w:suff w:val="nothing"/>
      <w:lvlText w:val="（%1）"/>
      <w:lvlJc w:val="left"/>
      <w:pPr>
        <w:ind w:left="-404"/>
      </w:pPr>
      <w:rPr>
        <w:rFonts w:hint="eastAsia"/>
      </w:rPr>
    </w:lvl>
  </w:abstractNum>
  <w:abstractNum w:abstractNumId="1">
    <w:nsid w:val="1FFA6D59"/>
    <w:multiLevelType w:val="singleLevel"/>
    <w:tmpl w:val="1FFA6D59"/>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hNzIwMTU3YTRiZGFmNmQzZjIzZGVlNTEwZTE2MjkifQ=="/>
  </w:docVars>
  <w:rsids>
    <w:rsidRoot w:val="68291A1A"/>
    <w:rsid w:val="006F69AF"/>
    <w:rsid w:val="007D6A04"/>
    <w:rsid w:val="00E23C81"/>
    <w:rsid w:val="01253350"/>
    <w:rsid w:val="01282E62"/>
    <w:rsid w:val="014029CF"/>
    <w:rsid w:val="01470C4C"/>
    <w:rsid w:val="01E1516C"/>
    <w:rsid w:val="02200440"/>
    <w:rsid w:val="02284B43"/>
    <w:rsid w:val="02B015E2"/>
    <w:rsid w:val="02DC08FA"/>
    <w:rsid w:val="033B569D"/>
    <w:rsid w:val="039C3BA0"/>
    <w:rsid w:val="03A845BB"/>
    <w:rsid w:val="03B45AD1"/>
    <w:rsid w:val="03F66D0E"/>
    <w:rsid w:val="04906F0D"/>
    <w:rsid w:val="04D12EE4"/>
    <w:rsid w:val="04D63993"/>
    <w:rsid w:val="06511D9A"/>
    <w:rsid w:val="07890F4F"/>
    <w:rsid w:val="0806445A"/>
    <w:rsid w:val="084C7B2B"/>
    <w:rsid w:val="08892439"/>
    <w:rsid w:val="08EB30F3"/>
    <w:rsid w:val="09237408"/>
    <w:rsid w:val="09781BD6"/>
    <w:rsid w:val="09F359DF"/>
    <w:rsid w:val="0A575E65"/>
    <w:rsid w:val="0ACA0AB6"/>
    <w:rsid w:val="0C032502"/>
    <w:rsid w:val="0C27698C"/>
    <w:rsid w:val="0D4452F3"/>
    <w:rsid w:val="0F5E5042"/>
    <w:rsid w:val="0FE95707"/>
    <w:rsid w:val="10510571"/>
    <w:rsid w:val="10787A20"/>
    <w:rsid w:val="108672DE"/>
    <w:rsid w:val="10EC685A"/>
    <w:rsid w:val="11FA6155"/>
    <w:rsid w:val="12CF0947"/>
    <w:rsid w:val="12F1313F"/>
    <w:rsid w:val="136C678E"/>
    <w:rsid w:val="13A65784"/>
    <w:rsid w:val="13EB2FF5"/>
    <w:rsid w:val="14D32AEC"/>
    <w:rsid w:val="15A46B04"/>
    <w:rsid w:val="15B115FA"/>
    <w:rsid w:val="165825BC"/>
    <w:rsid w:val="16BC5D73"/>
    <w:rsid w:val="171D7914"/>
    <w:rsid w:val="176F36D7"/>
    <w:rsid w:val="1795226D"/>
    <w:rsid w:val="18456B1E"/>
    <w:rsid w:val="196D1144"/>
    <w:rsid w:val="1C1171C5"/>
    <w:rsid w:val="1CFB4B98"/>
    <w:rsid w:val="1D265138"/>
    <w:rsid w:val="1D7B6BCA"/>
    <w:rsid w:val="1DA41A79"/>
    <w:rsid w:val="1DF53469"/>
    <w:rsid w:val="1E2F24F2"/>
    <w:rsid w:val="1E58492F"/>
    <w:rsid w:val="1E5B6757"/>
    <w:rsid w:val="1ED10AC6"/>
    <w:rsid w:val="1F4B59E0"/>
    <w:rsid w:val="1F89225F"/>
    <w:rsid w:val="1F900A1F"/>
    <w:rsid w:val="1FC0575D"/>
    <w:rsid w:val="206132C7"/>
    <w:rsid w:val="21B00C1D"/>
    <w:rsid w:val="224B2454"/>
    <w:rsid w:val="23031BEB"/>
    <w:rsid w:val="23917691"/>
    <w:rsid w:val="244D65B8"/>
    <w:rsid w:val="245E1E24"/>
    <w:rsid w:val="24857B78"/>
    <w:rsid w:val="25AD5E5D"/>
    <w:rsid w:val="26B82E4D"/>
    <w:rsid w:val="2732478D"/>
    <w:rsid w:val="27661469"/>
    <w:rsid w:val="27900EAD"/>
    <w:rsid w:val="279B538A"/>
    <w:rsid w:val="27D1540D"/>
    <w:rsid w:val="286F545C"/>
    <w:rsid w:val="290B3B64"/>
    <w:rsid w:val="29314FBC"/>
    <w:rsid w:val="2A870DFE"/>
    <w:rsid w:val="2C024B86"/>
    <w:rsid w:val="2C927671"/>
    <w:rsid w:val="2D7C5CD6"/>
    <w:rsid w:val="2E483E7E"/>
    <w:rsid w:val="2E690493"/>
    <w:rsid w:val="2E9854BD"/>
    <w:rsid w:val="2F0D407F"/>
    <w:rsid w:val="2F454B19"/>
    <w:rsid w:val="30067578"/>
    <w:rsid w:val="310224D9"/>
    <w:rsid w:val="31AF3B80"/>
    <w:rsid w:val="31B4621C"/>
    <w:rsid w:val="31E3230A"/>
    <w:rsid w:val="32F82938"/>
    <w:rsid w:val="330957E0"/>
    <w:rsid w:val="33356F64"/>
    <w:rsid w:val="33944516"/>
    <w:rsid w:val="34B62907"/>
    <w:rsid w:val="36840989"/>
    <w:rsid w:val="36BD137C"/>
    <w:rsid w:val="376D739B"/>
    <w:rsid w:val="382E6BE6"/>
    <w:rsid w:val="385D37E7"/>
    <w:rsid w:val="38782EDD"/>
    <w:rsid w:val="38DB3179"/>
    <w:rsid w:val="3B42664A"/>
    <w:rsid w:val="3B512C60"/>
    <w:rsid w:val="3C4669FE"/>
    <w:rsid w:val="3D836A4E"/>
    <w:rsid w:val="3EA37E97"/>
    <w:rsid w:val="3FBE0BC5"/>
    <w:rsid w:val="4048103A"/>
    <w:rsid w:val="40736643"/>
    <w:rsid w:val="40D24A7A"/>
    <w:rsid w:val="42621029"/>
    <w:rsid w:val="43085765"/>
    <w:rsid w:val="435241E2"/>
    <w:rsid w:val="43975C51"/>
    <w:rsid w:val="439E3FA7"/>
    <w:rsid w:val="43CA4B47"/>
    <w:rsid w:val="44B32266"/>
    <w:rsid w:val="44FC64F4"/>
    <w:rsid w:val="45981372"/>
    <w:rsid w:val="467F4585"/>
    <w:rsid w:val="470628CB"/>
    <w:rsid w:val="47555BD4"/>
    <w:rsid w:val="47E96399"/>
    <w:rsid w:val="482478D5"/>
    <w:rsid w:val="482C4B23"/>
    <w:rsid w:val="48E12B50"/>
    <w:rsid w:val="499441BE"/>
    <w:rsid w:val="499A6C1C"/>
    <w:rsid w:val="4A2138F0"/>
    <w:rsid w:val="4A583887"/>
    <w:rsid w:val="4A8B5907"/>
    <w:rsid w:val="4B9F6E02"/>
    <w:rsid w:val="4C22374F"/>
    <w:rsid w:val="4C89637B"/>
    <w:rsid w:val="4E6E48A8"/>
    <w:rsid w:val="4EEC036B"/>
    <w:rsid w:val="501D2673"/>
    <w:rsid w:val="50C80BF1"/>
    <w:rsid w:val="51506CA8"/>
    <w:rsid w:val="51852833"/>
    <w:rsid w:val="523309FA"/>
    <w:rsid w:val="52F11AC8"/>
    <w:rsid w:val="534F49D9"/>
    <w:rsid w:val="53555F0F"/>
    <w:rsid w:val="535D23D5"/>
    <w:rsid w:val="54DE6469"/>
    <w:rsid w:val="56915481"/>
    <w:rsid w:val="56F4341A"/>
    <w:rsid w:val="575A7321"/>
    <w:rsid w:val="580C3AB9"/>
    <w:rsid w:val="583C7AE0"/>
    <w:rsid w:val="586C1E9A"/>
    <w:rsid w:val="586E0800"/>
    <w:rsid w:val="59216F96"/>
    <w:rsid w:val="5982167F"/>
    <w:rsid w:val="598C4145"/>
    <w:rsid w:val="59957D1B"/>
    <w:rsid w:val="59D4294E"/>
    <w:rsid w:val="5B634312"/>
    <w:rsid w:val="5B9D2CCD"/>
    <w:rsid w:val="5B9E71EA"/>
    <w:rsid w:val="5BCD5931"/>
    <w:rsid w:val="5D930F11"/>
    <w:rsid w:val="5E226FBC"/>
    <w:rsid w:val="5FE72BD2"/>
    <w:rsid w:val="60120613"/>
    <w:rsid w:val="60840DC4"/>
    <w:rsid w:val="618767D8"/>
    <w:rsid w:val="618D5292"/>
    <w:rsid w:val="622326C1"/>
    <w:rsid w:val="622E78FA"/>
    <w:rsid w:val="63343F70"/>
    <w:rsid w:val="63A55989"/>
    <w:rsid w:val="64296E1C"/>
    <w:rsid w:val="649E64A2"/>
    <w:rsid w:val="65E5270A"/>
    <w:rsid w:val="663D3C54"/>
    <w:rsid w:val="66862C89"/>
    <w:rsid w:val="66BB486D"/>
    <w:rsid w:val="67394C7D"/>
    <w:rsid w:val="68126B38"/>
    <w:rsid w:val="68291A1A"/>
    <w:rsid w:val="68352BB8"/>
    <w:rsid w:val="691B1594"/>
    <w:rsid w:val="693A016B"/>
    <w:rsid w:val="69B63885"/>
    <w:rsid w:val="6A17429C"/>
    <w:rsid w:val="6A567EA3"/>
    <w:rsid w:val="6B4B4368"/>
    <w:rsid w:val="6B79100E"/>
    <w:rsid w:val="6C844C00"/>
    <w:rsid w:val="6CF33ACD"/>
    <w:rsid w:val="6E10212C"/>
    <w:rsid w:val="6E43561A"/>
    <w:rsid w:val="6E557973"/>
    <w:rsid w:val="6E9568DB"/>
    <w:rsid w:val="6F0D6C22"/>
    <w:rsid w:val="6F47657F"/>
    <w:rsid w:val="6FAF23D9"/>
    <w:rsid w:val="70635CF6"/>
    <w:rsid w:val="70670707"/>
    <w:rsid w:val="716360A0"/>
    <w:rsid w:val="720E3691"/>
    <w:rsid w:val="724E244C"/>
    <w:rsid w:val="72DA6946"/>
    <w:rsid w:val="732764B3"/>
    <w:rsid w:val="74026044"/>
    <w:rsid w:val="74746410"/>
    <w:rsid w:val="75E5007C"/>
    <w:rsid w:val="77813724"/>
    <w:rsid w:val="77861774"/>
    <w:rsid w:val="78F31435"/>
    <w:rsid w:val="79300B45"/>
    <w:rsid w:val="794D3E18"/>
    <w:rsid w:val="79E00438"/>
    <w:rsid w:val="79F3729A"/>
    <w:rsid w:val="7A880722"/>
    <w:rsid w:val="7ACB0498"/>
    <w:rsid w:val="7AED0B4D"/>
    <w:rsid w:val="7B736040"/>
    <w:rsid w:val="7C1E4487"/>
    <w:rsid w:val="7C215E02"/>
    <w:rsid w:val="7C3F79E7"/>
    <w:rsid w:val="7CF23764"/>
    <w:rsid w:val="7DD93F05"/>
    <w:rsid w:val="7E797F74"/>
    <w:rsid w:val="7F924011"/>
    <w:rsid w:val="7FC52D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3" w:firstLineChars="200"/>
      <w:jc w:val="both"/>
    </w:pPr>
    <w:rPr>
      <w:rFonts w:ascii="宋体" w:hAnsi="宋体" w:eastAsia="宋体" w:cs="宋体"/>
      <w:kern w:val="2"/>
      <w:sz w:val="28"/>
      <w:szCs w:val="28"/>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964" w:firstLineChars="200"/>
      <w:outlineLvl w:val="0"/>
    </w:pPr>
    <w:rPr>
      <w:rFonts w:ascii="Times New Roman" w:hAnsi="Times New Roman" w:eastAsia="黑体"/>
      <w:kern w:val="44"/>
      <w:sz w:val="32"/>
      <w:szCs w:val="22"/>
    </w:rPr>
  </w:style>
  <w:style w:type="paragraph" w:styleId="4">
    <w:name w:val="heading 2"/>
    <w:basedOn w:val="1"/>
    <w:next w:val="1"/>
    <w:link w:val="15"/>
    <w:unhideWhenUsed/>
    <w:qFormat/>
    <w:uiPriority w:val="0"/>
    <w:pPr>
      <w:keepNext/>
      <w:keepLines/>
      <w:spacing w:beforeLines="0" w:beforeAutospacing="0" w:afterLines="0" w:afterAutospacing="0" w:line="560" w:lineRule="exact"/>
      <w:ind w:firstLine="964" w:firstLineChars="200"/>
      <w:outlineLvl w:val="1"/>
    </w:pPr>
    <w:rPr>
      <w:rFonts w:ascii="Arial" w:hAnsi="Arial" w:eastAsia="楷体"/>
      <w:b/>
      <w:sz w:val="32"/>
    </w:rPr>
  </w:style>
  <w:style w:type="paragraph" w:styleId="5">
    <w:name w:val="heading 3"/>
    <w:basedOn w:val="1"/>
    <w:next w:val="1"/>
    <w:qFormat/>
    <w:uiPriority w:val="99"/>
    <w:pPr>
      <w:keepNext/>
      <w:keepLines/>
      <w:spacing w:line="560" w:lineRule="exact"/>
      <w:ind w:firstLine="883" w:firstLineChars="200"/>
      <w:outlineLvl w:val="2"/>
    </w:pPr>
    <w:rPr>
      <w:rFonts w:ascii="仿宋_GB2312" w:hAnsi="仿宋_GB2312" w:eastAsia="仿宋_GB2312"/>
      <w:b/>
      <w:bCs/>
      <w:kern w:val="0"/>
      <w:sz w:val="28"/>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after="60" w:afterLines="0"/>
      <w:jc w:val="left"/>
      <w:outlineLvl w:val="0"/>
    </w:pPr>
    <w:rPr>
      <w:rFonts w:ascii="MS Sans Serif" w:hAnsi="MS Sans Serif" w:eastAsia="宋体" w:cs="MS Sans Serif"/>
      <w:b/>
      <w:bCs/>
      <w:sz w:val="24"/>
      <w:szCs w:val="32"/>
    </w:rPr>
  </w:style>
  <w:style w:type="paragraph" w:styleId="6">
    <w:name w:val="table of authorities"/>
    <w:basedOn w:val="1"/>
    <w:next w:val="1"/>
    <w:qFormat/>
    <w:uiPriority w:val="0"/>
    <w:pPr>
      <w:ind w:firstLine="640"/>
    </w:pPr>
  </w:style>
  <w:style w:type="paragraph" w:styleId="7">
    <w:name w:val="annotation text"/>
    <w:basedOn w:val="1"/>
    <w:qFormat/>
    <w:uiPriority w:val="0"/>
    <w:pPr>
      <w:jc w:val="left"/>
    </w:pPr>
  </w:style>
  <w:style w:type="paragraph" w:styleId="8">
    <w:name w:val="Body Text"/>
    <w:basedOn w:val="1"/>
    <w:next w:val="9"/>
    <w:qFormat/>
    <w:uiPriority w:val="0"/>
    <w:pPr>
      <w:spacing w:before="240" w:after="240" w:line="360" w:lineRule="auto"/>
      <w:jc w:val="center"/>
    </w:pPr>
    <w:rPr>
      <w:b/>
      <w:sz w:val="44"/>
    </w:rPr>
  </w:style>
  <w:style w:type="paragraph" w:styleId="9">
    <w:name w:val="Body Text 2"/>
    <w:basedOn w:val="1"/>
    <w:qFormat/>
    <w:uiPriority w:val="0"/>
    <w:pPr>
      <w:spacing w:after="120" w:line="480" w:lineRule="auto"/>
    </w:pPr>
    <w:rPr>
      <w:rFonts w:ascii="Times New Roman" w:hAnsi="Times New Roman" w:eastAsia="宋体" w:cs="Times New Roman"/>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4">
    <w:name w:val="正文 A"/>
    <w:qFormat/>
    <w:uiPriority w:val="99"/>
    <w:pPr>
      <w:widowControl w:val="0"/>
      <w:spacing w:before="50" w:after="50" w:line="360" w:lineRule="auto"/>
    </w:pPr>
    <w:rPr>
      <w:rFonts w:ascii="Times New Roman" w:hAnsi="Arial Unicode MS" w:eastAsia="Arial Unicode MS" w:cs="Arial Unicode MS"/>
      <w:color w:val="000000"/>
      <w:kern w:val="2"/>
      <w:sz w:val="28"/>
      <w:szCs w:val="28"/>
      <w:u w:color="000000"/>
      <w:lang w:val="en-US" w:eastAsia="zh-CN" w:bidi="ar-SA"/>
    </w:rPr>
  </w:style>
  <w:style w:type="character" w:customStyle="1" w:styleId="15">
    <w:name w:val="标题 2 Char"/>
    <w:link w:val="4"/>
    <w:qFormat/>
    <w:uiPriority w:val="0"/>
    <w:rPr>
      <w:rFonts w:ascii="Arial" w:hAnsi="Arial" w:eastAsia="楷体"/>
      <w:b/>
      <w:sz w:val="32"/>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WPSOffice手动目录 2"/>
    <w:qFormat/>
    <w:uiPriority w:val="0"/>
    <w:pPr>
      <w:ind w:leftChars="200"/>
    </w:pPr>
    <w:rPr>
      <w:rFonts w:ascii="Times New Roman" w:hAnsi="Times New Roman" w:eastAsia="宋体" w:cs="Times New Roman"/>
      <w:sz w:val="20"/>
      <w:szCs w:val="20"/>
    </w:rPr>
  </w:style>
  <w:style w:type="paragraph" w:customStyle="1" w:styleId="18">
    <w:name w:val="WPSOffice手动目录 3"/>
    <w:qFormat/>
    <w:uiPriority w:val="0"/>
    <w:pPr>
      <w:ind w:leftChars="400"/>
    </w:pPr>
    <w:rPr>
      <w:rFonts w:ascii="Times New Roman" w:hAnsi="Times New Roman" w:eastAsia="宋体" w:cs="Times New Roman"/>
      <w:sz w:val="20"/>
      <w:szCs w:val="20"/>
    </w:rPr>
  </w:style>
  <w:style w:type="paragraph" w:customStyle="1" w:styleId="19">
    <w:name w:val="_Style 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9070</Words>
  <Characters>9512</Characters>
  <Lines>0</Lines>
  <Paragraphs>0</Paragraphs>
  <TotalTime>2</TotalTime>
  <ScaleCrop>false</ScaleCrop>
  <LinksUpToDate>false</LinksUpToDate>
  <CharactersWithSpaces>9569</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2020-04-01T11:28:00Z</dcterms:created>
  <dc:creator>驰远天合-柴万顺-18690160103</dc:creator>
  <cp:lastModifiedBy>想不到的瑞</cp:lastModifiedBy>
  <dcterms:modified xsi:type="dcterms:W3CDTF">2024-10-10T07:32:22Z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1D17C581B7B649E79D2BCA767FA9A472_13</vt:lpwstr>
  </property>
</Properties>
</file>