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52CA6">
      <w:pPr>
        <w:pageBreakBefore w:val="0"/>
        <w:kinsoku/>
        <w:wordWrap/>
        <w:overflowPunct/>
        <w:topLinePunct w:val="0"/>
        <w:autoSpaceDE/>
        <w:autoSpaceDN/>
        <w:bidi w:val="0"/>
        <w:adjustRightInd/>
        <w:spacing w:line="360" w:lineRule="auto"/>
        <w:ind w:firstLine="1142" w:firstLineChars="316"/>
        <w:jc w:val="center"/>
        <w:textAlignment w:val="auto"/>
        <w:rPr>
          <w:rFonts w:hint="eastAsia" w:ascii="宋体" w:hAnsi="宋体" w:eastAsia="宋体" w:cs="宋体"/>
          <w:b/>
          <w:bCs/>
          <w:color w:val="auto"/>
          <w:sz w:val="36"/>
          <w:szCs w:val="36"/>
          <w:highlight w:val="none"/>
          <w:shd w:val="clear" w:color="auto" w:fill="auto"/>
        </w:rPr>
      </w:pPr>
      <w:bookmarkStart w:id="88" w:name="_GoBack"/>
      <w:bookmarkEnd w:id="88"/>
    </w:p>
    <w:p w14:paraId="4DF70865">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0C8E3844">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0680745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lang w:val="en-US" w:eastAsia="zh-CN"/>
        </w:rPr>
      </w:pPr>
      <w:bookmarkStart w:id="0" w:name="_Toc15679"/>
      <w:r>
        <w:rPr>
          <w:rFonts w:hint="eastAsia" w:ascii="宋体" w:hAnsi="宋体" w:eastAsia="宋体" w:cs="宋体"/>
          <w:b/>
          <w:bCs/>
          <w:color w:val="auto"/>
          <w:sz w:val="40"/>
          <w:szCs w:val="40"/>
          <w:highlight w:val="none"/>
          <w:shd w:val="clear" w:color="auto" w:fill="auto"/>
          <w:lang w:val="en-US" w:eastAsia="zh-CN"/>
        </w:rPr>
        <w:t>昌吉州阜康市生态屏障基础设施建设项目</w:t>
      </w:r>
    </w:p>
    <w:p w14:paraId="74F12B8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支出绩效评价报告</w:t>
      </w:r>
      <w:bookmarkEnd w:id="0"/>
    </w:p>
    <w:p w14:paraId="55ECD1B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158487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615451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07A4A8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497B7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43B271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3630EA9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1E8CAFE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 xml:space="preserve">项目名称：昌吉州阜康市生态屏障基础设施建设项目 </w:t>
      </w:r>
    </w:p>
    <w:p w14:paraId="562E2A3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实施单位：</w:t>
      </w:r>
      <w:r>
        <w:rPr>
          <w:rFonts w:hint="eastAsia" w:cs="宋体"/>
          <w:b/>
          <w:color w:val="auto"/>
          <w:kern w:val="2"/>
          <w:sz w:val="28"/>
          <w:szCs w:val="28"/>
          <w:highlight w:val="none"/>
          <w:shd w:val="clear" w:color="auto" w:fill="auto"/>
          <w:lang w:val="en-US" w:eastAsia="zh-CN"/>
        </w:rPr>
        <w:t>阜康市林业和草原局</w:t>
      </w:r>
    </w:p>
    <w:p w14:paraId="73E27AF0">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auto"/>
          <w:kern w:val="2"/>
          <w:sz w:val="28"/>
          <w:szCs w:val="28"/>
          <w:highlight w:val="none"/>
          <w:shd w:val="clear" w:color="auto" w:fill="auto"/>
          <w:lang w:val="en-US" w:eastAsia="zh-CN"/>
        </w:rPr>
      </w:pPr>
      <w:r>
        <w:rPr>
          <w:rFonts w:hint="eastAsia" w:ascii="宋体" w:hAnsi="宋体" w:eastAsia="宋体" w:cs="宋体"/>
          <w:b/>
          <w:color w:val="auto"/>
          <w:kern w:val="2"/>
          <w:sz w:val="28"/>
          <w:szCs w:val="28"/>
          <w:highlight w:val="none"/>
          <w:shd w:val="clear" w:color="auto" w:fill="auto"/>
          <w:lang w:val="en-US" w:eastAsia="zh-CN"/>
        </w:rPr>
        <w:t>主管部门：阜康市农业农村局</w:t>
      </w:r>
    </w:p>
    <w:p w14:paraId="01FAA310">
      <w:pPr>
        <w:pStyle w:val="11"/>
        <w:outlineLvl w:val="9"/>
        <w:rPr>
          <w:rFonts w:hint="eastAsia" w:ascii="宋体" w:hAnsi="宋体" w:eastAsia="宋体" w:cs="宋体"/>
          <w:b/>
          <w:color w:val="auto"/>
          <w:kern w:val="2"/>
          <w:sz w:val="28"/>
          <w:szCs w:val="28"/>
          <w:highlight w:val="none"/>
          <w:shd w:val="clear" w:color="auto" w:fill="auto"/>
          <w:lang w:val="en-US" w:eastAsia="zh-CN"/>
        </w:rPr>
      </w:pPr>
    </w:p>
    <w:p w14:paraId="58E96588">
      <w:pPr>
        <w:rPr>
          <w:rFonts w:hint="eastAsia"/>
          <w:color w:val="auto"/>
          <w:highlight w:val="none"/>
          <w:lang w:val="en-US" w:eastAsia="zh-CN"/>
        </w:rPr>
      </w:pPr>
      <w:r>
        <w:rPr>
          <w:rFonts w:hint="eastAsia"/>
          <w:color w:val="auto"/>
          <w:highlight w:val="none"/>
          <w:lang w:val="en-US" w:eastAsia="zh-CN"/>
        </w:rPr>
        <w:br w:type="page"/>
      </w:r>
    </w:p>
    <w:p w14:paraId="7905F075">
      <w:pPr>
        <w:rPr>
          <w:rFonts w:hint="eastAsia"/>
          <w:color w:val="auto"/>
          <w:highlight w:val="none"/>
          <w:lang w:val="en-US" w:eastAsia="zh-CN"/>
        </w:rPr>
      </w:pPr>
    </w:p>
    <w:sdt>
      <w:sdtPr>
        <w:rPr>
          <w:rFonts w:ascii="宋体" w:hAnsi="宋体" w:eastAsia="宋体" w:cs="宋体"/>
          <w:b/>
          <w:bCs/>
          <w:color w:val="auto"/>
          <w:kern w:val="2"/>
          <w:sz w:val="28"/>
          <w:szCs w:val="40"/>
          <w:highlight w:val="none"/>
          <w:lang w:val="en-US" w:eastAsia="zh-CN" w:bidi="ar-SA"/>
        </w:rPr>
        <w:id w:val="147474046"/>
        <w15:color w:val="DBDBDB"/>
        <w:docPartObj>
          <w:docPartGallery w:val="Table of Contents"/>
          <w:docPartUnique/>
        </w:docPartObj>
      </w:sdtPr>
      <w:sdtEndPr>
        <w:rPr>
          <w:rFonts w:hint="eastAsia" w:ascii="宋体" w:hAnsi="宋体" w:eastAsia="宋体" w:cs="宋体"/>
          <w:b/>
          <w:bCs/>
          <w:color w:val="auto"/>
          <w:kern w:val="2"/>
          <w:sz w:val="28"/>
          <w:szCs w:val="28"/>
          <w:highlight w:val="none"/>
          <w:lang w:val="en-US" w:eastAsia="zh-CN" w:bidi="ar-SA"/>
        </w:rPr>
      </w:sdtEndPr>
      <w:sdtContent>
        <w:p w14:paraId="54731E14">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color w:val="auto"/>
              <w:sz w:val="40"/>
              <w:szCs w:val="40"/>
              <w:highlight w:val="none"/>
            </w:rPr>
          </w:pPr>
          <w:r>
            <w:rPr>
              <w:rFonts w:ascii="宋体" w:hAnsi="宋体" w:eastAsia="宋体"/>
              <w:b/>
              <w:bCs/>
              <w:color w:val="auto"/>
              <w:sz w:val="40"/>
              <w:szCs w:val="40"/>
              <w:highlight w:val="none"/>
            </w:rPr>
            <w:t>目录</w:t>
          </w:r>
        </w:p>
        <w:p w14:paraId="1B5F9EA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TOC \o "1-3" \h \u </w:instrText>
          </w:r>
          <w:r>
            <w:rPr>
              <w:rFonts w:hint="eastAsia"/>
              <w:color w:val="auto"/>
              <w:sz w:val="28"/>
              <w:szCs w:val="28"/>
              <w:highlight w:val="none"/>
              <w:lang w:val="en-US" w:eastAsia="zh-CN"/>
            </w:rPr>
            <w:fldChar w:fldCharType="separate"/>
          </w:r>
        </w:p>
        <w:p w14:paraId="10C4EC25">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_Toc17540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一、基本情况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_Toc17540 \h </w:instrText>
          </w:r>
          <w:r>
            <w:rPr>
              <w:b/>
              <w:bCs/>
              <w:color w:val="auto"/>
              <w:sz w:val="28"/>
              <w:szCs w:val="28"/>
              <w:highlight w:val="none"/>
            </w:rPr>
            <w:fldChar w:fldCharType="separate"/>
          </w:r>
          <w:r>
            <w:rPr>
              <w:b/>
              <w:bCs/>
              <w:color w:val="auto"/>
              <w:sz w:val="28"/>
              <w:szCs w:val="28"/>
              <w:highlight w:val="none"/>
            </w:rPr>
            <w:t>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27A82AC">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_Toc18966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（一）项目概况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_Toc18966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hint="eastAsia"/>
              <w:color w:val="auto"/>
              <w:sz w:val="28"/>
              <w:szCs w:val="28"/>
              <w:highlight w:val="none"/>
              <w:lang w:val="en-US" w:eastAsia="zh-CN"/>
            </w:rPr>
            <w:fldChar w:fldCharType="end"/>
          </w:r>
        </w:p>
        <w:p w14:paraId="25680AF1">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_Toc2879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rPr>
            <w:t>（二）</w:t>
          </w:r>
          <w:r>
            <w:rPr>
              <w:rFonts w:hint="eastAsia" w:ascii="宋体" w:hAnsi="宋体" w:eastAsia="宋体" w:cs="宋体"/>
              <w:color w:val="auto"/>
              <w:sz w:val="28"/>
              <w:szCs w:val="28"/>
              <w:highlight w:val="none"/>
              <w:shd w:val="clear" w:color="auto" w:fill="auto"/>
            </w:rPr>
            <w:t>项目绩效目标</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_Toc2879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rFonts w:hint="eastAsia"/>
              <w:color w:val="auto"/>
              <w:sz w:val="28"/>
              <w:szCs w:val="28"/>
              <w:highlight w:val="none"/>
              <w:lang w:val="en-US" w:eastAsia="zh-CN"/>
            </w:rPr>
            <w:fldChar w:fldCharType="end"/>
          </w:r>
        </w:p>
        <w:p w14:paraId="7568AA28">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_Toc2549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rPr>
            <w:t>二、绩效评价工作开展情况</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_Toc2549 \h </w:instrText>
          </w:r>
          <w:r>
            <w:rPr>
              <w:b/>
              <w:bCs/>
              <w:color w:val="auto"/>
              <w:sz w:val="28"/>
              <w:szCs w:val="28"/>
              <w:highlight w:val="none"/>
            </w:rPr>
            <w:fldChar w:fldCharType="separate"/>
          </w:r>
          <w:r>
            <w:rPr>
              <w:b/>
              <w:bCs/>
              <w:color w:val="auto"/>
              <w:sz w:val="28"/>
              <w:szCs w:val="28"/>
              <w:highlight w:val="none"/>
            </w:rPr>
            <w:t>3</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2E08D60">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_Toc21778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eastAsia="zh-CN"/>
            </w:rPr>
            <w:t>（一）</w:t>
          </w:r>
          <w:r>
            <w:rPr>
              <w:rFonts w:hint="eastAsia" w:ascii="宋体" w:hAnsi="宋体" w:eastAsia="宋体" w:cs="宋体"/>
              <w:color w:val="auto"/>
              <w:sz w:val="28"/>
              <w:szCs w:val="28"/>
              <w:highlight w:val="none"/>
              <w:shd w:val="clear" w:color="auto" w:fill="auto"/>
              <w:lang w:eastAsia="zh-CN"/>
            </w:rPr>
            <w:t>绩效评价的目的、对象和范围</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_Toc21778 \h </w:instrText>
          </w:r>
          <w:r>
            <w:rPr>
              <w:color w:val="auto"/>
              <w:sz w:val="28"/>
              <w:szCs w:val="28"/>
              <w:highlight w:val="none"/>
            </w:rPr>
            <w:fldChar w:fldCharType="separate"/>
          </w:r>
          <w:r>
            <w:rPr>
              <w:color w:val="auto"/>
              <w:sz w:val="28"/>
              <w:szCs w:val="28"/>
              <w:highlight w:val="none"/>
            </w:rPr>
            <w:t>4</w:t>
          </w:r>
          <w:r>
            <w:rPr>
              <w:color w:val="auto"/>
              <w:sz w:val="28"/>
              <w:szCs w:val="28"/>
              <w:highlight w:val="none"/>
            </w:rPr>
            <w:fldChar w:fldCharType="end"/>
          </w:r>
          <w:r>
            <w:rPr>
              <w:rFonts w:hint="eastAsia"/>
              <w:color w:val="auto"/>
              <w:sz w:val="28"/>
              <w:szCs w:val="28"/>
              <w:highlight w:val="none"/>
              <w:lang w:val="en-US" w:eastAsia="zh-CN"/>
            </w:rPr>
            <w:fldChar w:fldCharType="end"/>
          </w:r>
        </w:p>
        <w:p w14:paraId="2DEC16E9">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_Toc15902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fill="auto"/>
              <w:lang w:val="en-US" w:eastAsia="zh-CN"/>
            </w:rPr>
            <w:t>（二）</w:t>
          </w:r>
          <w:r>
            <w:rPr>
              <w:rFonts w:hint="eastAsia" w:ascii="宋体" w:hAnsi="宋体" w:eastAsia="宋体" w:cs="宋体"/>
              <w:color w:val="auto"/>
              <w:sz w:val="28"/>
              <w:szCs w:val="28"/>
              <w:highlight w:val="none"/>
              <w:shd w:val="clear" w:color="auto" w:fill="auto"/>
              <w:lang w:val="en-US" w:eastAsia="zh-CN"/>
            </w:rPr>
            <w:t>绩效评价原则、评价指标体系（附表说明）、评价方法、评价标准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_Toc15902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hint="eastAsia"/>
              <w:color w:val="auto"/>
              <w:sz w:val="28"/>
              <w:szCs w:val="28"/>
              <w:highlight w:val="none"/>
              <w:lang w:val="en-US" w:eastAsia="zh-CN"/>
            </w:rPr>
            <w:fldChar w:fldCharType="end"/>
          </w:r>
        </w:p>
        <w:p w14:paraId="0F53A90E">
          <w:pPr>
            <w:pStyle w:val="18"/>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_Toc1070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val="en-US" w:eastAsia="zh-CN"/>
            </w:rPr>
            <w:t>（三）绩效评价工作过程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_Toc1070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hint="eastAsia"/>
              <w:color w:val="auto"/>
              <w:sz w:val="28"/>
              <w:szCs w:val="28"/>
              <w:highlight w:val="none"/>
              <w:lang w:val="en-US" w:eastAsia="zh-CN"/>
            </w:rPr>
            <w:fldChar w:fldCharType="end"/>
          </w:r>
        </w:p>
        <w:p w14:paraId="08B2FB3F">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_Toc1100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三、</w:t>
          </w:r>
          <w:r>
            <w:rPr>
              <w:rFonts w:hint="eastAsia" w:ascii="宋体" w:hAnsi="宋体" w:eastAsia="宋体" w:cs="宋体"/>
              <w:b/>
              <w:bCs/>
              <w:color w:val="auto"/>
              <w:sz w:val="28"/>
              <w:szCs w:val="28"/>
              <w:highlight w:val="none"/>
              <w:shd w:val="clear" w:color="auto" w:fill="auto"/>
            </w:rPr>
            <w:t>综合评价情况及评价结论</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_Toc1100 \h </w:instrText>
          </w:r>
          <w:r>
            <w:rPr>
              <w:b/>
              <w:bCs/>
              <w:color w:val="auto"/>
              <w:sz w:val="28"/>
              <w:szCs w:val="28"/>
              <w:highlight w:val="none"/>
            </w:rPr>
            <w:fldChar w:fldCharType="separate"/>
          </w:r>
          <w:r>
            <w:rPr>
              <w:b/>
              <w:bCs/>
              <w:color w:val="auto"/>
              <w:sz w:val="28"/>
              <w:szCs w:val="28"/>
              <w:highlight w:val="none"/>
            </w:rPr>
            <w:t>11</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3453621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_Toc9421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四、绩效评价指标分析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_Toc9421 \h </w:instrText>
          </w:r>
          <w:r>
            <w:rPr>
              <w:b/>
              <w:bCs/>
              <w:color w:val="auto"/>
              <w:sz w:val="28"/>
              <w:szCs w:val="28"/>
              <w:highlight w:val="none"/>
            </w:rPr>
            <w:fldChar w:fldCharType="separate"/>
          </w:r>
          <w:r>
            <w:rPr>
              <w:b/>
              <w:bCs/>
              <w:color w:val="auto"/>
              <w:sz w:val="28"/>
              <w:szCs w:val="28"/>
              <w:highlight w:val="none"/>
            </w:rPr>
            <w:t>12</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2083ECC2">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_Toc15355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rPr>
            <w:t>（一）项目决策情况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_Toc15355 \h </w:instrText>
          </w:r>
          <w:r>
            <w:rPr>
              <w:color w:val="auto"/>
              <w:sz w:val="28"/>
              <w:szCs w:val="28"/>
              <w:highlight w:val="none"/>
            </w:rPr>
            <w:fldChar w:fldCharType="separate"/>
          </w:r>
          <w:r>
            <w:rPr>
              <w:color w:val="auto"/>
              <w:sz w:val="28"/>
              <w:szCs w:val="28"/>
              <w:highlight w:val="none"/>
            </w:rPr>
            <w:t>12</w:t>
          </w:r>
          <w:r>
            <w:rPr>
              <w:color w:val="auto"/>
              <w:sz w:val="28"/>
              <w:szCs w:val="28"/>
              <w:highlight w:val="none"/>
            </w:rPr>
            <w:fldChar w:fldCharType="end"/>
          </w:r>
          <w:r>
            <w:rPr>
              <w:rFonts w:hint="eastAsia"/>
              <w:color w:val="auto"/>
              <w:sz w:val="28"/>
              <w:szCs w:val="28"/>
              <w:highlight w:val="none"/>
              <w:lang w:val="en-US" w:eastAsia="zh-CN"/>
            </w:rPr>
            <w:fldChar w:fldCharType="end"/>
          </w:r>
        </w:p>
        <w:p w14:paraId="08910367">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_Toc11361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二</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项目过程情况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_Toc11361 \h </w:instrText>
          </w:r>
          <w:r>
            <w:rPr>
              <w:color w:val="auto"/>
              <w:sz w:val="28"/>
              <w:szCs w:val="28"/>
              <w:highlight w:val="none"/>
            </w:rPr>
            <w:fldChar w:fldCharType="separate"/>
          </w:r>
          <w:r>
            <w:rPr>
              <w:color w:val="auto"/>
              <w:sz w:val="28"/>
              <w:szCs w:val="28"/>
              <w:highlight w:val="none"/>
            </w:rPr>
            <w:t>14</w:t>
          </w:r>
          <w:r>
            <w:rPr>
              <w:color w:val="auto"/>
              <w:sz w:val="28"/>
              <w:szCs w:val="28"/>
              <w:highlight w:val="none"/>
            </w:rPr>
            <w:fldChar w:fldCharType="end"/>
          </w:r>
          <w:r>
            <w:rPr>
              <w:rFonts w:hint="eastAsia"/>
              <w:color w:val="auto"/>
              <w:sz w:val="28"/>
              <w:szCs w:val="28"/>
              <w:highlight w:val="none"/>
              <w:lang w:val="en-US" w:eastAsia="zh-CN"/>
            </w:rPr>
            <w:fldChar w:fldCharType="end"/>
          </w:r>
        </w:p>
        <w:p w14:paraId="1C83F0EF">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_Toc16268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三</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项目产出情况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_Toc16268 \h </w:instrText>
          </w:r>
          <w:r>
            <w:rPr>
              <w:color w:val="auto"/>
              <w:sz w:val="28"/>
              <w:szCs w:val="28"/>
              <w:highlight w:val="none"/>
            </w:rPr>
            <w:fldChar w:fldCharType="separate"/>
          </w:r>
          <w:r>
            <w:rPr>
              <w:color w:val="auto"/>
              <w:sz w:val="28"/>
              <w:szCs w:val="28"/>
              <w:highlight w:val="none"/>
            </w:rPr>
            <w:t>15</w:t>
          </w:r>
          <w:r>
            <w:rPr>
              <w:color w:val="auto"/>
              <w:sz w:val="28"/>
              <w:szCs w:val="28"/>
              <w:highlight w:val="none"/>
            </w:rPr>
            <w:fldChar w:fldCharType="end"/>
          </w:r>
          <w:r>
            <w:rPr>
              <w:rFonts w:hint="eastAsia"/>
              <w:color w:val="auto"/>
              <w:sz w:val="28"/>
              <w:szCs w:val="28"/>
              <w:highlight w:val="none"/>
              <w:lang w:val="en-US" w:eastAsia="zh-CN"/>
            </w:rPr>
            <w:fldChar w:fldCharType="end"/>
          </w:r>
        </w:p>
        <w:p w14:paraId="1907725D">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_Toc18446 </w:instrText>
          </w:r>
          <w:r>
            <w:rPr>
              <w:rFonts w:hint="eastAsia"/>
              <w:color w:val="auto"/>
              <w:sz w:val="28"/>
              <w:szCs w:val="28"/>
              <w:highlight w:val="none"/>
              <w:lang w:val="en-US" w:eastAsia="zh-CN"/>
            </w:rPr>
            <w:fldChar w:fldCharType="separate"/>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lang w:val="en-US" w:eastAsia="zh-CN"/>
            </w:rPr>
            <w:t>四</w:t>
          </w:r>
          <w:r>
            <w:rPr>
              <w:rFonts w:hint="eastAsia" w:ascii="宋体" w:hAnsi="宋体" w:eastAsia="宋体" w:cs="宋体"/>
              <w:color w:val="auto"/>
              <w:sz w:val="28"/>
              <w:szCs w:val="28"/>
              <w:highlight w:val="none"/>
              <w:shd w:val="clear" w:color="auto" w:fill="auto"/>
              <w:lang w:eastAsia="zh-CN"/>
            </w:rPr>
            <w:t>）</w:t>
          </w:r>
          <w:r>
            <w:rPr>
              <w:rFonts w:hint="eastAsia" w:ascii="宋体" w:hAnsi="宋体" w:eastAsia="宋体" w:cs="宋体"/>
              <w:color w:val="auto"/>
              <w:sz w:val="28"/>
              <w:szCs w:val="28"/>
              <w:highlight w:val="none"/>
              <w:shd w:val="clear" w:color="auto" w:fill="auto"/>
            </w:rPr>
            <w:t>项目效益情况</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_Toc18446 \h </w:instrText>
          </w:r>
          <w:r>
            <w:rPr>
              <w:color w:val="auto"/>
              <w:sz w:val="28"/>
              <w:szCs w:val="28"/>
              <w:highlight w:val="none"/>
            </w:rPr>
            <w:fldChar w:fldCharType="separate"/>
          </w:r>
          <w:r>
            <w:rPr>
              <w:color w:val="auto"/>
              <w:sz w:val="28"/>
              <w:szCs w:val="28"/>
              <w:highlight w:val="none"/>
            </w:rPr>
            <w:t>18</w:t>
          </w:r>
          <w:r>
            <w:rPr>
              <w:color w:val="auto"/>
              <w:sz w:val="28"/>
              <w:szCs w:val="28"/>
              <w:highlight w:val="none"/>
            </w:rPr>
            <w:fldChar w:fldCharType="end"/>
          </w:r>
          <w:r>
            <w:rPr>
              <w:rFonts w:hint="eastAsia"/>
              <w:color w:val="auto"/>
              <w:sz w:val="28"/>
              <w:szCs w:val="28"/>
              <w:highlight w:val="none"/>
              <w:lang w:val="en-US" w:eastAsia="zh-CN"/>
            </w:rPr>
            <w:fldChar w:fldCharType="end"/>
          </w:r>
        </w:p>
        <w:p w14:paraId="4C512A0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_Toc19962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五、预算执行进度与指标偏差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_Toc19962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02A387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_Toc29934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六、主要经验及做法、存在的问题及原因分析</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_Toc29934 \h </w:instrText>
          </w:r>
          <w:r>
            <w:rPr>
              <w:b/>
              <w:bCs/>
              <w:color w:val="auto"/>
              <w:sz w:val="28"/>
              <w:szCs w:val="28"/>
              <w:highlight w:val="none"/>
            </w:rPr>
            <w:fldChar w:fldCharType="separate"/>
          </w:r>
          <w:r>
            <w:rPr>
              <w:b/>
              <w:bCs/>
              <w:color w:val="auto"/>
              <w:sz w:val="28"/>
              <w:szCs w:val="28"/>
              <w:highlight w:val="none"/>
            </w:rPr>
            <w:t>19</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180B9C20">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_Toc13160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一</w:t>
          </w:r>
          <w:r>
            <w:rPr>
              <w:rFonts w:hint="eastAsia"/>
              <w:bCs/>
              <w:color w:val="auto"/>
              <w:sz w:val="28"/>
              <w:szCs w:val="28"/>
              <w:highlight w:val="none"/>
              <w:lang w:eastAsia="zh-CN"/>
            </w:rPr>
            <w:t>）</w:t>
          </w:r>
          <w:r>
            <w:rPr>
              <w:rFonts w:hint="eastAsia"/>
              <w:bCs/>
              <w:color w:val="auto"/>
              <w:sz w:val="28"/>
              <w:szCs w:val="28"/>
              <w:highlight w:val="none"/>
            </w:rPr>
            <w:t>主要经验及做法</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_Toc13160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color w:val="auto"/>
              <w:sz w:val="28"/>
              <w:szCs w:val="28"/>
              <w:highlight w:val="none"/>
              <w:lang w:val="en-US" w:eastAsia="zh-CN"/>
            </w:rPr>
            <w:fldChar w:fldCharType="end"/>
          </w:r>
        </w:p>
        <w:p w14:paraId="6AD2E950">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r>
            <w:rPr>
              <w:rFonts w:hint="eastAsia"/>
              <w:color w:val="auto"/>
              <w:sz w:val="28"/>
              <w:szCs w:val="28"/>
              <w:highlight w:val="none"/>
              <w:lang w:val="en-US" w:eastAsia="zh-CN"/>
            </w:rPr>
            <w:fldChar w:fldCharType="begin"/>
          </w:r>
          <w:r>
            <w:rPr>
              <w:rFonts w:hint="eastAsia"/>
              <w:color w:val="auto"/>
              <w:sz w:val="28"/>
              <w:szCs w:val="28"/>
              <w:highlight w:val="none"/>
              <w:lang w:val="en-US" w:eastAsia="zh-CN"/>
            </w:rPr>
            <w:instrText xml:space="preserve"> HYPERLINK \l _Toc9582 </w:instrText>
          </w:r>
          <w:r>
            <w:rPr>
              <w:rFonts w:hint="eastAsia"/>
              <w:color w:val="auto"/>
              <w:sz w:val="28"/>
              <w:szCs w:val="28"/>
              <w:highlight w:val="none"/>
              <w:lang w:val="en-US" w:eastAsia="zh-CN"/>
            </w:rPr>
            <w:fldChar w:fldCharType="separate"/>
          </w:r>
          <w:r>
            <w:rPr>
              <w:rFonts w:hint="eastAsia"/>
              <w:bCs/>
              <w:color w:val="auto"/>
              <w:sz w:val="28"/>
              <w:szCs w:val="28"/>
              <w:highlight w:val="none"/>
              <w:lang w:eastAsia="zh-CN"/>
            </w:rPr>
            <w:t>（</w:t>
          </w:r>
          <w:r>
            <w:rPr>
              <w:rFonts w:hint="eastAsia"/>
              <w:bCs/>
              <w:color w:val="auto"/>
              <w:sz w:val="28"/>
              <w:szCs w:val="28"/>
              <w:highlight w:val="none"/>
              <w:lang w:val="en-US" w:eastAsia="zh-CN"/>
            </w:rPr>
            <w:t>二</w:t>
          </w:r>
          <w:r>
            <w:rPr>
              <w:rFonts w:hint="eastAsia"/>
              <w:bCs/>
              <w:color w:val="auto"/>
              <w:sz w:val="28"/>
              <w:szCs w:val="28"/>
              <w:highlight w:val="none"/>
              <w:lang w:eastAsia="zh-CN"/>
            </w:rPr>
            <w:t>）</w:t>
          </w:r>
          <w:r>
            <w:rPr>
              <w:rFonts w:hint="eastAsia"/>
              <w:bCs/>
              <w:color w:val="auto"/>
              <w:sz w:val="28"/>
              <w:szCs w:val="28"/>
              <w:highlight w:val="none"/>
            </w:rPr>
            <w:t>存在的问题及原因分析</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_Toc9582 \h </w:instrText>
          </w:r>
          <w:r>
            <w:rPr>
              <w:color w:val="auto"/>
              <w:sz w:val="28"/>
              <w:szCs w:val="28"/>
              <w:highlight w:val="none"/>
            </w:rPr>
            <w:fldChar w:fldCharType="separate"/>
          </w:r>
          <w:r>
            <w:rPr>
              <w:color w:val="auto"/>
              <w:sz w:val="28"/>
              <w:szCs w:val="28"/>
              <w:highlight w:val="none"/>
            </w:rPr>
            <w:t>19</w:t>
          </w:r>
          <w:r>
            <w:rPr>
              <w:color w:val="auto"/>
              <w:sz w:val="28"/>
              <w:szCs w:val="28"/>
              <w:highlight w:val="none"/>
            </w:rPr>
            <w:fldChar w:fldCharType="end"/>
          </w:r>
          <w:r>
            <w:rPr>
              <w:rFonts w:hint="eastAsia"/>
              <w:color w:val="auto"/>
              <w:sz w:val="28"/>
              <w:szCs w:val="28"/>
              <w:highlight w:val="none"/>
              <w:lang w:val="en-US" w:eastAsia="zh-CN"/>
            </w:rPr>
            <w:fldChar w:fldCharType="end"/>
          </w:r>
        </w:p>
        <w:p w14:paraId="1A0AC34A">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_Toc5230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七、有关建议</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_Toc5230 \h </w:instrText>
          </w:r>
          <w:r>
            <w:rPr>
              <w:b/>
              <w:bCs/>
              <w:color w:val="auto"/>
              <w:sz w:val="28"/>
              <w:szCs w:val="28"/>
              <w:highlight w:val="none"/>
            </w:rPr>
            <w:fldChar w:fldCharType="separate"/>
          </w:r>
          <w:r>
            <w:rPr>
              <w:b/>
              <w:bCs/>
              <w:color w:val="auto"/>
              <w:sz w:val="28"/>
              <w:szCs w:val="28"/>
              <w:highlight w:val="none"/>
            </w:rPr>
            <w:t>20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5AC8B93A">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color w:val="auto"/>
              <w:sz w:val="28"/>
              <w:szCs w:val="28"/>
              <w:highlight w:val="none"/>
            </w:rPr>
          </w:pPr>
          <w:r>
            <w:rPr>
              <w:rFonts w:hint="eastAsia"/>
              <w:b/>
              <w:bCs/>
              <w:color w:val="auto"/>
              <w:sz w:val="28"/>
              <w:szCs w:val="28"/>
              <w:highlight w:val="none"/>
              <w:lang w:val="en-US" w:eastAsia="zh-CN"/>
            </w:rPr>
            <w:fldChar w:fldCharType="begin"/>
          </w:r>
          <w:r>
            <w:rPr>
              <w:rFonts w:hint="eastAsia"/>
              <w:b/>
              <w:bCs/>
              <w:color w:val="auto"/>
              <w:sz w:val="28"/>
              <w:szCs w:val="28"/>
              <w:highlight w:val="none"/>
              <w:lang w:val="en-US" w:eastAsia="zh-CN"/>
            </w:rPr>
            <w:instrText xml:space="preserve"> HYPERLINK \l _Toc15618 </w:instrText>
          </w:r>
          <w:r>
            <w:rPr>
              <w:rFonts w:hint="eastAsia"/>
              <w:b/>
              <w:bCs/>
              <w:color w:val="auto"/>
              <w:sz w:val="28"/>
              <w:szCs w:val="28"/>
              <w:highlight w:val="none"/>
              <w:lang w:val="en-US" w:eastAsia="zh-CN"/>
            </w:rPr>
            <w:fldChar w:fldCharType="separate"/>
          </w:r>
          <w:r>
            <w:rPr>
              <w:rFonts w:hint="eastAsia" w:ascii="宋体" w:hAnsi="宋体" w:eastAsia="宋体" w:cs="宋体"/>
              <w:b/>
              <w:bCs/>
              <w:color w:val="auto"/>
              <w:sz w:val="28"/>
              <w:szCs w:val="28"/>
              <w:highlight w:val="none"/>
              <w:shd w:val="clear" w:color="auto" w:fill="auto"/>
              <w:lang w:val="en-US" w:eastAsia="zh-CN"/>
            </w:rPr>
            <w:t>八、其他需要说明的问题</w:t>
          </w:r>
          <w:r>
            <w:rPr>
              <w:b/>
              <w:bCs/>
              <w:color w:val="auto"/>
              <w:sz w:val="28"/>
              <w:szCs w:val="28"/>
              <w:highlight w:val="none"/>
            </w:rPr>
            <w:tab/>
          </w:r>
          <w:r>
            <w:rPr>
              <w:b/>
              <w:bCs/>
              <w:color w:val="auto"/>
              <w:sz w:val="28"/>
              <w:szCs w:val="28"/>
              <w:highlight w:val="none"/>
            </w:rPr>
            <w:fldChar w:fldCharType="begin"/>
          </w:r>
          <w:r>
            <w:rPr>
              <w:b/>
              <w:bCs/>
              <w:color w:val="auto"/>
              <w:sz w:val="28"/>
              <w:szCs w:val="28"/>
              <w:highlight w:val="none"/>
            </w:rPr>
            <w:instrText xml:space="preserve"> PAGEREF _Toc15618 \h </w:instrText>
          </w:r>
          <w:r>
            <w:rPr>
              <w:b/>
              <w:bCs/>
              <w:color w:val="auto"/>
              <w:sz w:val="28"/>
              <w:szCs w:val="28"/>
              <w:highlight w:val="none"/>
            </w:rPr>
            <w:fldChar w:fldCharType="separate"/>
          </w:r>
          <w:r>
            <w:rPr>
              <w:b/>
              <w:bCs/>
              <w:color w:val="auto"/>
              <w:sz w:val="28"/>
              <w:szCs w:val="28"/>
              <w:highlight w:val="none"/>
            </w:rPr>
            <w:t>20</w:t>
          </w:r>
          <w:r>
            <w:rPr>
              <w:b/>
              <w:bCs/>
              <w:color w:val="auto"/>
              <w:sz w:val="28"/>
              <w:szCs w:val="28"/>
              <w:highlight w:val="none"/>
            </w:rPr>
            <w:fldChar w:fldCharType="end"/>
          </w:r>
          <w:r>
            <w:rPr>
              <w:rFonts w:hint="eastAsia"/>
              <w:b/>
              <w:bCs/>
              <w:color w:val="auto"/>
              <w:sz w:val="28"/>
              <w:szCs w:val="28"/>
              <w:highlight w:val="none"/>
              <w:lang w:val="en-US" w:eastAsia="zh-CN"/>
            </w:rPr>
            <w:fldChar w:fldCharType="end"/>
          </w:r>
        </w:p>
        <w:p w14:paraId="64FB1107">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color w:val="auto"/>
              <w:sz w:val="28"/>
              <w:szCs w:val="28"/>
              <w:highlight w:val="none"/>
            </w:rPr>
          </w:pPr>
        </w:p>
        <w:p w14:paraId="4840C8AC">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color w:val="auto"/>
              <w:highlight w:val="none"/>
              <w:lang w:val="en-US" w:eastAsia="zh-CN"/>
            </w:rPr>
            <w:sectPr>
              <w:pgSz w:w="11906" w:h="16838"/>
              <w:pgMar w:top="1928" w:right="1531" w:bottom="1701" w:left="1531" w:header="737" w:footer="851" w:gutter="0"/>
              <w:pgBorders>
                <w:top w:val="none" w:sz="0" w:space="0"/>
                <w:left w:val="none" w:sz="0" w:space="0"/>
                <w:bottom w:val="none" w:sz="0" w:space="0"/>
                <w:right w:val="none" w:sz="0" w:space="0"/>
              </w:pgBorders>
              <w:cols w:space="720" w:num="1"/>
              <w:docGrid w:type="lines" w:linePitch="408" w:charSpace="0"/>
            </w:sectPr>
          </w:pPr>
          <w:r>
            <w:rPr>
              <w:rFonts w:hint="eastAsia"/>
              <w:color w:val="auto"/>
              <w:sz w:val="28"/>
              <w:szCs w:val="28"/>
              <w:highlight w:val="none"/>
              <w:lang w:val="en-US" w:eastAsia="zh-CN"/>
            </w:rPr>
            <w:fldChar w:fldCharType="end"/>
          </w:r>
        </w:p>
      </w:sdtContent>
    </w:sdt>
    <w:p w14:paraId="753C9EB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36"/>
          <w:szCs w:val="36"/>
          <w:highlight w:val="none"/>
          <w:shd w:val="clear" w:color="auto" w:fill="auto"/>
          <w:lang w:val="en-US" w:eastAsia="zh-CN"/>
        </w:rPr>
      </w:pPr>
      <w:bookmarkStart w:id="1" w:name="_Toc1194"/>
      <w:r>
        <w:rPr>
          <w:rFonts w:hint="eastAsia" w:ascii="宋体" w:hAnsi="宋体" w:eastAsia="宋体" w:cs="宋体"/>
          <w:b/>
          <w:bCs/>
          <w:color w:val="auto"/>
          <w:sz w:val="36"/>
          <w:szCs w:val="36"/>
          <w:highlight w:val="none"/>
          <w:shd w:val="clear" w:color="auto" w:fill="auto"/>
          <w:lang w:val="en-US" w:eastAsia="zh-CN"/>
        </w:rPr>
        <w:t>昌吉州阜康市生态屏障基础设施建设项目</w:t>
      </w:r>
    </w:p>
    <w:p w14:paraId="2E722B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r>
        <w:rPr>
          <w:rFonts w:hint="eastAsia" w:ascii="宋体" w:hAnsi="宋体" w:eastAsia="宋体" w:cs="宋体"/>
          <w:b/>
          <w:bCs/>
          <w:color w:val="auto"/>
          <w:sz w:val="36"/>
          <w:szCs w:val="36"/>
          <w:highlight w:val="none"/>
          <w:shd w:val="clear" w:color="auto" w:fill="auto"/>
        </w:rPr>
        <w:t>支出绩效评价报告</w:t>
      </w:r>
      <w:bookmarkEnd w:id="1"/>
    </w:p>
    <w:p w14:paraId="4CF70F8F">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3C39E8D9">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537F46C7">
      <w:pPr>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宋体" w:hAnsi="宋体" w:eastAsia="宋体" w:cs="宋体"/>
          <w:b/>
          <w:bCs/>
          <w:color w:val="auto"/>
          <w:highlight w:val="none"/>
          <w:shd w:val="clear" w:color="auto" w:fill="auto"/>
        </w:rPr>
      </w:pPr>
      <w:bookmarkStart w:id="4" w:name="_Toc5043"/>
      <w:r>
        <w:rPr>
          <w:rFonts w:hint="eastAsia" w:ascii="宋体" w:hAnsi="宋体" w:eastAsia="宋体" w:cs="宋体"/>
          <w:b/>
          <w:bCs/>
          <w:color w:val="auto"/>
          <w:highlight w:val="none"/>
          <w:shd w:val="clear" w:color="auto" w:fill="auto"/>
          <w:lang w:val="en-US" w:eastAsia="zh-CN"/>
        </w:rPr>
        <w:t>1.</w:t>
      </w:r>
      <w:r>
        <w:rPr>
          <w:rFonts w:hint="eastAsia" w:ascii="宋体" w:hAnsi="宋体" w:eastAsia="宋体" w:cs="宋体"/>
          <w:b/>
          <w:bCs/>
          <w:color w:val="auto"/>
          <w:highlight w:val="none"/>
          <w:shd w:val="clear" w:color="auto" w:fill="auto"/>
        </w:rPr>
        <w:t>项目背景</w:t>
      </w:r>
      <w:bookmarkEnd w:id="4"/>
      <w:bookmarkStart w:id="5" w:name="_Toc27343"/>
    </w:p>
    <w:p w14:paraId="219A9595">
      <w:pPr>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30"/>
          <w:szCs w:val="30"/>
          <w:highlight w:val="none"/>
        </w:rPr>
      </w:pPr>
      <w:r>
        <w:rPr>
          <w:rFonts w:hint="eastAsia" w:ascii="宋体" w:hAnsi="宋体" w:eastAsia="宋体" w:cs="宋体"/>
          <w:color w:val="auto"/>
          <w:highlight w:val="none"/>
          <w:shd w:val="clear" w:color="auto" w:fill="auto"/>
          <w:lang w:val="en-US" w:eastAsia="zh-CN"/>
        </w:rPr>
        <w:t>根据《关于《昌吉州阜康市生态屏障基础设施建设项目可行性研究报告》的批复》（阜发改投资〔2022〕100号）文件，实施昌吉州阜康市生态屏障基础设施建设项目下达预算资金为1000万元，资金来源为地方性政府一般债资金。根据《关于同意将阜康市2022年财政衔接推进乡村振兴补助资金项目纳入项目库并实施的批复》，项目于2022年5月启动。</w:t>
      </w:r>
    </w:p>
    <w:p w14:paraId="5317B59E">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rPr>
        <w:t>主要内容及实施情况</w:t>
      </w:r>
      <w:bookmarkEnd w:id="5"/>
    </w:p>
    <w:p w14:paraId="3AD99D5D">
      <w:pPr>
        <w:rPr>
          <w:rFonts w:hint="eastAsia" w:ascii="宋体" w:hAnsi="宋体" w:eastAsia="宋体" w:cs="宋体"/>
          <w:color w:val="auto"/>
          <w:highlight w:val="none"/>
          <w:shd w:val="clear" w:color="auto" w:fill="auto"/>
          <w:lang w:val="en-US" w:eastAsia="zh-CN"/>
        </w:rPr>
      </w:pPr>
      <w:bookmarkStart w:id="6" w:name="_Toc16592"/>
      <w:r>
        <w:rPr>
          <w:rFonts w:hint="eastAsia" w:ascii="宋体" w:hAnsi="宋体" w:eastAsia="宋体" w:cs="宋体"/>
          <w:color w:val="auto"/>
          <w:highlight w:val="none"/>
          <w:shd w:val="clear" w:color="auto" w:fill="auto"/>
          <w:lang w:val="en-US" w:eastAsia="zh-CN"/>
        </w:rPr>
        <w:t>主要内容：</w:t>
      </w:r>
      <w:bookmarkEnd w:id="6"/>
      <w:r>
        <w:rPr>
          <w:rFonts w:hint="eastAsia" w:ascii="宋体" w:hAnsi="宋体" w:eastAsia="宋体" w:cs="宋体"/>
          <w:color w:val="auto"/>
          <w:highlight w:val="none"/>
          <w:shd w:val="clear" w:color="auto" w:fill="auto"/>
          <w:lang w:val="en-US" w:eastAsia="zh-CN"/>
        </w:rPr>
        <w:t>该项目主要完成1、城关镇龙王庙西村基础设施项目92635㎡；2、城关镇山坡村一期基础设施建设项目89611㎡；3、畜牧产业园区提升改造项目167400㎡；4、天山岔路口至滋泥泉子镇围栏项目50000米；5、东湾林场及新湖村管线项目6641米。</w:t>
      </w:r>
    </w:p>
    <w:p w14:paraId="0D389451">
      <w:pPr>
        <w:rPr>
          <w:rFonts w:hint="eastAsia"/>
          <w:color w:val="auto"/>
          <w:lang w:val="en-US" w:eastAsia="zh-CN"/>
        </w:rPr>
      </w:pPr>
      <w:r>
        <w:rPr>
          <w:rFonts w:hint="eastAsia" w:cs="宋体"/>
          <w:color w:val="auto"/>
          <w:highlight w:val="none"/>
          <w:shd w:val="clear" w:color="auto" w:fill="auto"/>
          <w:lang w:val="en-US" w:eastAsia="zh-CN"/>
        </w:rPr>
        <w:t>实施情况</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2022</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13</w:t>
      </w:r>
      <w:r>
        <w:rPr>
          <w:rFonts w:hint="eastAsia" w:ascii="宋体" w:hAnsi="宋体" w:eastAsia="宋体" w:cs="宋体"/>
          <w:color w:val="auto"/>
          <w:highlight w:val="none"/>
          <w:shd w:val="clear" w:color="auto" w:fill="auto"/>
          <w:lang w:val="en-US" w:eastAsia="zh-CN"/>
        </w:rPr>
        <w:t>日经</w:t>
      </w:r>
      <w:r>
        <w:rPr>
          <w:rFonts w:hint="eastAsia" w:cs="宋体"/>
          <w:color w:val="auto"/>
          <w:highlight w:val="none"/>
          <w:shd w:val="clear" w:color="auto" w:fill="auto"/>
          <w:lang w:val="en-US" w:eastAsia="zh-CN"/>
        </w:rPr>
        <w:t>《关于《昌吉州阜康市生态屏障基础设施建设项目可行性研究报告》的批复》（阜发改投资〔2022〕100号）</w:t>
      </w:r>
      <w:r>
        <w:rPr>
          <w:rFonts w:hint="eastAsia" w:ascii="宋体" w:hAnsi="宋体" w:eastAsia="宋体" w:cs="宋体"/>
          <w:color w:val="auto"/>
          <w:highlight w:val="none"/>
          <w:shd w:val="clear" w:color="auto" w:fill="auto"/>
          <w:lang w:val="en-US" w:eastAsia="zh-CN"/>
        </w:rPr>
        <w:t>文件批复，经</w:t>
      </w:r>
      <w:r>
        <w:rPr>
          <w:rFonts w:hint="eastAsia" w:cs="宋体"/>
          <w:color w:val="auto"/>
          <w:highlight w:val="none"/>
          <w:shd w:val="clear" w:color="auto" w:fill="auto"/>
          <w:lang w:val="en-US" w:eastAsia="zh-CN"/>
        </w:rPr>
        <w:t>阜康市林业和草原局党组会</w:t>
      </w:r>
      <w:r>
        <w:rPr>
          <w:rFonts w:hint="eastAsia" w:ascii="宋体" w:hAnsi="宋体" w:eastAsia="宋体" w:cs="宋体"/>
          <w:color w:val="auto"/>
          <w:highlight w:val="none"/>
          <w:shd w:val="clear" w:color="auto" w:fill="auto"/>
          <w:lang w:val="en-US" w:eastAsia="zh-CN"/>
        </w:rPr>
        <w:t>会议，确定了项目领导小组，明确了责任分工：组长为</w:t>
      </w:r>
      <w:r>
        <w:rPr>
          <w:rFonts w:hint="eastAsia" w:cs="宋体"/>
          <w:color w:val="auto"/>
          <w:highlight w:val="none"/>
          <w:shd w:val="clear" w:color="auto" w:fill="auto"/>
          <w:lang w:val="en-US" w:eastAsia="zh-CN"/>
        </w:rPr>
        <w:t>赵建壁</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郑建斌</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项目负责人为赵建壁,</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张志伟</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郑建斌</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张志伟负责</w:t>
      </w:r>
      <w:r>
        <w:rPr>
          <w:rFonts w:hint="eastAsia" w:ascii="宋体" w:hAnsi="宋体" w:eastAsia="宋体" w:cs="宋体"/>
          <w:color w:val="auto"/>
          <w:highlight w:val="none"/>
          <w:shd w:val="clear" w:color="auto" w:fill="auto"/>
          <w:lang w:val="en-US" w:eastAsia="zh-CN"/>
        </w:rPr>
        <w:t>档案资料，资金拨付工作。</w:t>
      </w:r>
    </w:p>
    <w:p w14:paraId="1B3B9774">
      <w:pPr>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30"/>
          <w:szCs w:val="30"/>
          <w:highlight w:val="none"/>
          <w:lang w:val="en-US" w:eastAsia="zh-CN"/>
        </w:rPr>
      </w:pPr>
      <w:r>
        <w:rPr>
          <w:rFonts w:hint="eastAsia" w:ascii="宋体" w:hAnsi="宋体" w:eastAsia="宋体" w:cs="宋体"/>
          <w:color w:val="auto"/>
          <w:highlight w:val="none"/>
          <w:shd w:val="clear" w:color="auto" w:fill="auto"/>
          <w:lang w:val="en-US" w:eastAsia="zh-CN"/>
        </w:rPr>
        <w:t>该项目于2022年4月开展前期准备工作，2022年5月正式开工，现在该项目已全部完工正在审计工作中。</w:t>
      </w:r>
    </w:p>
    <w:p w14:paraId="5094BB23">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7" w:name="_Toc1858"/>
      <w:r>
        <w:rPr>
          <w:rFonts w:hint="eastAsia" w:ascii="宋体" w:hAnsi="宋体" w:eastAsia="宋体" w:cs="宋体"/>
          <w:color w:val="auto"/>
          <w:highlight w:val="none"/>
          <w:shd w:val="clear" w:color="auto" w:fill="auto"/>
          <w:lang w:val="en-US" w:eastAsia="zh-CN"/>
        </w:rPr>
        <w:t>3.资金投入和使用情况</w:t>
      </w:r>
      <w:bookmarkEnd w:id="7"/>
    </w:p>
    <w:p w14:paraId="06A3D8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项目资金安排落实、总投入等情况分析</w:t>
      </w:r>
    </w:p>
    <w:p w14:paraId="2ABF8F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昌吉州阜康市生态屏障基础设施建设项目预算安排总额为</w:t>
      </w:r>
      <w:r>
        <w:rPr>
          <w:rFonts w:hint="eastAsia" w:ascii="仿宋_GB2312" w:hAnsi="仿宋_GB2312" w:eastAsia="仿宋_GB2312" w:cs="仿宋_GB2312"/>
          <w:color w:val="auto"/>
          <w:sz w:val="30"/>
          <w:szCs w:val="30"/>
          <w:highlight w:val="none"/>
          <w:lang w:val="en-US" w:eastAsia="zh-CN"/>
        </w:rPr>
        <w:t>1300</w:t>
      </w:r>
      <w:r>
        <w:rPr>
          <w:rFonts w:hint="eastAsia" w:ascii="宋体" w:hAnsi="宋体" w:eastAsia="宋体" w:cs="宋体"/>
          <w:color w:val="auto"/>
          <w:highlight w:val="none"/>
          <w:shd w:val="clear" w:color="auto" w:fill="auto"/>
          <w:lang w:val="en-US" w:eastAsia="zh-CN"/>
        </w:rPr>
        <w:t>元，其中</w:t>
      </w:r>
      <w:r>
        <w:rPr>
          <w:rFonts w:hint="eastAsia" w:cs="宋体"/>
          <w:color w:val="auto"/>
          <w:highlight w:val="none"/>
          <w:shd w:val="clear" w:color="auto" w:fill="auto"/>
          <w:lang w:val="en-US" w:eastAsia="zh-CN"/>
        </w:rPr>
        <w:t>财政拨款300万元</w:t>
      </w:r>
      <w:r>
        <w:rPr>
          <w:rFonts w:hint="eastAsia" w:ascii="宋体" w:hAnsi="宋体" w:eastAsia="宋体" w:cs="宋体"/>
          <w:color w:val="auto"/>
          <w:highlight w:val="none"/>
          <w:shd w:val="clear" w:color="auto" w:fill="auto"/>
          <w:lang w:val="en-US" w:eastAsia="zh-CN"/>
        </w:rPr>
        <w:t>，其他资金</w:t>
      </w:r>
      <w:r>
        <w:rPr>
          <w:rFonts w:hint="eastAsia" w:cs="宋体"/>
          <w:color w:val="auto"/>
          <w:highlight w:val="none"/>
          <w:shd w:val="clear" w:color="auto" w:fill="auto"/>
          <w:lang w:val="en-US" w:eastAsia="zh-CN"/>
        </w:rPr>
        <w:t>1000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1300</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280206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0A46B7B8">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截至2023年12月31日，昌吉州阜康市生态屏障基础设施建设项目实际支付资金1011.57万元，预算执行率77.81%。结转结余资金0万元，已上缴国库。项目资金主要用于项目基础设施建设及项目前期费等方面。</w:t>
      </w:r>
    </w:p>
    <w:p w14:paraId="64B96A29">
      <w:pPr>
        <w:pStyle w:val="5"/>
        <w:pageBreakBefore w:val="0"/>
        <w:numPr>
          <w:ilvl w:val="0"/>
          <w:numId w:val="1"/>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auto"/>
          <w:highlight w:val="none"/>
          <w:shd w:val="clear" w:color="auto" w:fill="auto"/>
        </w:rPr>
      </w:pPr>
      <w:bookmarkStart w:id="8" w:name="_Toc2879"/>
      <w:r>
        <w:rPr>
          <w:rFonts w:hint="eastAsia" w:ascii="宋体" w:hAnsi="宋体" w:eastAsia="宋体" w:cs="宋体"/>
          <w:color w:val="auto"/>
          <w:highlight w:val="none"/>
          <w:shd w:val="clear" w:color="auto" w:fill="auto"/>
        </w:rPr>
        <w:t>项目绩效目标</w:t>
      </w:r>
      <w:bookmarkEnd w:id="8"/>
    </w:p>
    <w:p w14:paraId="02B7D6CF">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66A5286B">
      <w:pPr>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8"/>
          <w:szCs w:val="28"/>
          <w:highlight w:val="none"/>
          <w:shd w:val="clear" w:color="auto" w:fill="auto"/>
          <w:lang w:val="en-US" w:eastAsia="zh-CN"/>
        </w:rPr>
      </w:pPr>
      <w:r>
        <w:rPr>
          <w:rFonts w:hint="eastAsia" w:asciiTheme="minorEastAsia" w:hAnsiTheme="minorEastAsia" w:eastAsiaTheme="minorEastAsia" w:cstheme="minorEastAsia"/>
          <w:color w:val="auto"/>
          <w:sz w:val="28"/>
          <w:szCs w:val="28"/>
          <w:highlight w:val="none"/>
          <w:lang w:val="en-US" w:eastAsia="zh-CN"/>
        </w:rPr>
        <w:t>昌吉州阜康市生态屏障基础设施建设项目</w:t>
      </w:r>
      <w:r>
        <w:rPr>
          <w:rFonts w:hint="eastAsia" w:asciiTheme="minorEastAsia" w:hAnsiTheme="minorEastAsia" w:eastAsiaTheme="minorEastAsia" w:cstheme="minorEastAsia"/>
          <w:color w:val="auto"/>
          <w:sz w:val="28"/>
          <w:szCs w:val="28"/>
          <w:highlight w:val="none"/>
          <w:shd w:val="clear" w:color="auto" w:fill="auto"/>
          <w:lang w:val="en-US" w:eastAsia="zh-CN"/>
        </w:rPr>
        <w:t>绩效总体目标为：阜康市林业和草原局预计完成：1、城关镇龙王庙西村基础设施项目92635㎡；2、城关镇山坡村一期基础设施建设项目89611㎡；3、畜牧产业园区提升改造项目167400㎡；4、天山岔路口至滋泥泉子镇围栏项目50000米；5、东湾林场及新湖村管线项目6641米。项目建成将有利于进一步完善乡村周边基础设施建设，对人居环境改善发挥着重要作用，提供新的社会就业机会，让乡村富余劳动力。</w:t>
      </w:r>
    </w:p>
    <w:p w14:paraId="28698A3F">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67517D95">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eastAsia="zh-CN"/>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的规定，结合项目实施单位的规章制度以及财务相关资料，评价小组对项目绩效目标进行了进一步的完善，完善</w:t>
      </w:r>
      <w:r>
        <w:rPr>
          <w:rFonts w:hint="eastAsia" w:ascii="宋体" w:hAnsi="宋体" w:eastAsia="宋体" w:cs="宋体"/>
          <w:bCs/>
          <w:color w:val="auto"/>
          <w:highlight w:val="none"/>
          <w:shd w:val="clear" w:color="auto" w:fill="auto"/>
          <w:lang w:val="en-US" w:eastAsia="zh-CN"/>
        </w:rPr>
        <w:t>后</w:t>
      </w:r>
      <w:r>
        <w:rPr>
          <w:rFonts w:hint="eastAsia" w:ascii="宋体" w:hAnsi="宋体" w:eastAsia="宋体" w:cs="宋体"/>
          <w:bCs/>
          <w:color w:val="auto"/>
          <w:highlight w:val="none"/>
          <w:shd w:val="clear" w:color="auto" w:fill="auto"/>
          <w:lang w:eastAsia="zh-CN"/>
        </w:rPr>
        <w:t>绩效目标如下：</w:t>
      </w:r>
    </w:p>
    <w:p w14:paraId="08B784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highlight w:val="none"/>
          <w:shd w:val="clear" w:color="auto" w:fill="auto"/>
          <w:lang w:val="en-US" w:eastAsia="zh-CN"/>
        </w:rPr>
      </w:pPr>
      <w:bookmarkStart w:id="11" w:name="_Toc2549"/>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w:t>
      </w:r>
      <w:r>
        <w:rPr>
          <w:rFonts w:hint="eastAsia" w:ascii="宋体" w:hAnsi="宋体" w:eastAsia="宋体" w:cs="宋体"/>
          <w:color w:val="auto"/>
          <w:highlight w:val="none"/>
          <w:shd w:val="clear" w:color="auto" w:fill="auto"/>
          <w:lang w:val="en-US" w:eastAsia="zh-CN"/>
        </w:rPr>
        <w:t>目标</w:t>
      </w:r>
    </w:p>
    <w:p w14:paraId="05426A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5F8110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城关镇龙王庙西村基础设施建设面积</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为≥92635㎡；</w:t>
      </w:r>
    </w:p>
    <w:p w14:paraId="74D889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城关镇山坡村一期基础设施建设建设面积</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为≥89611㎡；</w:t>
      </w:r>
    </w:p>
    <w:p w14:paraId="304AD1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畜牧产业园区提升改造建设面积</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为≥167400㎡；</w:t>
      </w:r>
    </w:p>
    <w:p w14:paraId="6EC582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天山岔路口至滋泥泉子镇围栏长度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为≥≥50000m；</w:t>
      </w:r>
    </w:p>
    <w:p w14:paraId="1046C6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东湾林场及新湖村管线敷设长度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为≥≥6641m；</w:t>
      </w:r>
    </w:p>
    <w:p w14:paraId="1DD444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182851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工程验收合格率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02567D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19BF2E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项目完成及时率</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w:t>
      </w:r>
    </w:p>
    <w:p w14:paraId="64CD4B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成本指标</w:t>
      </w:r>
    </w:p>
    <w:p w14:paraId="196481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项目建设成本</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为≤1000万元；</w:t>
      </w:r>
    </w:p>
    <w:p w14:paraId="397068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项目前期费与其他建设费用</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为≤300万元；</w:t>
      </w:r>
    </w:p>
    <w:p w14:paraId="7E46394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）项目效益</w:t>
      </w:r>
      <w:r>
        <w:rPr>
          <w:rFonts w:hint="eastAsia" w:ascii="宋体" w:hAnsi="宋体" w:eastAsia="宋体" w:cs="宋体"/>
          <w:color w:val="auto"/>
          <w:highlight w:val="none"/>
          <w:shd w:val="clear" w:color="auto" w:fill="auto"/>
          <w:lang w:val="en-US" w:eastAsia="zh-CN"/>
        </w:rPr>
        <w:t>目标</w:t>
      </w:r>
    </w:p>
    <w:p w14:paraId="2CC7F9F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6BF0EADD">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本项目不涉及该指标。</w:t>
      </w:r>
    </w:p>
    <w:p w14:paraId="06A1873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2E92AC83">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项目的实施还可提供新的社会就业机会，让乡村富余劳动力。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为基本改善；</w:t>
      </w:r>
    </w:p>
    <w:p w14:paraId="3240AB2C">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生态效益指标</w:t>
      </w:r>
    </w:p>
    <w:p w14:paraId="6A581DA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项目建成将有利于进一步完善乡村周边基础设施建设，对人居环境改善发挥着重要作用。</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为基本改善；</w:t>
      </w:r>
    </w:p>
    <w:p w14:paraId="02DF3BB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④可持续影响</w:t>
      </w:r>
    </w:p>
    <w:p w14:paraId="0B11034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本项目不涉及该指标。</w:t>
      </w:r>
    </w:p>
    <w:p w14:paraId="5E3CAA9B">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26477DB6">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周边百姓满意度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为≥95%</w:t>
      </w:r>
      <w:r>
        <w:rPr>
          <w:rFonts w:hint="eastAsia" w:cs="宋体"/>
          <w:color w:val="auto"/>
          <w:highlight w:val="none"/>
          <w:shd w:val="clear" w:color="auto" w:fill="auto"/>
          <w:lang w:val="en-US" w:eastAsia="zh-CN"/>
        </w:rPr>
        <w:t>。</w:t>
      </w:r>
    </w:p>
    <w:p w14:paraId="564942DE">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rPr>
        <w:t>二、绩效评价工作开展情况</w:t>
      </w:r>
      <w:bookmarkEnd w:id="11"/>
    </w:p>
    <w:p w14:paraId="49C11403">
      <w:pPr>
        <w:pStyle w:val="5"/>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eastAsia="zh-CN"/>
        </w:rPr>
      </w:pPr>
      <w:bookmarkStart w:id="12" w:name="_Toc26632"/>
      <w:bookmarkStart w:id="13" w:name="_Toc480473081"/>
      <w:bookmarkStart w:id="14" w:name="_Toc22922"/>
      <w:bookmarkStart w:id="15" w:name="_Toc5258"/>
      <w:bookmarkStart w:id="16" w:name="_Toc22169_WPSOffice_Level2"/>
      <w:bookmarkStart w:id="17" w:name="_Toc21664"/>
      <w:bookmarkStart w:id="18" w:name="_Toc5462343"/>
      <w:bookmarkStart w:id="19" w:name="_Toc12868"/>
      <w:bookmarkStart w:id="20" w:name="_Toc21778"/>
      <w:r>
        <w:rPr>
          <w:rFonts w:hint="eastAsia" w:ascii="宋体" w:hAnsi="宋体" w:eastAsia="宋体" w:cs="宋体"/>
          <w:color w:val="auto"/>
          <w:sz w:val="32"/>
          <w:szCs w:val="32"/>
          <w:highlight w:val="none"/>
          <w:shd w:val="clear" w:color="auto" w:fill="auto"/>
          <w:lang w:eastAsia="zh-CN"/>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auto"/>
          <w:sz w:val="32"/>
          <w:szCs w:val="32"/>
          <w:highlight w:val="none"/>
          <w:shd w:val="clear" w:color="auto" w:fill="auto"/>
          <w:lang w:eastAsia="zh-CN"/>
        </w:rPr>
        <w:t>、对象和范围</w:t>
      </w:r>
      <w:bookmarkEnd w:id="20"/>
    </w:p>
    <w:p w14:paraId="5B46CE75">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21" w:name="_Toc15732"/>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sz w:val="32"/>
          <w:szCs w:val="32"/>
          <w:highlight w:val="none"/>
          <w:shd w:val="clear" w:color="auto" w:fill="auto"/>
          <w:lang w:eastAsia="zh-CN"/>
        </w:rPr>
        <w:t>绩效评价的目的</w:t>
      </w:r>
      <w:bookmarkEnd w:id="21"/>
    </w:p>
    <w:p w14:paraId="61E1D878">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为全面了解</w:t>
      </w:r>
      <w:r>
        <w:rPr>
          <w:rFonts w:hint="eastAsia" w:ascii="宋体" w:hAnsi="宋体" w:eastAsia="宋体" w:cs="宋体"/>
          <w:color w:val="auto"/>
          <w:highlight w:val="none"/>
          <w:shd w:val="clear" w:color="auto" w:fill="auto"/>
          <w:lang w:val="en-US" w:eastAsia="zh-CN"/>
        </w:rPr>
        <w:t>该</w:t>
      </w:r>
      <w:r>
        <w:rPr>
          <w:rFonts w:hint="eastAsia" w:ascii="宋体" w:hAnsi="宋体" w:eastAsia="宋体" w:cs="宋体"/>
          <w:color w:val="auto"/>
          <w:highlight w:val="none"/>
          <w:shd w:val="clear" w:color="auto" w:fill="auto"/>
          <w:lang w:eastAsia="zh-CN"/>
        </w:rPr>
        <w:t>项目预算编制合理性、资金使用合规性、项目管理的规范性、</w:t>
      </w:r>
      <w:r>
        <w:rPr>
          <w:rFonts w:hint="eastAsia" w:ascii="宋体" w:hAnsi="宋体" w:eastAsia="宋体" w:cs="宋体"/>
          <w:color w:val="auto"/>
          <w:highlight w:val="none"/>
          <w:shd w:val="clear" w:color="auto" w:fill="auto"/>
          <w:lang w:val="en-US" w:eastAsia="zh-CN"/>
        </w:rPr>
        <w:t>绩效</w:t>
      </w:r>
      <w:r>
        <w:rPr>
          <w:rFonts w:hint="eastAsia" w:ascii="宋体" w:hAnsi="宋体" w:eastAsia="宋体" w:cs="宋体"/>
          <w:color w:val="auto"/>
          <w:highlight w:val="none"/>
          <w:shd w:val="clear" w:color="auto" w:fill="auto"/>
          <w:lang w:eastAsia="zh-CN"/>
        </w:rPr>
        <w:t>目标的实现情况、服务对象的满意度等，通过本次</w:t>
      </w:r>
      <w:r>
        <w:rPr>
          <w:rFonts w:hint="eastAsia" w:ascii="宋体" w:hAnsi="宋体" w:eastAsia="宋体" w:cs="宋体"/>
          <w:color w:val="auto"/>
          <w:highlight w:val="none"/>
          <w:shd w:val="clear" w:color="auto" w:fill="auto"/>
          <w:lang w:val="en-US" w:eastAsia="zh-CN"/>
        </w:rPr>
        <w:t>部门</w:t>
      </w:r>
      <w:r>
        <w:rPr>
          <w:rFonts w:hint="eastAsia" w:ascii="宋体" w:hAnsi="宋体" w:eastAsia="宋体" w:cs="宋体"/>
          <w:color w:val="auto"/>
          <w:highlight w:val="none"/>
          <w:shd w:val="clear" w:color="auto" w:fill="auto"/>
          <w:lang w:eastAsia="zh-CN"/>
        </w:rPr>
        <w:t>绩效评价来总结经验和教训，促进项目成果转化和应用，为今后类似项目的长效管理，提供可行性参考建议。</w:t>
      </w:r>
    </w:p>
    <w:p w14:paraId="5D80A642">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22" w:name="_Toc30609"/>
      <w:r>
        <w:rPr>
          <w:rFonts w:hint="eastAsia" w:ascii="宋体" w:hAnsi="宋体" w:eastAsia="宋体" w:cs="宋体"/>
          <w:color w:val="auto"/>
          <w:highlight w:val="none"/>
          <w:shd w:val="clear" w:color="auto" w:fill="auto"/>
          <w:lang w:val="en-US" w:eastAsia="zh-CN"/>
        </w:rPr>
        <w:t>2.绩效评价的对象和范围</w:t>
      </w:r>
      <w:bookmarkEnd w:id="22"/>
    </w:p>
    <w:p w14:paraId="1E85C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此次我单位根据</w:t>
      </w:r>
      <w:r>
        <w:rPr>
          <w:rFonts w:hint="eastAsia" w:ascii="宋体" w:hAnsi="宋体" w:eastAsia="宋体" w:cs="宋体"/>
          <w:color w:val="auto"/>
          <w:highlight w:val="none"/>
          <w:shd w:val="clear" w:color="auto" w:fill="auto"/>
        </w:rPr>
        <w:t>《财政支出绩效评价管理暂行办法》（</w:t>
      </w:r>
      <w:r>
        <w:rPr>
          <w:rFonts w:hint="eastAsia" w:ascii="宋体" w:hAnsi="宋体" w:eastAsia="宋体" w:cs="宋体"/>
          <w:color w:val="auto"/>
          <w:highlight w:val="none"/>
          <w:shd w:val="clear" w:color="auto" w:fill="auto"/>
          <w:lang w:eastAsia="zh-CN"/>
        </w:rPr>
        <w:t>财预〔2020〕10号</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val="en-US" w:eastAsia="zh-CN"/>
        </w:rPr>
        <w:t>文件要求对</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年度我单位实施的昌吉州阜康市生态屏障基础设施建设项目开展部门绩效评价。</w:t>
      </w:r>
    </w:p>
    <w:p w14:paraId="488B93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本次绩效评价主要围绕项目决策、项目管理、项目产出、项目效益四个维度，对该专项资金的预算编制、项目实施、监督管理、资金支出使用、绩效目标的实现情况以及受益对象的满意度等开展综合评价。</w:t>
      </w:r>
    </w:p>
    <w:p w14:paraId="05CAD6E9">
      <w:pPr>
        <w:pStyle w:val="5"/>
        <w:pageBreakBefore w:val="0"/>
        <w:numPr>
          <w:ilvl w:val="0"/>
          <w:numId w:val="2"/>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auto"/>
          <w:sz w:val="32"/>
          <w:szCs w:val="32"/>
          <w:highlight w:val="none"/>
          <w:shd w:val="clear" w:color="auto" w:fill="auto"/>
          <w:lang w:val="en-US" w:eastAsia="zh-CN"/>
        </w:rPr>
      </w:pPr>
      <w:bookmarkStart w:id="23" w:name="_Toc15902"/>
      <w:r>
        <w:rPr>
          <w:rFonts w:hint="eastAsia" w:ascii="宋体" w:hAnsi="宋体" w:eastAsia="宋体" w:cs="宋体"/>
          <w:color w:val="auto"/>
          <w:sz w:val="32"/>
          <w:szCs w:val="32"/>
          <w:highlight w:val="none"/>
          <w:shd w:val="clear" w:color="auto" w:fill="auto"/>
          <w:lang w:val="en-US" w:eastAsia="zh-CN"/>
        </w:rPr>
        <w:t>绩效评价原则、评价指标体系（附表说明）、评价方法、评价标准</w:t>
      </w:r>
      <w:bookmarkEnd w:id="23"/>
    </w:p>
    <w:p w14:paraId="2A795267">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rPr>
      </w:pPr>
      <w:bookmarkStart w:id="24" w:name="_Toc24506"/>
      <w:r>
        <w:rPr>
          <w:rFonts w:hint="eastAsia" w:ascii="宋体" w:hAnsi="宋体" w:eastAsia="宋体"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rPr>
        <w:t>绩效评价原则</w:t>
      </w:r>
      <w:bookmarkEnd w:id="24"/>
    </w:p>
    <w:p w14:paraId="0E0BC64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依据</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w:t>
      </w:r>
      <w:r>
        <w:rPr>
          <w:rFonts w:hint="eastAsia" w:ascii="宋体" w:hAnsi="宋体" w:eastAsia="宋体" w:cs="宋体"/>
          <w:color w:val="auto"/>
          <w:highlight w:val="none"/>
          <w:shd w:val="clear" w:color="auto" w:fill="auto"/>
          <w:lang w:eastAsia="zh-CN"/>
        </w:rPr>
        <w:t>本次绩效评价秉承科学规范、公正公开、分级分类、绩效相关等原则，按照从投入、过程到产出效果和影响的绩效逻辑路径，结合</w:t>
      </w:r>
      <w:r>
        <w:rPr>
          <w:rFonts w:hint="eastAsia" w:ascii="宋体" w:hAnsi="宋体" w:eastAsia="宋体" w:cs="宋体"/>
          <w:color w:val="auto"/>
          <w:highlight w:val="none"/>
          <w:shd w:val="clear" w:color="auto" w:fill="auto"/>
          <w:lang w:val="en-US" w:eastAsia="zh-CN"/>
        </w:rPr>
        <w:t>昌吉州阜康市生态屏障基础设施建设项目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实际开展情况，运用定量和定性分析相结合的方法，总结经验做法，反思项目实施和管理中的问题，以切实提升财政资金管理的科学化、规范化和精细化水平。</w:t>
      </w:r>
    </w:p>
    <w:p w14:paraId="2945FD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根据以上原则，绩效评价应遵循如下要求：</w:t>
      </w:r>
    </w:p>
    <w:p w14:paraId="5E6B37D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cs="宋体"/>
          <w:color w:val="auto"/>
          <w:highlight w:val="none"/>
          <w:shd w:val="clear" w:color="auto" w:fill="auto"/>
          <w:lang w:eastAsia="zh-CN"/>
        </w:rPr>
        <w:t>（</w:t>
      </w:r>
      <w:r>
        <w:rPr>
          <w:rFonts w:hint="eastAsia" w:cs="宋体"/>
          <w:color w:val="auto"/>
          <w:highlight w:val="none"/>
          <w:shd w:val="clear" w:color="auto" w:fill="auto"/>
          <w:lang w:val="en-US" w:eastAsia="zh-CN"/>
        </w:rPr>
        <w:t>1</w:t>
      </w:r>
      <w:r>
        <w:rPr>
          <w:rFonts w:hint="eastAsia" w:cs="宋体"/>
          <w:color w:val="auto"/>
          <w:highlight w:val="none"/>
          <w:shd w:val="clear" w:color="auto" w:fill="auto"/>
          <w:lang w:eastAsia="zh-CN"/>
        </w:rPr>
        <w:t>）</w:t>
      </w:r>
      <w:r>
        <w:rPr>
          <w:rFonts w:hint="eastAsia" w:ascii="宋体" w:hAnsi="宋体" w:eastAsia="宋体" w:cs="宋体"/>
          <w:color w:val="auto"/>
          <w:highlight w:val="none"/>
          <w:shd w:val="clear" w:color="auto" w:fill="auto"/>
          <w:lang w:eastAsia="zh-CN"/>
        </w:rPr>
        <w:t>科学公正。绩效评价应当运用科学合理的方法，按照规范的程序，对项目绩效进行客观、公正的反映。</w:t>
      </w:r>
    </w:p>
    <w:p w14:paraId="4FE0201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）统筹兼顾。单位自评、部门评价和财政评价应职责明确，各有侧重，相互衔接。单位自评应由项目单位自主实施，即“谁支出、谁自评”。</w:t>
      </w:r>
    </w:p>
    <w:p w14:paraId="7B1631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eastAsia="zh-CN"/>
        </w:rPr>
        <w:t>）激励约束。绩效评价结果应与预算安排、政策调整、改进管理实质性挂钩，体现奖优罚劣和激励相容导向，有效要安排、低效要压减、无效要问责。</w:t>
      </w:r>
    </w:p>
    <w:p w14:paraId="0D4E2E4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eastAsia="zh-CN"/>
        </w:rPr>
      </w:pPr>
      <w:r>
        <w:rPr>
          <w:rFonts w:hint="eastAsia" w:ascii="宋体" w:hAnsi="宋体" w:eastAsia="宋体" w:cs="宋体"/>
          <w:color w:val="auto"/>
          <w:highlight w:val="none"/>
          <w:shd w:val="clear" w:color="auto" w:fill="auto"/>
          <w:lang w:eastAsia="zh-CN"/>
        </w:rPr>
        <w:t>（</w:t>
      </w:r>
      <w:r>
        <w:rPr>
          <w:rFonts w:hint="eastAsia" w:cs="宋体"/>
          <w:color w:val="auto"/>
          <w:highlight w:val="none"/>
          <w:shd w:val="clear" w:color="auto" w:fill="auto"/>
          <w:lang w:val="en-US" w:eastAsia="zh-CN"/>
        </w:rPr>
        <w:t>4</w:t>
      </w:r>
      <w:r>
        <w:rPr>
          <w:rFonts w:hint="eastAsia" w:ascii="宋体" w:hAnsi="宋体" w:eastAsia="宋体" w:cs="宋体"/>
          <w:color w:val="auto"/>
          <w:highlight w:val="none"/>
          <w:shd w:val="clear" w:color="auto" w:fill="auto"/>
          <w:lang w:eastAsia="zh-CN"/>
        </w:rPr>
        <w:t>）公开透明。绩效评价结果应依法依规公开，并自觉接受社会监督。</w:t>
      </w:r>
    </w:p>
    <w:p w14:paraId="515EF90A">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eastAsia="zh-CN"/>
        </w:rPr>
      </w:pPr>
      <w:bookmarkStart w:id="25" w:name="_Toc419984722"/>
      <w:bookmarkStart w:id="26" w:name="_Toc1913"/>
      <w:bookmarkStart w:id="27" w:name="_Toc428278230"/>
      <w:bookmarkStart w:id="28" w:name="_Toc26131"/>
      <w:bookmarkStart w:id="29" w:name="_Toc24396"/>
      <w:r>
        <w:rPr>
          <w:rFonts w:hint="eastAsia" w:ascii="宋体" w:hAnsi="宋体" w:eastAsia="宋体"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eastAsia="zh-CN"/>
        </w:rPr>
        <w:t>绩效评价指标体系及绩效评价</w:t>
      </w:r>
      <w:bookmarkEnd w:id="25"/>
      <w:bookmarkEnd w:id="26"/>
      <w:bookmarkEnd w:id="27"/>
      <w:bookmarkEnd w:id="28"/>
      <w:r>
        <w:rPr>
          <w:rFonts w:hint="eastAsia" w:ascii="宋体" w:hAnsi="宋体" w:eastAsia="宋体" w:cs="宋体"/>
          <w:color w:val="auto"/>
          <w:highlight w:val="none"/>
          <w:shd w:val="clear" w:color="auto" w:fill="auto"/>
          <w:lang w:val="en-US" w:eastAsia="zh-CN"/>
        </w:rPr>
        <w:t>标准</w:t>
      </w:r>
      <w:bookmarkEnd w:id="29"/>
    </w:p>
    <w:p w14:paraId="00D1E33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我单位</w:t>
      </w:r>
      <w:r>
        <w:rPr>
          <w:rFonts w:hint="eastAsia" w:ascii="宋体" w:hAnsi="宋体" w:eastAsia="宋体" w:cs="宋体"/>
          <w:color w:val="auto"/>
          <w:highlight w:val="none"/>
          <w:shd w:val="clear" w:color="auto" w:fill="auto"/>
          <w:lang w:val="zh-TW" w:eastAsia="zh-TW"/>
        </w:rPr>
        <w:t>根据项目的</w:t>
      </w:r>
      <w:r>
        <w:rPr>
          <w:rFonts w:hint="eastAsia" w:ascii="宋体" w:hAnsi="宋体" w:eastAsia="宋体" w:cs="宋体"/>
          <w:color w:val="auto"/>
          <w:highlight w:val="none"/>
          <w:shd w:val="clear" w:color="auto" w:fill="auto"/>
          <w:lang w:val="en-US" w:eastAsia="zh-CN"/>
        </w:rPr>
        <w:t>实施</w:t>
      </w:r>
      <w:r>
        <w:rPr>
          <w:rFonts w:hint="eastAsia" w:ascii="宋体" w:hAnsi="宋体" w:eastAsia="宋体" w:cs="宋体"/>
          <w:color w:val="auto"/>
          <w:highlight w:val="none"/>
          <w:shd w:val="clear" w:color="auto" w:fill="auto"/>
          <w:lang w:val="zh-TW" w:eastAsia="zh-TW"/>
        </w:rPr>
        <w:t>资料研读及前期调研，结合项目的实际开展情况，最终形成了项目绩效评价指标体系</w:t>
      </w:r>
      <w:r>
        <w:rPr>
          <w:rFonts w:hint="eastAsia" w:ascii="宋体" w:hAnsi="宋体" w:eastAsia="宋体" w:cs="宋体"/>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指标体系结构如下</w:t>
      </w:r>
      <w:r>
        <w:rPr>
          <w:rFonts w:hint="eastAsia" w:cs="宋体"/>
          <w:b/>
          <w:bCs/>
          <w:color w:val="auto"/>
          <w:highlight w:val="none"/>
          <w:shd w:val="clear" w:color="auto" w:fill="auto"/>
          <w:lang w:val="en-US" w:eastAsia="zh-CN"/>
        </w:rPr>
        <w:t>（详见上传的附件）</w:t>
      </w:r>
      <w:r>
        <w:rPr>
          <w:rFonts w:hint="eastAsia" w:ascii="宋体" w:hAnsi="宋体" w:eastAsia="宋体" w:cs="宋体"/>
          <w:color w:val="auto"/>
          <w:highlight w:val="none"/>
          <w:shd w:val="clear" w:color="auto" w:fill="auto"/>
          <w:lang w:val="en-US" w:eastAsia="zh-CN"/>
        </w:rPr>
        <w:t>：</w:t>
      </w:r>
    </w:p>
    <w:p w14:paraId="48399343">
      <w:pPr>
        <w:jc w:val="center"/>
        <w:rPr>
          <w:rFonts w:hint="default"/>
          <w:b/>
          <w:bCs/>
          <w:color w:val="auto"/>
          <w:sz w:val="28"/>
          <w:szCs w:val="28"/>
          <w:highlight w:val="none"/>
          <w:lang w:val="en-US" w:eastAsia="zh-CN"/>
        </w:rPr>
      </w:pPr>
      <w:r>
        <w:rPr>
          <w:rFonts w:hint="eastAsia"/>
          <w:b/>
          <w:bCs/>
          <w:color w:val="auto"/>
          <w:sz w:val="28"/>
          <w:szCs w:val="28"/>
          <w:highlight w:val="none"/>
          <w:lang w:val="zh-TW" w:eastAsia="zh-TW"/>
        </w:rPr>
        <w:t>项目绩效评价指标体系</w:t>
      </w:r>
    </w:p>
    <w:tbl>
      <w:tblPr>
        <w:tblStyle w:val="12"/>
        <w:tblW w:w="867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356DD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116C0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一级指标</w:t>
            </w:r>
          </w:p>
        </w:tc>
        <w:tc>
          <w:tcPr>
            <w:tcW w:w="1196" w:type="dxa"/>
            <w:shd w:val="clear" w:color="auto" w:fill="auto"/>
            <w:vAlign w:val="center"/>
          </w:tcPr>
          <w:p w14:paraId="3FF2CB6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二级指标</w:t>
            </w:r>
          </w:p>
        </w:tc>
        <w:tc>
          <w:tcPr>
            <w:tcW w:w="1050" w:type="dxa"/>
            <w:shd w:val="clear" w:color="auto" w:fill="auto"/>
            <w:vAlign w:val="center"/>
          </w:tcPr>
          <w:p w14:paraId="11331D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三级指标</w:t>
            </w:r>
          </w:p>
        </w:tc>
        <w:tc>
          <w:tcPr>
            <w:tcW w:w="1996" w:type="dxa"/>
            <w:shd w:val="clear" w:color="auto" w:fill="auto"/>
            <w:vAlign w:val="center"/>
          </w:tcPr>
          <w:p w14:paraId="556112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指标解释</w:t>
            </w:r>
          </w:p>
        </w:tc>
        <w:tc>
          <w:tcPr>
            <w:tcW w:w="3793" w:type="dxa"/>
            <w:shd w:val="clear" w:color="auto" w:fill="auto"/>
            <w:vAlign w:val="center"/>
          </w:tcPr>
          <w:p w14:paraId="09D5F7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rPr>
            </w:pPr>
            <w:r>
              <w:rPr>
                <w:rFonts w:hint="eastAsia" w:ascii="宋体" w:hAnsi="宋体" w:eastAsia="宋体" w:cs="宋体"/>
                <w:b/>
                <w:bCs/>
                <w:color w:val="auto"/>
                <w:kern w:val="0"/>
                <w:sz w:val="20"/>
                <w:szCs w:val="20"/>
                <w:highlight w:val="none"/>
                <w:shd w:val="clear" w:color="auto" w:fill="auto"/>
              </w:rPr>
              <w:t>指标说明</w:t>
            </w:r>
          </w:p>
        </w:tc>
      </w:tr>
      <w:tr w14:paraId="06E29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3B5C56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决策</w:t>
            </w:r>
          </w:p>
        </w:tc>
        <w:tc>
          <w:tcPr>
            <w:tcW w:w="1196" w:type="dxa"/>
            <w:vMerge w:val="restart"/>
            <w:shd w:val="clear" w:color="auto" w:fill="auto"/>
            <w:vAlign w:val="center"/>
          </w:tcPr>
          <w:p w14:paraId="44D3CA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w:t>
            </w:r>
          </w:p>
        </w:tc>
        <w:tc>
          <w:tcPr>
            <w:tcW w:w="1050" w:type="dxa"/>
            <w:shd w:val="clear" w:color="auto" w:fill="auto"/>
            <w:vAlign w:val="center"/>
          </w:tcPr>
          <w:p w14:paraId="7ADE98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立项依据</w:t>
            </w:r>
          </w:p>
          <w:p w14:paraId="4616D5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充分性</w:t>
            </w:r>
          </w:p>
        </w:tc>
        <w:tc>
          <w:tcPr>
            <w:tcW w:w="1996" w:type="dxa"/>
            <w:shd w:val="clear" w:color="auto" w:fill="auto"/>
            <w:vAlign w:val="center"/>
          </w:tcPr>
          <w:p w14:paraId="1BC9B9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项目立项是否符合法律法规、相关政策、发展规划以及部门职责，用以反映和考核项目立项依据情况。</w:t>
            </w:r>
          </w:p>
        </w:tc>
        <w:tc>
          <w:tcPr>
            <w:tcW w:w="3793" w:type="dxa"/>
            <w:shd w:val="clear" w:color="auto" w:fill="auto"/>
            <w:vAlign w:val="center"/>
          </w:tcPr>
          <w:p w14:paraId="1AEDC84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1E5D11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①项目立项是否符合国家法律法规、国民经济发展规划和相关政策；</w:t>
            </w:r>
          </w:p>
          <w:p w14:paraId="5B5237C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②项目立项是否符合行业发展规划和政策要求；</w:t>
            </w:r>
          </w:p>
          <w:p w14:paraId="14D31F1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③项目立项是否与部门职责范围相符，属于部门履职所需；</w:t>
            </w:r>
          </w:p>
          <w:p w14:paraId="4F98530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④项目是否属于公共财政支持范围，是否符合中央、地方事权支出责任划分原则；</w:t>
            </w:r>
          </w:p>
          <w:p w14:paraId="23B8B43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⑤项目是否与相关部门同类项目或部门内部相关项目重复。</w:t>
            </w:r>
          </w:p>
        </w:tc>
      </w:tr>
      <w:tr w14:paraId="1A0C9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65B0307A">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1A9B59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26E1FF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立项程序</w:t>
            </w:r>
          </w:p>
          <w:p w14:paraId="608AAD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规范性</w:t>
            </w:r>
          </w:p>
        </w:tc>
        <w:tc>
          <w:tcPr>
            <w:tcW w:w="1996" w:type="dxa"/>
            <w:shd w:val="clear" w:color="auto" w:fill="auto"/>
            <w:vAlign w:val="center"/>
          </w:tcPr>
          <w:p w14:paraId="5FF364D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项目申请、设立过程是否符合相关要求，用以反映和考核项目立项的规范情况。</w:t>
            </w:r>
          </w:p>
        </w:tc>
        <w:tc>
          <w:tcPr>
            <w:tcW w:w="3793" w:type="dxa"/>
            <w:shd w:val="clear" w:color="auto" w:fill="auto"/>
            <w:vAlign w:val="center"/>
          </w:tcPr>
          <w:p w14:paraId="1334B49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4837323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①项目是否按照规定的程序申请设立；</w:t>
            </w:r>
          </w:p>
          <w:p w14:paraId="4EE38A1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②审批文件、材料是否符合相关要求；</w:t>
            </w:r>
          </w:p>
          <w:p w14:paraId="19B41B1B">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③事前是否已经过必要的可行性研究、专家论证、风险评估、绩效评估、集体决策。</w:t>
            </w:r>
          </w:p>
        </w:tc>
      </w:tr>
      <w:tr w14:paraId="39E0B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1772F5A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6DAE30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tc>
        <w:tc>
          <w:tcPr>
            <w:tcW w:w="1050" w:type="dxa"/>
            <w:shd w:val="clear" w:color="auto" w:fill="auto"/>
            <w:vAlign w:val="center"/>
          </w:tcPr>
          <w:p w14:paraId="23B620F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绩效目标</w:t>
            </w:r>
          </w:p>
          <w:p w14:paraId="3F33CA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0753C22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项目所设定的绩效目标是否依据充分，是否符合客观实际，用以反映和考核项目绩效目标与项目实施的相符情况。</w:t>
            </w:r>
          </w:p>
        </w:tc>
        <w:tc>
          <w:tcPr>
            <w:tcW w:w="3793" w:type="dxa"/>
            <w:shd w:val="clear" w:color="auto" w:fill="auto"/>
            <w:vAlign w:val="center"/>
          </w:tcPr>
          <w:p w14:paraId="52D2315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5D06508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（如未设定预算绩效目标，也可考核其他工作任务目标）</w:t>
            </w:r>
          </w:p>
          <w:p w14:paraId="7E42FA1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①项目是否有绩效目标；</w:t>
            </w:r>
          </w:p>
          <w:p w14:paraId="304AE35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②项目绩效目标与实际工作内容是否具有相关性；</w:t>
            </w:r>
          </w:p>
          <w:p w14:paraId="2EB6595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③项目预期产出效益和效果是否符合正常的业绩水平；</w:t>
            </w:r>
          </w:p>
          <w:p w14:paraId="10DD63CA">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④是否与预算确定的项目投资额或资金量相匹配。</w:t>
            </w:r>
          </w:p>
        </w:tc>
      </w:tr>
      <w:tr w14:paraId="4C78C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0602D7A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18E55B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764E36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绩效指标</w:t>
            </w:r>
          </w:p>
          <w:p w14:paraId="570737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明确性</w:t>
            </w:r>
          </w:p>
        </w:tc>
        <w:tc>
          <w:tcPr>
            <w:tcW w:w="1996" w:type="dxa"/>
            <w:shd w:val="clear" w:color="auto" w:fill="auto"/>
            <w:vAlign w:val="center"/>
          </w:tcPr>
          <w:p w14:paraId="393A00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依据绩效目标设定的绩效指标是否清晰、细化、可衡量等，用以反映和考核项目绩效目标的明细化情况。</w:t>
            </w:r>
          </w:p>
        </w:tc>
        <w:tc>
          <w:tcPr>
            <w:tcW w:w="3793" w:type="dxa"/>
            <w:shd w:val="clear" w:color="auto" w:fill="auto"/>
            <w:vAlign w:val="center"/>
          </w:tcPr>
          <w:p w14:paraId="1353AFF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4B8F5E7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①是否将项目绩效目标细化分解为具体的绩效指标；</w:t>
            </w:r>
          </w:p>
          <w:p w14:paraId="604BBF1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②是否通过清晰、可衡量的指标值予以体现；</w:t>
            </w:r>
          </w:p>
          <w:p w14:paraId="118B227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③是否与项目目标任务数或计划数相对应。</w:t>
            </w:r>
          </w:p>
        </w:tc>
      </w:tr>
      <w:tr w14:paraId="474249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0711C17A">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386E1C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资金投入</w:t>
            </w:r>
          </w:p>
        </w:tc>
        <w:tc>
          <w:tcPr>
            <w:tcW w:w="1050" w:type="dxa"/>
            <w:shd w:val="clear" w:color="auto" w:fill="auto"/>
            <w:vAlign w:val="center"/>
          </w:tcPr>
          <w:p w14:paraId="5F0901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预算编制</w:t>
            </w:r>
          </w:p>
          <w:p w14:paraId="063821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科学性</w:t>
            </w:r>
          </w:p>
        </w:tc>
        <w:tc>
          <w:tcPr>
            <w:tcW w:w="1996" w:type="dxa"/>
            <w:shd w:val="clear" w:color="auto" w:fill="auto"/>
            <w:vAlign w:val="center"/>
          </w:tcPr>
          <w:p w14:paraId="781B345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688A30A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36EB3D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①预算编制是否经过科学论证；</w:t>
            </w:r>
          </w:p>
          <w:p w14:paraId="4B3BD94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②预算内容与项目内容是否匹配；</w:t>
            </w:r>
          </w:p>
          <w:p w14:paraId="66B928D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③预算额度测算依据是否充分，是否按照标准编制；</w:t>
            </w:r>
          </w:p>
          <w:p w14:paraId="02098BC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④预算确定的项目投资额或资金量是否与工作任务相匹配。</w:t>
            </w:r>
          </w:p>
        </w:tc>
      </w:tr>
      <w:tr w14:paraId="3C913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423D06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35B6B9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619A883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资金分配</w:t>
            </w:r>
          </w:p>
          <w:p w14:paraId="56DA1A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合理性</w:t>
            </w:r>
          </w:p>
        </w:tc>
        <w:tc>
          <w:tcPr>
            <w:tcW w:w="1996" w:type="dxa"/>
            <w:shd w:val="clear" w:color="auto" w:fill="auto"/>
            <w:vAlign w:val="center"/>
          </w:tcPr>
          <w:p w14:paraId="080E9FB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1997548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3356E1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①预算资金分配依据是否充分；</w:t>
            </w:r>
          </w:p>
          <w:p w14:paraId="7331578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②资金分配额度是否合理，与项目单位或地方实际是否相适应。</w:t>
            </w:r>
          </w:p>
        </w:tc>
      </w:tr>
      <w:tr w14:paraId="7B838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3C6CAF2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过程</w:t>
            </w:r>
          </w:p>
        </w:tc>
        <w:tc>
          <w:tcPr>
            <w:tcW w:w="1196" w:type="dxa"/>
            <w:vMerge w:val="restart"/>
            <w:shd w:val="clear" w:color="auto" w:fill="auto"/>
            <w:vAlign w:val="center"/>
          </w:tcPr>
          <w:p w14:paraId="793F35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资金管理</w:t>
            </w:r>
          </w:p>
        </w:tc>
        <w:tc>
          <w:tcPr>
            <w:tcW w:w="1050" w:type="dxa"/>
            <w:shd w:val="clear" w:color="auto" w:fill="auto"/>
            <w:vAlign w:val="center"/>
          </w:tcPr>
          <w:p w14:paraId="7C40FA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w:t>
            </w:r>
          </w:p>
        </w:tc>
        <w:tc>
          <w:tcPr>
            <w:tcW w:w="1996" w:type="dxa"/>
            <w:shd w:val="clear" w:color="auto" w:fill="auto"/>
            <w:vAlign w:val="center"/>
          </w:tcPr>
          <w:p w14:paraId="06FE74E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实际到位资金与预算资金的比率，用以反映和考核资金落实情况对项目实施的总体保障程度。</w:t>
            </w:r>
          </w:p>
        </w:tc>
        <w:tc>
          <w:tcPr>
            <w:tcW w:w="3793" w:type="dxa"/>
            <w:shd w:val="clear" w:color="auto" w:fill="auto"/>
            <w:vAlign w:val="center"/>
          </w:tcPr>
          <w:p w14:paraId="595D692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资金到位率=（实际到位资金/预算资金）×100%。</w:t>
            </w:r>
          </w:p>
          <w:p w14:paraId="7B892F3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实际到位资金：一定时期（本年度或项目期）内落实到具体项目的资金。</w:t>
            </w:r>
          </w:p>
          <w:p w14:paraId="3A7D047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预算资金：一定时期（本年度或项目期）内预算安排到具体项目的资金。</w:t>
            </w:r>
          </w:p>
        </w:tc>
      </w:tr>
      <w:tr w14:paraId="5497C1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4CD5DA8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6895314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25B916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预算执行率</w:t>
            </w:r>
          </w:p>
        </w:tc>
        <w:tc>
          <w:tcPr>
            <w:tcW w:w="1996" w:type="dxa"/>
            <w:shd w:val="clear" w:color="auto" w:fill="auto"/>
            <w:vAlign w:val="center"/>
          </w:tcPr>
          <w:p w14:paraId="49C2D91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项目预算资金是否按照计划执行，用以反映或考核项目预算执行情况。</w:t>
            </w:r>
          </w:p>
        </w:tc>
        <w:tc>
          <w:tcPr>
            <w:tcW w:w="3793" w:type="dxa"/>
            <w:shd w:val="clear" w:color="auto" w:fill="auto"/>
            <w:vAlign w:val="center"/>
          </w:tcPr>
          <w:p w14:paraId="212240F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预算执行率=（实际支出资金/实际到位资金）×100%。</w:t>
            </w:r>
          </w:p>
          <w:p w14:paraId="25BAD91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实际支出资金：一定时期（本年度或项目期）内项目实际拨付的资金。</w:t>
            </w:r>
          </w:p>
        </w:tc>
      </w:tr>
      <w:tr w14:paraId="37939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736BAB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73B934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0EB6313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资金使用</w:t>
            </w:r>
          </w:p>
          <w:p w14:paraId="4C0008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合规性</w:t>
            </w:r>
          </w:p>
        </w:tc>
        <w:tc>
          <w:tcPr>
            <w:tcW w:w="1996" w:type="dxa"/>
            <w:shd w:val="clear" w:color="auto" w:fill="auto"/>
            <w:vAlign w:val="center"/>
          </w:tcPr>
          <w:p w14:paraId="7B2BD4C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项目资金使用是否符合相关的财务管理制度规定，用以反映和考核项目资金的规范运行情况。</w:t>
            </w:r>
          </w:p>
        </w:tc>
        <w:tc>
          <w:tcPr>
            <w:tcW w:w="3793" w:type="dxa"/>
            <w:shd w:val="clear" w:color="auto" w:fill="auto"/>
            <w:vAlign w:val="center"/>
          </w:tcPr>
          <w:p w14:paraId="6842FF6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4EDB99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①是否符合国家财经法规和财务管理制度以及有关专项资金管理办法的规定；</w:t>
            </w:r>
          </w:p>
          <w:p w14:paraId="5381469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②资金的拨付是否有完整的审批程序和手续；</w:t>
            </w:r>
          </w:p>
          <w:p w14:paraId="0A6EF1F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③是否符合项目预算批复或合同规定的用途；</w:t>
            </w:r>
          </w:p>
          <w:p w14:paraId="2E8E3D3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④是否存在截留、挤占、挪用、虚列支出等情况。</w:t>
            </w:r>
          </w:p>
        </w:tc>
      </w:tr>
      <w:tr w14:paraId="40CEB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070FADF8">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restart"/>
            <w:shd w:val="clear" w:color="auto" w:fill="auto"/>
            <w:vAlign w:val="center"/>
          </w:tcPr>
          <w:p w14:paraId="2DE183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组织实施</w:t>
            </w:r>
          </w:p>
        </w:tc>
        <w:tc>
          <w:tcPr>
            <w:tcW w:w="1050" w:type="dxa"/>
            <w:shd w:val="clear" w:color="auto" w:fill="auto"/>
            <w:vAlign w:val="center"/>
          </w:tcPr>
          <w:p w14:paraId="1BF5E1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管理制度</w:t>
            </w:r>
          </w:p>
          <w:p w14:paraId="215F25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健全性</w:t>
            </w:r>
          </w:p>
        </w:tc>
        <w:tc>
          <w:tcPr>
            <w:tcW w:w="1996" w:type="dxa"/>
            <w:shd w:val="clear" w:color="auto" w:fill="auto"/>
            <w:vAlign w:val="center"/>
          </w:tcPr>
          <w:p w14:paraId="4279F9F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项目实施单位的财务和业务管理制度是否健全，用以反映和考核财务和业务管理制度对项目顺利实施的保障情况。</w:t>
            </w:r>
          </w:p>
        </w:tc>
        <w:tc>
          <w:tcPr>
            <w:tcW w:w="3793" w:type="dxa"/>
            <w:shd w:val="clear" w:color="auto" w:fill="auto"/>
            <w:vAlign w:val="center"/>
          </w:tcPr>
          <w:p w14:paraId="229FBB8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3984A97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①是否已制定或具有相应的财务和业务管理制度；</w:t>
            </w:r>
          </w:p>
          <w:p w14:paraId="4A3E624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②财务和业务管理制度是否合法、合规、完整。</w:t>
            </w:r>
          </w:p>
        </w:tc>
      </w:tr>
      <w:tr w14:paraId="114C1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3F11C3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1564A5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0602C3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制度执行</w:t>
            </w:r>
          </w:p>
          <w:p w14:paraId="5D6F8F8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有效性</w:t>
            </w:r>
          </w:p>
        </w:tc>
        <w:tc>
          <w:tcPr>
            <w:tcW w:w="1996" w:type="dxa"/>
            <w:shd w:val="clear" w:color="auto" w:fill="auto"/>
            <w:vAlign w:val="center"/>
          </w:tcPr>
          <w:p w14:paraId="3EEE272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项目实施是否符合相关管理规定，用以反映和考核相关管理制度的有效执行情况。</w:t>
            </w:r>
          </w:p>
        </w:tc>
        <w:tc>
          <w:tcPr>
            <w:tcW w:w="3793" w:type="dxa"/>
            <w:shd w:val="clear" w:color="auto" w:fill="auto"/>
            <w:vAlign w:val="center"/>
          </w:tcPr>
          <w:p w14:paraId="07A214A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lang w:eastAsia="zh-CN"/>
              </w:rPr>
              <w:t>评价标准</w:t>
            </w:r>
            <w:r>
              <w:rPr>
                <w:rFonts w:hint="eastAsia" w:ascii="宋体" w:hAnsi="宋体" w:eastAsia="宋体" w:cs="宋体"/>
                <w:color w:val="auto"/>
                <w:kern w:val="0"/>
                <w:sz w:val="20"/>
                <w:szCs w:val="20"/>
                <w:highlight w:val="none"/>
                <w:shd w:val="clear" w:color="auto" w:fill="auto"/>
              </w:rPr>
              <w:t>：</w:t>
            </w:r>
          </w:p>
          <w:p w14:paraId="0089160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①是否遵守相关法律法规和相关管理规定；</w:t>
            </w:r>
          </w:p>
          <w:p w14:paraId="763180D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②项目调整及支出调整手续是否完备；</w:t>
            </w:r>
          </w:p>
          <w:p w14:paraId="2F68981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③项目合同书、验收报告、技术鉴定等资料是否齐全并及时归档；</w:t>
            </w:r>
          </w:p>
          <w:p w14:paraId="34F39D0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④项目实施的人员条件、场地设备、信息支撑等是否落实到位。</w:t>
            </w:r>
          </w:p>
        </w:tc>
      </w:tr>
      <w:tr w14:paraId="26198F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3F93EE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w:t>
            </w:r>
          </w:p>
        </w:tc>
        <w:tc>
          <w:tcPr>
            <w:tcW w:w="1196" w:type="dxa"/>
            <w:shd w:val="clear" w:color="auto" w:fill="auto"/>
            <w:vAlign w:val="center"/>
          </w:tcPr>
          <w:p w14:paraId="1BB7E3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产出数量</w:t>
            </w:r>
          </w:p>
        </w:tc>
        <w:tc>
          <w:tcPr>
            <w:tcW w:w="1050" w:type="dxa"/>
            <w:shd w:val="clear" w:color="auto" w:fill="auto"/>
            <w:vAlign w:val="center"/>
          </w:tcPr>
          <w:p w14:paraId="3AB10CB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实际完成率</w:t>
            </w:r>
          </w:p>
        </w:tc>
        <w:tc>
          <w:tcPr>
            <w:tcW w:w="1996" w:type="dxa"/>
            <w:shd w:val="clear" w:color="auto" w:fill="auto"/>
            <w:vAlign w:val="center"/>
          </w:tcPr>
          <w:p w14:paraId="06DF11F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项目实施的实际产出数与计划产出数的比率，用以反映和考核项目产出数量目标的实现程度。</w:t>
            </w:r>
          </w:p>
        </w:tc>
        <w:tc>
          <w:tcPr>
            <w:tcW w:w="3793" w:type="dxa"/>
            <w:shd w:val="clear" w:color="auto" w:fill="auto"/>
            <w:vAlign w:val="center"/>
          </w:tcPr>
          <w:p w14:paraId="5987A90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实际完成率=（实际产出数/计划产出数）×100%。</w:t>
            </w:r>
          </w:p>
          <w:p w14:paraId="397B614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实际产出数：一定时期（本年度或项目期）内项目实际产出的产品或提供的服务数量。</w:t>
            </w:r>
          </w:p>
          <w:p w14:paraId="2622286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计划产出数：项目绩效目标确定的在一定时期（本年度或项目期）内计划产出的产品或提供的服务数量。</w:t>
            </w:r>
          </w:p>
        </w:tc>
      </w:tr>
      <w:tr w14:paraId="5843D9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4D40AD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00BA5A8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产出质量</w:t>
            </w:r>
          </w:p>
        </w:tc>
        <w:tc>
          <w:tcPr>
            <w:tcW w:w="1050" w:type="dxa"/>
            <w:shd w:val="clear" w:color="auto" w:fill="auto"/>
            <w:vAlign w:val="center"/>
          </w:tcPr>
          <w:p w14:paraId="6F2D9BB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w:t>
            </w:r>
          </w:p>
        </w:tc>
        <w:tc>
          <w:tcPr>
            <w:tcW w:w="1996" w:type="dxa"/>
            <w:shd w:val="clear" w:color="auto" w:fill="auto"/>
            <w:vAlign w:val="center"/>
          </w:tcPr>
          <w:p w14:paraId="2B8D447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项目完成的质量达标产出数与实际产出数的比率，用以反映和考核项目产出质量目标的实现程度。</w:t>
            </w:r>
          </w:p>
        </w:tc>
        <w:tc>
          <w:tcPr>
            <w:tcW w:w="3793" w:type="dxa"/>
            <w:shd w:val="clear" w:color="auto" w:fill="auto"/>
            <w:vAlign w:val="center"/>
          </w:tcPr>
          <w:p w14:paraId="1956593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质量达标率=（质量达标产出数/实际产出数）×100%。</w:t>
            </w:r>
          </w:p>
          <w:p w14:paraId="4FD6379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62C95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611875A3">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51FBE0A2">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产出时效</w:t>
            </w:r>
          </w:p>
        </w:tc>
        <w:tc>
          <w:tcPr>
            <w:tcW w:w="1050" w:type="dxa"/>
            <w:shd w:val="clear" w:color="auto" w:fill="auto"/>
            <w:vAlign w:val="center"/>
          </w:tcPr>
          <w:p w14:paraId="3E6124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完成及时性</w:t>
            </w:r>
          </w:p>
        </w:tc>
        <w:tc>
          <w:tcPr>
            <w:tcW w:w="1996" w:type="dxa"/>
            <w:shd w:val="clear" w:color="auto" w:fill="auto"/>
            <w:vAlign w:val="center"/>
          </w:tcPr>
          <w:p w14:paraId="22BE36B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项目实际完成时间与计划完成时间的比较，用以反映和考核项目产出时效目标的实现程度。</w:t>
            </w:r>
          </w:p>
        </w:tc>
        <w:tc>
          <w:tcPr>
            <w:tcW w:w="3793" w:type="dxa"/>
            <w:shd w:val="clear" w:color="auto" w:fill="auto"/>
            <w:vAlign w:val="center"/>
          </w:tcPr>
          <w:p w14:paraId="4299963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实际完成时间：项目实施单位完成该项目实际所耗用的时间。</w:t>
            </w:r>
          </w:p>
          <w:p w14:paraId="0EECFB0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计划完成时间：按照项目实施计划或相关规定完成该项目所需的时间。</w:t>
            </w:r>
          </w:p>
        </w:tc>
      </w:tr>
      <w:tr w14:paraId="1FEE3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00A31F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shd w:val="clear" w:color="auto" w:fill="auto"/>
            <w:vAlign w:val="center"/>
          </w:tcPr>
          <w:p w14:paraId="490BE3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产出成本</w:t>
            </w:r>
          </w:p>
        </w:tc>
        <w:tc>
          <w:tcPr>
            <w:tcW w:w="1050" w:type="dxa"/>
            <w:shd w:val="clear" w:color="auto" w:fill="auto"/>
            <w:vAlign w:val="center"/>
          </w:tcPr>
          <w:p w14:paraId="381D71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成本节约率</w:t>
            </w:r>
          </w:p>
        </w:tc>
        <w:tc>
          <w:tcPr>
            <w:tcW w:w="1996" w:type="dxa"/>
            <w:shd w:val="clear" w:color="auto" w:fill="auto"/>
            <w:vAlign w:val="center"/>
          </w:tcPr>
          <w:p w14:paraId="1AA3F96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完成项目计划工作目标的实际节约成本与计划成本的比率，用以反映和考核项目的成本节约程度。</w:t>
            </w:r>
          </w:p>
        </w:tc>
        <w:tc>
          <w:tcPr>
            <w:tcW w:w="3793" w:type="dxa"/>
            <w:shd w:val="clear" w:color="auto" w:fill="auto"/>
            <w:vAlign w:val="center"/>
          </w:tcPr>
          <w:p w14:paraId="43C8ACD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成本节约率=[（计划成本-实际成本）/计划成本]×100%。</w:t>
            </w:r>
          </w:p>
          <w:p w14:paraId="67E511F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lang w:eastAsia="zh-CN"/>
              </w:rPr>
            </w:pPr>
            <w:r>
              <w:rPr>
                <w:rFonts w:hint="eastAsia" w:ascii="宋体" w:hAnsi="宋体" w:eastAsia="宋体" w:cs="宋体"/>
                <w:color w:val="auto"/>
                <w:kern w:val="0"/>
                <w:sz w:val="20"/>
                <w:szCs w:val="20"/>
                <w:highlight w:val="none"/>
                <w:shd w:val="clear" w:color="auto" w:fill="auto"/>
              </w:rPr>
              <w:t>实际成本：项目实施单位如期、保质、保量完成既定工作目标实际所耗费的支出。</w:t>
            </w:r>
          </w:p>
          <w:p w14:paraId="10A2E18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计划成本：项目实施单位为完成工作目标计划安排的支出，一般以项目预算为参考。</w:t>
            </w:r>
          </w:p>
        </w:tc>
      </w:tr>
      <w:tr w14:paraId="75CA47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203C461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效益</w:t>
            </w:r>
          </w:p>
        </w:tc>
        <w:tc>
          <w:tcPr>
            <w:tcW w:w="1196" w:type="dxa"/>
            <w:vMerge w:val="restart"/>
            <w:shd w:val="clear" w:color="auto" w:fill="auto"/>
            <w:vAlign w:val="center"/>
          </w:tcPr>
          <w:p w14:paraId="266D71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项目效益</w:t>
            </w:r>
          </w:p>
        </w:tc>
        <w:tc>
          <w:tcPr>
            <w:tcW w:w="1050" w:type="dxa"/>
            <w:shd w:val="clear" w:color="auto" w:fill="auto"/>
            <w:vAlign w:val="center"/>
          </w:tcPr>
          <w:p w14:paraId="2D9C95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实施效益</w:t>
            </w:r>
          </w:p>
        </w:tc>
        <w:tc>
          <w:tcPr>
            <w:tcW w:w="1996" w:type="dxa"/>
            <w:shd w:val="clear" w:color="auto" w:fill="auto"/>
            <w:vAlign w:val="center"/>
          </w:tcPr>
          <w:p w14:paraId="26C336B3">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项目实施所产生的效益。</w:t>
            </w:r>
          </w:p>
        </w:tc>
        <w:tc>
          <w:tcPr>
            <w:tcW w:w="3793" w:type="dxa"/>
            <w:shd w:val="clear" w:color="auto" w:fill="auto"/>
            <w:vAlign w:val="center"/>
          </w:tcPr>
          <w:p w14:paraId="601693B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项目实施所产生的社会效益、经济效益、生态效益、可持续影响等。可根据项目实际情况有选择地设置和细化。</w:t>
            </w:r>
          </w:p>
        </w:tc>
      </w:tr>
      <w:tr w14:paraId="44D41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10A1A3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196" w:type="dxa"/>
            <w:vMerge w:val="continue"/>
            <w:shd w:val="clear" w:color="auto" w:fill="auto"/>
            <w:vAlign w:val="center"/>
          </w:tcPr>
          <w:p w14:paraId="33BA86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p>
        </w:tc>
        <w:tc>
          <w:tcPr>
            <w:tcW w:w="1050" w:type="dxa"/>
            <w:shd w:val="clear" w:color="auto" w:fill="auto"/>
            <w:vAlign w:val="center"/>
          </w:tcPr>
          <w:p w14:paraId="503C4D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满意度</w:t>
            </w:r>
          </w:p>
        </w:tc>
        <w:tc>
          <w:tcPr>
            <w:tcW w:w="1996" w:type="dxa"/>
            <w:shd w:val="clear" w:color="auto" w:fill="auto"/>
            <w:vAlign w:val="center"/>
          </w:tcPr>
          <w:p w14:paraId="68ECE3C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社会公众或服务对象对项目实施效果的满意程度。</w:t>
            </w:r>
          </w:p>
        </w:tc>
        <w:tc>
          <w:tcPr>
            <w:tcW w:w="3793" w:type="dxa"/>
            <w:shd w:val="clear" w:color="auto" w:fill="auto"/>
            <w:vAlign w:val="center"/>
          </w:tcPr>
          <w:p w14:paraId="53B0D2F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auto"/>
                <w:kern w:val="0"/>
                <w:sz w:val="20"/>
                <w:szCs w:val="20"/>
                <w:highlight w:val="none"/>
                <w:shd w:val="clear" w:color="auto" w:fill="auto"/>
              </w:rPr>
            </w:pPr>
            <w:r>
              <w:rPr>
                <w:rFonts w:hint="eastAsia" w:ascii="宋体" w:hAnsi="宋体" w:eastAsia="宋体" w:cs="宋体"/>
                <w:color w:val="auto"/>
                <w:kern w:val="0"/>
                <w:sz w:val="20"/>
                <w:szCs w:val="20"/>
                <w:highlight w:val="none"/>
                <w:shd w:val="clear" w:color="auto" w:fill="auto"/>
              </w:rPr>
              <w:t>社会公众或服务对象是指因该项目实施而受到影响的部门（单位）、群体或个人。一般采取社会调查的方式。</w:t>
            </w:r>
          </w:p>
        </w:tc>
      </w:tr>
    </w:tbl>
    <w:p w14:paraId="57D99094">
      <w:pPr>
        <w:pStyle w:val="6"/>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shd w:val="clear" w:color="auto" w:fill="auto"/>
          <w:lang w:val="en-US" w:eastAsia="zh-CN"/>
        </w:rPr>
      </w:pPr>
      <w:bookmarkStart w:id="30" w:name="_Toc9941"/>
      <w:r>
        <w:rPr>
          <w:rFonts w:hint="eastAsia" w:ascii="宋体" w:hAnsi="宋体" w:eastAsia="宋体"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rPr>
        <w:t>评价</w:t>
      </w:r>
      <w:r>
        <w:rPr>
          <w:rFonts w:hint="eastAsia" w:ascii="宋体" w:hAnsi="宋体" w:eastAsia="宋体" w:cs="宋体"/>
          <w:color w:val="auto"/>
          <w:highlight w:val="none"/>
          <w:shd w:val="clear" w:color="auto" w:fill="auto"/>
          <w:lang w:val="en-US" w:eastAsia="zh-CN"/>
        </w:rPr>
        <w:t>方法</w:t>
      </w:r>
      <w:bookmarkEnd w:id="30"/>
    </w:p>
    <w:p w14:paraId="2FFC718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rPr>
        <w:t>本次绩效评价采用的方法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与实施情况进行比较，以及采取公众问卷及抽样调查等方式进行评判的方法对昌吉州阜康市生态屏障基础设施建设项目进行评价。</w:t>
      </w:r>
    </w:p>
    <w:p w14:paraId="39F86A2F">
      <w:pPr>
        <w:pStyle w:val="6"/>
        <w:rPr>
          <w:rFonts w:hint="default" w:ascii="宋体" w:hAnsi="宋体" w:eastAsia="宋体" w:cs="宋体"/>
          <w:color w:val="auto"/>
          <w:highlight w:val="none"/>
          <w:shd w:val="clear" w:color="auto" w:fill="auto"/>
          <w:lang w:val="en-US" w:eastAsia="zh-CN"/>
        </w:rPr>
      </w:pPr>
      <w:bookmarkStart w:id="31" w:name="_Toc25391"/>
      <w:r>
        <w:rPr>
          <w:rFonts w:hint="eastAsia" w:ascii="宋体" w:hAnsi="宋体" w:eastAsia="宋体" w:cs="宋体"/>
          <w:color w:val="auto"/>
          <w:highlight w:val="none"/>
          <w:shd w:val="clear" w:color="auto" w:fill="auto"/>
          <w:lang w:val="en-US" w:eastAsia="zh-CN"/>
        </w:rPr>
        <w:t>4.评价标准</w:t>
      </w:r>
      <w:bookmarkEnd w:id="31"/>
    </w:p>
    <w:p w14:paraId="02C445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（1）计划标准。指以预先制定的目标、计划、预算、定额等作为评价标准。</w:t>
      </w:r>
    </w:p>
    <w:p w14:paraId="7107C14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（2）行业标准。指参照国家公布的行业指标数据制定的评价标准。</w:t>
      </w:r>
    </w:p>
    <w:p w14:paraId="5B01ED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（3）历史标准。指参照历史数据制定的评价标准，为体现绩效改进的原则，在可实现的条件下应当确定相对较高的评价标准。</w:t>
      </w:r>
    </w:p>
    <w:p w14:paraId="511D9DC9">
      <w:pPr>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（4）财政部门和预算部门确认或认可的其他标准。</w:t>
      </w:r>
    </w:p>
    <w:p w14:paraId="70B7802F">
      <w:pPr>
        <w:pStyle w:val="6"/>
        <w:outlineLvl w:val="1"/>
        <w:rPr>
          <w:rFonts w:hint="default" w:ascii="宋体" w:hAnsi="宋体" w:eastAsia="宋体" w:cs="宋体"/>
          <w:color w:val="auto"/>
          <w:highlight w:val="none"/>
          <w:shd w:val="clear" w:color="auto" w:fill="auto"/>
          <w:lang w:val="en-US" w:eastAsia="zh-CN"/>
        </w:rPr>
      </w:pPr>
      <w:bookmarkStart w:id="32" w:name="_Toc1070"/>
      <w:r>
        <w:rPr>
          <w:rFonts w:hint="eastAsia" w:ascii="宋体" w:hAnsi="宋体" w:eastAsia="宋体" w:cs="宋体"/>
          <w:color w:val="auto"/>
          <w:highlight w:val="none"/>
          <w:shd w:val="clear" w:color="auto" w:fill="auto"/>
          <w:lang w:val="en-US" w:eastAsia="zh-CN"/>
        </w:rPr>
        <w:t>（三）绩效评价工作过程</w:t>
      </w:r>
      <w:bookmarkEnd w:id="32"/>
    </w:p>
    <w:p w14:paraId="32A8730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highlight w:val="none"/>
          <w:shd w:val="clear" w:color="auto" w:fill="auto"/>
          <w:lang w:val="en-US" w:eastAsia="zh-CN"/>
        </w:rPr>
      </w:pPr>
      <w:bookmarkStart w:id="33" w:name="_Toc12862"/>
      <w:r>
        <w:rPr>
          <w:rFonts w:hint="eastAsia" w:ascii="宋体" w:hAnsi="宋体" w:eastAsia="宋体" w:cs="宋体"/>
          <w:color w:val="auto"/>
          <w:highlight w:val="none"/>
          <w:shd w:val="clear" w:color="auto" w:fill="auto"/>
          <w:lang w:val="en-US" w:eastAsia="zh-CN"/>
        </w:rPr>
        <w:t>1.前期准备</w:t>
      </w:r>
      <w:bookmarkEnd w:id="33"/>
    </w:p>
    <w:p w14:paraId="6A0AFB59">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（1）成立绩效评价项目小组</w:t>
      </w:r>
    </w:p>
    <w:p w14:paraId="045F55B1">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为确保该项目绩效评价的顺利实施，评价机构组建了绩效评价项目小组。项目小组负责建立联络制度、明确评价责任人、制定评价方案、实施具体评价等工作。</w:t>
      </w:r>
    </w:p>
    <w:p w14:paraId="07F6FADF">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4" w:name="_Toc31571"/>
      <w:r>
        <w:rPr>
          <w:rFonts w:hint="eastAsia" w:ascii="宋体" w:hAnsi="宋体" w:eastAsia="宋体" w:cs="宋体"/>
          <w:b w:val="0"/>
          <w:bCs w:val="0"/>
          <w:color w:val="auto"/>
          <w:kern w:val="2"/>
          <w:sz w:val="28"/>
          <w:szCs w:val="24"/>
          <w:highlight w:val="none"/>
          <w:shd w:val="clear" w:color="auto" w:fill="auto"/>
          <w:lang w:val="en-US" w:eastAsia="zh-CN" w:bidi="ar-SA"/>
        </w:rPr>
        <w:t>（2）开展前期调研</w:t>
      </w:r>
      <w:bookmarkEnd w:id="34"/>
    </w:p>
    <w:p w14:paraId="21C7CC6C">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5" w:name="_Toc21240"/>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据此次绩效评价受委托内容，对拟评价的项目实施前期调研。通过调研对昌吉州阜康市生态屏障基础设施建设项目实施内容、目标信息、预算信息以及其他的一些项目基本信息，有了初步了解，为制定绩效评价工作方案做好准备。</w:t>
      </w:r>
      <w:bookmarkEnd w:id="35"/>
    </w:p>
    <w:p w14:paraId="2DB53CC0">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6" w:name="_Toc27977"/>
      <w:r>
        <w:rPr>
          <w:rFonts w:hint="eastAsia" w:ascii="宋体" w:hAnsi="宋体" w:eastAsia="宋体" w:cs="宋体"/>
          <w:b w:val="0"/>
          <w:bCs w:val="0"/>
          <w:color w:val="auto"/>
          <w:kern w:val="2"/>
          <w:sz w:val="28"/>
          <w:szCs w:val="24"/>
          <w:highlight w:val="none"/>
          <w:shd w:val="clear" w:color="auto" w:fill="auto"/>
          <w:lang w:val="en-US" w:eastAsia="zh-CN" w:bidi="ar-SA"/>
        </w:rPr>
        <w:t>（3）制订绩效评价工作方案</w:t>
      </w:r>
      <w:bookmarkEnd w:id="36"/>
    </w:p>
    <w:p w14:paraId="5EF8B150">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7" w:name="_Toc1965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绩效评价项目小组根据有关规定和评价对象的特点以及前期调研收集的一些信息，拟定详细的绩效评价工作方案</w:t>
      </w:r>
      <w:r>
        <w:rPr>
          <w:rFonts w:hint="eastAsia" w:ascii="宋体" w:hAnsi="宋体" w:cs="宋体"/>
          <w:b w:val="0"/>
          <w:bCs w:val="0"/>
          <w:color w:val="auto"/>
          <w:kern w:val="2"/>
          <w:sz w:val="28"/>
          <w:szCs w:val="24"/>
          <w:highlight w:val="none"/>
          <w:shd w:val="clear" w:color="auto" w:fill="auto"/>
          <w:lang w:val="en-US" w:eastAsia="zh-CN" w:bidi="ar-SA"/>
        </w:rPr>
        <w:t>。</w:t>
      </w:r>
      <w:bookmarkEnd w:id="37"/>
    </w:p>
    <w:p w14:paraId="0716C11B">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auto"/>
          <w:kern w:val="2"/>
          <w:sz w:val="28"/>
          <w:szCs w:val="24"/>
          <w:highlight w:val="none"/>
          <w:shd w:val="clear" w:color="auto" w:fill="auto"/>
          <w:lang w:val="en-US" w:eastAsia="zh-CN" w:bidi="ar-SA"/>
        </w:rPr>
      </w:pPr>
      <w:bookmarkStart w:id="38" w:name="_Toc11353"/>
      <w:r>
        <w:rPr>
          <w:rFonts w:hint="eastAsia" w:ascii="宋体" w:hAnsi="宋体" w:eastAsia="宋体" w:cs="宋体"/>
          <w:b w:val="0"/>
          <w:bCs w:val="0"/>
          <w:color w:val="auto"/>
          <w:kern w:val="2"/>
          <w:sz w:val="28"/>
          <w:szCs w:val="24"/>
          <w:highlight w:val="none"/>
          <w:shd w:val="clear" w:color="auto" w:fill="auto"/>
          <w:lang w:val="en-US" w:eastAsia="zh-CN" w:bidi="ar-SA"/>
        </w:rPr>
        <w:t>2.具体实施</w:t>
      </w:r>
      <w:bookmarkEnd w:id="38"/>
    </w:p>
    <w:p w14:paraId="180DC2FE">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39" w:name="_Toc14111"/>
      <w:r>
        <w:rPr>
          <w:rFonts w:hint="eastAsia" w:ascii="宋体" w:hAnsi="宋体" w:eastAsia="宋体" w:cs="宋体"/>
          <w:b w:val="0"/>
          <w:bCs w:val="0"/>
          <w:color w:val="auto"/>
          <w:kern w:val="2"/>
          <w:sz w:val="28"/>
          <w:szCs w:val="24"/>
          <w:highlight w:val="none"/>
          <w:shd w:val="clear" w:color="auto" w:fill="auto"/>
          <w:lang w:val="en-US" w:eastAsia="zh-CN" w:bidi="ar-SA"/>
        </w:rPr>
        <w:t>（1）收集基础资料</w:t>
      </w:r>
      <w:bookmarkEnd w:id="39"/>
    </w:p>
    <w:p w14:paraId="0C7318F4">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0" w:name="_Toc28524"/>
      <w:r>
        <w:rPr>
          <w:rFonts w:hint="eastAsia" w:ascii="宋体" w:hAnsi="宋体" w:eastAsia="宋体" w:cs="宋体"/>
          <w:b w:val="0"/>
          <w:bCs w:val="0"/>
          <w:color w:val="auto"/>
          <w:kern w:val="2"/>
          <w:sz w:val="28"/>
          <w:szCs w:val="24"/>
          <w:highlight w:val="none"/>
          <w:shd w:val="clear" w:color="auto" w:fill="auto"/>
          <w:lang w:val="en-US" w:eastAsia="zh-CN" w:bidi="ar-SA"/>
        </w:rPr>
        <w:t>根据评价工作的需要和要求，在前期调研的基础上，通过多种渠道全面收集项目基础信息资料，主要包括：</w:t>
      </w:r>
      <w:bookmarkEnd w:id="40"/>
    </w:p>
    <w:p w14:paraId="331EFA50">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1" w:name="_Toc32216"/>
      <w:r>
        <w:rPr>
          <w:rFonts w:hint="eastAsia" w:ascii="宋体" w:hAnsi="宋体" w:eastAsia="宋体" w:cs="宋体"/>
          <w:b w:val="0"/>
          <w:bCs w:val="0"/>
          <w:color w:val="auto"/>
          <w:kern w:val="2"/>
          <w:sz w:val="28"/>
          <w:szCs w:val="24"/>
          <w:highlight w:val="none"/>
          <w:shd w:val="clear" w:color="auto" w:fill="auto"/>
          <w:lang w:val="en-US" w:eastAsia="zh-CN" w:bidi="ar-SA"/>
        </w:rPr>
        <w:t>①被评价单位基本概况，如单位职能、事业发展规划、预决算情况、项目立项依据等；</w:t>
      </w:r>
      <w:bookmarkEnd w:id="41"/>
    </w:p>
    <w:p w14:paraId="24341326">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2" w:name="_Toc10505"/>
      <w:r>
        <w:rPr>
          <w:rFonts w:hint="eastAsia" w:ascii="宋体" w:hAnsi="宋体" w:eastAsia="宋体" w:cs="宋体"/>
          <w:b w:val="0"/>
          <w:bCs w:val="0"/>
          <w:color w:val="auto"/>
          <w:kern w:val="2"/>
          <w:sz w:val="28"/>
          <w:szCs w:val="24"/>
          <w:highlight w:val="none"/>
          <w:shd w:val="clear" w:color="auto" w:fill="auto"/>
          <w:lang w:val="en-US" w:eastAsia="zh-CN" w:bidi="ar-SA"/>
        </w:rPr>
        <w:t>②绩效目标及其设立依据和调整情况；</w:t>
      </w:r>
      <w:bookmarkEnd w:id="42"/>
    </w:p>
    <w:p w14:paraId="0D9BECC0">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3" w:name="_Toc28365"/>
      <w:r>
        <w:rPr>
          <w:rFonts w:hint="eastAsia" w:ascii="宋体" w:hAnsi="宋体" w:eastAsia="宋体" w:cs="宋体"/>
          <w:b w:val="0"/>
          <w:bCs w:val="0"/>
          <w:color w:val="auto"/>
          <w:kern w:val="2"/>
          <w:sz w:val="28"/>
          <w:szCs w:val="24"/>
          <w:highlight w:val="none"/>
          <w:shd w:val="clear" w:color="auto" w:fill="auto"/>
          <w:lang w:val="en-US" w:eastAsia="zh-CN" w:bidi="ar-SA"/>
        </w:rPr>
        <w:t>③管理措施及组织实施情况；</w:t>
      </w:r>
      <w:bookmarkEnd w:id="43"/>
    </w:p>
    <w:p w14:paraId="55A2FBAB">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4" w:name="_Toc10091"/>
      <w:r>
        <w:rPr>
          <w:rFonts w:hint="eastAsia" w:ascii="宋体" w:hAnsi="宋体" w:eastAsia="宋体" w:cs="宋体"/>
          <w:b w:val="0"/>
          <w:bCs w:val="0"/>
          <w:color w:val="auto"/>
          <w:kern w:val="2"/>
          <w:sz w:val="28"/>
          <w:szCs w:val="24"/>
          <w:highlight w:val="none"/>
          <w:shd w:val="clear" w:color="auto" w:fill="auto"/>
          <w:lang w:val="en-US" w:eastAsia="zh-CN" w:bidi="ar-SA"/>
        </w:rPr>
        <w:t>④被评价单位总结分析的绩效目标完成情况及绩效报告；</w:t>
      </w:r>
      <w:bookmarkEnd w:id="44"/>
    </w:p>
    <w:p w14:paraId="23B38ADF">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5" w:name="_Toc1"/>
      <w:r>
        <w:rPr>
          <w:rFonts w:hint="eastAsia" w:ascii="宋体" w:hAnsi="宋体" w:eastAsia="宋体" w:cs="宋体"/>
          <w:b w:val="0"/>
          <w:bCs w:val="0"/>
          <w:color w:val="auto"/>
          <w:kern w:val="2"/>
          <w:sz w:val="28"/>
          <w:szCs w:val="24"/>
          <w:highlight w:val="none"/>
          <w:shd w:val="clear" w:color="auto" w:fill="auto"/>
          <w:lang w:val="en-US" w:eastAsia="zh-CN" w:bidi="ar-SA"/>
        </w:rPr>
        <w:t>⑤与绩效评价相关的计划标准、行业标准、历史标准等；</w:t>
      </w:r>
      <w:bookmarkEnd w:id="45"/>
    </w:p>
    <w:p w14:paraId="53C0F4DC">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6" w:name="_Toc20059"/>
      <w:r>
        <w:rPr>
          <w:rFonts w:hint="eastAsia" w:ascii="宋体" w:hAnsi="宋体" w:cs="宋体"/>
          <w:b w:val="0"/>
          <w:bCs w:val="0"/>
          <w:color w:val="auto"/>
          <w:kern w:val="2"/>
          <w:sz w:val="28"/>
          <w:szCs w:val="24"/>
          <w:highlight w:val="none"/>
          <w:shd w:val="clear" w:color="auto" w:fill="auto"/>
          <w:lang w:val="en-US" w:eastAsia="zh-CN" w:bidi="ar-SA"/>
        </w:rPr>
        <w:t>⑥</w:t>
      </w:r>
      <w:r>
        <w:rPr>
          <w:rFonts w:hint="eastAsia" w:ascii="宋体" w:hAnsi="宋体" w:eastAsia="宋体" w:cs="宋体"/>
          <w:b w:val="0"/>
          <w:bCs w:val="0"/>
          <w:color w:val="auto"/>
          <w:kern w:val="2"/>
          <w:sz w:val="28"/>
          <w:szCs w:val="24"/>
          <w:highlight w:val="none"/>
          <w:shd w:val="clear" w:color="auto" w:fill="auto"/>
          <w:lang w:val="en-US" w:eastAsia="zh-CN" w:bidi="ar-SA"/>
        </w:rPr>
        <w:t>其他必要的相关资料等。</w:t>
      </w:r>
      <w:bookmarkEnd w:id="46"/>
    </w:p>
    <w:p w14:paraId="53AA262E">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7" w:name="_Toc31911"/>
      <w:r>
        <w:rPr>
          <w:rFonts w:hint="eastAsia" w:ascii="宋体" w:hAnsi="宋体" w:eastAsia="宋体" w:cs="宋体"/>
          <w:b w:val="0"/>
          <w:bCs w:val="0"/>
          <w:color w:val="auto"/>
          <w:kern w:val="2"/>
          <w:sz w:val="28"/>
          <w:szCs w:val="24"/>
          <w:highlight w:val="none"/>
          <w:shd w:val="clear" w:color="auto" w:fill="auto"/>
          <w:lang w:val="en-US" w:eastAsia="zh-CN" w:bidi="ar-SA"/>
        </w:rPr>
        <w:t>（2）整理、研读基础资料</w:t>
      </w:r>
      <w:bookmarkEnd w:id="47"/>
    </w:p>
    <w:p w14:paraId="34D53D4E">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48" w:name="_Toc167"/>
      <w:r>
        <w:rPr>
          <w:rFonts w:hint="eastAsia" w:ascii="宋体" w:hAnsi="宋体" w:eastAsia="宋体" w:cs="宋体"/>
          <w:b w:val="0"/>
          <w:bCs w:val="0"/>
          <w:color w:val="auto"/>
          <w:kern w:val="2"/>
          <w:sz w:val="28"/>
          <w:szCs w:val="24"/>
          <w:highlight w:val="none"/>
          <w:shd w:val="clear" w:color="auto" w:fill="auto"/>
          <w:lang w:val="en-US" w:eastAsia="zh-CN" w:bidi="ar-SA"/>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38CD5813">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auto"/>
          <w:kern w:val="2"/>
          <w:sz w:val="28"/>
          <w:szCs w:val="24"/>
          <w:highlight w:val="none"/>
          <w:shd w:val="clear" w:color="auto" w:fill="auto"/>
          <w:lang w:val="en-US" w:eastAsia="zh-CN" w:bidi="ar-SA"/>
        </w:rPr>
      </w:pPr>
      <w:bookmarkStart w:id="49" w:name="_Toc30513"/>
      <w:r>
        <w:rPr>
          <w:rFonts w:hint="eastAsia" w:ascii="宋体" w:hAnsi="宋体" w:eastAsia="宋体" w:cs="宋体"/>
          <w:b w:val="0"/>
          <w:bCs w:val="0"/>
          <w:color w:val="auto"/>
          <w:kern w:val="2"/>
          <w:sz w:val="28"/>
          <w:szCs w:val="24"/>
          <w:highlight w:val="none"/>
          <w:shd w:val="clear" w:color="auto" w:fill="auto"/>
          <w:lang w:val="en-US" w:eastAsia="zh-CN" w:bidi="ar-SA"/>
        </w:rPr>
        <w:t>3.</w:t>
      </w:r>
      <w:r>
        <w:rPr>
          <w:rFonts w:hint="eastAsia" w:ascii="宋体" w:hAnsi="宋体" w:cs="宋体"/>
          <w:b w:val="0"/>
          <w:bCs w:val="0"/>
          <w:color w:val="auto"/>
          <w:kern w:val="2"/>
          <w:sz w:val="28"/>
          <w:szCs w:val="24"/>
          <w:highlight w:val="none"/>
          <w:shd w:val="clear" w:color="auto" w:fill="auto"/>
          <w:lang w:val="en-US" w:eastAsia="zh-CN" w:bidi="ar-SA"/>
        </w:rPr>
        <w:t>分析评价和撰写报告</w:t>
      </w:r>
      <w:bookmarkEnd w:id="49"/>
    </w:p>
    <w:p w14:paraId="76C33B0A">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0" w:name="_Toc15974"/>
      <w:r>
        <w:rPr>
          <w:rFonts w:hint="eastAsia"/>
          <w:b w:val="0"/>
          <w:bCs w:val="0"/>
          <w:color w:val="auto"/>
          <w:sz w:val="28"/>
          <w:szCs w:val="28"/>
          <w:highlight w:val="none"/>
        </w:rPr>
        <w:t>（</w:t>
      </w:r>
      <w:r>
        <w:rPr>
          <w:rFonts w:hint="eastAsia" w:ascii="宋体" w:hAnsi="宋体" w:cs="宋体"/>
          <w:b w:val="0"/>
          <w:bCs w:val="0"/>
          <w:color w:val="auto"/>
          <w:kern w:val="2"/>
          <w:sz w:val="28"/>
          <w:szCs w:val="28"/>
          <w:highlight w:val="none"/>
          <w:shd w:val="clear" w:color="auto" w:fill="auto"/>
          <w:lang w:val="en-US" w:eastAsia="zh-CN" w:bidi="ar-SA"/>
        </w:rPr>
        <w:t>1</w:t>
      </w:r>
      <w:r>
        <w:rPr>
          <w:rFonts w:hint="eastAsia" w:ascii="宋体" w:hAnsi="宋体" w:eastAsia="宋体" w:cs="宋体"/>
          <w:b w:val="0"/>
          <w:bCs w:val="0"/>
          <w:color w:val="auto"/>
          <w:kern w:val="2"/>
          <w:sz w:val="28"/>
          <w:szCs w:val="28"/>
          <w:highlight w:val="none"/>
          <w:shd w:val="clear" w:color="auto" w:fill="auto"/>
          <w:lang w:val="en-US" w:eastAsia="zh-CN" w:bidi="ar-SA"/>
        </w:rPr>
        <w:t>）综合分析评价</w:t>
      </w:r>
      <w:bookmarkEnd w:id="50"/>
    </w:p>
    <w:p w14:paraId="0817C872">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8"/>
          <w:highlight w:val="none"/>
          <w:shd w:val="clear" w:color="auto" w:fill="auto"/>
          <w:lang w:val="en-US" w:eastAsia="zh-CN" w:bidi="ar-SA"/>
        </w:rPr>
      </w:pPr>
      <w:bookmarkStart w:id="51" w:name="_Toc4352"/>
      <w:r>
        <w:rPr>
          <w:rFonts w:hint="eastAsia" w:ascii="宋体" w:hAnsi="宋体" w:eastAsia="宋体" w:cs="宋体"/>
          <w:b w:val="0"/>
          <w:bCs w:val="0"/>
          <w:color w:val="auto"/>
          <w:kern w:val="2"/>
          <w:sz w:val="28"/>
          <w:szCs w:val="28"/>
          <w:highlight w:val="none"/>
          <w:shd w:val="clear" w:color="auto" w:fill="auto"/>
          <w:lang w:val="en-US" w:eastAsia="zh-CN" w:bidi="ar-SA"/>
        </w:rPr>
        <w:t>①根据所收集的基础资料，结合现场核查的有关情况，整理出绩效评价所需的项目材料和基础数据。</w:t>
      </w:r>
      <w:bookmarkEnd w:id="51"/>
    </w:p>
    <w:p w14:paraId="4DD0379E">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auto"/>
          <w:kern w:val="2"/>
          <w:sz w:val="28"/>
          <w:szCs w:val="24"/>
          <w:highlight w:val="none"/>
          <w:shd w:val="clear" w:color="auto" w:fill="auto"/>
          <w:lang w:val="en-US" w:eastAsia="zh-CN" w:bidi="ar-SA"/>
        </w:rPr>
      </w:pPr>
      <w:bookmarkStart w:id="52" w:name="_Toc26231"/>
      <w:r>
        <w:rPr>
          <w:rFonts w:hint="eastAsia" w:ascii="宋体" w:hAnsi="宋体" w:eastAsia="宋体" w:cs="宋体"/>
          <w:b w:val="0"/>
          <w:bCs w:val="0"/>
          <w:color w:val="auto"/>
          <w:kern w:val="2"/>
          <w:sz w:val="28"/>
          <w:szCs w:val="28"/>
          <w:highlight w:val="none"/>
          <w:shd w:val="clear" w:color="auto" w:fill="auto"/>
          <w:lang w:val="en-US" w:eastAsia="zh-CN" w:bidi="ar-SA"/>
        </w:rPr>
        <w:t>②将初步评价结论、调整</w:t>
      </w:r>
      <w:r>
        <w:rPr>
          <w:rFonts w:hint="eastAsia" w:ascii="宋体" w:hAnsi="宋体" w:eastAsia="宋体" w:cs="宋体"/>
          <w:b w:val="0"/>
          <w:bCs w:val="0"/>
          <w:color w:val="auto"/>
          <w:kern w:val="2"/>
          <w:sz w:val="28"/>
          <w:szCs w:val="24"/>
          <w:highlight w:val="none"/>
          <w:shd w:val="clear" w:color="auto" w:fill="auto"/>
          <w:lang w:val="en-US" w:eastAsia="zh-CN" w:bidi="ar-SA"/>
        </w:rPr>
        <w:t>事项、专家咨询意见和有关说明等</w:t>
      </w:r>
      <w:r>
        <w:rPr>
          <w:rFonts w:hint="eastAsia" w:ascii="宋体" w:hAnsi="宋体" w:cs="宋体"/>
          <w:b w:val="0"/>
          <w:bCs w:val="0"/>
          <w:color w:val="auto"/>
          <w:kern w:val="2"/>
          <w:sz w:val="28"/>
          <w:szCs w:val="24"/>
          <w:highlight w:val="none"/>
          <w:shd w:val="clear" w:color="auto" w:fill="auto"/>
          <w:lang w:val="en-US" w:eastAsia="zh-CN" w:bidi="ar-SA"/>
        </w:rPr>
        <w:t>提交单位内部讨论</w:t>
      </w:r>
      <w:r>
        <w:rPr>
          <w:rFonts w:hint="eastAsia" w:ascii="宋体" w:hAnsi="宋体" w:eastAsia="宋体" w:cs="宋体"/>
          <w:b w:val="0"/>
          <w:bCs w:val="0"/>
          <w:color w:val="auto"/>
          <w:kern w:val="2"/>
          <w:sz w:val="28"/>
          <w:szCs w:val="24"/>
          <w:highlight w:val="none"/>
          <w:shd w:val="clear" w:color="auto" w:fill="auto"/>
          <w:lang w:val="en-US" w:eastAsia="zh-CN" w:bidi="ar-SA"/>
        </w:rPr>
        <w:t>并征求意见。之后，对所征求的意见及时地进行收集和整理。</w:t>
      </w:r>
      <w:bookmarkEnd w:id="52"/>
    </w:p>
    <w:p w14:paraId="0A34C30B">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3" w:name="_Toc27759"/>
      <w:r>
        <w:rPr>
          <w:rFonts w:hint="eastAsia" w:ascii="宋体" w:hAnsi="宋体" w:eastAsia="宋体" w:cs="宋体"/>
          <w:b w:val="0"/>
          <w:bCs w:val="0"/>
          <w:color w:val="auto"/>
          <w:kern w:val="2"/>
          <w:sz w:val="28"/>
          <w:szCs w:val="24"/>
          <w:highlight w:val="none"/>
          <w:shd w:val="clear" w:color="auto" w:fill="auto"/>
          <w:lang w:val="en-US" w:eastAsia="zh-CN" w:bidi="ar-SA"/>
        </w:rPr>
        <w:t>（</w:t>
      </w:r>
      <w:r>
        <w:rPr>
          <w:rFonts w:hint="eastAsia" w:ascii="宋体" w:hAnsi="宋体" w:cs="宋体"/>
          <w:b w:val="0"/>
          <w:bCs w:val="0"/>
          <w:color w:val="auto"/>
          <w:kern w:val="2"/>
          <w:sz w:val="28"/>
          <w:szCs w:val="24"/>
          <w:highlight w:val="none"/>
          <w:shd w:val="clear" w:color="auto" w:fill="auto"/>
          <w:lang w:val="en-US" w:eastAsia="zh-CN" w:bidi="ar-SA"/>
        </w:rPr>
        <w:t>2</w:t>
      </w:r>
      <w:r>
        <w:rPr>
          <w:rFonts w:hint="eastAsia" w:ascii="宋体" w:hAnsi="宋体" w:eastAsia="宋体" w:cs="宋体"/>
          <w:b w:val="0"/>
          <w:bCs w:val="0"/>
          <w:color w:val="auto"/>
          <w:kern w:val="2"/>
          <w:sz w:val="28"/>
          <w:szCs w:val="24"/>
          <w:highlight w:val="none"/>
          <w:shd w:val="clear" w:color="auto" w:fill="auto"/>
          <w:lang w:val="en-US" w:eastAsia="zh-CN" w:bidi="ar-SA"/>
        </w:rPr>
        <w:t>）撰写报告</w:t>
      </w:r>
      <w:bookmarkEnd w:id="53"/>
    </w:p>
    <w:p w14:paraId="75F6D19B">
      <w:pPr>
        <w:pStyle w:val="11"/>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auto"/>
          <w:kern w:val="2"/>
          <w:sz w:val="28"/>
          <w:szCs w:val="24"/>
          <w:highlight w:val="none"/>
          <w:shd w:val="clear" w:color="auto" w:fill="auto"/>
          <w:lang w:val="en-US" w:eastAsia="zh-CN" w:bidi="ar-SA"/>
        </w:rPr>
      </w:pPr>
      <w:bookmarkStart w:id="54" w:name="_Toc15579"/>
      <w:r>
        <w:rPr>
          <w:rFonts w:hint="eastAsia" w:ascii="宋体" w:hAnsi="宋体" w:eastAsia="宋体" w:cs="宋体"/>
          <w:b w:val="0"/>
          <w:bCs w:val="0"/>
          <w:color w:val="auto"/>
          <w:kern w:val="2"/>
          <w:sz w:val="28"/>
          <w:szCs w:val="24"/>
          <w:highlight w:val="none"/>
          <w:shd w:val="clear" w:color="auto" w:fill="auto"/>
          <w:lang w:val="en-US" w:eastAsia="zh-CN" w:bidi="ar-SA"/>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auto"/>
          <w:kern w:val="2"/>
          <w:sz w:val="28"/>
          <w:szCs w:val="24"/>
          <w:highlight w:val="none"/>
          <w:shd w:val="clear" w:color="auto" w:fill="auto"/>
          <w:lang w:val="en-US" w:eastAsia="zh-CN" w:bidi="ar-SA"/>
        </w:rPr>
        <w:t>最终</w:t>
      </w:r>
      <w:r>
        <w:rPr>
          <w:rFonts w:hint="eastAsia" w:ascii="宋体" w:hAnsi="宋体" w:eastAsia="宋体" w:cs="宋体"/>
          <w:b w:val="0"/>
          <w:bCs w:val="0"/>
          <w:color w:val="auto"/>
          <w:kern w:val="2"/>
          <w:sz w:val="28"/>
          <w:szCs w:val="24"/>
          <w:highlight w:val="none"/>
          <w:shd w:val="clear" w:color="auto" w:fill="auto"/>
          <w:lang w:val="en-US" w:eastAsia="zh-CN" w:bidi="ar-SA"/>
        </w:rPr>
        <w:t>形成评价结果。</w:t>
      </w:r>
      <w:bookmarkEnd w:id="54"/>
    </w:p>
    <w:p w14:paraId="73F081EF">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55" w:name="_Toc1100"/>
      <w:r>
        <w:rPr>
          <w:rFonts w:hint="eastAsia" w:ascii="宋体" w:hAnsi="宋体" w:eastAsia="宋体" w:cs="宋体"/>
          <w:b/>
          <w:bCs/>
          <w:color w:val="auto"/>
          <w:highlight w:val="none"/>
          <w:shd w:val="clear" w:color="auto" w:fill="auto"/>
          <w:lang w:val="en-US" w:eastAsia="zh-CN"/>
        </w:rPr>
        <w:t>三、</w:t>
      </w:r>
      <w:r>
        <w:rPr>
          <w:rFonts w:hint="eastAsia" w:ascii="宋体" w:hAnsi="宋体" w:eastAsia="宋体" w:cs="宋体"/>
          <w:b/>
          <w:bCs/>
          <w:color w:val="auto"/>
          <w:highlight w:val="none"/>
          <w:shd w:val="clear" w:color="auto" w:fill="auto"/>
        </w:rPr>
        <w:t>综合评价情况及评价结论</w:t>
      </w:r>
      <w:bookmarkEnd w:id="55"/>
    </w:p>
    <w:p w14:paraId="01EE64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auto"/>
          <w:highlight w:val="none"/>
          <w:shd w:val="clear" w:color="auto" w:fill="auto"/>
          <w:lang w:val="en-US" w:eastAsia="zh-CN"/>
        </w:rPr>
        <w:t>此次绩效评价</w:t>
      </w:r>
      <w:r>
        <w:rPr>
          <w:rFonts w:hint="eastAsia" w:ascii="宋体" w:hAnsi="宋体" w:eastAsia="宋体" w:cs="宋体"/>
          <w:color w:val="auto"/>
          <w:highlight w:val="none"/>
          <w:shd w:val="clear" w:color="auto" w:fill="auto"/>
          <w:lang w:val="zh-TW" w:eastAsia="zh-TW"/>
        </w:rPr>
        <w:t>通过组论证的评价指标体系及评分标准，</w:t>
      </w:r>
      <w:r>
        <w:rPr>
          <w:rFonts w:hint="eastAsia" w:ascii="宋体" w:hAnsi="宋体" w:eastAsia="宋体" w:cs="宋体"/>
          <w:color w:val="auto"/>
          <w:highlight w:val="none"/>
          <w:shd w:val="clear" w:color="auto" w:fill="auto"/>
        </w:rPr>
        <w:t>采用的方法比较法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昌吉州阜康市生态屏障基础设施建设项目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96.18</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highlight w:val="none"/>
          <w:shd w:val="clear" w:color="auto" w:fill="auto"/>
          <w:lang w:val="zh-TW" w:eastAsia="zh-TW"/>
        </w:rPr>
        <w:t>，绩效评级为“</w:t>
      </w:r>
      <w:r>
        <w:rPr>
          <w:rFonts w:hint="eastAsia" w:ascii="宋体" w:hAnsi="宋体" w:eastAsia="宋体"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auto"/>
          <w:kern w:val="0"/>
          <w:sz w:val="28"/>
          <w:szCs w:val="28"/>
          <w:highlight w:val="none"/>
          <w:shd w:val="clear" w:color="auto" w:fill="auto"/>
          <w:lang w:val="en-US" w:eastAsia="zh-CN"/>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2"/>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3E846258">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3BB85D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en-US" w:eastAsia="zh-CN"/>
              </w:rPr>
              <w:t>表3-1：昌吉州阜康市生态屏障基础设施建设项目得分表</w:t>
            </w:r>
          </w:p>
          <w:p w14:paraId="37F117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4"/>
                <w:szCs w:val="24"/>
                <w:highlight w:val="none"/>
                <w:shd w:val="clear" w:color="auto" w:fill="auto"/>
              </w:rPr>
            </w:pPr>
          </w:p>
        </w:tc>
      </w:tr>
      <w:tr w14:paraId="4D1AF7C1">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5D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7D9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63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5B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D4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8F5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1"/>
                <w:szCs w:val="21"/>
                <w:highlight w:val="none"/>
                <w:shd w:val="clear" w:color="auto" w:fill="auto"/>
                <w:lang w:val="en-US" w:eastAsia="zh-CN"/>
              </w:rPr>
            </w:pPr>
            <w:r>
              <w:rPr>
                <w:rFonts w:hint="eastAsia" w:ascii="宋体" w:hAnsi="宋体" w:eastAsia="宋体" w:cs="宋体"/>
                <w:b/>
                <w:bCs/>
                <w:color w:val="auto"/>
                <w:kern w:val="0"/>
                <w:sz w:val="21"/>
                <w:szCs w:val="21"/>
                <w:highlight w:val="none"/>
                <w:shd w:val="clear" w:color="auto" w:fill="auto"/>
                <w:lang w:val="en-US" w:eastAsia="zh-CN"/>
              </w:rPr>
              <w:t>合计</w:t>
            </w:r>
          </w:p>
        </w:tc>
      </w:tr>
      <w:tr w14:paraId="2E60B7DF">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C3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08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AB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CA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yellow"/>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14C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yellow"/>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038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ascii="宋体" w:hAnsi="宋体" w:eastAsia="宋体" w:cs="宋体"/>
                <w:color w:val="auto"/>
                <w:kern w:val="0"/>
                <w:sz w:val="21"/>
                <w:szCs w:val="21"/>
                <w:highlight w:val="none"/>
                <w:shd w:val="clear" w:color="auto" w:fill="auto"/>
                <w:lang w:val="en-US" w:eastAsia="zh-CN"/>
              </w:rPr>
              <w:t>100</w:t>
            </w:r>
          </w:p>
        </w:tc>
      </w:tr>
      <w:tr w14:paraId="1DF9AA00">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64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4F82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830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19.11</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054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28.07</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E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EA7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96.18</w:t>
            </w:r>
          </w:p>
        </w:tc>
      </w:tr>
      <w:tr w14:paraId="42AE80BC">
        <w:tblPrEx>
          <w:shd w:val="clear" w:color="auto" w:fill="auto"/>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AF4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38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98%</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130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95.55%</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195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93.56%</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FA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50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96.18%</w:t>
            </w:r>
          </w:p>
        </w:tc>
      </w:tr>
    </w:tbl>
    <w:p w14:paraId="15DBD929">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56" w:name="_Toc9421"/>
      <w:r>
        <w:rPr>
          <w:rFonts w:hint="eastAsia" w:ascii="宋体" w:hAnsi="宋体" w:eastAsia="宋体" w:cs="宋体"/>
          <w:b/>
          <w:bCs/>
          <w:color w:val="auto"/>
          <w:highlight w:val="none"/>
          <w:shd w:val="clear" w:color="auto" w:fill="auto"/>
          <w:lang w:val="en-US" w:eastAsia="zh-CN"/>
        </w:rPr>
        <w:t>四、绩效评价指标分析</w:t>
      </w:r>
      <w:bookmarkEnd w:id="56"/>
    </w:p>
    <w:p w14:paraId="7A03521D">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57" w:name="_Toc15355"/>
      <w:r>
        <w:rPr>
          <w:rFonts w:hint="eastAsia" w:ascii="宋体" w:hAnsi="宋体" w:eastAsia="宋体" w:cs="宋体"/>
          <w:color w:val="auto"/>
          <w:highlight w:val="none"/>
          <w:shd w:val="clear" w:color="auto" w:fill="auto"/>
        </w:rPr>
        <w:t>（一）项目决策情况</w:t>
      </w:r>
      <w:bookmarkEnd w:id="57"/>
    </w:p>
    <w:p w14:paraId="0A8BADCC">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项目决策由3个二级指标和6个三级指标构成，权重分20分，实际得分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16BD2A9A">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4-1</w:t>
      </w:r>
      <w:r>
        <w:rPr>
          <w:rFonts w:hint="eastAsia" w:ascii="宋体" w:hAnsi="宋体" w:eastAsia="宋体" w:cs="宋体"/>
          <w:b/>
          <w:bCs/>
          <w:color w:val="auto"/>
          <w:kern w:val="0"/>
          <w:sz w:val="28"/>
          <w:szCs w:val="28"/>
          <w:highlight w:val="none"/>
          <w:shd w:val="clear" w:color="auto" w:fill="auto"/>
          <w:lang w:val="zh-TW" w:eastAsia="zh-TW"/>
        </w:rPr>
        <w:t>项目决策指标及分值</w:t>
      </w:r>
    </w:p>
    <w:tbl>
      <w:tblPr>
        <w:tblStyle w:val="12"/>
        <w:tblW w:w="8447" w:type="dxa"/>
        <w:jc w:val="center"/>
        <w:shd w:val="clear" w:color="auto" w:fill="auto"/>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530DC285">
        <w:tblPrEx>
          <w:tblCellMar>
            <w:top w:w="0" w:type="dxa"/>
            <w:left w:w="0" w:type="dxa"/>
            <w:bottom w:w="0" w:type="dxa"/>
            <w:right w:w="0" w:type="dxa"/>
          </w:tblCellMar>
        </w:tblPrEx>
        <w:trPr>
          <w:gridAfter w:val="1"/>
          <w:wAfter w:w="3" w:type="dxa"/>
          <w:trHeight w:val="522" w:hRule="atLeast"/>
          <w:tblHeader/>
          <w:jc w:val="center"/>
        </w:trPr>
        <w:tc>
          <w:tcPr>
            <w:tcW w:w="107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65C9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67AD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81D2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79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0348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4FFF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24D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076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34F82E8E">
        <w:tblPrEx>
          <w:tblCellMar>
            <w:top w:w="0" w:type="dxa"/>
            <w:left w:w="0" w:type="dxa"/>
            <w:bottom w:w="0" w:type="dxa"/>
            <w:right w:w="0" w:type="dxa"/>
          </w:tblCellMar>
        </w:tblPrEx>
        <w:trPr>
          <w:gridAfter w:val="1"/>
          <w:wAfter w:w="3" w:type="dxa"/>
          <w:trHeight w:val="334" w:hRule="atLeast"/>
          <w:tblHeader/>
          <w:jc w:val="center"/>
        </w:trPr>
        <w:tc>
          <w:tcPr>
            <w:tcW w:w="1077"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3111B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项目决策</w:t>
            </w:r>
          </w:p>
        </w:tc>
        <w:tc>
          <w:tcPr>
            <w:tcW w:w="960"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362246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18206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项目立项</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AF911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8459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立项依据充分性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C6FA5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6A991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r>
      <w:tr w14:paraId="1F1C11E8">
        <w:tblPrEx>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AB060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58E9DF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6375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2675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969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立项程序规范性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93E8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7C5F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2DF8187B">
        <w:tblPrEx>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0D92C8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07700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FB35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C205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2EA2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绩效目标合理性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5E9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AFF5D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14:paraId="0F4C43FF">
        <w:tblPrEx>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764A9FC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7BF86C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490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477B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45E3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绩效指标明确性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A956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95E7F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r>
      <w:tr w14:paraId="5939D8A6">
        <w:tblPrEx>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6E7F91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right w:val="single" w:color="000000" w:sz="4" w:space="0"/>
            </w:tcBorders>
            <w:shd w:val="clear" w:color="auto" w:fill="auto"/>
            <w:tcMar>
              <w:top w:w="12" w:type="dxa"/>
              <w:left w:w="12" w:type="dxa"/>
              <w:right w:w="12" w:type="dxa"/>
            </w:tcMar>
            <w:vAlign w:val="center"/>
          </w:tcPr>
          <w:p w14:paraId="305315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24AAF6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资金投入</w:t>
            </w:r>
          </w:p>
        </w:tc>
        <w:tc>
          <w:tcPr>
            <w:tcW w:w="79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14:paraId="096B13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53D1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预算编制科学性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B52C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F7CA7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r>
      <w:tr w14:paraId="7B77F4C9">
        <w:tblPrEx>
          <w:shd w:val="clear" w:color="auto" w:fill="auto"/>
          <w:tblCellMar>
            <w:top w:w="0" w:type="dxa"/>
            <w:left w:w="0" w:type="dxa"/>
            <w:bottom w:w="0" w:type="dxa"/>
            <w:right w:w="0" w:type="dxa"/>
          </w:tblCellMar>
        </w:tblPrEx>
        <w:trPr>
          <w:gridAfter w:val="1"/>
          <w:wAfter w:w="3" w:type="dxa"/>
          <w:trHeight w:val="334" w:hRule="atLeast"/>
          <w:tblHeader/>
          <w:jc w:val="center"/>
        </w:trPr>
        <w:tc>
          <w:tcPr>
            <w:tcW w:w="1077"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10C1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60"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8AAA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248"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C1B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79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816C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0D0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资金分配合理性</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763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8AC5A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r>
      <w:tr w14:paraId="014BB882">
        <w:tblPrEx>
          <w:tblCellMar>
            <w:top w:w="0" w:type="dxa"/>
            <w:left w:w="0" w:type="dxa"/>
            <w:bottom w:w="0" w:type="dxa"/>
            <w:right w:w="0" w:type="dxa"/>
          </w:tblCellMar>
        </w:tblPrEx>
        <w:trPr>
          <w:trHeight w:val="334" w:hRule="atLeast"/>
          <w:tblHeader/>
          <w:jc w:val="center"/>
        </w:trPr>
        <w:tc>
          <w:tcPr>
            <w:tcW w:w="328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D7DD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79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E9643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87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0F64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B7F42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AED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c>
          <w:tcPr>
            <w:tcW w:w="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B7A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20</w:t>
            </w:r>
          </w:p>
        </w:tc>
      </w:tr>
    </w:tbl>
    <w:p w14:paraId="5FC12854">
      <w:pPr>
        <w:bidi w:val="0"/>
        <w:outlineLvl w:val="2"/>
        <w:rPr>
          <w:rFonts w:hint="default"/>
          <w:b/>
          <w:bCs/>
          <w:color w:val="auto"/>
          <w:highlight w:val="none"/>
          <w:lang w:val="en-US" w:eastAsia="zh-CN"/>
        </w:rPr>
      </w:pPr>
      <w:bookmarkStart w:id="58" w:name="_Toc13522"/>
      <w:r>
        <w:rPr>
          <w:rFonts w:hint="eastAsia"/>
          <w:b/>
          <w:bCs/>
          <w:color w:val="auto"/>
          <w:highlight w:val="none"/>
          <w:lang w:val="en-US" w:eastAsia="zh-CN"/>
        </w:rPr>
        <w:t>1.立项依据充分性</w:t>
      </w:r>
      <w:bookmarkEnd w:id="58"/>
    </w:p>
    <w:p w14:paraId="7BC2FFF2">
      <w:pPr>
        <w:bidi w:val="0"/>
        <w:rPr>
          <w:rFonts w:ascii="PingFangSC-Regular" w:hAnsi="PingFangSC-Regular" w:eastAsia="PingFangSC-Regular" w:cs="PingFangSC-Regular"/>
          <w:i w:val="0"/>
          <w:caps w:val="0"/>
          <w:color w:val="auto"/>
          <w:spacing w:val="2"/>
          <w:sz w:val="20"/>
          <w:szCs w:val="20"/>
          <w:highlight w:val="none"/>
          <w:shd w:val="clear" w:fill="FFFFFF"/>
        </w:rPr>
      </w:pPr>
      <w:r>
        <w:rPr>
          <w:rFonts w:hint="eastAsia"/>
          <w:color w:val="auto"/>
          <w:highlight w:val="none"/>
          <w:lang w:eastAsia="zh-CN"/>
        </w:rPr>
        <w:t>①</w:t>
      </w:r>
      <w:r>
        <w:rPr>
          <w:rFonts w:hint="eastAsia"/>
          <w:color w:val="auto"/>
          <w:highlight w:val="none"/>
          <w:lang w:val="en-US" w:eastAsia="zh-CN"/>
        </w:rPr>
        <w:t>项目立项</w:t>
      </w:r>
      <w:r>
        <w:rPr>
          <w:rFonts w:hint="eastAsia"/>
          <w:color w:val="auto"/>
          <w:highlight w:val="none"/>
          <w:lang w:eastAsia="zh-CN"/>
        </w:rPr>
        <w:t>主要依据有《中华人民共和国招标投标法》 《国家发展改革委关于印发审批地方政府投资项目有关规定（暂行）的通知》 《国务院办公厅关于加强和规范新开工项目管理的通知》</w:t>
      </w:r>
    </w:p>
    <w:p w14:paraId="778AC5DD">
      <w:pPr>
        <w:bidi w:val="0"/>
        <w:rPr>
          <w:rFonts w:hint="eastAsia"/>
          <w:color w:val="auto"/>
          <w:highlight w:val="none"/>
          <w:lang w:eastAsia="zh-CN"/>
        </w:rPr>
      </w:pPr>
      <w:r>
        <w:rPr>
          <w:rFonts w:hint="eastAsia"/>
          <w:color w:val="auto"/>
          <w:highlight w:val="none"/>
          <w:lang w:eastAsia="zh-CN"/>
        </w:rPr>
        <w:t>②项目立项符合</w:t>
      </w:r>
      <w:r>
        <w:rPr>
          <w:rFonts w:hint="eastAsia"/>
          <w:color w:val="auto"/>
          <w:highlight w:val="none"/>
          <w:lang w:val="en-US" w:eastAsia="zh-CN"/>
        </w:rPr>
        <w:t>林草基础设施建设</w:t>
      </w:r>
      <w:r>
        <w:rPr>
          <w:rFonts w:hint="eastAsia"/>
          <w:color w:val="auto"/>
          <w:highlight w:val="none"/>
          <w:lang w:eastAsia="zh-CN"/>
        </w:rPr>
        <w:t>行业发展规划和政策要求；</w:t>
      </w:r>
    </w:p>
    <w:p w14:paraId="0D0515D2">
      <w:pPr>
        <w:bidi w:val="0"/>
        <w:rPr>
          <w:rFonts w:hint="eastAsia"/>
          <w:color w:val="auto"/>
          <w:highlight w:val="none"/>
          <w:lang w:eastAsia="zh-CN"/>
        </w:rPr>
      </w:pPr>
      <w:r>
        <w:rPr>
          <w:rFonts w:hint="eastAsia"/>
          <w:color w:val="auto"/>
          <w:highlight w:val="none"/>
          <w:lang w:eastAsia="zh-CN"/>
        </w:rPr>
        <w:t>③项目立项与阜康市</w:t>
      </w:r>
      <w:r>
        <w:rPr>
          <w:rFonts w:hint="eastAsia"/>
          <w:color w:val="auto"/>
          <w:highlight w:val="none"/>
          <w:lang w:val="en-US" w:eastAsia="zh-CN"/>
        </w:rPr>
        <w:t>林业和草原</w:t>
      </w:r>
      <w:r>
        <w:rPr>
          <w:rFonts w:hint="eastAsia"/>
          <w:color w:val="auto"/>
          <w:highlight w:val="none"/>
          <w:lang w:eastAsia="zh-CN"/>
        </w:rPr>
        <w:t>局</w:t>
      </w:r>
      <w:r>
        <w:rPr>
          <w:rFonts w:hint="eastAsia"/>
          <w:color w:val="auto"/>
          <w:highlight w:val="none"/>
          <w:lang w:val="en-US" w:eastAsia="zh-CN"/>
        </w:rPr>
        <w:t>机构职责中：负责林业和草原及生态保护修复及造林绿化相关工程的</w:t>
      </w:r>
      <w:r>
        <w:rPr>
          <w:rFonts w:hint="eastAsia"/>
          <w:color w:val="auto"/>
          <w:highlight w:val="none"/>
          <w:lang w:eastAsia="zh-CN"/>
        </w:rPr>
        <w:t>职责范围相符，属于部门履职所需；</w:t>
      </w:r>
    </w:p>
    <w:p w14:paraId="1B1EF0C6">
      <w:pPr>
        <w:bidi w:val="0"/>
        <w:rPr>
          <w:rFonts w:hint="eastAsia"/>
          <w:color w:val="auto"/>
          <w:highlight w:val="none"/>
          <w:lang w:eastAsia="zh-CN"/>
        </w:rPr>
      </w:pPr>
      <w:r>
        <w:rPr>
          <w:rFonts w:hint="eastAsia"/>
          <w:color w:val="auto"/>
          <w:highlight w:val="none"/>
          <w:lang w:eastAsia="zh-CN"/>
        </w:rPr>
        <w:t>④项目属于公共财政支持范围，符合中央、地方事权支出责任划分原则；</w:t>
      </w:r>
    </w:p>
    <w:p w14:paraId="237288DC">
      <w:pPr>
        <w:bidi w:val="0"/>
        <w:rPr>
          <w:rFonts w:hint="eastAsia"/>
          <w:color w:val="auto"/>
          <w:highlight w:val="none"/>
          <w:lang w:eastAsia="zh-CN"/>
        </w:rPr>
      </w:pPr>
      <w:r>
        <w:rPr>
          <w:rFonts w:hint="eastAsia"/>
          <w:color w:val="auto"/>
          <w:highlight w:val="none"/>
          <w:lang w:eastAsia="zh-CN"/>
        </w:rPr>
        <w:t>⑤项目与相关部门同类项目或部门内部相关项目</w:t>
      </w:r>
      <w:r>
        <w:rPr>
          <w:rFonts w:hint="eastAsia"/>
          <w:color w:val="auto"/>
          <w:highlight w:val="none"/>
          <w:lang w:val="en-US" w:eastAsia="zh-CN"/>
        </w:rPr>
        <w:t>不</w:t>
      </w:r>
      <w:r>
        <w:rPr>
          <w:rFonts w:hint="eastAsia"/>
          <w:color w:val="auto"/>
          <w:highlight w:val="none"/>
          <w:lang w:eastAsia="zh-CN"/>
        </w:rPr>
        <w:t>重复。</w:t>
      </w:r>
    </w:p>
    <w:p w14:paraId="1683B67A">
      <w:pPr>
        <w:bidi w:val="0"/>
        <w:rPr>
          <w:rFonts w:hint="default"/>
          <w:color w:val="auto"/>
          <w:highlight w:val="none"/>
          <w:lang w:val="en-US" w:eastAsia="zh-CN"/>
        </w:rPr>
      </w:pPr>
      <w:r>
        <w:rPr>
          <w:rFonts w:hint="eastAsia"/>
          <w:b/>
          <w:bCs/>
          <w:color w:val="auto"/>
          <w:highlight w:val="none"/>
          <w:lang w:val="en-US" w:eastAsia="zh-CN"/>
        </w:rPr>
        <w:t>综上，该项指标满分2分，得分2分。</w:t>
      </w:r>
    </w:p>
    <w:p w14:paraId="1FBD8EAD">
      <w:pPr>
        <w:bidi w:val="0"/>
        <w:outlineLvl w:val="2"/>
        <w:rPr>
          <w:rFonts w:hint="default"/>
          <w:b/>
          <w:bCs/>
          <w:color w:val="auto"/>
          <w:highlight w:val="none"/>
          <w:lang w:val="en-US" w:eastAsia="zh-CN"/>
        </w:rPr>
      </w:pPr>
      <w:bookmarkStart w:id="59" w:name="_Toc21976"/>
      <w:r>
        <w:rPr>
          <w:rFonts w:hint="eastAsia"/>
          <w:b/>
          <w:bCs/>
          <w:color w:val="auto"/>
          <w:highlight w:val="none"/>
          <w:lang w:val="en-US" w:eastAsia="zh-CN"/>
        </w:rPr>
        <w:t>2.立项程序规范性</w:t>
      </w:r>
      <w:bookmarkEnd w:id="59"/>
    </w:p>
    <w:p w14:paraId="7335E407">
      <w:pPr>
        <w:bidi w:val="0"/>
        <w:rPr>
          <w:rFonts w:hint="eastAsia"/>
          <w:color w:val="auto"/>
          <w:highlight w:val="none"/>
          <w:lang w:eastAsia="zh-CN"/>
        </w:rPr>
      </w:pPr>
      <w:r>
        <w:rPr>
          <w:rFonts w:hint="eastAsia"/>
          <w:color w:val="auto"/>
          <w:highlight w:val="none"/>
          <w:lang w:eastAsia="zh-CN"/>
        </w:rPr>
        <w:t>①项目按照规定的程序申请设立；</w:t>
      </w:r>
    </w:p>
    <w:p w14:paraId="10EF43E1">
      <w:pPr>
        <w:bidi w:val="0"/>
        <w:rPr>
          <w:rFonts w:hint="eastAsia"/>
          <w:color w:val="auto"/>
          <w:highlight w:val="none"/>
          <w:lang w:eastAsia="zh-CN"/>
        </w:rPr>
      </w:pPr>
      <w:r>
        <w:rPr>
          <w:rFonts w:hint="eastAsia"/>
          <w:color w:val="auto"/>
          <w:highlight w:val="none"/>
          <w:lang w:eastAsia="zh-CN"/>
        </w:rPr>
        <w:t>②审批文件、材料符合相关要求；</w:t>
      </w:r>
    </w:p>
    <w:p w14:paraId="493882A0">
      <w:pPr>
        <w:bidi w:val="0"/>
        <w:rPr>
          <w:rFonts w:hint="eastAsia"/>
          <w:color w:val="auto"/>
          <w:highlight w:val="none"/>
          <w:lang w:eastAsia="zh-CN"/>
        </w:rPr>
      </w:pPr>
      <w:r>
        <w:rPr>
          <w:rFonts w:hint="eastAsia"/>
          <w:color w:val="auto"/>
          <w:highlight w:val="none"/>
          <w:lang w:eastAsia="zh-CN"/>
        </w:rPr>
        <w:t>③</w:t>
      </w:r>
      <w:r>
        <w:rPr>
          <w:rFonts w:hint="eastAsia"/>
          <w:color w:val="auto"/>
          <w:highlight w:val="none"/>
          <w:lang w:val="en-US" w:eastAsia="zh-CN"/>
        </w:rPr>
        <w:t>项目未</w:t>
      </w:r>
      <w:r>
        <w:rPr>
          <w:rFonts w:hint="eastAsia"/>
          <w:color w:val="auto"/>
          <w:highlight w:val="none"/>
          <w:lang w:eastAsia="zh-CN"/>
        </w:rPr>
        <w:t>经过可行性研究、专家论证、风险评估、绩效评估，</w:t>
      </w:r>
      <w:r>
        <w:rPr>
          <w:rFonts w:hint="eastAsia"/>
          <w:color w:val="auto"/>
          <w:highlight w:val="none"/>
          <w:lang w:val="en-US" w:eastAsia="zh-CN"/>
        </w:rPr>
        <w:t>扣一分</w:t>
      </w:r>
      <w:r>
        <w:rPr>
          <w:rFonts w:hint="eastAsia"/>
          <w:color w:val="auto"/>
          <w:highlight w:val="none"/>
          <w:lang w:eastAsia="zh-CN"/>
        </w:rPr>
        <w:t>。</w:t>
      </w:r>
    </w:p>
    <w:p w14:paraId="72E4DE3D">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5376EF1D">
      <w:pPr>
        <w:bidi w:val="0"/>
        <w:outlineLvl w:val="2"/>
        <w:rPr>
          <w:rFonts w:hint="default"/>
          <w:b/>
          <w:bCs/>
          <w:color w:val="auto"/>
          <w:highlight w:val="none"/>
          <w:lang w:val="en-US" w:eastAsia="zh-CN"/>
        </w:rPr>
      </w:pPr>
      <w:bookmarkStart w:id="60" w:name="_Toc15382"/>
      <w:r>
        <w:rPr>
          <w:rFonts w:hint="eastAsia"/>
          <w:b/>
          <w:bCs/>
          <w:color w:val="auto"/>
          <w:highlight w:val="none"/>
          <w:lang w:val="en-US" w:eastAsia="zh-CN"/>
        </w:rPr>
        <w:t>3.绩效目标合理性</w:t>
      </w:r>
      <w:bookmarkEnd w:id="60"/>
    </w:p>
    <w:p w14:paraId="032F1681">
      <w:pPr>
        <w:bidi w:val="0"/>
        <w:rPr>
          <w:rFonts w:hint="eastAsia"/>
          <w:color w:val="auto"/>
          <w:highlight w:val="none"/>
          <w:lang w:eastAsia="zh-CN"/>
        </w:rPr>
      </w:pPr>
      <w:r>
        <w:rPr>
          <w:rFonts w:hint="eastAsia"/>
          <w:color w:val="auto"/>
          <w:highlight w:val="none"/>
          <w:lang w:eastAsia="zh-CN"/>
        </w:rPr>
        <w:t>①项目有绩效目标；</w:t>
      </w:r>
    </w:p>
    <w:p w14:paraId="4CCD98F7">
      <w:pPr>
        <w:bidi w:val="0"/>
        <w:rPr>
          <w:rFonts w:hint="eastAsia"/>
          <w:color w:val="auto"/>
          <w:lang w:eastAsia="zh-CN"/>
        </w:rPr>
      </w:pPr>
      <w:r>
        <w:rPr>
          <w:rFonts w:hint="eastAsia"/>
          <w:color w:val="auto"/>
          <w:lang w:eastAsia="zh-CN"/>
        </w:rPr>
        <w:t>②项目绩效目标与实际工作</w:t>
      </w:r>
      <w:r>
        <w:rPr>
          <w:rFonts w:hint="eastAsia"/>
          <w:color w:val="auto"/>
          <w:lang w:val="en-US" w:eastAsia="zh-CN"/>
        </w:rPr>
        <w:t>中的</w:t>
      </w:r>
      <w:r>
        <w:rPr>
          <w:rFonts w:hint="eastAsia"/>
          <w:color w:val="auto"/>
          <w:lang w:eastAsia="zh-CN"/>
        </w:rPr>
        <w:t>内容具有相关性；</w:t>
      </w:r>
    </w:p>
    <w:p w14:paraId="7F1519AC">
      <w:pPr>
        <w:bidi w:val="0"/>
        <w:rPr>
          <w:rFonts w:hint="eastAsia"/>
          <w:color w:val="auto"/>
          <w:lang w:eastAsia="zh-CN"/>
        </w:rPr>
      </w:pPr>
      <w:r>
        <w:rPr>
          <w:rFonts w:hint="eastAsia"/>
          <w:color w:val="auto"/>
          <w:lang w:eastAsia="zh-CN"/>
        </w:rPr>
        <w:t>③项目预期产出效益和效果符合正常的业绩水平；</w:t>
      </w:r>
    </w:p>
    <w:p w14:paraId="0E087CDC">
      <w:pPr>
        <w:bidi w:val="0"/>
        <w:rPr>
          <w:rFonts w:hint="eastAsia"/>
          <w:color w:val="auto"/>
          <w:lang w:eastAsia="zh-CN"/>
        </w:rPr>
      </w:pPr>
      <w:r>
        <w:rPr>
          <w:rFonts w:hint="eastAsia"/>
          <w:color w:val="auto"/>
          <w:lang w:eastAsia="zh-CN"/>
        </w:rPr>
        <w:t>④与预算确定的项目投资额或资金量相匹配。</w:t>
      </w:r>
    </w:p>
    <w:p w14:paraId="6BC18F3E">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6D1CD101">
      <w:pPr>
        <w:bidi w:val="0"/>
        <w:outlineLvl w:val="2"/>
        <w:rPr>
          <w:rFonts w:hint="default"/>
          <w:b/>
          <w:bCs/>
          <w:color w:val="auto"/>
          <w:highlight w:val="none"/>
          <w:lang w:val="en-US" w:eastAsia="zh-CN"/>
        </w:rPr>
      </w:pPr>
      <w:bookmarkStart w:id="61" w:name="_Toc10650"/>
      <w:r>
        <w:rPr>
          <w:rFonts w:hint="eastAsia"/>
          <w:b/>
          <w:bCs/>
          <w:color w:val="auto"/>
          <w:highlight w:val="none"/>
          <w:lang w:val="en-US" w:eastAsia="zh-CN"/>
        </w:rPr>
        <w:t>4.绩效指标明确性</w:t>
      </w:r>
      <w:bookmarkEnd w:id="61"/>
    </w:p>
    <w:p w14:paraId="05E92F9B">
      <w:pPr>
        <w:bidi w:val="0"/>
        <w:rPr>
          <w:rFonts w:hint="eastAsia"/>
          <w:color w:val="auto"/>
          <w:highlight w:val="none"/>
          <w:lang w:eastAsia="zh-CN"/>
        </w:rPr>
      </w:pPr>
      <w:r>
        <w:rPr>
          <w:rFonts w:hint="eastAsia"/>
          <w:color w:val="auto"/>
          <w:highlight w:val="none"/>
          <w:lang w:eastAsia="zh-CN"/>
        </w:rPr>
        <w:t>①项目绩效目标细化分解为</w:t>
      </w:r>
      <w:r>
        <w:rPr>
          <w:rFonts w:hint="eastAsia"/>
          <w:color w:val="auto"/>
          <w:highlight w:val="none"/>
          <w:lang w:val="en-US" w:eastAsia="zh-CN"/>
        </w:rPr>
        <w:t>各类</w:t>
      </w:r>
      <w:r>
        <w:rPr>
          <w:rFonts w:hint="eastAsia"/>
          <w:color w:val="auto"/>
          <w:highlight w:val="none"/>
          <w:lang w:eastAsia="zh-CN"/>
        </w:rPr>
        <w:t>绩效目标</w:t>
      </w:r>
      <w:r>
        <w:rPr>
          <w:rFonts w:hint="eastAsia"/>
          <w:color w:val="auto"/>
          <w:highlight w:val="none"/>
          <w:lang w:val="en-US" w:eastAsia="zh-CN"/>
        </w:rPr>
        <w:t>12条：产出指标7条；成本指标2条；效益指标2条；满意度指标1条。</w:t>
      </w:r>
    </w:p>
    <w:p w14:paraId="69917624">
      <w:pPr>
        <w:bidi w:val="0"/>
        <w:rPr>
          <w:rFonts w:hint="default"/>
          <w:color w:val="auto"/>
          <w:highlight w:val="none"/>
          <w:lang w:val="en-US" w:eastAsia="zh-CN"/>
        </w:rPr>
      </w:pPr>
      <w:r>
        <w:rPr>
          <w:rFonts w:hint="eastAsia"/>
          <w:color w:val="auto"/>
          <w:highlight w:val="none"/>
          <w:lang w:eastAsia="zh-CN"/>
        </w:rPr>
        <w:t>②</w:t>
      </w:r>
      <w:r>
        <w:rPr>
          <w:rFonts w:hint="eastAsia"/>
          <w:color w:val="auto"/>
          <w:highlight w:val="none"/>
          <w:lang w:val="en-US" w:eastAsia="zh-CN"/>
        </w:rPr>
        <w:t>通过清晰、可衡量的指标值予以体现；项目量化率为76.92%</w:t>
      </w:r>
    </w:p>
    <w:p w14:paraId="44D2DE7C">
      <w:pPr>
        <w:bidi w:val="0"/>
        <w:rPr>
          <w:rFonts w:hint="eastAsia"/>
          <w:color w:val="auto"/>
          <w:highlight w:val="none"/>
          <w:lang w:eastAsia="zh-CN"/>
        </w:rPr>
      </w:pPr>
      <w:r>
        <w:rPr>
          <w:rFonts w:hint="eastAsia"/>
          <w:color w:val="auto"/>
          <w:highlight w:val="none"/>
          <w:lang w:eastAsia="zh-CN"/>
        </w:rPr>
        <w:t>③与项目目标任务数或计划数相对应。</w:t>
      </w:r>
    </w:p>
    <w:p w14:paraId="7BFA70FE">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38A30877">
      <w:pPr>
        <w:bidi w:val="0"/>
        <w:outlineLvl w:val="2"/>
        <w:rPr>
          <w:rFonts w:hint="default"/>
          <w:b/>
          <w:bCs/>
          <w:color w:val="auto"/>
          <w:highlight w:val="none"/>
          <w:lang w:val="en-US" w:eastAsia="zh-CN"/>
        </w:rPr>
      </w:pPr>
      <w:bookmarkStart w:id="62" w:name="_Toc19401"/>
      <w:r>
        <w:rPr>
          <w:rFonts w:hint="eastAsia"/>
          <w:b/>
          <w:bCs/>
          <w:color w:val="auto"/>
          <w:highlight w:val="none"/>
          <w:lang w:val="en-US" w:eastAsia="zh-CN"/>
        </w:rPr>
        <w:t>5.预算编制科学性</w:t>
      </w:r>
      <w:bookmarkEnd w:id="62"/>
    </w:p>
    <w:p w14:paraId="243D11D1">
      <w:pPr>
        <w:bidi w:val="0"/>
        <w:rPr>
          <w:rFonts w:hint="eastAsia"/>
          <w:color w:val="auto"/>
          <w:highlight w:val="none"/>
          <w:lang w:eastAsia="zh-CN"/>
        </w:rPr>
      </w:pPr>
      <w:r>
        <w:rPr>
          <w:rFonts w:hint="eastAsia"/>
          <w:color w:val="auto"/>
          <w:highlight w:val="none"/>
          <w:lang w:eastAsia="zh-CN"/>
        </w:rPr>
        <w:t>①</w:t>
      </w:r>
      <w:r>
        <w:rPr>
          <w:rFonts w:hint="eastAsia"/>
          <w:color w:val="auto"/>
          <w:highlight w:val="none"/>
          <w:lang w:val="en-US" w:eastAsia="zh-CN"/>
        </w:rPr>
        <w:t>本项目</w:t>
      </w:r>
      <w:r>
        <w:rPr>
          <w:rFonts w:hint="eastAsia"/>
          <w:color w:val="auto"/>
          <w:highlight w:val="none"/>
          <w:lang w:eastAsia="zh-CN"/>
        </w:rPr>
        <w:t>预算编制经过科学论证；</w:t>
      </w:r>
    </w:p>
    <w:p w14:paraId="4C8D9414">
      <w:pPr>
        <w:bidi w:val="0"/>
        <w:rPr>
          <w:rFonts w:hint="eastAsia"/>
          <w:color w:val="auto"/>
          <w:highlight w:val="none"/>
          <w:lang w:eastAsia="zh-CN"/>
        </w:rPr>
      </w:pPr>
      <w:r>
        <w:rPr>
          <w:rFonts w:hint="eastAsia"/>
          <w:color w:val="auto"/>
          <w:highlight w:val="none"/>
          <w:lang w:eastAsia="zh-CN"/>
        </w:rPr>
        <w:t>②预算内容与项目内容匹配；</w:t>
      </w:r>
    </w:p>
    <w:p w14:paraId="38EC5295">
      <w:pPr>
        <w:bidi w:val="0"/>
        <w:rPr>
          <w:rFonts w:hint="eastAsia"/>
          <w:color w:val="auto"/>
          <w:highlight w:val="none"/>
          <w:lang w:eastAsia="zh-CN"/>
        </w:rPr>
      </w:pPr>
      <w:r>
        <w:rPr>
          <w:rFonts w:hint="eastAsia"/>
          <w:color w:val="auto"/>
          <w:highlight w:val="none"/>
          <w:lang w:eastAsia="zh-CN"/>
        </w:rPr>
        <w:t>③预算额度测算依据充分，按照标准编制；</w:t>
      </w:r>
    </w:p>
    <w:p w14:paraId="7F4A1006">
      <w:pPr>
        <w:bidi w:val="0"/>
        <w:rPr>
          <w:rFonts w:hint="eastAsia"/>
          <w:color w:val="auto"/>
          <w:highlight w:val="none"/>
          <w:lang w:eastAsia="zh-CN"/>
        </w:rPr>
      </w:pPr>
      <w:r>
        <w:rPr>
          <w:rFonts w:hint="eastAsia"/>
          <w:color w:val="auto"/>
          <w:highlight w:val="none"/>
          <w:lang w:eastAsia="zh-CN"/>
        </w:rPr>
        <w:t>④预算确定的项目投资额或资金量与工作任务相匹配。</w:t>
      </w:r>
    </w:p>
    <w:p w14:paraId="540ED76F">
      <w:pPr>
        <w:bidi w:val="0"/>
        <w:rPr>
          <w:rFonts w:hint="eastAsia"/>
          <w:color w:val="auto"/>
          <w:highlight w:val="none"/>
          <w:lang w:eastAsia="zh-CN"/>
        </w:rPr>
      </w:pPr>
      <w:r>
        <w:rPr>
          <w:rFonts w:hint="eastAsia"/>
          <w:b/>
          <w:bCs/>
          <w:color w:val="auto"/>
          <w:highlight w:val="none"/>
          <w:lang w:val="en-US" w:eastAsia="zh-CN"/>
        </w:rPr>
        <w:t>综上，该项指标满分2分，得分2分。</w:t>
      </w:r>
    </w:p>
    <w:p w14:paraId="7F9EE194">
      <w:pPr>
        <w:bidi w:val="0"/>
        <w:outlineLvl w:val="2"/>
        <w:rPr>
          <w:rFonts w:hint="default"/>
          <w:b/>
          <w:bCs/>
          <w:color w:val="auto"/>
          <w:highlight w:val="none"/>
          <w:lang w:val="en-US" w:eastAsia="zh-CN"/>
        </w:rPr>
      </w:pPr>
      <w:bookmarkStart w:id="63" w:name="_Toc697"/>
      <w:r>
        <w:rPr>
          <w:rFonts w:hint="eastAsia"/>
          <w:b/>
          <w:bCs/>
          <w:color w:val="auto"/>
          <w:highlight w:val="none"/>
          <w:lang w:val="en-US" w:eastAsia="zh-CN"/>
        </w:rPr>
        <w:t>6.资金分配合理性</w:t>
      </w:r>
      <w:bookmarkEnd w:id="63"/>
    </w:p>
    <w:p w14:paraId="692D8A65">
      <w:pPr>
        <w:bidi w:val="0"/>
        <w:rPr>
          <w:rFonts w:hint="eastAsia"/>
          <w:color w:val="auto"/>
          <w:highlight w:val="none"/>
          <w:lang w:eastAsia="zh-CN"/>
        </w:rPr>
      </w:pPr>
      <w:r>
        <w:rPr>
          <w:rFonts w:hint="eastAsia"/>
          <w:color w:val="auto"/>
          <w:highlight w:val="none"/>
          <w:lang w:eastAsia="zh-CN"/>
        </w:rPr>
        <w:t>①预算资金分配依据充分；</w:t>
      </w:r>
    </w:p>
    <w:p w14:paraId="226679CC">
      <w:pPr>
        <w:bidi w:val="0"/>
        <w:rPr>
          <w:rFonts w:hint="eastAsia"/>
          <w:color w:val="auto"/>
          <w:highlight w:val="none"/>
          <w:lang w:eastAsia="zh-CN"/>
        </w:rPr>
      </w:pPr>
      <w:r>
        <w:rPr>
          <w:rFonts w:hint="eastAsia"/>
          <w:color w:val="auto"/>
          <w:highlight w:val="none"/>
          <w:lang w:eastAsia="zh-CN"/>
        </w:rPr>
        <w:t>②资金分配额度合理，与项目单位或地方实际相适应。</w:t>
      </w:r>
    </w:p>
    <w:p w14:paraId="757B88EE">
      <w:pPr>
        <w:bidi w:val="0"/>
        <w:rPr>
          <w:rFonts w:hint="eastAsia"/>
          <w:color w:val="auto"/>
          <w:highlight w:val="none"/>
          <w:lang w:eastAsia="zh-CN"/>
        </w:rPr>
      </w:pPr>
      <w:r>
        <w:rPr>
          <w:rFonts w:hint="eastAsia"/>
          <w:b/>
          <w:bCs/>
          <w:color w:val="auto"/>
          <w:highlight w:val="none"/>
          <w:lang w:val="en-US" w:eastAsia="zh-CN"/>
        </w:rPr>
        <w:t>综上，该项指标满分3分，得分3分。</w:t>
      </w:r>
    </w:p>
    <w:p w14:paraId="7794940E">
      <w:pPr>
        <w:pStyle w:val="5"/>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64" w:name="_Toc11361"/>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二</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项目过程情况</w:t>
      </w:r>
      <w:bookmarkEnd w:id="64"/>
    </w:p>
    <w:p w14:paraId="075BCFF4">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 xml:space="preserve"> 19.11</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181D1BF">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4-2</w:t>
      </w:r>
      <w:r>
        <w:rPr>
          <w:rFonts w:hint="eastAsia" w:ascii="宋体" w:hAnsi="宋体" w:eastAsia="宋体" w:cs="宋体"/>
          <w:b/>
          <w:bCs/>
          <w:color w:val="auto"/>
          <w:kern w:val="0"/>
          <w:sz w:val="28"/>
          <w:szCs w:val="28"/>
          <w:highlight w:val="none"/>
          <w:shd w:val="clear" w:color="auto" w:fill="auto"/>
          <w:lang w:val="zh-TW" w:eastAsia="zh-TW"/>
        </w:rPr>
        <w:t>项目</w:t>
      </w:r>
      <w:r>
        <w:rPr>
          <w:rFonts w:hint="eastAsia" w:ascii="宋体" w:hAnsi="宋体" w:eastAsia="宋体" w:cs="宋体"/>
          <w:b/>
          <w:bCs/>
          <w:color w:val="auto"/>
          <w:kern w:val="0"/>
          <w:sz w:val="28"/>
          <w:szCs w:val="28"/>
          <w:highlight w:val="none"/>
          <w:shd w:val="clear" w:color="auto" w:fill="auto"/>
          <w:lang w:val="zh-TW" w:eastAsia="zh-CN"/>
        </w:rPr>
        <w:t>管理</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6640" w:type="dxa"/>
        <w:jc w:val="center"/>
        <w:tblLayout w:type="fixed"/>
        <w:tblCellMar>
          <w:top w:w="0" w:type="dxa"/>
          <w:left w:w="0" w:type="dxa"/>
          <w:bottom w:w="0" w:type="dxa"/>
          <w:right w:w="0" w:type="dxa"/>
        </w:tblCellMar>
      </w:tblPr>
      <w:tblGrid>
        <w:gridCol w:w="963"/>
        <w:gridCol w:w="601"/>
        <w:gridCol w:w="1017"/>
        <w:gridCol w:w="958"/>
        <w:gridCol w:w="1493"/>
        <w:gridCol w:w="804"/>
        <w:gridCol w:w="804"/>
      </w:tblGrid>
      <w:tr w14:paraId="04A7B2D2">
        <w:tblPrEx>
          <w:tblCellMar>
            <w:top w:w="0" w:type="dxa"/>
            <w:left w:w="0" w:type="dxa"/>
            <w:bottom w:w="0" w:type="dxa"/>
            <w:right w:w="0" w:type="dxa"/>
          </w:tblCellMar>
        </w:tblPrEx>
        <w:trPr>
          <w:trHeight w:val="272" w:hRule="atLeast"/>
          <w:tblHeader/>
          <w:jc w:val="center"/>
        </w:trPr>
        <w:tc>
          <w:tcPr>
            <w:tcW w:w="96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EB7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C4CED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C0A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AD90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62B0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27529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CD5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b/>
                <w:bCs/>
                <w:color w:val="auto"/>
                <w:kern w:val="0"/>
                <w:sz w:val="20"/>
                <w:szCs w:val="20"/>
                <w:highlight w:val="none"/>
                <w:shd w:val="clear" w:color="auto" w:fill="auto"/>
                <w:lang w:val="en-US" w:eastAsia="zh-CN"/>
              </w:rPr>
            </w:pPr>
            <w:r>
              <w:rPr>
                <w:rFonts w:hint="eastAsia" w:cs="宋体"/>
                <w:b/>
                <w:bCs/>
                <w:color w:val="auto"/>
                <w:kern w:val="0"/>
                <w:sz w:val="20"/>
                <w:szCs w:val="20"/>
                <w:highlight w:val="none"/>
                <w:shd w:val="clear" w:color="auto" w:fill="auto"/>
                <w:lang w:val="en-US" w:eastAsia="zh-CN"/>
              </w:rPr>
              <w:t>得分</w:t>
            </w:r>
          </w:p>
        </w:tc>
      </w:tr>
      <w:tr w14:paraId="477DF377">
        <w:tblPrEx>
          <w:tblCellMar>
            <w:top w:w="0" w:type="dxa"/>
            <w:left w:w="0" w:type="dxa"/>
            <w:bottom w:w="0" w:type="dxa"/>
            <w:right w:w="0" w:type="dxa"/>
          </w:tblCellMar>
        </w:tblPrEx>
        <w:trPr>
          <w:trHeight w:val="23" w:hRule="atLeast"/>
          <w:jc w:val="center"/>
        </w:trPr>
        <w:tc>
          <w:tcPr>
            <w:tcW w:w="96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55DA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过程管理</w:t>
            </w:r>
          </w:p>
        </w:tc>
        <w:tc>
          <w:tcPr>
            <w:tcW w:w="6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ED53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CF86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资金管理</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AEBE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544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资金</w:t>
            </w:r>
            <w:r>
              <w:rPr>
                <w:rFonts w:hint="eastAsia" w:ascii="宋体" w:hAnsi="宋体" w:eastAsia="宋体" w:cs="宋体"/>
                <w:color w:val="auto"/>
                <w:kern w:val="0"/>
                <w:sz w:val="20"/>
                <w:szCs w:val="20"/>
                <w:highlight w:val="none"/>
                <w:shd w:val="clear" w:color="auto" w:fill="auto"/>
                <w:lang w:val="en-US" w:eastAsia="zh-CN"/>
              </w:rPr>
              <w:t>到位率</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1670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6814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14:paraId="1EA41B85">
        <w:tblPrEx>
          <w:tblCellMar>
            <w:top w:w="0" w:type="dxa"/>
            <w:left w:w="0" w:type="dxa"/>
            <w:bottom w:w="0" w:type="dxa"/>
            <w:right w:w="0" w:type="dxa"/>
          </w:tblCellMar>
        </w:tblPrEx>
        <w:trPr>
          <w:trHeight w:val="23"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3AFF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14F1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68F1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988C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071E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预算执行率</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8C2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77.8</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2F7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3.11</w:t>
            </w:r>
          </w:p>
        </w:tc>
      </w:tr>
      <w:tr w14:paraId="514B922F">
        <w:tblPrEx>
          <w:tblCellMar>
            <w:top w:w="0" w:type="dxa"/>
            <w:left w:w="0" w:type="dxa"/>
            <w:bottom w:w="0" w:type="dxa"/>
            <w:right w:w="0" w:type="dxa"/>
          </w:tblCellMar>
        </w:tblPrEx>
        <w:trPr>
          <w:trHeight w:val="23"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4F56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13E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F0E3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4900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1EB4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资金使用合规性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CA56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82AF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14:paraId="26910237">
        <w:tblPrEx>
          <w:tblCellMar>
            <w:top w:w="0" w:type="dxa"/>
            <w:left w:w="0" w:type="dxa"/>
            <w:bottom w:w="0" w:type="dxa"/>
            <w:right w:w="0" w:type="dxa"/>
          </w:tblCellMar>
        </w:tblPrEx>
        <w:trPr>
          <w:trHeight w:val="23"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2C4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B035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71FC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组织实施</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7228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745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管理制度健全性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6208F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9DF3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14:paraId="3D8DCD85">
        <w:tblPrEx>
          <w:tblCellMar>
            <w:top w:w="0" w:type="dxa"/>
            <w:left w:w="0" w:type="dxa"/>
            <w:bottom w:w="0" w:type="dxa"/>
            <w:right w:w="0" w:type="dxa"/>
          </w:tblCellMar>
        </w:tblPrEx>
        <w:trPr>
          <w:trHeight w:val="23" w:hRule="atLeast"/>
          <w:jc w:val="center"/>
        </w:trPr>
        <w:tc>
          <w:tcPr>
            <w:tcW w:w="9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9D4BE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677A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43C1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4F7F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8BD8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制度执行有效性</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18401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4</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266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r>
      <w:tr w14:paraId="740F7568">
        <w:tblPrEx>
          <w:tblCellMar>
            <w:top w:w="0" w:type="dxa"/>
            <w:left w:w="0" w:type="dxa"/>
            <w:bottom w:w="0" w:type="dxa"/>
            <w:right w:w="0" w:type="dxa"/>
          </w:tblCellMar>
        </w:tblPrEx>
        <w:trPr>
          <w:trHeight w:val="23" w:hRule="atLeast"/>
          <w:jc w:val="center"/>
        </w:trPr>
        <w:tc>
          <w:tcPr>
            <w:tcW w:w="258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C644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95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FE6F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9C28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8EA9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highlight w:val="none"/>
              </w:rPr>
            </w:pPr>
            <w:r>
              <w:rPr>
                <w:rFonts w:hint="eastAsia" w:ascii="宋体" w:hAnsi="宋体" w:eastAsia="宋体" w:cs="宋体"/>
                <w:color w:val="auto"/>
                <w:kern w:val="0"/>
                <w:sz w:val="20"/>
                <w:szCs w:val="20"/>
                <w:highlight w:val="none"/>
                <w:shd w:val="clear" w:color="auto" w:fill="auto"/>
                <w:lang w:val="en-US" w:eastAsia="zh-CN"/>
              </w:rPr>
              <w:t>20</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A4C4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19.11</w:t>
            </w:r>
          </w:p>
        </w:tc>
      </w:tr>
    </w:tbl>
    <w:p w14:paraId="0311C1E1">
      <w:pPr>
        <w:bidi w:val="0"/>
        <w:outlineLvl w:val="2"/>
        <w:rPr>
          <w:rFonts w:hint="default"/>
          <w:b/>
          <w:bCs/>
          <w:color w:val="auto"/>
          <w:highlight w:val="none"/>
          <w:lang w:val="en-US" w:eastAsia="zh-CN"/>
        </w:rPr>
      </w:pPr>
      <w:bookmarkStart w:id="65" w:name="_Toc3886"/>
      <w:r>
        <w:rPr>
          <w:rFonts w:hint="eastAsia"/>
          <w:b/>
          <w:bCs/>
          <w:color w:val="auto"/>
          <w:highlight w:val="none"/>
          <w:lang w:val="en-US" w:eastAsia="zh-CN"/>
        </w:rPr>
        <w:t>1.资金到位率</w:t>
      </w:r>
      <w:bookmarkEnd w:id="65"/>
    </w:p>
    <w:p w14:paraId="6C942F99">
      <w:pPr>
        <w:bidi w:val="0"/>
        <w:rPr>
          <w:rFonts w:hint="default"/>
          <w:b/>
          <w:bCs/>
          <w:color w:val="auto"/>
          <w:highlight w:val="none"/>
          <w:lang w:val="en-US" w:eastAsia="zh-CN"/>
        </w:rPr>
      </w:pPr>
      <w:r>
        <w:rPr>
          <w:rFonts w:hint="eastAsia"/>
          <w:color w:val="auto"/>
          <w:highlight w:val="none"/>
          <w:lang w:eastAsia="zh-CN"/>
        </w:rPr>
        <w:t>资金到位率=（1300</w:t>
      </w:r>
      <w:r>
        <w:rPr>
          <w:rFonts w:hint="eastAsia"/>
          <w:color w:val="auto"/>
          <w:highlight w:val="none"/>
          <w:lang w:val="en-US" w:eastAsia="zh-CN"/>
        </w:rPr>
        <w:t>万元</w:t>
      </w:r>
      <w:r>
        <w:rPr>
          <w:rFonts w:hint="eastAsia"/>
          <w:color w:val="auto"/>
          <w:highlight w:val="none"/>
          <w:lang w:eastAsia="zh-CN"/>
        </w:rPr>
        <w:t>/1300</w:t>
      </w:r>
      <w:r>
        <w:rPr>
          <w:rFonts w:hint="eastAsia"/>
          <w:color w:val="auto"/>
          <w:highlight w:val="none"/>
          <w:lang w:val="en-US" w:eastAsia="zh-CN"/>
        </w:rPr>
        <w:t>万元</w:t>
      </w:r>
      <w:r>
        <w:rPr>
          <w:rFonts w:hint="eastAsia"/>
          <w:color w:val="auto"/>
          <w:highlight w:val="none"/>
          <w:lang w:eastAsia="zh-CN"/>
        </w:rPr>
        <w:t>）×100%。</w:t>
      </w:r>
      <w:r>
        <w:rPr>
          <w:rFonts w:hint="eastAsia"/>
          <w:b/>
          <w:bCs/>
          <w:color w:val="auto"/>
          <w:highlight w:val="none"/>
          <w:lang w:val="en-US" w:eastAsia="zh-CN"/>
        </w:rPr>
        <w:t>=100%</w:t>
      </w:r>
    </w:p>
    <w:p w14:paraId="00E5A69B">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075CB2B2">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1B7DAC70">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1011.57万元/1300万元</w:t>
      </w:r>
      <w:r>
        <w:rPr>
          <w:rFonts w:hint="eastAsia"/>
          <w:color w:val="auto"/>
          <w:highlight w:val="none"/>
          <w:lang w:eastAsia="zh-CN"/>
        </w:rPr>
        <w:t>）×100%。</w:t>
      </w:r>
      <w:r>
        <w:rPr>
          <w:rFonts w:hint="eastAsia"/>
          <w:b/>
          <w:bCs/>
          <w:color w:val="auto"/>
          <w:highlight w:val="none"/>
          <w:lang w:val="en-US" w:eastAsia="zh-CN"/>
        </w:rPr>
        <w:t>=77.81%</w:t>
      </w:r>
    </w:p>
    <w:p w14:paraId="5B453908">
      <w:pPr>
        <w:bidi w:val="0"/>
        <w:rPr>
          <w:rFonts w:hint="eastAsia"/>
          <w:color w:val="auto"/>
          <w:highlight w:val="none"/>
          <w:lang w:eastAsia="zh-CN"/>
        </w:rPr>
      </w:pPr>
      <w:r>
        <w:rPr>
          <w:rFonts w:hint="eastAsia"/>
          <w:b/>
          <w:bCs/>
          <w:color w:val="auto"/>
          <w:highlight w:val="none"/>
          <w:lang w:val="en-US" w:eastAsia="zh-CN"/>
        </w:rPr>
        <w:t>综上，该项指标满分4分，得分3.11分。</w:t>
      </w:r>
    </w:p>
    <w:p w14:paraId="00DA1856">
      <w:pPr>
        <w:bidi w:val="0"/>
        <w:outlineLvl w:val="2"/>
        <w:rPr>
          <w:rFonts w:hint="default"/>
          <w:b/>
          <w:bCs/>
          <w:color w:val="auto"/>
          <w:highlight w:val="none"/>
          <w:lang w:val="en-US" w:eastAsia="zh-CN"/>
        </w:rPr>
      </w:pPr>
      <w:bookmarkStart w:id="67" w:name="_Toc18691"/>
      <w:r>
        <w:rPr>
          <w:rFonts w:hint="eastAsia"/>
          <w:b/>
          <w:bCs/>
          <w:color w:val="auto"/>
          <w:highlight w:val="none"/>
          <w:lang w:val="en-US" w:eastAsia="zh-CN"/>
        </w:rPr>
        <w:t>3.资金使用合规性</w:t>
      </w:r>
      <w:bookmarkEnd w:id="67"/>
    </w:p>
    <w:p w14:paraId="30BF5B3E">
      <w:pPr>
        <w:bidi w:val="0"/>
        <w:rPr>
          <w:rFonts w:hint="eastAsia"/>
          <w:color w:val="auto"/>
          <w:highlight w:val="none"/>
          <w:lang w:eastAsia="zh-CN"/>
        </w:rPr>
      </w:pPr>
      <w:r>
        <w:rPr>
          <w:rFonts w:hint="eastAsia"/>
          <w:color w:val="auto"/>
          <w:highlight w:val="none"/>
          <w:lang w:val="en-US" w:eastAsia="zh-CN"/>
        </w:rPr>
        <w:t>①符合国家财政部关于印发《地方政府专项债券项目资金绩效管理办法》的规定</w:t>
      </w:r>
      <w:r>
        <w:rPr>
          <w:rFonts w:hint="eastAsia"/>
          <w:color w:val="auto"/>
          <w:highlight w:val="none"/>
          <w:lang w:eastAsia="zh-CN"/>
        </w:rPr>
        <w:t>；</w:t>
      </w:r>
    </w:p>
    <w:p w14:paraId="729D7BBC">
      <w:pPr>
        <w:bidi w:val="0"/>
        <w:rPr>
          <w:rFonts w:hint="eastAsia"/>
          <w:color w:val="auto"/>
          <w:highlight w:val="none"/>
          <w:lang w:eastAsia="zh-CN"/>
        </w:rPr>
      </w:pPr>
      <w:r>
        <w:rPr>
          <w:rFonts w:hint="eastAsia"/>
          <w:color w:val="auto"/>
          <w:highlight w:val="none"/>
          <w:lang w:eastAsia="zh-CN"/>
        </w:rPr>
        <w:t>②资金的拨付有完整的审批程序和手续；</w:t>
      </w:r>
    </w:p>
    <w:p w14:paraId="6466DC9E">
      <w:pPr>
        <w:bidi w:val="0"/>
        <w:rPr>
          <w:rFonts w:hint="eastAsia"/>
          <w:color w:val="auto"/>
          <w:highlight w:val="none"/>
          <w:lang w:eastAsia="zh-CN"/>
        </w:rPr>
      </w:pPr>
      <w:r>
        <w:rPr>
          <w:rFonts w:hint="eastAsia"/>
          <w:color w:val="auto"/>
          <w:highlight w:val="none"/>
          <w:lang w:eastAsia="zh-CN"/>
        </w:rPr>
        <w:t>③符合项目预算批复或合同规定的用途；</w:t>
      </w:r>
    </w:p>
    <w:p w14:paraId="71D1CF21">
      <w:pPr>
        <w:bidi w:val="0"/>
        <w:rPr>
          <w:rFonts w:hint="eastAsia"/>
          <w:color w:val="auto"/>
          <w:highlight w:val="none"/>
          <w:lang w:eastAsia="zh-CN"/>
        </w:rPr>
      </w:pPr>
      <w:r>
        <w:rPr>
          <w:rFonts w:hint="eastAsia"/>
          <w:color w:val="auto"/>
          <w:highlight w:val="none"/>
          <w:lang w:eastAsia="zh-CN"/>
        </w:rPr>
        <w:t>④</w:t>
      </w:r>
      <w:r>
        <w:rPr>
          <w:rFonts w:hint="eastAsia"/>
          <w:color w:val="auto"/>
          <w:highlight w:val="none"/>
          <w:lang w:val="en-US" w:eastAsia="zh-CN"/>
        </w:rPr>
        <w:t>不</w:t>
      </w:r>
      <w:r>
        <w:rPr>
          <w:rFonts w:hint="eastAsia"/>
          <w:color w:val="auto"/>
          <w:highlight w:val="none"/>
          <w:lang w:eastAsia="zh-CN"/>
        </w:rPr>
        <w:t>存在截留、挤占、挪用、虚列支出等情况。</w:t>
      </w:r>
    </w:p>
    <w:p w14:paraId="7405BC3A">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BCAC0BF">
      <w:pPr>
        <w:bidi w:val="0"/>
        <w:rPr>
          <w:rFonts w:hint="default"/>
          <w:b/>
          <w:bCs/>
          <w:color w:val="auto"/>
          <w:highlight w:val="none"/>
          <w:lang w:val="en-US" w:eastAsia="zh-CN"/>
        </w:rPr>
      </w:pPr>
      <w:r>
        <w:rPr>
          <w:rFonts w:hint="eastAsia"/>
          <w:b/>
          <w:bCs/>
          <w:color w:val="auto"/>
          <w:highlight w:val="none"/>
          <w:lang w:val="en-US" w:eastAsia="zh-CN"/>
        </w:rPr>
        <w:t>4.管理制度健全性</w:t>
      </w:r>
    </w:p>
    <w:p w14:paraId="152CF51B">
      <w:pPr>
        <w:bidi w:val="0"/>
        <w:rPr>
          <w:rFonts w:hint="eastAsia"/>
          <w:color w:val="auto"/>
          <w:highlight w:val="none"/>
          <w:lang w:eastAsia="zh-CN"/>
        </w:rPr>
      </w:pPr>
      <w:r>
        <w:rPr>
          <w:rFonts w:hint="eastAsia"/>
          <w:color w:val="auto"/>
          <w:highlight w:val="none"/>
          <w:lang w:eastAsia="zh-CN"/>
        </w:rPr>
        <w:t>①</w:t>
      </w:r>
      <w:r>
        <w:rPr>
          <w:rFonts w:hint="eastAsia"/>
          <w:color w:val="auto"/>
          <w:highlight w:val="none"/>
          <w:lang w:val="en-US" w:eastAsia="zh-CN"/>
        </w:rPr>
        <w:t>项目根据阜康市林业和草原局财务管理制度与业务管理制度结合上级文件开展工作，规范了资金制度，确保了各项资金使用的合理合规。</w:t>
      </w:r>
      <w:r>
        <w:rPr>
          <w:rFonts w:hint="eastAsia"/>
          <w:color w:val="auto"/>
          <w:highlight w:val="none"/>
          <w:lang w:eastAsia="zh-CN"/>
        </w:rPr>
        <w:t>；</w:t>
      </w:r>
    </w:p>
    <w:p w14:paraId="4BDC1479">
      <w:pPr>
        <w:bidi w:val="0"/>
        <w:rPr>
          <w:rFonts w:hint="eastAsia"/>
          <w:color w:val="auto"/>
          <w:highlight w:val="none"/>
          <w:lang w:eastAsia="zh-CN"/>
        </w:rPr>
      </w:pPr>
      <w:r>
        <w:rPr>
          <w:rFonts w:hint="eastAsia"/>
          <w:color w:val="auto"/>
          <w:highlight w:val="none"/>
          <w:lang w:eastAsia="zh-CN"/>
        </w:rPr>
        <w:t>②财务和业务管理制度合法、合规、完整。</w:t>
      </w:r>
    </w:p>
    <w:p w14:paraId="5D37E647">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57A75672">
      <w:pPr>
        <w:bidi w:val="0"/>
        <w:ind w:left="1403" w:leftChars="200" w:hanging="843" w:hangingChars="300"/>
        <w:outlineLvl w:val="2"/>
        <w:rPr>
          <w:rFonts w:hint="eastAsia"/>
          <w:b/>
          <w:bCs/>
          <w:color w:val="auto"/>
          <w:highlight w:val="none"/>
          <w:lang w:val="en-US" w:eastAsia="zh-CN"/>
        </w:rPr>
      </w:pPr>
      <w:bookmarkStart w:id="68" w:name="_Toc31684"/>
      <w:r>
        <w:rPr>
          <w:rFonts w:hint="eastAsia"/>
          <w:b/>
          <w:bCs/>
          <w:color w:val="auto"/>
          <w:highlight w:val="none"/>
          <w:lang w:val="en-US" w:eastAsia="zh-CN"/>
        </w:rPr>
        <w:t>5.制度执行有效性</w:t>
      </w:r>
      <w:bookmarkEnd w:id="68"/>
    </w:p>
    <w:p w14:paraId="2666498C">
      <w:pPr>
        <w:bidi w:val="0"/>
        <w:rPr>
          <w:rFonts w:hint="eastAsia"/>
          <w:color w:val="auto"/>
          <w:highlight w:val="none"/>
          <w:lang w:eastAsia="zh-CN"/>
        </w:rPr>
      </w:pPr>
      <w:r>
        <w:rPr>
          <w:rFonts w:hint="eastAsia"/>
          <w:color w:val="auto"/>
          <w:highlight w:val="none"/>
          <w:lang w:eastAsia="zh-CN"/>
        </w:rPr>
        <w:t>①遵守相关法律法规和相关管理规定；</w:t>
      </w:r>
    </w:p>
    <w:p w14:paraId="79715716">
      <w:pPr>
        <w:bidi w:val="0"/>
        <w:rPr>
          <w:rFonts w:hint="eastAsia"/>
          <w:color w:val="auto"/>
          <w:highlight w:val="none"/>
          <w:lang w:eastAsia="zh-CN"/>
        </w:rPr>
      </w:pPr>
      <w:r>
        <w:rPr>
          <w:rFonts w:hint="eastAsia"/>
          <w:color w:val="auto"/>
          <w:highlight w:val="none"/>
          <w:lang w:eastAsia="zh-CN"/>
        </w:rPr>
        <w:t>②项目</w:t>
      </w:r>
      <w:r>
        <w:rPr>
          <w:rFonts w:hint="eastAsia"/>
          <w:color w:val="auto"/>
          <w:highlight w:val="none"/>
          <w:lang w:val="en-US" w:eastAsia="zh-CN"/>
        </w:rPr>
        <w:t>不涉及</w:t>
      </w:r>
      <w:r>
        <w:rPr>
          <w:rFonts w:hint="eastAsia"/>
          <w:color w:val="auto"/>
          <w:highlight w:val="none"/>
          <w:lang w:eastAsia="zh-CN"/>
        </w:rPr>
        <w:t>调整</w:t>
      </w:r>
    </w:p>
    <w:p w14:paraId="73F87CE4">
      <w:pPr>
        <w:bidi w:val="0"/>
        <w:rPr>
          <w:rFonts w:hint="eastAsia"/>
          <w:color w:val="auto"/>
          <w:highlight w:val="none"/>
          <w:lang w:eastAsia="zh-CN"/>
        </w:rPr>
      </w:pPr>
      <w:r>
        <w:rPr>
          <w:rFonts w:hint="eastAsia"/>
          <w:color w:val="auto"/>
          <w:highlight w:val="none"/>
          <w:lang w:eastAsia="zh-CN"/>
        </w:rPr>
        <w:t>③项目合同书、</w:t>
      </w:r>
      <w:r>
        <w:rPr>
          <w:rFonts w:hint="eastAsia"/>
          <w:color w:val="auto"/>
          <w:highlight w:val="none"/>
          <w:lang w:val="en-US" w:eastAsia="zh-CN"/>
        </w:rPr>
        <w:t>工作</w:t>
      </w:r>
      <w:r>
        <w:rPr>
          <w:rFonts w:hint="eastAsia"/>
          <w:color w:val="auto"/>
          <w:highlight w:val="none"/>
          <w:lang w:eastAsia="zh-CN"/>
        </w:rPr>
        <w:t>资料齐全并及时归档；</w:t>
      </w:r>
    </w:p>
    <w:p w14:paraId="1C2C9A4A">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7A490A4C">
      <w:pPr>
        <w:pStyle w:val="5"/>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5F928D43">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9</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28.07</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0C8DC2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4-3项目产出</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651" w:type="dxa"/>
        <w:tblInd w:w="0" w:type="dxa"/>
        <w:shd w:val="clear" w:color="auto" w:fill="auto"/>
        <w:tblLayout w:type="fixed"/>
        <w:tblCellMar>
          <w:top w:w="0" w:type="dxa"/>
          <w:left w:w="0" w:type="dxa"/>
          <w:bottom w:w="0" w:type="dxa"/>
          <w:right w:w="0" w:type="dxa"/>
        </w:tblCellMar>
      </w:tblPr>
      <w:tblGrid>
        <w:gridCol w:w="593"/>
        <w:gridCol w:w="593"/>
        <w:gridCol w:w="3409"/>
        <w:gridCol w:w="1068"/>
        <w:gridCol w:w="556"/>
        <w:gridCol w:w="1544"/>
        <w:gridCol w:w="888"/>
      </w:tblGrid>
      <w:tr w14:paraId="3973345A">
        <w:tblPrEx>
          <w:shd w:val="clear" w:color="auto" w:fill="auto"/>
          <w:tblCellMar>
            <w:top w:w="0" w:type="dxa"/>
            <w:left w:w="0" w:type="dxa"/>
            <w:bottom w:w="0" w:type="dxa"/>
            <w:right w:w="0" w:type="dxa"/>
          </w:tblCellMar>
        </w:tblPrEx>
        <w:trPr>
          <w:trHeight w:val="750" w:hRule="atLeast"/>
        </w:trPr>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CF9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一级指标</w:t>
            </w: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48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F0C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4550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年度指标值</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79B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标杆分值</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B4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全年实际完成值</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53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指标得分</w:t>
            </w:r>
          </w:p>
        </w:tc>
      </w:tr>
      <w:tr w14:paraId="1E8615EC">
        <w:tblPrEx>
          <w:shd w:val="clear" w:color="auto" w:fill="auto"/>
          <w:tblCellMar>
            <w:top w:w="0" w:type="dxa"/>
            <w:left w:w="0" w:type="dxa"/>
            <w:bottom w:w="0" w:type="dxa"/>
            <w:right w:w="0" w:type="dxa"/>
          </w:tblCellMar>
        </w:tblPrEx>
        <w:trPr>
          <w:trHeight w:val="768" w:hRule="atLeast"/>
        </w:trPr>
        <w:tc>
          <w:tcPr>
            <w:tcW w:w="5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CCC0F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产出</w:t>
            </w:r>
          </w:p>
        </w:tc>
        <w:tc>
          <w:tcPr>
            <w:tcW w:w="5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3C2970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数量指标</w:t>
            </w: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2D9D">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城关镇龙王庙西村基础设施建设面积</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23A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≥92635㎡</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62EAD">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44B4">
            <w:pPr>
              <w:keepNext w:val="0"/>
              <w:keepLines w:val="0"/>
              <w:widowControl/>
              <w:suppressLineNumbers w:val="0"/>
              <w:spacing w:line="240" w:lineRule="auto"/>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92635㎡</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DDF3">
            <w:pPr>
              <w:keepNext w:val="0"/>
              <w:keepLines w:val="0"/>
              <w:widowControl/>
              <w:suppressLineNumbers w:val="0"/>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r>
      <w:tr w14:paraId="5A06DEC9">
        <w:tblPrEx>
          <w:shd w:val="clear" w:color="auto" w:fill="auto"/>
          <w:tblCellMar>
            <w:top w:w="0" w:type="dxa"/>
            <w:left w:w="0" w:type="dxa"/>
            <w:bottom w:w="0" w:type="dxa"/>
            <w:right w:w="0" w:type="dxa"/>
          </w:tblCellMar>
        </w:tblPrEx>
        <w:trPr>
          <w:trHeight w:val="826"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F1EF37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71D43C5E">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D272">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城关镇山坡村一期基础设施建设建设面积</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6D1B9">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≥89611㎡</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CE38A">
            <w:pPr>
              <w:keepNext w:val="0"/>
              <w:keepLines w:val="0"/>
              <w:widowControl/>
              <w:suppressLineNumbers w:val="0"/>
              <w:shd w:val="clear"/>
              <w:spacing w:line="240" w:lineRule="auto"/>
              <w:ind w:left="0" w:leftChars="0" w:firstLine="200" w:firstLineChars="1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787FA">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89611㎡</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D9CEF">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4</w:t>
            </w:r>
          </w:p>
        </w:tc>
      </w:tr>
      <w:tr w14:paraId="026DA3BF">
        <w:tblPrEx>
          <w:shd w:val="clear" w:color="auto" w:fill="auto"/>
          <w:tblCellMar>
            <w:top w:w="0" w:type="dxa"/>
            <w:left w:w="0" w:type="dxa"/>
            <w:bottom w:w="0" w:type="dxa"/>
            <w:right w:w="0" w:type="dxa"/>
          </w:tblCellMar>
        </w:tblPrEx>
        <w:trPr>
          <w:trHeight w:val="548"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5858A26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172A7FC8">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0598D">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畜牧产业园区提升改造建设面积</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70384">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≥167400㎡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6739">
            <w:pPr>
              <w:keepNext w:val="0"/>
              <w:keepLines w:val="0"/>
              <w:widowControl/>
              <w:suppressLineNumbers w:val="0"/>
              <w:shd w:val="clear"/>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2271">
            <w:pPr>
              <w:keepNext w:val="0"/>
              <w:keepLines w:val="0"/>
              <w:widowControl/>
              <w:suppressLineNumbers w:val="0"/>
              <w:shd w:val="clear"/>
              <w:spacing w:line="240" w:lineRule="auto"/>
              <w:ind w:left="0" w:leftChars="0"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167400㎡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B1A42">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r>
      <w:tr w14:paraId="1E555799">
        <w:tblPrEx>
          <w:tblCellMar>
            <w:top w:w="0" w:type="dxa"/>
            <w:left w:w="0" w:type="dxa"/>
            <w:bottom w:w="0" w:type="dxa"/>
            <w:right w:w="0" w:type="dxa"/>
          </w:tblCellMar>
        </w:tblPrEx>
        <w:trPr>
          <w:trHeight w:val="608"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67D61AF">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D9DF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19B0">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天山岔路口至滋泥泉子镇围栏长度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AA502">
            <w:pPr>
              <w:keepNext w:val="0"/>
              <w:keepLines w:val="0"/>
              <w:widowControl/>
              <w:suppressLineNumbers w:val="0"/>
              <w:shd w:val="clear"/>
              <w:spacing w:line="240" w:lineRule="auto"/>
              <w:ind w:left="0" w:leftChars="0" w:firstLine="0" w:firstLineChars="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≥50000m</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C6D0">
            <w:pPr>
              <w:keepNext w:val="0"/>
              <w:keepLines w:val="0"/>
              <w:widowControl/>
              <w:suppressLineNumbers w:val="0"/>
              <w:shd w:val="clear"/>
              <w:spacing w:line="240" w:lineRule="auto"/>
              <w:ind w:left="0" w:leftChars="0" w:firstLine="200" w:firstLineChars="1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3330D">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50000m</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72706">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4</w:t>
            </w:r>
          </w:p>
        </w:tc>
      </w:tr>
      <w:tr w14:paraId="76432CF9">
        <w:tblPrEx>
          <w:tblCellMar>
            <w:top w:w="0" w:type="dxa"/>
            <w:left w:w="0" w:type="dxa"/>
            <w:bottom w:w="0" w:type="dxa"/>
            <w:right w:w="0" w:type="dxa"/>
          </w:tblCellMar>
        </w:tblPrEx>
        <w:trPr>
          <w:trHeight w:val="581"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4E6E87E2">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0554">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25412">
            <w:pPr>
              <w:keepNext w:val="0"/>
              <w:keepLines w:val="0"/>
              <w:widowControl/>
              <w:suppressLineNumbers w:val="0"/>
              <w:shd w:val="clear"/>
              <w:spacing w:line="240" w:lineRule="auto"/>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东湾林场及新湖村管线敷设长度</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54AA7">
            <w:pPr>
              <w:keepNext w:val="0"/>
              <w:keepLines w:val="0"/>
              <w:widowControl/>
              <w:suppressLineNumbers w:val="0"/>
              <w:shd w:val="clear"/>
              <w:spacing w:line="240" w:lineRule="auto"/>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≥6641m</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11546">
            <w:pPr>
              <w:keepNext w:val="0"/>
              <w:keepLines w:val="0"/>
              <w:widowControl/>
              <w:suppressLineNumbers w:val="0"/>
              <w:shd w:val="clear"/>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0D65E">
            <w:pPr>
              <w:keepNext w:val="0"/>
              <w:keepLines w:val="0"/>
              <w:widowControl/>
              <w:suppressLineNumbers w:val="0"/>
              <w:shd w:val="clear"/>
              <w:spacing w:line="240" w:lineRule="auto"/>
              <w:ind w:left="0" w:leftChars="0"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6641m</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D77BD">
            <w:pPr>
              <w:keepNext w:val="0"/>
              <w:keepLines w:val="0"/>
              <w:widowControl/>
              <w:suppressLineNumbers w:val="0"/>
              <w:shd w:val="clear"/>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4</w:t>
            </w:r>
          </w:p>
        </w:tc>
      </w:tr>
      <w:tr w14:paraId="379CB527">
        <w:tblPrEx>
          <w:shd w:val="clear" w:color="auto" w:fill="auto"/>
          <w:tblCellMar>
            <w:top w:w="0" w:type="dxa"/>
            <w:left w:w="0" w:type="dxa"/>
            <w:bottom w:w="0" w:type="dxa"/>
            <w:right w:w="0" w:type="dxa"/>
          </w:tblCellMar>
        </w:tblPrEx>
        <w:trPr>
          <w:trHeight w:val="440"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88F0918">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2E48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质量指标</w:t>
            </w: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CBAC5">
            <w:pPr>
              <w:keepNext w:val="0"/>
              <w:keepLines w:val="0"/>
              <w:widowControl/>
              <w:suppressLineNumbers w:val="0"/>
              <w:shd w:val="clear"/>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工程验收合格率</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59C4E">
            <w:pPr>
              <w:keepNext w:val="0"/>
              <w:keepLines w:val="0"/>
              <w:widowControl/>
              <w:suppressLineNumbers w:val="0"/>
              <w:shd w:val="clear"/>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08D69">
            <w:pPr>
              <w:keepNext w:val="0"/>
              <w:keepLines w:val="0"/>
              <w:widowControl/>
              <w:suppressLineNumbers w:val="0"/>
              <w:shd w:val="clear"/>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E9C1">
            <w:pPr>
              <w:keepNext w:val="0"/>
              <w:keepLines w:val="0"/>
              <w:widowControl/>
              <w:suppressLineNumbers w:val="0"/>
              <w:shd w:val="clear"/>
              <w:ind w:left="0" w:leftChars="0"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FB70B">
            <w:pPr>
              <w:keepNext w:val="0"/>
              <w:keepLines w:val="0"/>
              <w:widowControl/>
              <w:suppressLineNumbers w:val="0"/>
              <w:shd w:val="clear"/>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cs="宋体"/>
                <w:i w:val="0"/>
                <w:iCs w:val="0"/>
                <w:color w:val="auto"/>
                <w:kern w:val="0"/>
                <w:sz w:val="20"/>
                <w:szCs w:val="20"/>
                <w:highlight w:val="none"/>
                <w:u w:val="none"/>
                <w:lang w:val="en-US" w:eastAsia="zh-CN" w:bidi="ar"/>
              </w:rPr>
              <w:t>3</w:t>
            </w:r>
          </w:p>
        </w:tc>
      </w:tr>
      <w:tr w14:paraId="69AAC32D">
        <w:tblPrEx>
          <w:tblCellMar>
            <w:top w:w="0" w:type="dxa"/>
            <w:left w:w="0" w:type="dxa"/>
            <w:bottom w:w="0" w:type="dxa"/>
            <w:right w:w="0" w:type="dxa"/>
          </w:tblCellMar>
        </w:tblPrEx>
        <w:trPr>
          <w:trHeight w:val="390"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F5CBA2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89B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时效指标</w:t>
            </w: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1A48E">
            <w:pPr>
              <w:keepNext w:val="0"/>
              <w:keepLines w:val="0"/>
              <w:widowControl/>
              <w:suppressLineNumbers w:val="0"/>
              <w:shd w:val="clear"/>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项目完成及时率</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93320">
            <w:pPr>
              <w:keepNext w:val="0"/>
              <w:keepLines w:val="0"/>
              <w:widowControl/>
              <w:suppressLineNumbers w:val="0"/>
              <w:shd w:val="clear"/>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222A">
            <w:pPr>
              <w:keepNext w:val="0"/>
              <w:keepLines w:val="0"/>
              <w:widowControl/>
              <w:suppressLineNumbers w:val="0"/>
              <w:shd w:val="clear"/>
              <w:ind w:left="0" w:leftChars="0" w:firstLine="200" w:firstLineChars="100"/>
              <w:jc w:val="both"/>
              <w:textAlignment w:val="center"/>
              <w:rPr>
                <w:rFonts w:hint="eastAsia"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2F39C">
            <w:pPr>
              <w:keepNext w:val="0"/>
              <w:keepLines w:val="0"/>
              <w:widowControl/>
              <w:suppressLineNumbers w:val="0"/>
              <w:shd w:val="clear"/>
              <w:ind w:firstLine="400" w:firstLineChars="200"/>
              <w:jc w:val="both"/>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5285B">
            <w:pPr>
              <w:keepNext w:val="0"/>
              <w:keepLines w:val="0"/>
              <w:widowControl/>
              <w:suppressLineNumbers w:val="0"/>
              <w:shd w:val="clear"/>
              <w:ind w:firstLine="400" w:firstLineChars="200"/>
              <w:jc w:val="both"/>
              <w:textAlignment w:val="center"/>
              <w:rPr>
                <w:rFonts w:hint="eastAsia"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3</w:t>
            </w:r>
          </w:p>
        </w:tc>
      </w:tr>
      <w:tr w14:paraId="01B1240E">
        <w:tblPrEx>
          <w:tblCellMar>
            <w:top w:w="0" w:type="dxa"/>
            <w:left w:w="0" w:type="dxa"/>
            <w:bottom w:w="0" w:type="dxa"/>
            <w:right w:w="0" w:type="dxa"/>
          </w:tblCellMar>
        </w:tblPrEx>
        <w:trPr>
          <w:trHeight w:val="697" w:hRule="atLeast"/>
        </w:trPr>
        <w:tc>
          <w:tcPr>
            <w:tcW w:w="593" w:type="dxa"/>
            <w:vMerge w:val="continue"/>
            <w:tcBorders>
              <w:left w:val="single" w:color="000000" w:sz="4" w:space="0"/>
              <w:right w:val="single" w:color="000000" w:sz="4" w:space="0"/>
            </w:tcBorders>
            <w:shd w:val="clear" w:color="auto" w:fill="auto"/>
            <w:tcMar>
              <w:top w:w="15" w:type="dxa"/>
              <w:left w:w="15" w:type="dxa"/>
              <w:right w:w="15" w:type="dxa"/>
            </w:tcMar>
            <w:vAlign w:val="center"/>
          </w:tcPr>
          <w:p w14:paraId="2B4A80A3">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63E3071C">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经济成本指标</w:t>
            </w: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8C43E">
            <w:pPr>
              <w:keepNext w:val="0"/>
              <w:keepLines w:val="0"/>
              <w:widowControl/>
              <w:suppressLineNumbers w:val="0"/>
              <w:shd w:val="clear"/>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项目建设成本</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F72E9">
            <w:pPr>
              <w:keepNext w:val="0"/>
              <w:keepLines w:val="0"/>
              <w:widowControl/>
              <w:suppressLineNumbers w:val="0"/>
              <w:shd w:val="clear"/>
              <w:ind w:left="0" w:leftChars="0" w:firstLine="0" w:firstLineChars="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≤1000万元</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A21A6">
            <w:pPr>
              <w:keepNext w:val="0"/>
              <w:keepLines w:val="0"/>
              <w:widowControl/>
              <w:suppressLineNumbers w:val="0"/>
              <w:shd w:val="clear"/>
              <w:ind w:left="0" w:leftChars="0" w:firstLine="200" w:firstLineChars="100"/>
              <w:jc w:val="both"/>
              <w:textAlignment w:val="center"/>
              <w:rPr>
                <w:rFonts w:hint="default"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321E9">
            <w:pPr>
              <w:keepNext w:val="0"/>
              <w:keepLines w:val="0"/>
              <w:widowControl/>
              <w:suppressLineNumbers w:val="0"/>
              <w:shd w:val="clear"/>
              <w:ind w:left="0" w:leftChars="0" w:firstLine="200" w:firstLineChars="100"/>
              <w:jc w:val="both"/>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1000</w:t>
            </w:r>
            <w:r>
              <w:rPr>
                <w:rFonts w:hint="eastAsia" w:cs="宋体"/>
                <w:i w:val="0"/>
                <w:iCs w:val="0"/>
                <w:color w:val="auto"/>
                <w:kern w:val="0"/>
                <w:sz w:val="20"/>
                <w:szCs w:val="20"/>
                <w:highlight w:val="none"/>
                <w:u w:val="none"/>
                <w:lang w:val="en-US" w:eastAsia="zh-CN" w:bidi="ar"/>
              </w:rPr>
              <w:t>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D4A6">
            <w:pPr>
              <w:keepNext w:val="0"/>
              <w:keepLines w:val="0"/>
              <w:widowControl/>
              <w:suppressLineNumbers w:val="0"/>
              <w:shd w:val="clear"/>
              <w:ind w:left="0" w:leftChars="0" w:firstLine="400" w:firstLineChars="200"/>
              <w:jc w:val="both"/>
              <w:textAlignment w:val="center"/>
              <w:rPr>
                <w:rFonts w:hint="default" w:cs="宋体"/>
                <w:i w:val="0"/>
                <w:iCs w:val="0"/>
                <w:color w:val="auto"/>
                <w:kern w:val="0"/>
                <w:sz w:val="20"/>
                <w:szCs w:val="20"/>
                <w:highlight w:val="none"/>
                <w:u w:val="none"/>
                <w:lang w:val="en-US" w:eastAsia="zh-CN" w:bidi="ar"/>
              </w:rPr>
            </w:pPr>
            <w:r>
              <w:rPr>
                <w:rFonts w:hint="eastAsia" w:cs="宋体"/>
                <w:i w:val="0"/>
                <w:iCs w:val="0"/>
                <w:color w:val="auto"/>
                <w:kern w:val="0"/>
                <w:sz w:val="20"/>
                <w:szCs w:val="20"/>
                <w:highlight w:val="none"/>
                <w:u w:val="none"/>
                <w:lang w:val="en-US" w:eastAsia="zh-CN" w:bidi="ar"/>
              </w:rPr>
              <w:t>2</w:t>
            </w:r>
          </w:p>
        </w:tc>
      </w:tr>
      <w:tr w14:paraId="046A4686">
        <w:tblPrEx>
          <w:tblCellMar>
            <w:top w:w="0" w:type="dxa"/>
            <w:left w:w="0" w:type="dxa"/>
            <w:bottom w:w="0" w:type="dxa"/>
            <w:right w:w="0" w:type="dxa"/>
          </w:tblCellMar>
        </w:tblPrEx>
        <w:trPr>
          <w:trHeight w:val="410" w:hRule="atLeast"/>
        </w:trPr>
        <w:tc>
          <w:tcPr>
            <w:tcW w:w="5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3CB16">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5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7AF1">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34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4B02C">
            <w:pPr>
              <w:keepNext w:val="0"/>
              <w:keepLines w:val="0"/>
              <w:widowControl/>
              <w:suppressLineNumbers w:val="0"/>
              <w:shd w:val="clear"/>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项目前期费与其他建设费用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7E110">
            <w:pPr>
              <w:keepNext w:val="0"/>
              <w:keepLines w:val="0"/>
              <w:widowControl/>
              <w:suppressLineNumbers w:val="0"/>
              <w:shd w:val="clear"/>
              <w:ind w:left="0" w:leftChars="0" w:firstLine="0" w:firstLineChars="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≤300万元</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69475">
            <w:pPr>
              <w:keepNext w:val="0"/>
              <w:keepLines w:val="0"/>
              <w:widowControl/>
              <w:suppressLineNumbers w:val="0"/>
              <w:shd w:val="clear"/>
              <w:ind w:left="0" w:leftChars="0" w:firstLine="200" w:firstLineChars="100"/>
              <w:jc w:val="both"/>
              <w:textAlignment w:val="center"/>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C326A">
            <w:pPr>
              <w:keepNext w:val="0"/>
              <w:keepLines w:val="0"/>
              <w:widowControl/>
              <w:suppressLineNumbers w:val="0"/>
              <w:shd w:val="clear"/>
              <w:ind w:left="0" w:leftChars="0" w:firstLine="200" w:firstLineChars="100"/>
              <w:jc w:val="both"/>
              <w:textAlignment w:val="center"/>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11.57</w:t>
            </w:r>
            <w:r>
              <w:rPr>
                <w:rFonts w:hint="eastAsia" w:cs="宋体"/>
                <w:color w:val="auto"/>
                <w:kern w:val="0"/>
                <w:sz w:val="20"/>
                <w:szCs w:val="20"/>
                <w:highlight w:val="none"/>
                <w:shd w:val="clear" w:color="auto" w:fill="auto"/>
                <w:lang w:val="en-US" w:eastAsia="zh-CN"/>
              </w:rPr>
              <w:t>万元</w:t>
            </w: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96E11">
            <w:pPr>
              <w:keepNext w:val="0"/>
              <w:keepLines w:val="0"/>
              <w:widowControl/>
              <w:suppressLineNumbers w:val="0"/>
              <w:shd w:val="clear"/>
              <w:ind w:left="0" w:leftChars="0" w:firstLine="200" w:firstLineChars="100"/>
              <w:jc w:val="both"/>
              <w:textAlignment w:val="center"/>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0.07</w:t>
            </w:r>
          </w:p>
        </w:tc>
      </w:tr>
      <w:tr w14:paraId="0CFDDFCA">
        <w:tblPrEx>
          <w:shd w:val="clear" w:color="auto" w:fill="auto"/>
          <w:tblCellMar>
            <w:top w:w="0" w:type="dxa"/>
            <w:left w:w="0" w:type="dxa"/>
            <w:bottom w:w="0" w:type="dxa"/>
            <w:right w:w="0" w:type="dxa"/>
          </w:tblCellMar>
        </w:tblPrEx>
        <w:trPr>
          <w:trHeight w:val="403" w:hRule="atLeast"/>
        </w:trPr>
        <w:tc>
          <w:tcPr>
            <w:tcW w:w="56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FBCED">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62FFA">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DCE5">
            <w:pPr>
              <w:keepNext w:val="0"/>
              <w:keepLines w:val="0"/>
              <w:pageBreakBefore w:val="0"/>
              <w:widowControl/>
              <w:shd w:val="clear"/>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FD71C">
            <w:pPr>
              <w:keepNext w:val="0"/>
              <w:keepLines w:val="0"/>
              <w:pageBreakBefore w:val="0"/>
              <w:widowControl/>
              <w:shd w:val="clear"/>
              <w:kinsoku/>
              <w:wordWrap/>
              <w:overflowPunct/>
              <w:topLinePunct w:val="0"/>
              <w:autoSpaceDE/>
              <w:autoSpaceDN/>
              <w:bidi w:val="0"/>
              <w:adjustRightInd/>
              <w:snapToGrid w:val="0"/>
              <w:spacing w:line="240" w:lineRule="auto"/>
              <w:ind w:firstLine="200" w:firstLineChars="100"/>
              <w:jc w:val="both"/>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28.07</w:t>
            </w:r>
          </w:p>
        </w:tc>
      </w:tr>
    </w:tbl>
    <w:p w14:paraId="327A4132">
      <w:pPr>
        <w:shd w:val="clear"/>
        <w:bidi w:val="0"/>
        <w:outlineLvl w:val="2"/>
        <w:rPr>
          <w:rFonts w:hint="eastAsia"/>
          <w:b/>
          <w:bCs/>
          <w:color w:val="auto"/>
          <w:highlight w:val="none"/>
          <w:lang w:val="en-US" w:eastAsia="zh-CN"/>
        </w:rPr>
      </w:pPr>
      <w:bookmarkStart w:id="70" w:name="_Toc11067"/>
      <w:r>
        <w:rPr>
          <w:rFonts w:hint="eastAsia"/>
          <w:b/>
          <w:bCs/>
          <w:color w:val="auto"/>
          <w:highlight w:val="none"/>
          <w:lang w:val="en-US" w:eastAsia="zh-CN"/>
        </w:rPr>
        <w:t>1.项目完成数量</w:t>
      </w:r>
      <w:bookmarkEnd w:id="70"/>
    </w:p>
    <w:p w14:paraId="2ED6C478">
      <w:pPr>
        <w:shd w:val="clear"/>
        <w:bidi w:val="0"/>
        <w:jc w:val="both"/>
        <w:rPr>
          <w:rFonts w:hint="eastAsia"/>
          <w:color w:val="auto"/>
          <w:highlight w:val="none"/>
          <w:lang w:val="en-US" w:eastAsia="zh-CN"/>
        </w:rPr>
      </w:pPr>
      <w:r>
        <w:rPr>
          <w:rFonts w:hint="eastAsia"/>
          <w:color w:val="auto"/>
          <w:highlight w:val="none"/>
          <w:lang w:val="en-US" w:eastAsia="zh-CN"/>
        </w:rPr>
        <w:t>“城关镇龙王庙西村基础设施建设面积”指标，预期目标值为≥92635㎡，实际完成为≥92635㎡。实际完成率=（≥92635㎡/≥92635㎡）×100%=100%。</w:t>
      </w:r>
    </w:p>
    <w:p w14:paraId="3080665F">
      <w:pPr>
        <w:shd w:val="clear"/>
        <w:bidi w:val="0"/>
        <w:jc w:val="both"/>
        <w:rPr>
          <w:rFonts w:hint="eastAsia"/>
          <w:color w:val="auto"/>
          <w:highlight w:val="none"/>
          <w:lang w:val="en-US" w:eastAsia="zh-CN"/>
        </w:rPr>
      </w:pPr>
      <w:r>
        <w:rPr>
          <w:rFonts w:hint="eastAsia"/>
          <w:color w:val="auto"/>
          <w:highlight w:val="none"/>
          <w:lang w:val="en-US" w:eastAsia="zh-CN"/>
        </w:rPr>
        <w:t>“城关镇山坡村一期基础设施建设建设面积”指标，预期目标值为≥89611㎡，实际完成为≥89611㎡。实际完成率=（≥89611㎡/≥89611㎡）×100%=100%。</w:t>
      </w:r>
    </w:p>
    <w:p w14:paraId="2BE6D50F">
      <w:pPr>
        <w:shd w:val="clear"/>
        <w:bidi w:val="0"/>
        <w:jc w:val="both"/>
        <w:rPr>
          <w:rFonts w:hint="eastAsia"/>
          <w:color w:val="auto"/>
          <w:highlight w:val="none"/>
          <w:lang w:val="en-US" w:eastAsia="zh-CN"/>
        </w:rPr>
      </w:pPr>
      <w:r>
        <w:rPr>
          <w:rFonts w:hint="eastAsia"/>
          <w:color w:val="auto"/>
          <w:highlight w:val="none"/>
          <w:lang w:val="en-US" w:eastAsia="zh-CN"/>
        </w:rPr>
        <w:t>“畜牧产业园区提升改造建设面积”指标，预期目标值为≥167400㎡，实际完成为≥167400㎡。实际完成率=（≥167400㎡/≥167400㎡）×100%=100%。</w:t>
      </w:r>
    </w:p>
    <w:p w14:paraId="2EEBF8AA">
      <w:pPr>
        <w:shd w:val="clear"/>
        <w:bidi w:val="0"/>
        <w:jc w:val="both"/>
        <w:rPr>
          <w:rFonts w:hint="eastAsia"/>
          <w:color w:val="auto"/>
          <w:highlight w:val="none"/>
          <w:lang w:val="en-US" w:eastAsia="zh-CN"/>
        </w:rPr>
      </w:pPr>
      <w:r>
        <w:rPr>
          <w:rFonts w:hint="eastAsia"/>
          <w:color w:val="auto"/>
          <w:highlight w:val="none"/>
          <w:lang w:val="en-US" w:eastAsia="zh-CN"/>
        </w:rPr>
        <w:t>“天山岔路口至滋泥泉子镇围栏长度”指标，预期目标值为≥50000m，实际完成为≥50000m。实际完成率=（≥50000m/≥50000m）×100%=100%。</w:t>
      </w:r>
    </w:p>
    <w:p w14:paraId="61D9A2FA">
      <w:pPr>
        <w:shd w:val="clear"/>
        <w:bidi w:val="0"/>
        <w:jc w:val="both"/>
        <w:rPr>
          <w:rFonts w:hint="eastAsia"/>
          <w:color w:val="auto"/>
          <w:highlight w:val="none"/>
          <w:lang w:val="en-US" w:eastAsia="zh-CN"/>
        </w:rPr>
      </w:pPr>
      <w:r>
        <w:rPr>
          <w:rFonts w:hint="eastAsia"/>
          <w:color w:val="auto"/>
          <w:highlight w:val="none"/>
          <w:lang w:val="en-US" w:eastAsia="zh-CN"/>
        </w:rPr>
        <w:t>“东湾林场及新湖村管线敷设长度”指标，预期目标值为≥6641m，实际完成为≥6641m。实际完成率=（≥6641m/≥≥6641m）×100%=100%。</w:t>
      </w:r>
    </w:p>
    <w:p w14:paraId="7C2A9129">
      <w:pPr>
        <w:shd w:val="clear"/>
        <w:bidi w:val="0"/>
        <w:rPr>
          <w:rFonts w:hint="eastAsia"/>
          <w:color w:val="auto"/>
          <w:highlight w:val="none"/>
          <w:lang w:eastAsia="zh-CN"/>
        </w:rPr>
      </w:pPr>
      <w:r>
        <w:rPr>
          <w:rFonts w:hint="eastAsia"/>
          <w:b/>
          <w:bCs/>
          <w:color w:val="auto"/>
          <w:highlight w:val="none"/>
          <w:lang w:val="en-US" w:eastAsia="zh-CN"/>
        </w:rPr>
        <w:t>综上，该项指标满分20分，得分20分。</w:t>
      </w:r>
    </w:p>
    <w:p w14:paraId="146E4114">
      <w:pPr>
        <w:shd w:val="clea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6B4D0F54">
      <w:pPr>
        <w:shd w:val="clear"/>
        <w:bidi w:val="0"/>
        <w:rPr>
          <w:rFonts w:hint="eastAsia"/>
          <w:color w:val="auto"/>
          <w:highlight w:val="none"/>
          <w:lang w:eastAsia="zh-CN"/>
        </w:rPr>
      </w:pPr>
      <w:r>
        <w:rPr>
          <w:rFonts w:hint="eastAsia"/>
          <w:color w:val="auto"/>
          <w:highlight w:val="none"/>
          <w:lang w:val="en-US" w:eastAsia="zh-CN"/>
        </w:rPr>
        <w:t>“工程验收合格率”指标，预期目标值为100%，实际完成为100%。</w:t>
      </w:r>
    </w:p>
    <w:p w14:paraId="1452644D">
      <w:pPr>
        <w:shd w:val="clear"/>
        <w:bidi w:val="0"/>
        <w:rPr>
          <w:rFonts w:hint="eastAsia"/>
          <w:color w:val="auto"/>
          <w:highlight w:val="none"/>
          <w:lang w:eastAsia="zh-CN"/>
        </w:rPr>
      </w:pPr>
      <w:r>
        <w:rPr>
          <w:rFonts w:hint="eastAsia"/>
          <w:b/>
          <w:bCs/>
          <w:color w:val="auto"/>
          <w:highlight w:val="none"/>
          <w:lang w:val="en-US" w:eastAsia="zh-CN"/>
        </w:rPr>
        <w:t>综上，该项指标满分3分，得分3分。</w:t>
      </w:r>
    </w:p>
    <w:p w14:paraId="61EDEC52">
      <w:pPr>
        <w:shd w:val="clea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53527C1A">
      <w:pPr>
        <w:shd w:val="clear"/>
        <w:bidi w:val="0"/>
        <w:rPr>
          <w:rFonts w:hint="eastAsia"/>
          <w:color w:val="auto"/>
          <w:highlight w:val="none"/>
          <w:lang w:val="en-US" w:eastAsia="zh-CN"/>
        </w:rPr>
      </w:pPr>
      <w:r>
        <w:rPr>
          <w:rFonts w:hint="eastAsia"/>
          <w:color w:val="auto"/>
          <w:highlight w:val="none"/>
          <w:lang w:val="en-US" w:eastAsia="zh-CN"/>
        </w:rPr>
        <w:t>“项目完成及时率”指标，预期目标值为100%，实际完成为100%。</w:t>
      </w:r>
    </w:p>
    <w:p w14:paraId="2CD5FEE1">
      <w:pPr>
        <w:shd w:val="clear"/>
        <w:bidi w:val="0"/>
        <w:rPr>
          <w:rFonts w:hint="eastAsia"/>
          <w:color w:val="auto"/>
          <w:highlight w:val="none"/>
          <w:lang w:eastAsia="zh-CN"/>
        </w:rPr>
      </w:pPr>
      <w:r>
        <w:rPr>
          <w:rFonts w:hint="eastAsia"/>
          <w:b/>
          <w:bCs/>
          <w:color w:val="auto"/>
          <w:highlight w:val="none"/>
          <w:lang w:val="en-US" w:eastAsia="zh-CN"/>
        </w:rPr>
        <w:t>综上，该项指标满分3分，得分3分。</w:t>
      </w:r>
    </w:p>
    <w:p w14:paraId="29A559F7">
      <w:pPr>
        <w:shd w:val="clea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14:paraId="57158B18">
      <w:pPr>
        <w:shd w:val="clear"/>
        <w:bidi w:val="0"/>
        <w:rPr>
          <w:rFonts w:hint="eastAsia"/>
          <w:color w:val="auto"/>
          <w:highlight w:val="none"/>
          <w:lang w:val="en-US" w:eastAsia="zh-CN"/>
        </w:rPr>
      </w:pPr>
      <w:r>
        <w:rPr>
          <w:rFonts w:hint="eastAsia"/>
          <w:color w:val="auto"/>
          <w:highlight w:val="none"/>
          <w:lang w:val="en-US" w:eastAsia="zh-CN"/>
        </w:rPr>
        <w:t>“项目建设成本”指标，预期目标值为≤1000万元，实际完成为1000项目完成及时率100%。实际完成率=（≤1000万元/≤1000万元）×100%=100%。</w:t>
      </w:r>
    </w:p>
    <w:p w14:paraId="25905602">
      <w:pPr>
        <w:shd w:val="clear"/>
        <w:bidi w:val="0"/>
        <w:rPr>
          <w:rFonts w:hint="eastAsia"/>
          <w:color w:val="auto"/>
          <w:highlight w:val="none"/>
          <w:lang w:val="en-US" w:eastAsia="zh-CN"/>
        </w:rPr>
      </w:pPr>
      <w:r>
        <w:rPr>
          <w:rFonts w:hint="eastAsia"/>
          <w:color w:val="auto"/>
          <w:highlight w:val="none"/>
          <w:lang w:val="en-US" w:eastAsia="zh-CN"/>
        </w:rPr>
        <w:t>“</w:t>
      </w:r>
      <w:r>
        <w:rPr>
          <w:rFonts w:hint="eastAsia" w:ascii="宋体" w:hAnsi="宋体" w:eastAsia="宋体" w:cs="宋体"/>
          <w:i w:val="0"/>
          <w:iCs w:val="0"/>
          <w:color w:val="auto"/>
          <w:kern w:val="0"/>
          <w:sz w:val="28"/>
          <w:szCs w:val="28"/>
          <w:highlight w:val="none"/>
          <w:u w:val="none"/>
          <w:lang w:val="en-US" w:eastAsia="zh-CN" w:bidi="ar"/>
        </w:rPr>
        <w:t>项目前期费与其他建设费用</w:t>
      </w:r>
      <w:r>
        <w:rPr>
          <w:rFonts w:hint="eastAsia"/>
          <w:color w:val="auto"/>
          <w:highlight w:val="none"/>
          <w:lang w:val="en-US" w:eastAsia="zh-CN"/>
        </w:rPr>
        <w:t>”指标，预期目标值为≤300万元，实际完成为11.57万元项目完成及时率100%。实际完成率=（11.57万元/≤300万元）×100%=3.85%。</w:t>
      </w:r>
    </w:p>
    <w:p w14:paraId="57B3383D">
      <w:pPr>
        <w:pStyle w:val="2"/>
        <w:shd w:val="clear"/>
        <w:jc w:val="left"/>
        <w:rPr>
          <w:rFonts w:hint="default" w:ascii="宋体" w:hAnsi="宋体" w:eastAsia="宋体" w:cs="宋体"/>
          <w:b w:val="0"/>
          <w:color w:val="auto"/>
          <w:kern w:val="2"/>
          <w:sz w:val="28"/>
          <w:szCs w:val="28"/>
          <w:highlight w:val="none"/>
          <w:lang w:val="en-US" w:eastAsia="zh-CN" w:bidi="ar-SA"/>
        </w:rPr>
      </w:pPr>
      <w:r>
        <w:rPr>
          <w:rFonts w:hint="eastAsia" w:ascii="宋体" w:hAnsi="宋体" w:eastAsia="宋体" w:cs="宋体"/>
          <w:b w:val="0"/>
          <w:color w:val="auto"/>
          <w:kern w:val="2"/>
          <w:sz w:val="28"/>
          <w:szCs w:val="28"/>
          <w:highlight w:val="none"/>
          <w:lang w:val="en-US" w:eastAsia="zh-CN" w:bidi="ar-SA"/>
        </w:rPr>
        <w:t>前期费招标金额小于预算金额，前期费未支付完成，已向财政申请拨付，待拨付。</w:t>
      </w:r>
    </w:p>
    <w:p w14:paraId="5808CFEC">
      <w:pPr>
        <w:shd w:val="clear"/>
        <w:bidi w:val="0"/>
        <w:rPr>
          <w:rFonts w:hint="eastAsia"/>
          <w:color w:val="auto"/>
          <w:highlight w:val="none"/>
          <w:lang w:eastAsia="zh-CN"/>
        </w:rPr>
      </w:pPr>
      <w:r>
        <w:rPr>
          <w:rFonts w:hint="eastAsia"/>
          <w:b/>
          <w:bCs/>
          <w:color w:val="auto"/>
          <w:highlight w:val="none"/>
          <w:lang w:val="en-US" w:eastAsia="zh-CN"/>
        </w:rPr>
        <w:t>综上，该项指标满分4分，得分2.07分。</w:t>
      </w:r>
    </w:p>
    <w:p w14:paraId="24B0B844">
      <w:pPr>
        <w:pStyle w:val="5"/>
        <w:pageBreakBefore w:val="0"/>
        <w:numPr>
          <w:ilvl w:val="0"/>
          <w:numId w:val="0"/>
        </w:numPr>
        <w:shd w:val="clea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4F21CDD7">
      <w:pPr>
        <w:pageBreakBefore w:val="0"/>
        <w:widowControl w:val="0"/>
        <w:shd w:val="clear"/>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cs="宋体"/>
          <w:color w:val="auto"/>
          <w:kern w:val="2"/>
          <w:highlight w:val="none"/>
          <w:u w:color="000000"/>
          <w:shd w:val="clear" w:color="auto" w:fill="auto"/>
          <w:lang w:val="en-US" w:eastAsia="zh-CN"/>
        </w:rPr>
        <w:t>项目</w:t>
      </w:r>
      <w:r>
        <w:rPr>
          <w:rFonts w:hint="eastAsia" w:cs="宋体"/>
          <w:color w:val="auto"/>
          <w:kern w:val="2"/>
          <w:highlight w:val="none"/>
          <w:u w:color="000000"/>
          <w:shd w:val="clear" w:color="auto" w:fill="auto"/>
          <w:lang w:val="zh-TW" w:eastAsia="zh-CN"/>
        </w:rPr>
        <w:t>效益</w:t>
      </w:r>
      <w:r>
        <w:rPr>
          <w:rFonts w:hint="eastAsia" w:ascii="宋体" w:hAnsi="宋体" w:eastAsia="宋体" w:cs="宋体"/>
          <w:color w:val="auto"/>
          <w:kern w:val="2"/>
          <w:highlight w:val="none"/>
          <w:u w:color="000000"/>
          <w:shd w:val="clear" w:color="auto" w:fill="auto"/>
          <w:lang w:val="zh-TW" w:eastAsia="zh-TW"/>
        </w:rPr>
        <w:t>指标由</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cs="宋体"/>
          <w:color w:val="auto"/>
          <w:kern w:val="2"/>
          <w:highlight w:val="none"/>
          <w:u w:color="000000"/>
          <w:shd w:val="clear" w:color="auto" w:fill="auto"/>
          <w:lang w:val="en-US" w:eastAsia="zh-CN"/>
        </w:rPr>
        <w:t>三</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0C34FDDE">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auto"/>
          <w:kern w:val="0"/>
          <w:sz w:val="28"/>
          <w:szCs w:val="28"/>
          <w:highlight w:val="none"/>
          <w:shd w:val="clear" w:color="auto" w:fill="auto"/>
          <w:lang w:val="en-US" w:eastAsia="zh-CN"/>
        </w:rPr>
      </w:pPr>
      <w:r>
        <w:rPr>
          <w:rFonts w:hint="eastAsia" w:ascii="宋体" w:hAnsi="宋体" w:eastAsia="宋体" w:cs="宋体"/>
          <w:b/>
          <w:bCs/>
          <w:color w:val="auto"/>
          <w:kern w:val="0"/>
          <w:sz w:val="28"/>
          <w:szCs w:val="28"/>
          <w:highlight w:val="none"/>
          <w:shd w:val="clear" w:color="auto" w:fill="auto"/>
          <w:lang w:val="zh-TW" w:eastAsia="zh-TW"/>
        </w:rPr>
        <w:t>表</w:t>
      </w:r>
      <w:r>
        <w:rPr>
          <w:rFonts w:hint="eastAsia" w:ascii="宋体" w:hAnsi="宋体" w:eastAsia="宋体" w:cs="宋体"/>
          <w:b/>
          <w:bCs/>
          <w:color w:val="auto"/>
          <w:kern w:val="0"/>
          <w:sz w:val="28"/>
          <w:szCs w:val="28"/>
          <w:highlight w:val="none"/>
          <w:shd w:val="clear" w:color="auto" w:fill="auto"/>
          <w:lang w:val="en-US" w:eastAsia="zh-CN"/>
        </w:rPr>
        <w:t>4-4项目效益</w:t>
      </w:r>
      <w:r>
        <w:rPr>
          <w:rFonts w:hint="eastAsia" w:ascii="宋体" w:hAnsi="宋体" w:eastAsia="宋体" w:cs="宋体"/>
          <w:b/>
          <w:bCs/>
          <w:color w:val="auto"/>
          <w:kern w:val="0"/>
          <w:sz w:val="28"/>
          <w:szCs w:val="28"/>
          <w:highlight w:val="none"/>
          <w:shd w:val="clear" w:color="auto" w:fill="auto"/>
          <w:lang w:val="zh-TW" w:eastAsia="zh-TW"/>
        </w:rPr>
        <w:t>指标及分值</w:t>
      </w:r>
      <w:r>
        <w:rPr>
          <w:rFonts w:hint="eastAsia" w:ascii="宋体" w:hAnsi="宋体" w:eastAsia="宋体" w:cs="宋体"/>
          <w:b/>
          <w:bCs/>
          <w:color w:val="auto"/>
          <w:kern w:val="0"/>
          <w:sz w:val="28"/>
          <w:szCs w:val="28"/>
          <w:highlight w:val="none"/>
          <w:shd w:val="clear" w:color="auto" w:fill="auto"/>
          <w:lang w:val="en-US" w:eastAsia="zh-CN"/>
        </w:rPr>
        <w:t>情况</w:t>
      </w:r>
    </w:p>
    <w:tbl>
      <w:tblPr>
        <w:tblStyle w:val="12"/>
        <w:tblW w:w="8372" w:type="dxa"/>
        <w:jc w:val="center"/>
        <w:shd w:val="clear" w:color="auto" w:fill="auto"/>
        <w:tblLayout w:type="fixed"/>
        <w:tblCellMar>
          <w:top w:w="0" w:type="dxa"/>
          <w:left w:w="0" w:type="dxa"/>
          <w:bottom w:w="0" w:type="dxa"/>
          <w:right w:w="0" w:type="dxa"/>
        </w:tblCellMar>
      </w:tblPr>
      <w:tblGrid>
        <w:gridCol w:w="685"/>
        <w:gridCol w:w="1600"/>
        <w:gridCol w:w="2869"/>
        <w:gridCol w:w="935"/>
        <w:gridCol w:w="580"/>
        <w:gridCol w:w="1050"/>
        <w:gridCol w:w="653"/>
      </w:tblGrid>
      <w:tr w14:paraId="70061EDD">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C8230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0CA8AC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60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39FC1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7E7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3EE9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66D61C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44B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28ADC4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91F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00DF19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A9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69F98D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2B1BD9C3">
        <w:tblPrEx>
          <w:shd w:val="clear" w:color="auto" w:fill="auto"/>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19D34D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600"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A743F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8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B54A8F0">
            <w:pPr>
              <w:keepNext w:val="0"/>
              <w:keepLines w:val="0"/>
              <w:widowControl/>
              <w:suppressLineNumbers w:val="0"/>
              <w:spacing w:line="240" w:lineRule="auto"/>
              <w:ind w:firstLine="400" w:firstLineChars="20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项目的实施还可提供新的社会就业机会，让乡村富余劳动力。</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4792">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基本改善</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F522B">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0FD6D">
            <w:pPr>
              <w:keepNext w:val="0"/>
              <w:keepLines w:val="0"/>
              <w:widowControl/>
              <w:suppressLineNumbers w:val="0"/>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3F33B">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r>
      <w:tr w14:paraId="673B01EE">
        <w:tblPrEx>
          <w:shd w:val="clear" w:color="auto" w:fill="auto"/>
          <w:tblCellMar>
            <w:top w:w="0" w:type="dxa"/>
            <w:left w:w="0" w:type="dxa"/>
            <w:bottom w:w="0" w:type="dxa"/>
            <w:right w:w="0" w:type="dxa"/>
          </w:tblCellMar>
        </w:tblPrEx>
        <w:trPr>
          <w:trHeight w:val="436" w:hRule="atLeast"/>
          <w:jc w:val="center"/>
        </w:trPr>
        <w:tc>
          <w:tcPr>
            <w:tcW w:w="685" w:type="dxa"/>
            <w:vMerge w:val="continue"/>
            <w:tcBorders>
              <w:left w:val="single" w:color="auto" w:sz="4" w:space="0"/>
              <w:bottom w:val="single" w:color="auto" w:sz="4" w:space="0"/>
              <w:right w:val="single" w:color="000000" w:sz="4" w:space="0"/>
            </w:tcBorders>
            <w:shd w:val="clear" w:color="auto" w:fill="auto"/>
            <w:tcMar>
              <w:top w:w="15" w:type="dxa"/>
              <w:left w:w="15" w:type="dxa"/>
              <w:right w:w="15" w:type="dxa"/>
            </w:tcMar>
            <w:vAlign w:val="center"/>
          </w:tcPr>
          <w:p w14:paraId="3A7026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600" w:type="dxa"/>
            <w:tcBorders>
              <w:top w:val="single" w:color="000000"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14:paraId="2178C2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生态效益指标</w:t>
            </w:r>
          </w:p>
        </w:tc>
        <w:tc>
          <w:tcPr>
            <w:tcW w:w="28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17FC29C">
            <w:pPr>
              <w:keepNext w:val="0"/>
              <w:keepLines w:val="0"/>
              <w:widowControl/>
              <w:suppressLineNumbers w:val="0"/>
              <w:spacing w:line="240" w:lineRule="auto"/>
              <w:ind w:firstLine="400" w:firstLineChars="20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项目建成将有利于进一步完善乡村周边基础设施建设，对人居环境改善发挥着重要作用。</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B3AE7">
            <w:pPr>
              <w:keepNext w:val="0"/>
              <w:keepLines w:val="0"/>
              <w:widowControl/>
              <w:suppressLineNumbers w:val="0"/>
              <w:spacing w:line="240" w:lineRule="auto"/>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基本改善</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498A8">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96C1">
            <w:pPr>
              <w:keepNext w:val="0"/>
              <w:keepLines w:val="0"/>
              <w:widowControl/>
              <w:suppressLineNumbers w:val="0"/>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0DE3E">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r>
      <w:tr w14:paraId="72777938">
        <w:tblPrEx>
          <w:shd w:val="clear" w:color="auto" w:fill="auto"/>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E0663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60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6E0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8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CA0B1">
            <w:pPr>
              <w:keepNext w:val="0"/>
              <w:keepLines w:val="0"/>
              <w:widowControl/>
              <w:suppressLineNumbers w:val="0"/>
              <w:spacing w:line="240" w:lineRule="auto"/>
              <w:ind w:firstLine="400" w:firstLineChars="200"/>
              <w:jc w:val="center"/>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周边百姓满意度</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96C79">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≥95%</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39870">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2BB6A">
            <w:pPr>
              <w:keepNext w:val="0"/>
              <w:keepLines w:val="0"/>
              <w:widowControl/>
              <w:suppressLineNumbers w:val="0"/>
              <w:spacing w:line="240" w:lineRule="auto"/>
              <w:ind w:firstLine="400" w:firstLineChars="2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95%</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7200B">
            <w:pPr>
              <w:keepNext w:val="0"/>
              <w:keepLines w:val="0"/>
              <w:widowControl/>
              <w:suppressLineNumbers w:val="0"/>
              <w:spacing w:line="240" w:lineRule="auto"/>
              <w:ind w:left="0" w:leftChars="0" w:firstLine="200" w:firstLineChars="10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auto"/>
                <w:kern w:val="0"/>
                <w:sz w:val="20"/>
                <w:szCs w:val="20"/>
                <w:highlight w:val="none"/>
                <w:u w:val="none"/>
                <w:lang w:val="en-US" w:eastAsia="zh-CN" w:bidi="ar"/>
              </w:rPr>
              <w:t>10</w:t>
            </w:r>
          </w:p>
        </w:tc>
      </w:tr>
      <w:tr w14:paraId="2C70A93E">
        <w:tblPrEx>
          <w:shd w:val="clear" w:color="auto" w:fill="auto"/>
          <w:tblCellMar>
            <w:top w:w="0" w:type="dxa"/>
            <w:left w:w="0" w:type="dxa"/>
            <w:bottom w:w="0" w:type="dxa"/>
            <w:right w:w="0" w:type="dxa"/>
          </w:tblCellMar>
        </w:tblPrEx>
        <w:trPr>
          <w:trHeight w:val="469" w:hRule="atLeast"/>
          <w:jc w:val="center"/>
        </w:trPr>
        <w:tc>
          <w:tcPr>
            <w:tcW w:w="60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053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合计</w:t>
            </w:r>
          </w:p>
        </w:tc>
        <w:tc>
          <w:tcPr>
            <w:tcW w:w="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834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96A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8C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704092E3">
      <w:pPr>
        <w:bidi w:val="0"/>
        <w:outlineLvl w:val="2"/>
        <w:rPr>
          <w:rFonts w:hint="eastAsia"/>
          <w:b/>
          <w:bCs/>
          <w:color w:val="auto"/>
          <w:highlight w:val="none"/>
          <w:lang w:val="en-US" w:eastAsia="zh-CN"/>
        </w:rPr>
      </w:pPr>
      <w:bookmarkStart w:id="75" w:name="_Toc27006"/>
      <w:r>
        <w:rPr>
          <w:rFonts w:hint="eastAsia"/>
          <w:b/>
          <w:bCs/>
          <w:color w:val="auto"/>
          <w:highlight w:val="none"/>
          <w:lang w:val="en-US" w:eastAsia="zh-CN"/>
        </w:rPr>
        <w:t>1.社会效益指标</w:t>
      </w:r>
      <w:bookmarkEnd w:id="75"/>
    </w:p>
    <w:p w14:paraId="6E7EAEB4">
      <w:pPr>
        <w:bidi w:val="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项目的实施还可提供新的社会就业机会，让乡村富余劳动力</w:t>
      </w:r>
      <w:r>
        <w:rPr>
          <w:rFonts w:hint="eastAsia" w:ascii="宋体" w:hAnsi="宋体" w:eastAsia="宋体" w:cs="宋体"/>
          <w:i w:val="0"/>
          <w:iCs w:val="0"/>
          <w:color w:val="auto"/>
          <w:kern w:val="0"/>
          <w:sz w:val="20"/>
          <w:szCs w:val="20"/>
          <w:highlight w:val="none"/>
          <w:u w:val="none"/>
          <w:lang w:val="en-US" w:eastAsia="zh-CN" w:bidi="ar"/>
        </w:rPr>
        <w:t>。</w:t>
      </w:r>
      <w:r>
        <w:rPr>
          <w:rFonts w:hint="eastAsia"/>
          <w:color w:val="auto"/>
          <w:highlight w:val="none"/>
          <w:lang w:val="en-US" w:eastAsia="zh-CN"/>
        </w:rPr>
        <w:t>”指标，预期目标值为基本改善。实际完成为100%</w:t>
      </w:r>
      <w:r>
        <w:rPr>
          <w:rFonts w:hint="eastAsia"/>
          <w:b/>
          <w:bCs/>
          <w:color w:val="auto"/>
          <w:highlight w:val="none"/>
          <w:lang w:val="en-US" w:eastAsia="zh-CN"/>
        </w:rPr>
        <w:t>综上，该项指标满分10分，得分10分。</w:t>
      </w:r>
    </w:p>
    <w:p w14:paraId="201C943B">
      <w:pPr>
        <w:bidi w:val="0"/>
        <w:outlineLvl w:val="2"/>
        <w:rPr>
          <w:rFonts w:hint="eastAsia"/>
          <w:color w:val="auto"/>
          <w:highlight w:val="none"/>
          <w:lang w:val="en-US" w:eastAsia="zh-CN"/>
        </w:rPr>
      </w:pPr>
      <w:bookmarkStart w:id="76" w:name="_Toc23106"/>
      <w:r>
        <w:rPr>
          <w:rFonts w:hint="eastAsia"/>
          <w:b/>
          <w:bCs/>
          <w:color w:val="auto"/>
          <w:highlight w:val="none"/>
          <w:lang w:val="en-US" w:eastAsia="zh-CN"/>
        </w:rPr>
        <w:t>2.生态效益指标</w:t>
      </w:r>
      <w:bookmarkEnd w:id="76"/>
    </w:p>
    <w:p w14:paraId="41D55A08">
      <w:pPr>
        <w:bidi w:val="0"/>
        <w:rPr>
          <w:rFonts w:hint="eastAsia"/>
          <w:color w:val="auto"/>
          <w:highlight w:val="none"/>
          <w:lang w:val="en-US" w:eastAsia="zh-CN"/>
        </w:rPr>
      </w:pPr>
      <w:r>
        <w:rPr>
          <w:rFonts w:hint="eastAsia"/>
          <w:color w:val="auto"/>
          <w:highlight w:val="none"/>
          <w:lang w:val="en-US" w:eastAsia="zh-CN"/>
        </w:rPr>
        <w:t>“项目建成将有利于进一步完善乡村周边基础设施建设，对人居环境改善发挥着重要作用。”指标，预期目标值为基本改善，实际完成为100%。</w:t>
      </w:r>
    </w:p>
    <w:p w14:paraId="471F5091">
      <w:pPr>
        <w:bidi w:val="0"/>
        <w:rPr>
          <w:rFonts w:hint="eastAsia"/>
          <w:color w:val="auto"/>
          <w:highlight w:val="none"/>
          <w:lang w:val="en-US" w:eastAsia="zh-CN"/>
        </w:rPr>
      </w:pPr>
      <w:r>
        <w:rPr>
          <w:rFonts w:hint="eastAsia"/>
          <w:b/>
          <w:bCs/>
          <w:color w:val="auto"/>
          <w:highlight w:val="none"/>
          <w:lang w:val="en-US" w:eastAsia="zh-CN"/>
        </w:rPr>
        <w:t>综上，该项指标满分10分，得分10分。</w:t>
      </w:r>
    </w:p>
    <w:p w14:paraId="0696320D">
      <w:pPr>
        <w:bidi w:val="0"/>
        <w:outlineLvl w:val="2"/>
        <w:rPr>
          <w:rFonts w:hint="eastAsia"/>
          <w:b/>
          <w:bCs/>
          <w:color w:val="auto"/>
          <w:highlight w:val="none"/>
          <w:lang w:val="en-US" w:eastAsia="zh-CN"/>
        </w:rPr>
      </w:pPr>
      <w:bookmarkStart w:id="77" w:name="_Toc3271"/>
      <w:r>
        <w:rPr>
          <w:rFonts w:hint="eastAsia"/>
          <w:b/>
          <w:bCs/>
          <w:color w:val="auto"/>
          <w:highlight w:val="none"/>
          <w:lang w:val="en-US" w:eastAsia="zh-CN"/>
        </w:rPr>
        <w:t>3.满意度指标</w:t>
      </w:r>
      <w:bookmarkEnd w:id="77"/>
    </w:p>
    <w:p w14:paraId="443EE760">
      <w:pPr>
        <w:bidi w:val="0"/>
        <w:rPr>
          <w:rFonts w:hint="eastAsia"/>
          <w:color w:val="auto"/>
          <w:highlight w:val="none"/>
          <w:lang w:val="en-US" w:eastAsia="zh-CN"/>
        </w:rPr>
      </w:pPr>
      <w:r>
        <w:rPr>
          <w:rFonts w:hint="eastAsia"/>
          <w:color w:val="auto"/>
          <w:highlight w:val="none"/>
          <w:lang w:val="en-US" w:eastAsia="zh-CN"/>
        </w:rPr>
        <w:t>“周边百姓满意度”指标，预期目标值为≥95%，实际完成为95%。</w:t>
      </w:r>
    </w:p>
    <w:p w14:paraId="0C58E483">
      <w:pPr>
        <w:bidi w:val="0"/>
        <w:rPr>
          <w:rFonts w:hint="eastAsia"/>
          <w:b/>
          <w:bCs/>
          <w:color w:val="auto"/>
          <w:highlight w:val="none"/>
          <w:lang w:val="en-US" w:eastAsia="zh-CN"/>
        </w:rPr>
      </w:pPr>
      <w:r>
        <w:rPr>
          <w:rFonts w:hint="eastAsia"/>
          <w:b/>
          <w:bCs/>
          <w:color w:val="auto"/>
          <w:highlight w:val="none"/>
          <w:lang w:val="en-US" w:eastAsia="zh-CN"/>
        </w:rPr>
        <w:t>综上，该项指标满分10分，得分10分。</w:t>
      </w:r>
    </w:p>
    <w:p w14:paraId="274AA904">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78" w:name="_Toc19962"/>
      <w:r>
        <w:rPr>
          <w:rFonts w:hint="eastAsia" w:ascii="宋体" w:hAnsi="宋体" w:eastAsia="宋体" w:cs="宋体"/>
          <w:b/>
          <w:bCs/>
          <w:color w:val="auto"/>
          <w:highlight w:val="none"/>
          <w:shd w:val="clear" w:color="auto" w:fill="auto"/>
          <w:lang w:val="en-US" w:eastAsia="zh-CN"/>
        </w:rPr>
        <w:t>五、预算执行进度与指标偏差</w:t>
      </w:r>
      <w:bookmarkEnd w:id="78"/>
    </w:p>
    <w:p w14:paraId="1C4FF122">
      <w:pPr>
        <w:pStyle w:val="7"/>
        <w:numPr>
          <w:ilvl w:val="0"/>
          <w:numId w:val="0"/>
        </w:numPr>
        <w:ind w:firstLine="560" w:firstLineChars="200"/>
        <w:rPr>
          <w:rFonts w:hint="default" w:ascii="宋体" w:hAnsi="宋体" w:eastAsia="宋体" w:cs="仿宋_GB2312"/>
          <w:color w:val="auto"/>
          <w:kern w:val="2"/>
          <w:sz w:val="28"/>
          <w:szCs w:val="28"/>
          <w:highlight w:val="none"/>
          <w:lang w:val="en-US" w:eastAsia="zh-CN" w:bidi="ar-SA"/>
        </w:rPr>
      </w:pPr>
      <w:r>
        <w:rPr>
          <w:rFonts w:hint="eastAsia" w:ascii="宋体" w:hAnsi="宋体" w:eastAsia="宋体" w:cs="仿宋_GB2312"/>
          <w:color w:val="auto"/>
          <w:kern w:val="2"/>
          <w:sz w:val="28"/>
          <w:szCs w:val="28"/>
          <w:highlight w:val="none"/>
          <w:lang w:val="en-US" w:eastAsia="zh-CN" w:bidi="ar-SA"/>
        </w:rPr>
        <w:t>该项目预算资金总额为</w:t>
      </w:r>
      <w:r>
        <w:rPr>
          <w:rFonts w:hint="eastAsia"/>
          <w:b/>
          <w:bCs/>
          <w:color w:val="auto"/>
          <w:highlight w:val="none"/>
          <w:lang w:val="en-US" w:eastAsia="zh-CN"/>
        </w:rPr>
        <w:t>1300</w:t>
      </w:r>
      <w:r>
        <w:rPr>
          <w:rFonts w:hint="eastAsia" w:cs="仿宋_GB2312"/>
          <w:color w:val="auto"/>
          <w:sz w:val="28"/>
          <w:szCs w:val="28"/>
          <w:highlight w:val="none"/>
          <w:lang w:val="en-US" w:eastAsia="zh-CN"/>
        </w:rPr>
        <w:t>万元</w:t>
      </w:r>
      <w:r>
        <w:rPr>
          <w:rFonts w:hint="eastAsia" w:ascii="宋体" w:hAnsi="宋体" w:eastAsia="宋体" w:cs="仿宋_GB2312"/>
          <w:color w:val="auto"/>
          <w:kern w:val="2"/>
          <w:sz w:val="28"/>
          <w:szCs w:val="28"/>
          <w:highlight w:val="none"/>
          <w:lang w:val="en-US" w:eastAsia="zh-CN" w:bidi="ar-SA"/>
        </w:rPr>
        <w:t>，</w:t>
      </w:r>
      <w:r>
        <w:rPr>
          <w:rFonts w:hint="eastAsia" w:cs="仿宋_GB2312"/>
          <w:color w:val="auto"/>
          <w:kern w:val="2"/>
          <w:sz w:val="28"/>
          <w:szCs w:val="28"/>
          <w:highlight w:val="none"/>
          <w:lang w:val="en-US" w:eastAsia="zh-CN" w:bidi="ar-SA"/>
        </w:rPr>
        <w:t>全年执行数为</w:t>
      </w:r>
      <w:r>
        <w:rPr>
          <w:rFonts w:hint="eastAsia"/>
          <w:b/>
          <w:bCs/>
          <w:color w:val="auto"/>
          <w:highlight w:val="none"/>
          <w:lang w:val="en-US" w:eastAsia="zh-CN"/>
        </w:rPr>
        <w:t>1011.57</w:t>
      </w:r>
      <w:r>
        <w:rPr>
          <w:rFonts w:hint="eastAsia" w:cs="仿宋_GB2312"/>
          <w:color w:val="auto"/>
          <w:sz w:val="28"/>
          <w:szCs w:val="28"/>
          <w:highlight w:val="none"/>
          <w:lang w:val="en-US" w:eastAsia="zh-CN"/>
        </w:rPr>
        <w:t>万元</w:t>
      </w:r>
      <w:r>
        <w:rPr>
          <w:rFonts w:hint="eastAsia" w:ascii="宋体" w:hAnsi="宋体" w:eastAsia="宋体" w:cs="仿宋_GB2312"/>
          <w:color w:val="auto"/>
          <w:kern w:val="2"/>
          <w:sz w:val="28"/>
          <w:szCs w:val="28"/>
          <w:highlight w:val="none"/>
          <w:lang w:val="en-US" w:eastAsia="zh-CN" w:bidi="ar-SA"/>
        </w:rPr>
        <w:t>，预算执行率为</w:t>
      </w:r>
      <w:r>
        <w:rPr>
          <w:rFonts w:hint="eastAsia"/>
          <w:b/>
          <w:bCs/>
          <w:color w:val="auto"/>
          <w:highlight w:val="none"/>
          <w:lang w:val="en-US" w:eastAsia="zh-CN"/>
        </w:rPr>
        <w:t>77.81</w:t>
      </w:r>
      <w:r>
        <w:rPr>
          <w:rFonts w:hint="eastAsia" w:cs="仿宋_GB2312"/>
          <w:color w:val="auto"/>
          <w:sz w:val="28"/>
          <w:szCs w:val="28"/>
          <w:highlight w:val="none"/>
          <w:lang w:val="en-US" w:eastAsia="zh-CN"/>
        </w:rPr>
        <w:t>%</w:t>
      </w:r>
      <w:r>
        <w:rPr>
          <w:rFonts w:hint="eastAsia" w:ascii="宋体" w:hAnsi="宋体" w:eastAsia="宋体" w:cs="仿宋_GB2312"/>
          <w:color w:val="auto"/>
          <w:kern w:val="2"/>
          <w:sz w:val="28"/>
          <w:szCs w:val="28"/>
          <w:highlight w:val="none"/>
          <w:lang w:val="en-US" w:eastAsia="zh-CN" w:bidi="ar-SA"/>
        </w:rPr>
        <w:t>，总体完成率为</w:t>
      </w:r>
      <w:r>
        <w:rPr>
          <w:rFonts w:hint="eastAsia"/>
          <w:b/>
          <w:bCs/>
          <w:color w:val="auto"/>
          <w:highlight w:val="none"/>
          <w:lang w:val="en-US" w:eastAsia="zh-CN"/>
        </w:rPr>
        <w:t xml:space="preserve">91.99 </w:t>
      </w:r>
      <w:r>
        <w:rPr>
          <w:rFonts w:hint="eastAsia" w:cs="仿宋_GB2312"/>
          <w:color w:val="auto"/>
          <w:sz w:val="28"/>
          <w:szCs w:val="28"/>
          <w:highlight w:val="none"/>
          <w:lang w:val="en-US" w:eastAsia="zh-CN"/>
        </w:rPr>
        <w:t>%。</w:t>
      </w:r>
      <w:r>
        <w:rPr>
          <w:rFonts w:hint="eastAsia" w:ascii="宋体" w:hAnsi="宋体" w:eastAsia="宋体" w:cs="仿宋_GB2312"/>
          <w:color w:val="auto"/>
          <w:kern w:val="2"/>
          <w:sz w:val="28"/>
          <w:szCs w:val="28"/>
          <w:highlight w:val="none"/>
          <w:lang w:val="en-US" w:eastAsia="zh-CN" w:bidi="ar-SA"/>
        </w:rPr>
        <w:t>预算执行率与总体完成率之间的偏差为</w:t>
      </w:r>
      <w:r>
        <w:rPr>
          <w:rFonts w:hint="eastAsia"/>
          <w:b/>
          <w:bCs/>
          <w:color w:val="auto"/>
          <w:highlight w:val="none"/>
          <w:lang w:val="en-US" w:eastAsia="zh-CN"/>
        </w:rPr>
        <w:t>14.17</w:t>
      </w:r>
      <w:r>
        <w:rPr>
          <w:rFonts w:hint="eastAsia" w:cs="仿宋_GB2312"/>
          <w:b/>
          <w:bCs/>
          <w:color w:val="auto"/>
          <w:sz w:val="28"/>
          <w:szCs w:val="28"/>
          <w:highlight w:val="none"/>
          <w:lang w:val="en-US" w:eastAsia="zh-CN"/>
        </w:rPr>
        <w:t>%</w:t>
      </w:r>
      <w:r>
        <w:rPr>
          <w:rFonts w:hint="eastAsia" w:ascii="宋体" w:hAnsi="宋体" w:eastAsia="宋体" w:cs="仿宋_GB2312"/>
          <w:color w:val="auto"/>
          <w:kern w:val="2"/>
          <w:sz w:val="28"/>
          <w:szCs w:val="28"/>
          <w:highlight w:val="none"/>
          <w:lang w:val="en-US" w:eastAsia="zh-CN" w:bidi="ar-SA"/>
        </w:rPr>
        <w:t>，总体完成率</w:t>
      </w:r>
      <w:r>
        <w:rPr>
          <w:rFonts w:hint="eastAsia" w:cs="仿宋_GB2312"/>
          <w:color w:val="auto"/>
          <w:kern w:val="2"/>
          <w:sz w:val="28"/>
          <w:szCs w:val="28"/>
          <w:highlight w:val="none"/>
          <w:lang w:val="en-US" w:eastAsia="zh-CN" w:bidi="ar-SA"/>
        </w:rPr>
        <w:t>低，存在偏差。</w:t>
      </w:r>
    </w:p>
    <w:p w14:paraId="798575EC">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宋体" w:hAnsi="宋体" w:eastAsia="宋体" w:cs="仿宋_GB2312"/>
          <w:color w:val="auto"/>
          <w:kern w:val="2"/>
          <w:sz w:val="28"/>
          <w:szCs w:val="28"/>
          <w:highlight w:val="none"/>
          <w:lang w:val="en-US" w:eastAsia="zh-CN" w:bidi="ar-SA"/>
        </w:rPr>
      </w:pPr>
      <w:bookmarkStart w:id="79" w:name="_Toc29934"/>
      <w:r>
        <w:rPr>
          <w:rFonts w:hint="eastAsia" w:cs="仿宋_GB2312"/>
          <w:color w:val="auto"/>
          <w:sz w:val="28"/>
          <w:szCs w:val="28"/>
          <w:highlight w:val="none"/>
          <w:lang w:val="en-US" w:eastAsia="zh-CN"/>
        </w:rPr>
        <w:t>存在偏差情况的原因是：</w:t>
      </w:r>
      <w:r>
        <w:rPr>
          <w:rFonts w:hint="eastAsia" w:ascii="宋体" w:hAnsi="宋体" w:eastAsia="宋体" w:cs="仿宋_GB2312"/>
          <w:color w:val="auto"/>
          <w:kern w:val="2"/>
          <w:sz w:val="28"/>
          <w:szCs w:val="28"/>
          <w:highlight w:val="none"/>
          <w:lang w:val="en-US" w:eastAsia="zh-CN" w:bidi="ar-SA"/>
        </w:rPr>
        <w:t>前期费招标金额小于预算金额，前期费未支付完成，已向财政申请拨付，待拨付。</w:t>
      </w:r>
    </w:p>
    <w:p w14:paraId="05A5BD19">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六、主要经验及做法、存在的问题及原因分析</w:t>
      </w:r>
      <w:bookmarkEnd w:id="79"/>
    </w:p>
    <w:p w14:paraId="51F58E41">
      <w:pPr>
        <w:numPr>
          <w:ilvl w:val="0"/>
          <w:numId w:val="0"/>
        </w:numPr>
        <w:bidi w:val="0"/>
        <w:ind w:left="560" w:leftChars="0"/>
        <w:outlineLvl w:val="1"/>
        <w:rPr>
          <w:rFonts w:hint="eastAsia"/>
          <w:b/>
          <w:bCs/>
          <w:color w:val="auto"/>
          <w:highlight w:val="none"/>
          <w:lang w:eastAsia="zh-CN"/>
        </w:rPr>
      </w:pPr>
      <w:bookmarkStart w:id="80" w:name="_Toc13160"/>
      <w:bookmarkStart w:id="81" w:name="_Toc1921"/>
      <w:bookmarkStart w:id="82" w:name="_Toc28290"/>
      <w:r>
        <w:rPr>
          <w:rFonts w:hint="eastAsia"/>
          <w:b/>
          <w:bCs/>
          <w:color w:val="auto"/>
          <w:highlight w:val="none"/>
          <w:lang w:eastAsia="zh-CN"/>
        </w:rPr>
        <w:t>（</w:t>
      </w:r>
      <w:r>
        <w:rPr>
          <w:rFonts w:hint="eastAsia"/>
          <w:b/>
          <w:bCs/>
          <w:color w:val="auto"/>
          <w:highlight w:val="none"/>
          <w:lang w:val="en-US" w:eastAsia="zh-CN"/>
        </w:rPr>
        <w:t>一</w:t>
      </w:r>
      <w:r>
        <w:rPr>
          <w:rFonts w:hint="eastAsia"/>
          <w:b/>
          <w:bCs/>
          <w:color w:val="auto"/>
          <w:highlight w:val="none"/>
          <w:lang w:eastAsia="zh-CN"/>
        </w:rPr>
        <w:t>）</w:t>
      </w:r>
      <w:r>
        <w:rPr>
          <w:rFonts w:hint="eastAsia"/>
          <w:b/>
          <w:bCs/>
          <w:color w:val="auto"/>
          <w:highlight w:val="none"/>
        </w:rPr>
        <w:t>主要经验及做法</w:t>
      </w:r>
      <w:bookmarkEnd w:id="80"/>
    </w:p>
    <w:p w14:paraId="2377662B">
      <w:pPr>
        <w:bidi w:val="0"/>
        <w:rPr>
          <w:rFonts w:hint="eastAsia"/>
          <w:color w:val="auto"/>
          <w:highlight w:val="none"/>
          <w:lang w:eastAsia="zh-CN"/>
        </w:rPr>
      </w:pPr>
      <w:r>
        <w:rPr>
          <w:rFonts w:hint="eastAsia"/>
          <w:color w:val="auto"/>
          <w:highlight w:val="none"/>
          <w:lang w:val="en-US" w:eastAsia="zh-CN"/>
        </w:rPr>
        <w:t>昌吉州昌吉州阜康市生态屏障基础设施建设项目</w:t>
      </w:r>
      <w:r>
        <w:rPr>
          <w:rFonts w:hint="eastAsia"/>
          <w:color w:val="auto"/>
          <w:highlight w:val="none"/>
          <w:lang w:eastAsia="zh-CN"/>
        </w:rPr>
        <w:t>20</w:t>
      </w:r>
      <w:r>
        <w:rPr>
          <w:rFonts w:hint="eastAsia"/>
          <w:color w:val="auto"/>
          <w:highlight w:val="none"/>
          <w:lang w:val="en-US" w:eastAsia="zh-CN"/>
        </w:rPr>
        <w:t>23</w:t>
      </w:r>
      <w:r>
        <w:rPr>
          <w:rFonts w:hint="eastAsia"/>
          <w:color w:val="auto"/>
          <w:highlight w:val="none"/>
          <w:lang w:eastAsia="zh-CN"/>
        </w:rPr>
        <w:t>年预算</w:t>
      </w:r>
      <w:r>
        <w:rPr>
          <w:rFonts w:hint="eastAsia"/>
          <w:color w:val="auto"/>
          <w:highlight w:val="none"/>
          <w:lang w:val="en-US" w:eastAsia="zh-CN"/>
        </w:rPr>
        <w:t>数</w:t>
      </w:r>
      <w:r>
        <w:rPr>
          <w:rFonts w:hint="eastAsia"/>
          <w:color w:val="auto"/>
          <w:highlight w:val="none"/>
          <w:lang w:eastAsia="zh-CN"/>
        </w:rPr>
        <w:t>为</w:t>
      </w:r>
      <w:r>
        <w:rPr>
          <w:rFonts w:hint="eastAsia"/>
          <w:color w:val="auto"/>
          <w:highlight w:val="none"/>
          <w:lang w:val="en-US" w:eastAsia="zh-CN"/>
        </w:rPr>
        <w:t>1300</w:t>
      </w:r>
      <w:r>
        <w:rPr>
          <w:rFonts w:hint="eastAsia"/>
          <w:color w:val="auto"/>
          <w:highlight w:val="none"/>
          <w:lang w:eastAsia="zh-CN"/>
        </w:rPr>
        <w:t>万元，</w:t>
      </w:r>
      <w:r>
        <w:rPr>
          <w:rFonts w:hint="eastAsia"/>
          <w:color w:val="auto"/>
          <w:highlight w:val="none"/>
          <w:lang w:val="en-US" w:eastAsia="zh-CN"/>
        </w:rPr>
        <w:t>截至2023年12月31日共</w:t>
      </w:r>
      <w:r>
        <w:rPr>
          <w:rFonts w:hint="eastAsia"/>
          <w:color w:val="auto"/>
          <w:highlight w:val="none"/>
          <w:lang w:eastAsia="zh-CN"/>
        </w:rPr>
        <w:t>支出</w:t>
      </w:r>
      <w:r>
        <w:rPr>
          <w:rFonts w:hint="eastAsia"/>
          <w:color w:val="auto"/>
          <w:highlight w:val="none"/>
          <w:lang w:val="en-US" w:eastAsia="zh-CN"/>
        </w:rPr>
        <w:t>1011.57</w:t>
      </w:r>
      <w:r>
        <w:rPr>
          <w:rFonts w:hint="eastAsia"/>
          <w:color w:val="auto"/>
          <w:highlight w:val="none"/>
          <w:lang w:eastAsia="zh-CN"/>
        </w:rPr>
        <w:t>万元，预算</w:t>
      </w:r>
      <w:r>
        <w:rPr>
          <w:rFonts w:hint="eastAsia"/>
          <w:color w:val="auto"/>
          <w:highlight w:val="none"/>
          <w:lang w:val="en-US" w:eastAsia="zh-CN"/>
        </w:rPr>
        <w:t>执行</w:t>
      </w:r>
      <w:r>
        <w:rPr>
          <w:rFonts w:hint="eastAsia"/>
          <w:color w:val="auto"/>
          <w:highlight w:val="none"/>
          <w:lang w:eastAsia="zh-CN"/>
        </w:rPr>
        <w:t>率为</w:t>
      </w:r>
      <w:r>
        <w:rPr>
          <w:rFonts w:hint="eastAsia"/>
          <w:color w:val="auto"/>
          <w:highlight w:val="none"/>
          <w:lang w:val="en-US" w:eastAsia="zh-CN"/>
        </w:rPr>
        <w:t>77.81</w:t>
      </w:r>
      <w:r>
        <w:rPr>
          <w:rFonts w:hint="eastAsia"/>
          <w:color w:val="auto"/>
          <w:highlight w:val="none"/>
          <w:lang w:eastAsia="zh-CN"/>
        </w:rPr>
        <w:t>%。</w:t>
      </w:r>
    </w:p>
    <w:p w14:paraId="370CF11B">
      <w:pPr>
        <w:bidi w:val="0"/>
        <w:rPr>
          <w:rFonts w:hint="eastAsia"/>
          <w:color w:val="auto"/>
          <w:highlight w:val="none"/>
          <w:lang w:eastAsia="zh-CN"/>
        </w:rPr>
      </w:pPr>
      <w:r>
        <w:rPr>
          <w:rFonts w:hint="eastAsia"/>
          <w:color w:val="auto"/>
          <w:highlight w:val="none"/>
          <w:lang w:val="en-US" w:eastAsia="zh-CN"/>
        </w:rPr>
        <w:t>阜康市</w:t>
      </w:r>
      <w:r>
        <w:rPr>
          <w:rFonts w:hint="eastAsia"/>
          <w:color w:val="auto"/>
          <w:highlight w:val="none"/>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highlight w:val="none"/>
          <w:lang w:val="en-US" w:eastAsia="zh-CN"/>
        </w:rPr>
        <w:t>林业和草原局单位</w:t>
      </w:r>
      <w:r>
        <w:rPr>
          <w:rFonts w:hint="eastAsia"/>
          <w:color w:val="auto"/>
          <w:highlight w:val="none"/>
          <w:lang w:eastAsia="zh-CN"/>
        </w:rPr>
        <w:t>事业发展中关系民生与稳定的项目，切实优化资源配置，提高了资金使用的效率和效果。</w:t>
      </w:r>
    </w:p>
    <w:bookmarkEnd w:id="81"/>
    <w:bookmarkEnd w:id="82"/>
    <w:p w14:paraId="15DB60A4">
      <w:pPr>
        <w:numPr>
          <w:ilvl w:val="0"/>
          <w:numId w:val="2"/>
        </w:numPr>
        <w:bidi w:val="0"/>
        <w:ind w:left="0" w:leftChars="0" w:firstLine="562" w:firstLineChars="200"/>
        <w:outlineLvl w:val="1"/>
        <w:rPr>
          <w:rFonts w:hint="eastAsia"/>
          <w:b/>
          <w:bCs/>
          <w:color w:val="auto"/>
          <w:highlight w:val="none"/>
        </w:rPr>
      </w:pPr>
      <w:bookmarkStart w:id="83" w:name="_Toc9582"/>
      <w:r>
        <w:rPr>
          <w:rFonts w:hint="eastAsia"/>
          <w:b/>
          <w:bCs/>
          <w:color w:val="auto"/>
          <w:highlight w:val="none"/>
        </w:rPr>
        <w:t>存在的问题及原因分析</w:t>
      </w:r>
      <w:bookmarkEnd w:id="83"/>
    </w:p>
    <w:p w14:paraId="33200B8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highlight w:val="none"/>
          <w:lang w:val="en-US" w:eastAsia="zh-CN"/>
        </w:rPr>
      </w:pPr>
      <w:r>
        <w:rPr>
          <w:rFonts w:hint="eastAsia"/>
          <w:color w:val="auto"/>
          <w:highlight w:val="none"/>
          <w:lang w:val="en-US" w:eastAsia="zh-CN"/>
        </w:rPr>
        <w:t>1.绩效目标及指标设定不规范，设立指标时未能更好的贴和项目实际情况从而导致指标值未能更好的体现项目全面的绩效目标。</w:t>
      </w:r>
    </w:p>
    <w:p w14:paraId="45D335F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color w:val="auto"/>
          <w:highlight w:val="none"/>
          <w:lang w:val="en-US" w:eastAsia="zh-CN"/>
        </w:rPr>
      </w:pPr>
      <w:r>
        <w:rPr>
          <w:rFonts w:hint="eastAsia"/>
          <w:color w:val="auto"/>
          <w:highlight w:val="none"/>
          <w:lang w:val="en-US" w:eastAsia="zh-CN"/>
        </w:rPr>
        <w:t>2.项目经济成本指标中项目前期费与其他建设费用完成率过低，主要原因是前期费招标金额小于预算金额，且前期费未支付完成。</w:t>
      </w:r>
    </w:p>
    <w:p w14:paraId="1470B9DB">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4" w:name="_Toc5230"/>
      <w:r>
        <w:rPr>
          <w:rFonts w:hint="eastAsia" w:ascii="宋体" w:hAnsi="宋体" w:eastAsia="宋体" w:cs="宋体"/>
          <w:b/>
          <w:bCs/>
          <w:color w:val="auto"/>
          <w:highlight w:val="none"/>
          <w:shd w:val="clear" w:color="auto" w:fill="auto"/>
          <w:lang w:val="en-US" w:eastAsia="zh-CN"/>
        </w:rPr>
        <w:t>七、有关建议</w:t>
      </w:r>
      <w:bookmarkEnd w:id="84"/>
    </w:p>
    <w:p w14:paraId="247DEC30">
      <w:pPr>
        <w:bidi w:val="0"/>
        <w:rPr>
          <w:rFonts w:hint="default"/>
          <w:color w:val="auto"/>
          <w:highlight w:val="none"/>
          <w:lang w:val="en-US" w:eastAsia="zh-CN"/>
        </w:rPr>
      </w:pPr>
      <w:bookmarkStart w:id="85" w:name="_Toc15618"/>
      <w:r>
        <w:rPr>
          <w:rFonts w:hint="eastAsia"/>
          <w:color w:val="auto"/>
          <w:highlight w:val="none"/>
          <w:lang w:val="en-US" w:eastAsia="zh-CN"/>
        </w:rPr>
        <w:t>1.合理设定绩效目标，提升预算绩效管理水平，下年度绩效目标申报市，按照实事的具体内容设置全面的绩效目标，合理设定具体绩效指标。</w:t>
      </w:r>
    </w:p>
    <w:p w14:paraId="4D73C99E">
      <w:pPr>
        <w:bidi w:val="0"/>
        <w:rPr>
          <w:rFonts w:hint="default"/>
          <w:color w:val="auto"/>
          <w:highlight w:val="none"/>
          <w:lang w:val="en-US" w:eastAsia="zh-CN"/>
        </w:rPr>
      </w:pPr>
      <w:r>
        <w:rPr>
          <w:rFonts w:hint="eastAsia"/>
          <w:color w:val="auto"/>
          <w:highlight w:val="none"/>
          <w:lang w:val="en-US" w:eastAsia="zh-CN"/>
        </w:rPr>
        <w:t>2.资金管理方面，继续按照资金管理制度，加强对资金的审核和管理，提高好预算执行的准确性。</w:t>
      </w:r>
    </w:p>
    <w:p w14:paraId="6776F11D">
      <w:pPr>
        <w:pStyle w:val="4"/>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八、其他需要说明的问题</w:t>
      </w:r>
      <w:bookmarkEnd w:id="85"/>
    </w:p>
    <w:p w14:paraId="7D6A4A4D">
      <w:pPr>
        <w:bidi w:val="0"/>
        <w:rPr>
          <w:rFonts w:hint="eastAsia" w:ascii="宋体" w:hAnsi="宋体" w:eastAsia="宋体" w:cs="宋体"/>
          <w:color w:val="auto"/>
          <w:highlight w:val="none"/>
          <w:lang w:val="en-US" w:eastAsia="zh-CN"/>
        </w:rPr>
        <w:sectPr>
          <w:footerReference r:id="rId5" w:type="default"/>
          <w:pgSz w:w="11906" w:h="16838"/>
          <w:pgMar w:top="1440" w:right="1800" w:bottom="1440" w:left="180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r>
        <w:rPr>
          <w:rFonts w:hint="eastAsia" w:ascii="宋体" w:hAnsi="宋体" w:eastAsia="宋体" w:cs="宋体"/>
          <w:color w:val="auto"/>
          <w:highlight w:val="none"/>
          <w:lang w:val="en-US" w:eastAsia="zh-CN"/>
        </w:rPr>
        <w:t>无其他需要说明的问</w:t>
      </w:r>
    </w:p>
    <w:p w14:paraId="4802B357">
      <w:pPr>
        <w:pStyle w:val="4"/>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yellow"/>
          <w:shd w:val="clear" w:color="auto" w:fill="auto"/>
          <w:lang w:val="en-US" w:eastAsia="zh-CN"/>
        </w:rPr>
      </w:pPr>
      <w:bookmarkStart w:id="86" w:name="_Toc11349"/>
      <w:r>
        <w:rPr>
          <w:rFonts w:hint="eastAsia" w:ascii="宋体" w:hAnsi="宋体" w:eastAsia="宋体" w:cs="宋体"/>
          <w:b/>
          <w:bCs/>
          <w:color w:val="auto"/>
          <w:highlight w:val="none"/>
          <w:shd w:val="clear" w:color="auto" w:fill="auto"/>
          <w:lang w:val="en-US" w:eastAsia="zh-CN"/>
        </w:rPr>
        <w:t>附件一、项目支出绩效自评表</w:t>
      </w:r>
      <w:bookmarkEnd w:id="86"/>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61"/>
        <w:gridCol w:w="661"/>
        <w:gridCol w:w="859"/>
        <w:gridCol w:w="1231"/>
        <w:gridCol w:w="1110"/>
        <w:gridCol w:w="869"/>
        <w:gridCol w:w="870"/>
        <w:gridCol w:w="943"/>
        <w:gridCol w:w="943"/>
        <w:gridCol w:w="1053"/>
        <w:gridCol w:w="1008"/>
        <w:gridCol w:w="1115"/>
        <w:gridCol w:w="1305"/>
        <w:gridCol w:w="1546"/>
      </w:tblGrid>
      <w:tr w14:paraId="3DAD4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0" w:hRule="atLeast"/>
        </w:trPr>
        <w:tc>
          <w:tcPr>
            <w:tcW w:w="14174" w:type="dxa"/>
            <w:gridSpan w:val="14"/>
            <w:tcBorders>
              <w:top w:val="nil"/>
              <w:left w:val="nil"/>
              <w:bottom w:val="nil"/>
              <w:right w:val="nil"/>
              <w:tl2br w:val="nil"/>
              <w:tr2bl w:val="nil"/>
            </w:tcBorders>
            <w:shd w:val="clear" w:color="auto" w:fill="auto"/>
            <w:vAlign w:val="center"/>
          </w:tcPr>
          <w:p w14:paraId="67291B6D">
            <w:pPr>
              <w:keepNext w:val="0"/>
              <w:keepLines w:val="0"/>
              <w:widowControl/>
              <w:suppressLineNumbers w:val="0"/>
              <w:ind w:firstLine="801" w:firstLineChars="200"/>
              <w:jc w:val="center"/>
              <w:textAlignment w:val="center"/>
              <w:rPr>
                <w:rFonts w:ascii="华文中宋" w:hAnsi="华文中宋" w:eastAsia="华文中宋" w:cs="华文中宋"/>
                <w:b/>
                <w:bCs/>
                <w:i w:val="0"/>
                <w:iCs w:val="0"/>
                <w:color w:val="000000"/>
                <w:sz w:val="40"/>
                <w:szCs w:val="40"/>
                <w:u w:val="none"/>
              </w:rPr>
            </w:pPr>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69848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4174" w:type="dxa"/>
            <w:gridSpan w:val="14"/>
            <w:tcBorders>
              <w:top w:val="nil"/>
              <w:left w:val="nil"/>
              <w:bottom w:val="single" w:color="auto" w:sz="4" w:space="0"/>
              <w:right w:val="nil"/>
              <w:tl2br w:val="nil"/>
              <w:tr2bl w:val="nil"/>
            </w:tcBorders>
            <w:shd w:val="clear" w:color="auto" w:fill="auto"/>
            <w:vAlign w:val="center"/>
          </w:tcPr>
          <w:p w14:paraId="4E9E42C1">
            <w:pPr>
              <w:keepNext w:val="0"/>
              <w:keepLines w:val="0"/>
              <w:widowControl/>
              <w:suppressLineNumbers w:val="0"/>
              <w:ind w:firstLine="442" w:firstLineChars="20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79862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22" w:type="dxa"/>
            <w:gridSpan w:val="2"/>
            <w:tcBorders>
              <w:top w:val="single" w:color="auto" w:sz="4" w:space="0"/>
              <w:tl2br w:val="nil"/>
              <w:tr2bl w:val="nil"/>
            </w:tcBorders>
            <w:shd w:val="clear" w:color="auto" w:fill="auto"/>
            <w:vAlign w:val="center"/>
          </w:tcPr>
          <w:p w14:paraId="6AFC49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52" w:type="dxa"/>
            <w:gridSpan w:val="12"/>
            <w:tcBorders>
              <w:top w:val="single" w:color="auto" w:sz="4" w:space="0"/>
              <w:tl2br w:val="nil"/>
              <w:tr2bl w:val="nil"/>
            </w:tcBorders>
            <w:shd w:val="clear" w:color="auto" w:fill="auto"/>
            <w:vAlign w:val="center"/>
          </w:tcPr>
          <w:p w14:paraId="1FD974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昌吉州阜康市生态屏障基础设施建设项目 </w:t>
            </w:r>
          </w:p>
        </w:tc>
      </w:tr>
      <w:tr w14:paraId="2C46C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22" w:type="dxa"/>
            <w:gridSpan w:val="2"/>
            <w:tcBorders>
              <w:tl2br w:val="nil"/>
              <w:tr2bl w:val="nil"/>
            </w:tcBorders>
            <w:shd w:val="clear" w:color="auto" w:fill="auto"/>
            <w:vAlign w:val="center"/>
          </w:tcPr>
          <w:p w14:paraId="363A985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39" w:type="dxa"/>
            <w:gridSpan w:val="5"/>
            <w:tcBorders>
              <w:tl2br w:val="nil"/>
              <w:tr2bl w:val="nil"/>
            </w:tcBorders>
            <w:shd w:val="clear" w:color="auto" w:fill="auto"/>
            <w:vAlign w:val="center"/>
          </w:tcPr>
          <w:p w14:paraId="0946CD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阜康市农业农村局</w:t>
            </w:r>
          </w:p>
        </w:tc>
        <w:tc>
          <w:tcPr>
            <w:tcW w:w="1886" w:type="dxa"/>
            <w:gridSpan w:val="2"/>
            <w:tcBorders>
              <w:tl2br w:val="nil"/>
              <w:tr2bl w:val="nil"/>
            </w:tcBorders>
            <w:shd w:val="clear" w:color="auto" w:fill="auto"/>
            <w:vAlign w:val="center"/>
          </w:tcPr>
          <w:p w14:paraId="5730A42C">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实施单位</w:t>
            </w:r>
          </w:p>
        </w:tc>
        <w:tc>
          <w:tcPr>
            <w:tcW w:w="6027" w:type="dxa"/>
            <w:gridSpan w:val="5"/>
            <w:tcBorders>
              <w:tl2br w:val="nil"/>
              <w:tr2bl w:val="nil"/>
            </w:tcBorders>
            <w:shd w:val="clear" w:color="auto" w:fill="auto"/>
            <w:vAlign w:val="center"/>
          </w:tcPr>
          <w:p w14:paraId="59FE02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阜康市林业和草原局</w:t>
            </w:r>
          </w:p>
        </w:tc>
      </w:tr>
      <w:tr w14:paraId="190FA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22" w:type="dxa"/>
            <w:gridSpan w:val="2"/>
            <w:vMerge w:val="restart"/>
            <w:tcBorders>
              <w:tl2br w:val="nil"/>
              <w:tr2bl w:val="nil"/>
            </w:tcBorders>
            <w:shd w:val="clear" w:color="auto" w:fill="auto"/>
            <w:vAlign w:val="center"/>
          </w:tcPr>
          <w:p w14:paraId="2F18AE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090" w:type="dxa"/>
            <w:gridSpan w:val="2"/>
            <w:tcBorders>
              <w:tl2br w:val="nil"/>
              <w:tr2bl w:val="nil"/>
            </w:tcBorders>
            <w:shd w:val="clear" w:color="auto" w:fill="auto"/>
            <w:vAlign w:val="center"/>
          </w:tcPr>
          <w:p w14:paraId="0FDE3F8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10" w:type="dxa"/>
            <w:tcBorders>
              <w:tl2br w:val="nil"/>
              <w:tr2bl w:val="nil"/>
            </w:tcBorders>
            <w:shd w:val="clear" w:color="auto" w:fill="auto"/>
            <w:vAlign w:val="center"/>
          </w:tcPr>
          <w:p w14:paraId="3210A8A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39" w:type="dxa"/>
            <w:gridSpan w:val="2"/>
            <w:tcBorders>
              <w:tl2br w:val="nil"/>
              <w:tr2bl w:val="nil"/>
            </w:tcBorders>
            <w:shd w:val="clear" w:color="auto" w:fill="auto"/>
            <w:vAlign w:val="center"/>
          </w:tcPr>
          <w:p w14:paraId="4E8164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886" w:type="dxa"/>
            <w:gridSpan w:val="2"/>
            <w:tcBorders>
              <w:tl2br w:val="nil"/>
              <w:tr2bl w:val="nil"/>
            </w:tcBorders>
            <w:shd w:val="clear" w:color="auto" w:fill="auto"/>
            <w:vAlign w:val="center"/>
          </w:tcPr>
          <w:p w14:paraId="5EAA599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全年执行数</w:t>
            </w:r>
          </w:p>
        </w:tc>
        <w:tc>
          <w:tcPr>
            <w:tcW w:w="2061" w:type="dxa"/>
            <w:gridSpan w:val="2"/>
            <w:tcBorders>
              <w:tl2br w:val="nil"/>
              <w:tr2bl w:val="nil"/>
            </w:tcBorders>
            <w:shd w:val="clear" w:color="auto" w:fill="auto"/>
            <w:vAlign w:val="center"/>
          </w:tcPr>
          <w:p w14:paraId="655FC04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420" w:type="dxa"/>
            <w:gridSpan w:val="2"/>
            <w:tcBorders>
              <w:tl2br w:val="nil"/>
              <w:tr2bl w:val="nil"/>
            </w:tcBorders>
            <w:shd w:val="clear" w:color="auto" w:fill="auto"/>
            <w:vAlign w:val="center"/>
          </w:tcPr>
          <w:p w14:paraId="020F4FE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546" w:type="dxa"/>
            <w:tcBorders>
              <w:tl2br w:val="nil"/>
              <w:tr2bl w:val="nil"/>
            </w:tcBorders>
            <w:shd w:val="clear" w:color="auto" w:fill="auto"/>
            <w:vAlign w:val="center"/>
          </w:tcPr>
          <w:p w14:paraId="17D7FEF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0A9DE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1322" w:type="dxa"/>
            <w:gridSpan w:val="2"/>
            <w:vMerge w:val="continue"/>
            <w:tcBorders>
              <w:tl2br w:val="nil"/>
              <w:tr2bl w:val="nil"/>
            </w:tcBorders>
            <w:shd w:val="clear" w:color="auto" w:fill="auto"/>
            <w:vAlign w:val="center"/>
          </w:tcPr>
          <w:p w14:paraId="323DEF9A">
            <w:pPr>
              <w:jc w:val="center"/>
              <w:rPr>
                <w:rFonts w:hint="eastAsia" w:ascii="宋体" w:hAnsi="宋体" w:eastAsia="宋体" w:cs="宋体"/>
                <w:i w:val="0"/>
                <w:iCs w:val="0"/>
                <w:color w:val="000000"/>
                <w:sz w:val="20"/>
                <w:szCs w:val="20"/>
                <w:u w:val="none"/>
              </w:rPr>
            </w:pPr>
          </w:p>
        </w:tc>
        <w:tc>
          <w:tcPr>
            <w:tcW w:w="2090" w:type="dxa"/>
            <w:gridSpan w:val="2"/>
            <w:tcBorders>
              <w:tl2br w:val="nil"/>
              <w:tr2bl w:val="nil"/>
            </w:tcBorders>
            <w:shd w:val="clear" w:color="auto" w:fill="auto"/>
            <w:vAlign w:val="center"/>
          </w:tcPr>
          <w:p w14:paraId="6B628D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10" w:type="dxa"/>
            <w:tcBorders>
              <w:tl2br w:val="nil"/>
              <w:tr2bl w:val="nil"/>
            </w:tcBorders>
            <w:shd w:val="clear" w:color="auto" w:fill="auto"/>
            <w:vAlign w:val="center"/>
          </w:tcPr>
          <w:p w14:paraId="1308A5B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1300.00 </w:t>
            </w:r>
          </w:p>
        </w:tc>
        <w:tc>
          <w:tcPr>
            <w:tcW w:w="1739" w:type="dxa"/>
            <w:gridSpan w:val="2"/>
            <w:tcBorders>
              <w:tl2br w:val="nil"/>
              <w:tr2bl w:val="nil"/>
            </w:tcBorders>
            <w:shd w:val="clear" w:color="auto" w:fill="auto"/>
            <w:vAlign w:val="center"/>
          </w:tcPr>
          <w:p w14:paraId="62EE3D4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1300.00 </w:t>
            </w:r>
          </w:p>
        </w:tc>
        <w:tc>
          <w:tcPr>
            <w:tcW w:w="1886" w:type="dxa"/>
            <w:gridSpan w:val="2"/>
            <w:tcBorders>
              <w:tl2br w:val="nil"/>
              <w:tr2bl w:val="nil"/>
            </w:tcBorders>
            <w:shd w:val="clear" w:color="auto" w:fill="auto"/>
            <w:vAlign w:val="center"/>
          </w:tcPr>
          <w:p w14:paraId="0DBD9C5C">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1011.57 </w:t>
            </w:r>
          </w:p>
        </w:tc>
        <w:tc>
          <w:tcPr>
            <w:tcW w:w="2061" w:type="dxa"/>
            <w:gridSpan w:val="2"/>
            <w:tcBorders>
              <w:tl2br w:val="nil"/>
              <w:tr2bl w:val="nil"/>
            </w:tcBorders>
            <w:shd w:val="clear" w:color="auto" w:fill="auto"/>
            <w:vAlign w:val="center"/>
          </w:tcPr>
          <w:p w14:paraId="03A9A0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420" w:type="dxa"/>
            <w:gridSpan w:val="2"/>
            <w:tcBorders>
              <w:tl2br w:val="nil"/>
              <w:tr2bl w:val="nil"/>
            </w:tcBorders>
            <w:shd w:val="clear" w:color="auto" w:fill="auto"/>
            <w:vAlign w:val="center"/>
          </w:tcPr>
          <w:p w14:paraId="0A4F6C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77.81%</w:t>
            </w:r>
          </w:p>
        </w:tc>
        <w:tc>
          <w:tcPr>
            <w:tcW w:w="1546" w:type="dxa"/>
            <w:tcBorders>
              <w:tl2br w:val="nil"/>
              <w:tr2bl w:val="nil"/>
            </w:tcBorders>
            <w:shd w:val="clear" w:color="auto" w:fill="auto"/>
            <w:vAlign w:val="center"/>
          </w:tcPr>
          <w:p w14:paraId="779D364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4.45 </w:t>
            </w:r>
          </w:p>
        </w:tc>
      </w:tr>
      <w:tr w14:paraId="508CF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 w:hRule="atLeast"/>
        </w:trPr>
        <w:tc>
          <w:tcPr>
            <w:tcW w:w="1322" w:type="dxa"/>
            <w:gridSpan w:val="2"/>
            <w:vMerge w:val="continue"/>
            <w:tcBorders>
              <w:tl2br w:val="nil"/>
              <w:tr2bl w:val="nil"/>
            </w:tcBorders>
            <w:shd w:val="clear" w:color="auto" w:fill="auto"/>
            <w:vAlign w:val="center"/>
          </w:tcPr>
          <w:p w14:paraId="4AFF8376">
            <w:pPr>
              <w:jc w:val="center"/>
              <w:rPr>
                <w:rFonts w:hint="eastAsia" w:ascii="宋体" w:hAnsi="宋体" w:eastAsia="宋体" w:cs="宋体"/>
                <w:i w:val="0"/>
                <w:iCs w:val="0"/>
                <w:color w:val="000000"/>
                <w:sz w:val="20"/>
                <w:szCs w:val="20"/>
                <w:u w:val="none"/>
              </w:rPr>
            </w:pPr>
          </w:p>
        </w:tc>
        <w:tc>
          <w:tcPr>
            <w:tcW w:w="2090" w:type="dxa"/>
            <w:gridSpan w:val="2"/>
            <w:tcBorders>
              <w:tl2br w:val="nil"/>
              <w:tr2bl w:val="nil"/>
            </w:tcBorders>
            <w:shd w:val="clear" w:color="auto" w:fill="auto"/>
            <w:vAlign w:val="center"/>
          </w:tcPr>
          <w:p w14:paraId="6ADB02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10" w:type="dxa"/>
            <w:tcBorders>
              <w:tl2br w:val="nil"/>
              <w:tr2bl w:val="nil"/>
            </w:tcBorders>
            <w:shd w:val="clear" w:color="auto" w:fill="auto"/>
            <w:vAlign w:val="center"/>
          </w:tcPr>
          <w:p w14:paraId="5E25BB3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739" w:type="dxa"/>
            <w:gridSpan w:val="2"/>
            <w:tcBorders>
              <w:tl2br w:val="nil"/>
              <w:tr2bl w:val="nil"/>
            </w:tcBorders>
            <w:shd w:val="clear" w:color="auto" w:fill="auto"/>
            <w:vAlign w:val="center"/>
          </w:tcPr>
          <w:p w14:paraId="0C650D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886" w:type="dxa"/>
            <w:gridSpan w:val="2"/>
            <w:tcBorders>
              <w:tl2br w:val="nil"/>
              <w:tr2bl w:val="nil"/>
            </w:tcBorders>
            <w:shd w:val="clear" w:color="auto" w:fill="auto"/>
            <w:vAlign w:val="center"/>
          </w:tcPr>
          <w:p w14:paraId="65873834">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11.57 </w:t>
            </w:r>
          </w:p>
        </w:tc>
        <w:tc>
          <w:tcPr>
            <w:tcW w:w="2061" w:type="dxa"/>
            <w:gridSpan w:val="2"/>
            <w:tcBorders>
              <w:tl2br w:val="nil"/>
              <w:tr2bl w:val="nil"/>
            </w:tcBorders>
            <w:shd w:val="clear" w:color="auto" w:fill="auto"/>
            <w:vAlign w:val="center"/>
          </w:tcPr>
          <w:p w14:paraId="02918A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20" w:type="dxa"/>
            <w:gridSpan w:val="2"/>
            <w:tcBorders>
              <w:tl2br w:val="nil"/>
              <w:tr2bl w:val="nil"/>
            </w:tcBorders>
            <w:shd w:val="clear" w:color="auto" w:fill="auto"/>
            <w:vAlign w:val="center"/>
          </w:tcPr>
          <w:p w14:paraId="508CFB4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l2br w:val="nil"/>
              <w:tr2bl w:val="nil"/>
            </w:tcBorders>
            <w:shd w:val="clear" w:color="auto" w:fill="auto"/>
            <w:vAlign w:val="center"/>
          </w:tcPr>
          <w:p w14:paraId="2B550C6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79875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atLeast"/>
        </w:trPr>
        <w:tc>
          <w:tcPr>
            <w:tcW w:w="1322" w:type="dxa"/>
            <w:gridSpan w:val="2"/>
            <w:vMerge w:val="continue"/>
            <w:tcBorders>
              <w:tl2br w:val="nil"/>
              <w:tr2bl w:val="nil"/>
            </w:tcBorders>
            <w:shd w:val="clear" w:color="auto" w:fill="auto"/>
            <w:vAlign w:val="center"/>
          </w:tcPr>
          <w:p w14:paraId="5F0693B7">
            <w:pPr>
              <w:jc w:val="center"/>
              <w:rPr>
                <w:rFonts w:hint="eastAsia" w:ascii="宋体" w:hAnsi="宋体" w:eastAsia="宋体" w:cs="宋体"/>
                <w:i w:val="0"/>
                <w:iCs w:val="0"/>
                <w:color w:val="000000"/>
                <w:sz w:val="20"/>
                <w:szCs w:val="20"/>
                <w:u w:val="none"/>
              </w:rPr>
            </w:pPr>
          </w:p>
        </w:tc>
        <w:tc>
          <w:tcPr>
            <w:tcW w:w="2090" w:type="dxa"/>
            <w:gridSpan w:val="2"/>
            <w:tcBorders>
              <w:tl2br w:val="nil"/>
              <w:tr2bl w:val="nil"/>
            </w:tcBorders>
            <w:shd w:val="clear" w:color="auto" w:fill="auto"/>
            <w:vAlign w:val="center"/>
          </w:tcPr>
          <w:p w14:paraId="2E757A7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10" w:type="dxa"/>
            <w:tcBorders>
              <w:tl2br w:val="nil"/>
              <w:tr2bl w:val="nil"/>
            </w:tcBorders>
            <w:shd w:val="clear" w:color="auto" w:fill="auto"/>
            <w:vAlign w:val="center"/>
          </w:tcPr>
          <w:p w14:paraId="1FBDBFA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739" w:type="dxa"/>
            <w:gridSpan w:val="2"/>
            <w:tcBorders>
              <w:tl2br w:val="nil"/>
              <w:tr2bl w:val="nil"/>
            </w:tcBorders>
            <w:shd w:val="clear" w:color="auto" w:fill="auto"/>
            <w:vAlign w:val="center"/>
          </w:tcPr>
          <w:p w14:paraId="39C479E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c>
          <w:tcPr>
            <w:tcW w:w="1886" w:type="dxa"/>
            <w:gridSpan w:val="2"/>
            <w:tcBorders>
              <w:tl2br w:val="nil"/>
              <w:tr2bl w:val="nil"/>
            </w:tcBorders>
            <w:shd w:val="clear" w:color="auto" w:fill="auto"/>
            <w:vAlign w:val="center"/>
          </w:tcPr>
          <w:p w14:paraId="3995A5DE">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 xml:space="preserve">1000.00 </w:t>
            </w:r>
          </w:p>
        </w:tc>
        <w:tc>
          <w:tcPr>
            <w:tcW w:w="2061" w:type="dxa"/>
            <w:gridSpan w:val="2"/>
            <w:tcBorders>
              <w:tl2br w:val="nil"/>
              <w:tr2bl w:val="nil"/>
            </w:tcBorders>
            <w:shd w:val="clear" w:color="auto" w:fill="auto"/>
            <w:vAlign w:val="center"/>
          </w:tcPr>
          <w:p w14:paraId="78598C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420" w:type="dxa"/>
            <w:gridSpan w:val="2"/>
            <w:tcBorders>
              <w:tl2br w:val="nil"/>
              <w:tr2bl w:val="nil"/>
            </w:tcBorders>
            <w:shd w:val="clear" w:color="auto" w:fill="auto"/>
            <w:vAlign w:val="center"/>
          </w:tcPr>
          <w:p w14:paraId="1F095F2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l2br w:val="nil"/>
              <w:tr2bl w:val="nil"/>
            </w:tcBorders>
            <w:shd w:val="clear" w:color="auto" w:fill="auto"/>
            <w:vAlign w:val="center"/>
          </w:tcPr>
          <w:p w14:paraId="31036F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4CABC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661" w:type="dxa"/>
            <w:vMerge w:val="restart"/>
            <w:tcBorders>
              <w:tl2br w:val="nil"/>
              <w:tr2bl w:val="nil"/>
            </w:tcBorders>
            <w:shd w:val="clear" w:color="auto" w:fill="auto"/>
            <w:vAlign w:val="center"/>
          </w:tcPr>
          <w:p w14:paraId="65F3E05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486" w:type="dxa"/>
            <w:gridSpan w:val="8"/>
            <w:tcBorders>
              <w:tl2br w:val="nil"/>
              <w:tr2bl w:val="nil"/>
            </w:tcBorders>
            <w:shd w:val="clear" w:color="auto" w:fill="auto"/>
            <w:vAlign w:val="center"/>
          </w:tcPr>
          <w:p w14:paraId="6AF600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6027" w:type="dxa"/>
            <w:gridSpan w:val="5"/>
            <w:tcBorders>
              <w:tl2br w:val="nil"/>
              <w:tr2bl w:val="nil"/>
            </w:tcBorders>
            <w:shd w:val="clear" w:color="auto" w:fill="auto"/>
            <w:vAlign w:val="center"/>
          </w:tcPr>
          <w:p w14:paraId="4169F38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5671C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661" w:type="dxa"/>
            <w:vMerge w:val="continue"/>
            <w:tcBorders>
              <w:tl2br w:val="nil"/>
              <w:tr2bl w:val="nil"/>
            </w:tcBorders>
            <w:shd w:val="clear" w:color="auto" w:fill="auto"/>
            <w:vAlign w:val="center"/>
          </w:tcPr>
          <w:p w14:paraId="607F67A2">
            <w:pPr>
              <w:jc w:val="center"/>
              <w:rPr>
                <w:rFonts w:hint="eastAsia" w:ascii="宋体" w:hAnsi="宋体" w:eastAsia="宋体" w:cs="宋体"/>
                <w:i w:val="0"/>
                <w:iCs w:val="0"/>
                <w:color w:val="000000"/>
                <w:sz w:val="20"/>
                <w:szCs w:val="20"/>
                <w:u w:val="none"/>
              </w:rPr>
            </w:pPr>
          </w:p>
        </w:tc>
        <w:tc>
          <w:tcPr>
            <w:tcW w:w="7486" w:type="dxa"/>
            <w:gridSpan w:val="8"/>
            <w:tcBorders>
              <w:tl2br w:val="nil"/>
              <w:tr2bl w:val="nil"/>
            </w:tcBorders>
            <w:shd w:val="clear" w:color="auto" w:fill="auto"/>
            <w:vAlign w:val="center"/>
          </w:tcPr>
          <w:p w14:paraId="0EA3072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林业和草原局预计完成：1、城关镇龙王庙西村基础设施项目92635㎡；2、城关镇山坡村一期基础设施建设项目89611㎡；3、畜牧产业园区提升改造项目167400㎡；4、天山岔路口至滋泥泉子镇围栏项目50000米；5、东湾林场及新湖村管线项目6641米。项目建成将有利于进一步完善乡村周边基础设施建设，对人居环境改善发挥着重要作用，提供新的社会就业机会，让乡村富余劳动力，促进社会稳定。</w:t>
            </w:r>
          </w:p>
        </w:tc>
        <w:tc>
          <w:tcPr>
            <w:tcW w:w="6027" w:type="dxa"/>
            <w:gridSpan w:val="5"/>
            <w:tcBorders>
              <w:tl2br w:val="nil"/>
              <w:tr2bl w:val="nil"/>
            </w:tcBorders>
            <w:shd w:val="clear" w:color="auto" w:fill="auto"/>
            <w:vAlign w:val="center"/>
          </w:tcPr>
          <w:p w14:paraId="19688B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至2023年12月31日，本项目完成：1、城关镇龙王庙西村基础设施项目92635㎡；2、城关镇山坡村一期基础设施建设项目89611㎡；3、畜牧产业园区提升改造项目167400㎡；4、天山岔路口至滋泥泉子镇围栏项目50000米；5、东湾林场及新湖村管线项目6641米,达到完善乡村周边基础设施建设，改善人居环境，提供新的社会就业机会，让乡村富余劳动力，促进社会稳定的效益，满意度达95%。</w:t>
            </w:r>
          </w:p>
        </w:tc>
      </w:tr>
      <w:tr w14:paraId="4E666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661" w:type="dxa"/>
            <w:tcBorders>
              <w:tl2br w:val="nil"/>
              <w:tr2bl w:val="nil"/>
            </w:tcBorders>
            <w:shd w:val="clear" w:color="auto" w:fill="auto"/>
            <w:vAlign w:val="center"/>
          </w:tcPr>
          <w:p w14:paraId="57D0EAEF">
            <w:pPr>
              <w:jc w:val="center"/>
              <w:rPr>
                <w:rFonts w:hint="eastAsia" w:ascii="宋体" w:hAnsi="宋体" w:eastAsia="宋体" w:cs="宋体"/>
                <w:i w:val="0"/>
                <w:iCs w:val="0"/>
                <w:color w:val="000000"/>
                <w:sz w:val="20"/>
                <w:szCs w:val="20"/>
                <w:u w:val="none"/>
              </w:rPr>
            </w:pPr>
          </w:p>
        </w:tc>
        <w:tc>
          <w:tcPr>
            <w:tcW w:w="661" w:type="dxa"/>
            <w:tcBorders>
              <w:tl2br w:val="nil"/>
              <w:tr2bl w:val="nil"/>
            </w:tcBorders>
            <w:shd w:val="clear" w:color="auto" w:fill="auto"/>
            <w:vAlign w:val="center"/>
          </w:tcPr>
          <w:p w14:paraId="254876D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59" w:type="dxa"/>
            <w:tcBorders>
              <w:tl2br w:val="nil"/>
              <w:tr2bl w:val="nil"/>
            </w:tcBorders>
            <w:shd w:val="clear" w:color="auto" w:fill="auto"/>
            <w:vAlign w:val="center"/>
          </w:tcPr>
          <w:p w14:paraId="092A1B1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31" w:type="dxa"/>
            <w:tcBorders>
              <w:tl2br w:val="nil"/>
              <w:tr2bl w:val="nil"/>
            </w:tcBorders>
            <w:shd w:val="clear" w:color="auto" w:fill="auto"/>
            <w:vAlign w:val="center"/>
          </w:tcPr>
          <w:p w14:paraId="6C4C136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10" w:type="dxa"/>
            <w:tcBorders>
              <w:tl2br w:val="nil"/>
              <w:tr2bl w:val="nil"/>
            </w:tcBorders>
            <w:shd w:val="clear" w:color="auto" w:fill="auto"/>
            <w:vAlign w:val="center"/>
          </w:tcPr>
          <w:p w14:paraId="57C852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869" w:type="dxa"/>
            <w:tcBorders>
              <w:tl2br w:val="nil"/>
              <w:tr2bl w:val="nil"/>
            </w:tcBorders>
            <w:shd w:val="clear" w:color="auto" w:fill="auto"/>
            <w:vAlign w:val="center"/>
          </w:tcPr>
          <w:p w14:paraId="3964CA5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870" w:type="dxa"/>
            <w:tcBorders>
              <w:tl2br w:val="nil"/>
              <w:tr2bl w:val="nil"/>
            </w:tcBorders>
            <w:shd w:val="clear" w:color="auto" w:fill="auto"/>
            <w:vAlign w:val="center"/>
          </w:tcPr>
          <w:p w14:paraId="367E2683">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上年完成值</w:t>
            </w:r>
          </w:p>
        </w:tc>
        <w:tc>
          <w:tcPr>
            <w:tcW w:w="943" w:type="dxa"/>
            <w:tcBorders>
              <w:tl2br w:val="nil"/>
              <w:tr2bl w:val="nil"/>
            </w:tcBorders>
            <w:shd w:val="clear" w:color="auto" w:fill="auto"/>
            <w:vAlign w:val="center"/>
          </w:tcPr>
          <w:p w14:paraId="401DA5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43" w:type="dxa"/>
            <w:tcBorders>
              <w:tl2br w:val="nil"/>
              <w:tr2bl w:val="nil"/>
            </w:tcBorders>
            <w:shd w:val="clear" w:color="auto" w:fill="auto"/>
            <w:vAlign w:val="center"/>
          </w:tcPr>
          <w:p w14:paraId="13737B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053" w:type="dxa"/>
            <w:tcBorders>
              <w:tl2br w:val="nil"/>
              <w:tr2bl w:val="nil"/>
            </w:tcBorders>
            <w:shd w:val="clear" w:color="auto" w:fill="auto"/>
            <w:vAlign w:val="center"/>
          </w:tcPr>
          <w:p w14:paraId="09F4C3C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佐证资料</w:t>
            </w:r>
          </w:p>
        </w:tc>
        <w:tc>
          <w:tcPr>
            <w:tcW w:w="1008" w:type="dxa"/>
            <w:tcBorders>
              <w:tl2br w:val="nil"/>
              <w:tr2bl w:val="nil"/>
            </w:tcBorders>
            <w:shd w:val="clear" w:color="auto" w:fill="auto"/>
            <w:vAlign w:val="center"/>
          </w:tcPr>
          <w:p w14:paraId="70787B0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15" w:type="dxa"/>
            <w:tcBorders>
              <w:tl2br w:val="nil"/>
              <w:tr2bl w:val="nil"/>
            </w:tcBorders>
            <w:shd w:val="clear" w:color="auto" w:fill="auto"/>
            <w:vAlign w:val="center"/>
          </w:tcPr>
          <w:p w14:paraId="28F0D46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305" w:type="dxa"/>
            <w:tcBorders>
              <w:tl2br w:val="nil"/>
              <w:tr2bl w:val="nil"/>
            </w:tcBorders>
            <w:shd w:val="clear" w:color="auto" w:fill="auto"/>
            <w:vAlign w:val="center"/>
          </w:tcPr>
          <w:p w14:paraId="50D449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指标得分</w:t>
            </w:r>
          </w:p>
        </w:tc>
        <w:tc>
          <w:tcPr>
            <w:tcW w:w="1546" w:type="dxa"/>
            <w:tcBorders>
              <w:tl2br w:val="nil"/>
              <w:tr2bl w:val="nil"/>
            </w:tcBorders>
            <w:shd w:val="clear" w:color="auto" w:fill="auto"/>
            <w:vAlign w:val="center"/>
          </w:tcPr>
          <w:p w14:paraId="0DFF04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7DC7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61" w:type="dxa"/>
            <w:vMerge w:val="restart"/>
            <w:tcBorders>
              <w:tl2br w:val="nil"/>
              <w:tr2bl w:val="nil"/>
            </w:tcBorders>
            <w:shd w:val="clear" w:color="auto" w:fill="auto"/>
            <w:vAlign w:val="center"/>
          </w:tcPr>
          <w:p w14:paraId="47A664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61" w:type="dxa"/>
            <w:vMerge w:val="restart"/>
            <w:tcBorders>
              <w:tl2br w:val="nil"/>
              <w:tr2bl w:val="nil"/>
            </w:tcBorders>
            <w:shd w:val="clear" w:color="auto" w:fill="auto"/>
            <w:vAlign w:val="center"/>
          </w:tcPr>
          <w:p w14:paraId="0C049F8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59" w:type="dxa"/>
            <w:vMerge w:val="restart"/>
            <w:tcBorders>
              <w:tl2br w:val="nil"/>
              <w:tr2bl w:val="nil"/>
            </w:tcBorders>
            <w:shd w:val="clear" w:color="auto" w:fill="auto"/>
            <w:vAlign w:val="center"/>
          </w:tcPr>
          <w:p w14:paraId="0C4C60E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31" w:type="dxa"/>
            <w:tcBorders>
              <w:tl2br w:val="nil"/>
              <w:tr2bl w:val="nil"/>
            </w:tcBorders>
            <w:shd w:val="clear" w:color="auto" w:fill="auto"/>
            <w:vAlign w:val="center"/>
          </w:tcPr>
          <w:p w14:paraId="5ECEA8E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城关镇龙王庙西村基础设施建设面积</w:t>
            </w:r>
          </w:p>
        </w:tc>
        <w:tc>
          <w:tcPr>
            <w:tcW w:w="1110" w:type="dxa"/>
            <w:tcBorders>
              <w:tl2br w:val="nil"/>
              <w:tr2bl w:val="nil"/>
            </w:tcBorders>
            <w:shd w:val="clear" w:color="auto" w:fill="auto"/>
            <w:vAlign w:val="center"/>
          </w:tcPr>
          <w:p w14:paraId="401EB7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≥92635㎡</w:t>
            </w:r>
          </w:p>
        </w:tc>
        <w:tc>
          <w:tcPr>
            <w:tcW w:w="869" w:type="dxa"/>
            <w:tcBorders>
              <w:tl2br w:val="nil"/>
              <w:tr2bl w:val="nil"/>
            </w:tcBorders>
            <w:shd w:val="clear" w:color="auto" w:fill="auto"/>
            <w:vAlign w:val="center"/>
          </w:tcPr>
          <w:p w14:paraId="294ACE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51DA63ED">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60AE50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3" w:type="dxa"/>
            <w:tcBorders>
              <w:tl2br w:val="nil"/>
              <w:tr2bl w:val="nil"/>
            </w:tcBorders>
            <w:shd w:val="clear" w:color="auto" w:fill="auto"/>
            <w:vAlign w:val="center"/>
          </w:tcPr>
          <w:p w14:paraId="32E608A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2CC8586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4B2317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92635㎡</w:t>
            </w:r>
          </w:p>
        </w:tc>
        <w:tc>
          <w:tcPr>
            <w:tcW w:w="1115" w:type="dxa"/>
            <w:tcBorders>
              <w:tl2br w:val="nil"/>
              <w:tr2bl w:val="nil"/>
            </w:tcBorders>
            <w:shd w:val="clear" w:color="auto" w:fill="auto"/>
            <w:vAlign w:val="center"/>
          </w:tcPr>
          <w:p w14:paraId="3FCF603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78B0DF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6" w:type="dxa"/>
            <w:tcBorders>
              <w:tl2br w:val="nil"/>
              <w:tr2bl w:val="nil"/>
            </w:tcBorders>
            <w:shd w:val="clear" w:color="auto" w:fill="auto"/>
            <w:vAlign w:val="center"/>
          </w:tcPr>
          <w:p w14:paraId="77FA8699">
            <w:pPr>
              <w:jc w:val="center"/>
              <w:rPr>
                <w:rFonts w:hint="eastAsia" w:ascii="宋体" w:hAnsi="宋体" w:eastAsia="宋体" w:cs="宋体"/>
                <w:i w:val="0"/>
                <w:iCs w:val="0"/>
                <w:color w:val="000000"/>
                <w:sz w:val="20"/>
                <w:szCs w:val="20"/>
                <w:u w:val="none"/>
              </w:rPr>
            </w:pPr>
          </w:p>
        </w:tc>
      </w:tr>
      <w:tr w14:paraId="5F940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61" w:type="dxa"/>
            <w:vMerge w:val="continue"/>
            <w:tcBorders>
              <w:tl2br w:val="nil"/>
              <w:tr2bl w:val="nil"/>
            </w:tcBorders>
            <w:shd w:val="clear" w:color="auto" w:fill="auto"/>
            <w:vAlign w:val="center"/>
          </w:tcPr>
          <w:p w14:paraId="4D560C8A">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026DA870">
            <w:pPr>
              <w:jc w:val="center"/>
              <w:rPr>
                <w:rFonts w:hint="eastAsia" w:ascii="宋体" w:hAnsi="宋体" w:eastAsia="宋体" w:cs="宋体"/>
                <w:i w:val="0"/>
                <w:iCs w:val="0"/>
                <w:color w:val="000000"/>
                <w:sz w:val="20"/>
                <w:szCs w:val="20"/>
                <w:u w:val="none"/>
              </w:rPr>
            </w:pPr>
          </w:p>
        </w:tc>
        <w:tc>
          <w:tcPr>
            <w:tcW w:w="859" w:type="dxa"/>
            <w:vMerge w:val="continue"/>
            <w:tcBorders>
              <w:tl2br w:val="nil"/>
              <w:tr2bl w:val="nil"/>
            </w:tcBorders>
            <w:shd w:val="clear" w:color="auto" w:fill="auto"/>
            <w:vAlign w:val="center"/>
          </w:tcPr>
          <w:p w14:paraId="16C914A9">
            <w:pPr>
              <w:jc w:val="center"/>
              <w:rPr>
                <w:rFonts w:hint="eastAsia" w:ascii="宋体" w:hAnsi="宋体" w:eastAsia="宋体" w:cs="宋体"/>
                <w:i w:val="0"/>
                <w:iCs w:val="0"/>
                <w:color w:val="000000"/>
                <w:sz w:val="20"/>
                <w:szCs w:val="20"/>
                <w:u w:val="none"/>
              </w:rPr>
            </w:pPr>
          </w:p>
        </w:tc>
        <w:tc>
          <w:tcPr>
            <w:tcW w:w="1231" w:type="dxa"/>
            <w:tcBorders>
              <w:tl2br w:val="nil"/>
              <w:tr2bl w:val="nil"/>
            </w:tcBorders>
            <w:shd w:val="clear" w:color="auto" w:fill="auto"/>
            <w:vAlign w:val="center"/>
          </w:tcPr>
          <w:p w14:paraId="34FAF4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城关镇山坡村一期基础设施建设建设面积</w:t>
            </w:r>
          </w:p>
        </w:tc>
        <w:tc>
          <w:tcPr>
            <w:tcW w:w="1110" w:type="dxa"/>
            <w:tcBorders>
              <w:tl2br w:val="nil"/>
              <w:tr2bl w:val="nil"/>
            </w:tcBorders>
            <w:shd w:val="clear" w:color="auto" w:fill="auto"/>
            <w:vAlign w:val="center"/>
          </w:tcPr>
          <w:p w14:paraId="2FD8FD9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≥89611㎡</w:t>
            </w:r>
          </w:p>
        </w:tc>
        <w:tc>
          <w:tcPr>
            <w:tcW w:w="869" w:type="dxa"/>
            <w:tcBorders>
              <w:tl2br w:val="nil"/>
              <w:tr2bl w:val="nil"/>
            </w:tcBorders>
            <w:shd w:val="clear" w:color="auto" w:fill="auto"/>
            <w:vAlign w:val="center"/>
          </w:tcPr>
          <w:p w14:paraId="7DFC3E4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36C8A0A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1090AE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3" w:type="dxa"/>
            <w:tcBorders>
              <w:tl2br w:val="nil"/>
              <w:tr2bl w:val="nil"/>
            </w:tcBorders>
            <w:shd w:val="clear" w:color="auto" w:fill="auto"/>
            <w:vAlign w:val="center"/>
          </w:tcPr>
          <w:p w14:paraId="4D83780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0157AE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4B8A632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89611㎡</w:t>
            </w:r>
          </w:p>
        </w:tc>
        <w:tc>
          <w:tcPr>
            <w:tcW w:w="1115" w:type="dxa"/>
            <w:tcBorders>
              <w:tl2br w:val="nil"/>
              <w:tr2bl w:val="nil"/>
            </w:tcBorders>
            <w:shd w:val="clear" w:color="auto" w:fill="auto"/>
            <w:vAlign w:val="center"/>
          </w:tcPr>
          <w:p w14:paraId="48340F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3A0E6F4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6" w:type="dxa"/>
            <w:tcBorders>
              <w:tl2br w:val="nil"/>
              <w:tr2bl w:val="nil"/>
            </w:tcBorders>
            <w:shd w:val="clear" w:color="auto" w:fill="auto"/>
            <w:vAlign w:val="center"/>
          </w:tcPr>
          <w:p w14:paraId="4AC5C539">
            <w:pPr>
              <w:jc w:val="center"/>
              <w:rPr>
                <w:rFonts w:hint="eastAsia" w:ascii="宋体" w:hAnsi="宋体" w:eastAsia="宋体" w:cs="宋体"/>
                <w:i w:val="0"/>
                <w:iCs w:val="0"/>
                <w:color w:val="000000"/>
                <w:sz w:val="20"/>
                <w:szCs w:val="20"/>
                <w:u w:val="none"/>
              </w:rPr>
            </w:pPr>
          </w:p>
        </w:tc>
      </w:tr>
      <w:tr w14:paraId="06B54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61" w:type="dxa"/>
            <w:vMerge w:val="continue"/>
            <w:tcBorders>
              <w:tl2br w:val="nil"/>
              <w:tr2bl w:val="nil"/>
            </w:tcBorders>
            <w:shd w:val="clear" w:color="auto" w:fill="auto"/>
            <w:vAlign w:val="center"/>
          </w:tcPr>
          <w:p w14:paraId="4F44EB37">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35907D4C">
            <w:pPr>
              <w:jc w:val="center"/>
              <w:rPr>
                <w:rFonts w:hint="eastAsia" w:ascii="宋体" w:hAnsi="宋体" w:eastAsia="宋体" w:cs="宋体"/>
                <w:i w:val="0"/>
                <w:iCs w:val="0"/>
                <w:color w:val="000000"/>
                <w:sz w:val="20"/>
                <w:szCs w:val="20"/>
                <w:u w:val="none"/>
              </w:rPr>
            </w:pPr>
          </w:p>
        </w:tc>
        <w:tc>
          <w:tcPr>
            <w:tcW w:w="859" w:type="dxa"/>
            <w:vMerge w:val="continue"/>
            <w:tcBorders>
              <w:tl2br w:val="nil"/>
              <w:tr2bl w:val="nil"/>
            </w:tcBorders>
            <w:shd w:val="clear" w:color="auto" w:fill="auto"/>
            <w:vAlign w:val="center"/>
          </w:tcPr>
          <w:p w14:paraId="532CCAB7">
            <w:pPr>
              <w:jc w:val="center"/>
              <w:rPr>
                <w:rFonts w:hint="eastAsia" w:ascii="宋体" w:hAnsi="宋体" w:eastAsia="宋体" w:cs="宋体"/>
                <w:i w:val="0"/>
                <w:iCs w:val="0"/>
                <w:color w:val="000000"/>
                <w:sz w:val="20"/>
                <w:szCs w:val="20"/>
                <w:u w:val="none"/>
              </w:rPr>
            </w:pPr>
          </w:p>
        </w:tc>
        <w:tc>
          <w:tcPr>
            <w:tcW w:w="1231" w:type="dxa"/>
            <w:tcBorders>
              <w:tl2br w:val="nil"/>
              <w:tr2bl w:val="nil"/>
            </w:tcBorders>
            <w:shd w:val="clear" w:color="auto" w:fill="auto"/>
            <w:vAlign w:val="center"/>
          </w:tcPr>
          <w:p w14:paraId="368B48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畜牧产业园区提升改造建设面积</w:t>
            </w:r>
          </w:p>
        </w:tc>
        <w:tc>
          <w:tcPr>
            <w:tcW w:w="1110" w:type="dxa"/>
            <w:tcBorders>
              <w:tl2br w:val="nil"/>
              <w:tr2bl w:val="nil"/>
            </w:tcBorders>
            <w:shd w:val="clear" w:color="auto" w:fill="auto"/>
            <w:vAlign w:val="center"/>
          </w:tcPr>
          <w:p w14:paraId="1D15CBD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≥167400㎡</w:t>
            </w:r>
          </w:p>
        </w:tc>
        <w:tc>
          <w:tcPr>
            <w:tcW w:w="869" w:type="dxa"/>
            <w:tcBorders>
              <w:tl2br w:val="nil"/>
              <w:tr2bl w:val="nil"/>
            </w:tcBorders>
            <w:shd w:val="clear" w:color="auto" w:fill="auto"/>
            <w:vAlign w:val="center"/>
          </w:tcPr>
          <w:p w14:paraId="1116D6F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22E10ACA">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51E907F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3" w:type="dxa"/>
            <w:tcBorders>
              <w:tl2br w:val="nil"/>
              <w:tr2bl w:val="nil"/>
            </w:tcBorders>
            <w:shd w:val="clear" w:color="auto" w:fill="auto"/>
            <w:vAlign w:val="center"/>
          </w:tcPr>
          <w:p w14:paraId="5CE629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590448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1085A12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167400㎡</w:t>
            </w:r>
          </w:p>
        </w:tc>
        <w:tc>
          <w:tcPr>
            <w:tcW w:w="1115" w:type="dxa"/>
            <w:tcBorders>
              <w:tl2br w:val="nil"/>
              <w:tr2bl w:val="nil"/>
            </w:tcBorders>
            <w:shd w:val="clear" w:color="auto" w:fill="auto"/>
            <w:vAlign w:val="center"/>
          </w:tcPr>
          <w:p w14:paraId="4C956BB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0153A66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46" w:type="dxa"/>
            <w:tcBorders>
              <w:tl2br w:val="nil"/>
              <w:tr2bl w:val="nil"/>
            </w:tcBorders>
            <w:shd w:val="clear" w:color="auto" w:fill="auto"/>
            <w:vAlign w:val="center"/>
          </w:tcPr>
          <w:p w14:paraId="370690CE">
            <w:pPr>
              <w:jc w:val="center"/>
              <w:rPr>
                <w:rFonts w:hint="eastAsia" w:ascii="宋体" w:hAnsi="宋体" w:eastAsia="宋体" w:cs="宋体"/>
                <w:i w:val="0"/>
                <w:iCs w:val="0"/>
                <w:color w:val="000000"/>
                <w:sz w:val="20"/>
                <w:szCs w:val="20"/>
                <w:u w:val="none"/>
              </w:rPr>
            </w:pPr>
          </w:p>
        </w:tc>
      </w:tr>
      <w:tr w14:paraId="6CD5F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661" w:type="dxa"/>
            <w:vMerge w:val="continue"/>
            <w:tcBorders>
              <w:tl2br w:val="nil"/>
              <w:tr2bl w:val="nil"/>
            </w:tcBorders>
            <w:shd w:val="clear" w:color="auto" w:fill="auto"/>
            <w:vAlign w:val="center"/>
          </w:tcPr>
          <w:p w14:paraId="128F4129">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34C975A5">
            <w:pPr>
              <w:jc w:val="center"/>
              <w:rPr>
                <w:rFonts w:hint="eastAsia" w:ascii="宋体" w:hAnsi="宋体" w:eastAsia="宋体" w:cs="宋体"/>
                <w:i w:val="0"/>
                <w:iCs w:val="0"/>
                <w:color w:val="000000"/>
                <w:sz w:val="20"/>
                <w:szCs w:val="20"/>
                <w:u w:val="none"/>
              </w:rPr>
            </w:pPr>
          </w:p>
        </w:tc>
        <w:tc>
          <w:tcPr>
            <w:tcW w:w="859" w:type="dxa"/>
            <w:vMerge w:val="continue"/>
            <w:tcBorders>
              <w:tl2br w:val="nil"/>
              <w:tr2bl w:val="nil"/>
            </w:tcBorders>
            <w:shd w:val="clear" w:color="auto" w:fill="auto"/>
            <w:vAlign w:val="center"/>
          </w:tcPr>
          <w:p w14:paraId="7F9E1BC5">
            <w:pPr>
              <w:jc w:val="center"/>
              <w:rPr>
                <w:rFonts w:hint="eastAsia" w:ascii="宋体" w:hAnsi="宋体" w:eastAsia="宋体" w:cs="宋体"/>
                <w:i w:val="0"/>
                <w:iCs w:val="0"/>
                <w:color w:val="000000"/>
                <w:sz w:val="20"/>
                <w:szCs w:val="20"/>
                <w:u w:val="none"/>
              </w:rPr>
            </w:pPr>
          </w:p>
        </w:tc>
        <w:tc>
          <w:tcPr>
            <w:tcW w:w="1231" w:type="dxa"/>
            <w:tcBorders>
              <w:tl2br w:val="nil"/>
              <w:tr2bl w:val="nil"/>
            </w:tcBorders>
            <w:shd w:val="clear" w:color="auto" w:fill="auto"/>
            <w:vAlign w:val="center"/>
          </w:tcPr>
          <w:p w14:paraId="44F9DE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天山岔路口至滋泥泉子镇围栏长度</w:t>
            </w:r>
          </w:p>
        </w:tc>
        <w:tc>
          <w:tcPr>
            <w:tcW w:w="1110" w:type="dxa"/>
            <w:tcBorders>
              <w:tl2br w:val="nil"/>
              <w:tr2bl w:val="nil"/>
            </w:tcBorders>
            <w:shd w:val="clear" w:color="auto" w:fill="auto"/>
            <w:vAlign w:val="center"/>
          </w:tcPr>
          <w:p w14:paraId="16E0DA1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≥50000m</w:t>
            </w:r>
          </w:p>
        </w:tc>
        <w:tc>
          <w:tcPr>
            <w:tcW w:w="869" w:type="dxa"/>
            <w:tcBorders>
              <w:tl2br w:val="nil"/>
              <w:tr2bl w:val="nil"/>
            </w:tcBorders>
            <w:shd w:val="clear" w:color="auto" w:fill="auto"/>
            <w:vAlign w:val="center"/>
          </w:tcPr>
          <w:p w14:paraId="780E12C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32A16E76">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498A809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3" w:type="dxa"/>
            <w:tcBorders>
              <w:tl2br w:val="nil"/>
              <w:tr2bl w:val="nil"/>
            </w:tcBorders>
            <w:shd w:val="clear" w:color="auto" w:fill="auto"/>
            <w:vAlign w:val="center"/>
          </w:tcPr>
          <w:p w14:paraId="1D3399E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6B1094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27E1E1C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50000m</w:t>
            </w:r>
          </w:p>
        </w:tc>
        <w:tc>
          <w:tcPr>
            <w:tcW w:w="1115" w:type="dxa"/>
            <w:tcBorders>
              <w:tl2br w:val="nil"/>
              <w:tr2bl w:val="nil"/>
            </w:tcBorders>
            <w:shd w:val="clear" w:color="auto" w:fill="auto"/>
            <w:vAlign w:val="center"/>
          </w:tcPr>
          <w:p w14:paraId="196FAAD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0694FBD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6" w:type="dxa"/>
            <w:tcBorders>
              <w:tl2br w:val="nil"/>
              <w:tr2bl w:val="nil"/>
            </w:tcBorders>
            <w:shd w:val="clear" w:color="auto" w:fill="auto"/>
            <w:vAlign w:val="center"/>
          </w:tcPr>
          <w:p w14:paraId="2BAF5DE1">
            <w:pPr>
              <w:jc w:val="center"/>
              <w:rPr>
                <w:rFonts w:hint="eastAsia" w:ascii="宋体" w:hAnsi="宋体" w:eastAsia="宋体" w:cs="宋体"/>
                <w:i w:val="0"/>
                <w:iCs w:val="0"/>
                <w:color w:val="000000"/>
                <w:sz w:val="20"/>
                <w:szCs w:val="20"/>
                <w:u w:val="none"/>
              </w:rPr>
            </w:pPr>
          </w:p>
        </w:tc>
      </w:tr>
      <w:tr w14:paraId="4D46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0" w:hRule="atLeast"/>
        </w:trPr>
        <w:tc>
          <w:tcPr>
            <w:tcW w:w="661" w:type="dxa"/>
            <w:vMerge w:val="continue"/>
            <w:tcBorders>
              <w:tl2br w:val="nil"/>
              <w:tr2bl w:val="nil"/>
            </w:tcBorders>
            <w:shd w:val="clear" w:color="auto" w:fill="auto"/>
            <w:vAlign w:val="center"/>
          </w:tcPr>
          <w:p w14:paraId="0BD710F0">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70E8EEA0">
            <w:pPr>
              <w:jc w:val="center"/>
              <w:rPr>
                <w:rFonts w:hint="eastAsia" w:ascii="宋体" w:hAnsi="宋体" w:eastAsia="宋体" w:cs="宋体"/>
                <w:i w:val="0"/>
                <w:iCs w:val="0"/>
                <w:color w:val="000000"/>
                <w:sz w:val="20"/>
                <w:szCs w:val="20"/>
                <w:u w:val="none"/>
              </w:rPr>
            </w:pPr>
          </w:p>
        </w:tc>
        <w:tc>
          <w:tcPr>
            <w:tcW w:w="859" w:type="dxa"/>
            <w:vMerge w:val="continue"/>
            <w:tcBorders>
              <w:tl2br w:val="nil"/>
              <w:tr2bl w:val="nil"/>
            </w:tcBorders>
            <w:shd w:val="clear" w:color="auto" w:fill="auto"/>
            <w:vAlign w:val="center"/>
          </w:tcPr>
          <w:p w14:paraId="20A3AFA8">
            <w:pPr>
              <w:jc w:val="center"/>
              <w:rPr>
                <w:rFonts w:hint="eastAsia" w:ascii="宋体" w:hAnsi="宋体" w:eastAsia="宋体" w:cs="宋体"/>
                <w:i w:val="0"/>
                <w:iCs w:val="0"/>
                <w:color w:val="000000"/>
                <w:sz w:val="20"/>
                <w:szCs w:val="20"/>
                <w:u w:val="none"/>
              </w:rPr>
            </w:pPr>
          </w:p>
        </w:tc>
        <w:tc>
          <w:tcPr>
            <w:tcW w:w="1231" w:type="dxa"/>
            <w:tcBorders>
              <w:tl2br w:val="nil"/>
              <w:tr2bl w:val="nil"/>
            </w:tcBorders>
            <w:shd w:val="clear" w:color="auto" w:fill="auto"/>
            <w:vAlign w:val="center"/>
          </w:tcPr>
          <w:p w14:paraId="09C99E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东湾林场及新湖村管线敷设长度</w:t>
            </w:r>
          </w:p>
        </w:tc>
        <w:tc>
          <w:tcPr>
            <w:tcW w:w="1110" w:type="dxa"/>
            <w:tcBorders>
              <w:tl2br w:val="nil"/>
              <w:tr2bl w:val="nil"/>
            </w:tcBorders>
            <w:shd w:val="clear" w:color="auto" w:fill="auto"/>
            <w:vAlign w:val="center"/>
          </w:tcPr>
          <w:p w14:paraId="6EF0A4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≥6641m</w:t>
            </w:r>
          </w:p>
        </w:tc>
        <w:tc>
          <w:tcPr>
            <w:tcW w:w="869" w:type="dxa"/>
            <w:tcBorders>
              <w:tl2br w:val="nil"/>
              <w:tr2bl w:val="nil"/>
            </w:tcBorders>
            <w:shd w:val="clear" w:color="auto" w:fill="auto"/>
            <w:vAlign w:val="center"/>
          </w:tcPr>
          <w:p w14:paraId="16C1863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2EC3C2FB">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3BBFE6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3" w:type="dxa"/>
            <w:tcBorders>
              <w:tl2br w:val="nil"/>
              <w:tr2bl w:val="nil"/>
            </w:tcBorders>
            <w:shd w:val="clear" w:color="auto" w:fill="auto"/>
            <w:vAlign w:val="center"/>
          </w:tcPr>
          <w:p w14:paraId="23F0338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5239C2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3A90BA6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6641m</w:t>
            </w:r>
          </w:p>
        </w:tc>
        <w:tc>
          <w:tcPr>
            <w:tcW w:w="1115" w:type="dxa"/>
            <w:tcBorders>
              <w:tl2br w:val="nil"/>
              <w:tr2bl w:val="nil"/>
            </w:tcBorders>
            <w:shd w:val="clear" w:color="auto" w:fill="auto"/>
            <w:vAlign w:val="center"/>
          </w:tcPr>
          <w:p w14:paraId="18736F6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1F5F16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46" w:type="dxa"/>
            <w:tcBorders>
              <w:tl2br w:val="nil"/>
              <w:tr2bl w:val="nil"/>
            </w:tcBorders>
            <w:shd w:val="clear" w:color="auto" w:fill="auto"/>
            <w:vAlign w:val="center"/>
          </w:tcPr>
          <w:p w14:paraId="7F70E148">
            <w:pPr>
              <w:jc w:val="center"/>
              <w:rPr>
                <w:rFonts w:hint="eastAsia" w:ascii="宋体" w:hAnsi="宋体" w:eastAsia="宋体" w:cs="宋体"/>
                <w:i w:val="0"/>
                <w:iCs w:val="0"/>
                <w:color w:val="000000"/>
                <w:sz w:val="20"/>
                <w:szCs w:val="20"/>
                <w:u w:val="none"/>
              </w:rPr>
            </w:pPr>
          </w:p>
        </w:tc>
      </w:tr>
      <w:tr w14:paraId="7DEE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 w:hRule="atLeast"/>
        </w:trPr>
        <w:tc>
          <w:tcPr>
            <w:tcW w:w="661" w:type="dxa"/>
            <w:vMerge w:val="continue"/>
            <w:tcBorders>
              <w:tl2br w:val="nil"/>
              <w:tr2bl w:val="nil"/>
            </w:tcBorders>
            <w:shd w:val="clear" w:color="auto" w:fill="auto"/>
            <w:vAlign w:val="center"/>
          </w:tcPr>
          <w:p w14:paraId="31AA6748">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4D6DDFBA">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65A78AD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31" w:type="dxa"/>
            <w:tcBorders>
              <w:tl2br w:val="nil"/>
              <w:tr2bl w:val="nil"/>
            </w:tcBorders>
            <w:shd w:val="clear" w:color="auto" w:fill="auto"/>
            <w:vAlign w:val="center"/>
          </w:tcPr>
          <w:p w14:paraId="73F7D0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工程验收合格率</w:t>
            </w:r>
          </w:p>
        </w:tc>
        <w:tc>
          <w:tcPr>
            <w:tcW w:w="1110" w:type="dxa"/>
            <w:tcBorders>
              <w:tl2br w:val="nil"/>
              <w:tr2bl w:val="nil"/>
            </w:tcBorders>
            <w:shd w:val="clear" w:color="auto" w:fill="auto"/>
            <w:vAlign w:val="center"/>
          </w:tcPr>
          <w:p w14:paraId="73373F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9" w:type="dxa"/>
            <w:tcBorders>
              <w:tl2br w:val="nil"/>
              <w:tr2bl w:val="nil"/>
            </w:tcBorders>
            <w:shd w:val="clear" w:color="auto" w:fill="auto"/>
            <w:vAlign w:val="center"/>
          </w:tcPr>
          <w:p w14:paraId="4E3D7A2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1F3ECF06">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52DDA05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43" w:type="dxa"/>
            <w:tcBorders>
              <w:tl2br w:val="nil"/>
              <w:tr2bl w:val="nil"/>
            </w:tcBorders>
            <w:shd w:val="clear" w:color="auto" w:fill="auto"/>
            <w:vAlign w:val="center"/>
          </w:tcPr>
          <w:p w14:paraId="72B18A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008122E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30E578B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tcBorders>
              <w:tl2br w:val="nil"/>
              <w:tr2bl w:val="nil"/>
            </w:tcBorders>
            <w:shd w:val="clear" w:color="auto" w:fill="auto"/>
            <w:vAlign w:val="center"/>
          </w:tcPr>
          <w:p w14:paraId="71729FC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4E37A8B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46" w:type="dxa"/>
            <w:tcBorders>
              <w:tl2br w:val="nil"/>
              <w:tr2bl w:val="nil"/>
            </w:tcBorders>
            <w:shd w:val="clear" w:color="auto" w:fill="auto"/>
            <w:vAlign w:val="center"/>
          </w:tcPr>
          <w:p w14:paraId="119A5057">
            <w:pPr>
              <w:jc w:val="center"/>
              <w:rPr>
                <w:rFonts w:hint="eastAsia" w:ascii="宋体" w:hAnsi="宋体" w:eastAsia="宋体" w:cs="宋体"/>
                <w:i w:val="0"/>
                <w:iCs w:val="0"/>
                <w:color w:val="000000"/>
                <w:sz w:val="20"/>
                <w:szCs w:val="20"/>
                <w:u w:val="none"/>
              </w:rPr>
            </w:pPr>
          </w:p>
        </w:tc>
      </w:tr>
      <w:tr w14:paraId="20F3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661" w:type="dxa"/>
            <w:vMerge w:val="continue"/>
            <w:tcBorders>
              <w:tl2br w:val="nil"/>
              <w:tr2bl w:val="nil"/>
            </w:tcBorders>
            <w:shd w:val="clear" w:color="auto" w:fill="auto"/>
            <w:vAlign w:val="center"/>
          </w:tcPr>
          <w:p w14:paraId="61EBCE97">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3E8DFA16">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7DFA50C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31" w:type="dxa"/>
            <w:tcBorders>
              <w:tl2br w:val="nil"/>
              <w:tr2bl w:val="nil"/>
            </w:tcBorders>
            <w:shd w:val="clear" w:color="auto" w:fill="auto"/>
            <w:vAlign w:val="center"/>
          </w:tcPr>
          <w:p w14:paraId="458A53D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项目完成及时率</w:t>
            </w:r>
          </w:p>
        </w:tc>
        <w:tc>
          <w:tcPr>
            <w:tcW w:w="1110" w:type="dxa"/>
            <w:tcBorders>
              <w:tl2br w:val="nil"/>
              <w:tr2bl w:val="nil"/>
            </w:tcBorders>
            <w:shd w:val="clear" w:color="auto" w:fill="auto"/>
            <w:vAlign w:val="center"/>
          </w:tcPr>
          <w:p w14:paraId="2AF14E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69" w:type="dxa"/>
            <w:tcBorders>
              <w:tl2br w:val="nil"/>
              <w:tr2bl w:val="nil"/>
            </w:tcBorders>
            <w:shd w:val="clear" w:color="auto" w:fill="auto"/>
            <w:vAlign w:val="center"/>
          </w:tcPr>
          <w:p w14:paraId="14E1461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20411E9F">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00BAC20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43" w:type="dxa"/>
            <w:tcBorders>
              <w:tl2br w:val="nil"/>
              <w:tr2bl w:val="nil"/>
            </w:tcBorders>
            <w:shd w:val="clear" w:color="auto" w:fill="auto"/>
            <w:vAlign w:val="center"/>
          </w:tcPr>
          <w:p w14:paraId="6E15C8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3" w:type="dxa"/>
            <w:tcBorders>
              <w:tl2br w:val="nil"/>
              <w:tr2bl w:val="nil"/>
            </w:tcBorders>
            <w:shd w:val="clear" w:color="auto" w:fill="auto"/>
            <w:vAlign w:val="center"/>
          </w:tcPr>
          <w:p w14:paraId="1B648D9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6A5F6DF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tcBorders>
              <w:tl2br w:val="nil"/>
              <w:tr2bl w:val="nil"/>
            </w:tcBorders>
            <w:shd w:val="clear" w:color="auto" w:fill="auto"/>
            <w:vAlign w:val="center"/>
          </w:tcPr>
          <w:p w14:paraId="1F7EFA1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10D802E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46" w:type="dxa"/>
            <w:tcBorders>
              <w:tl2br w:val="nil"/>
              <w:tr2bl w:val="nil"/>
            </w:tcBorders>
            <w:shd w:val="clear" w:color="auto" w:fill="auto"/>
            <w:vAlign w:val="center"/>
          </w:tcPr>
          <w:p w14:paraId="57D080D1">
            <w:pPr>
              <w:jc w:val="center"/>
              <w:rPr>
                <w:rFonts w:hint="eastAsia" w:ascii="宋体" w:hAnsi="宋体" w:eastAsia="宋体" w:cs="宋体"/>
                <w:b/>
                <w:bCs/>
                <w:i w:val="0"/>
                <w:iCs w:val="0"/>
                <w:color w:val="000000"/>
                <w:sz w:val="20"/>
                <w:szCs w:val="20"/>
                <w:u w:val="none"/>
              </w:rPr>
            </w:pPr>
          </w:p>
        </w:tc>
      </w:tr>
      <w:tr w14:paraId="78687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trPr>
        <w:tc>
          <w:tcPr>
            <w:tcW w:w="661" w:type="dxa"/>
            <w:vMerge w:val="continue"/>
            <w:tcBorders>
              <w:tl2br w:val="nil"/>
              <w:tr2bl w:val="nil"/>
            </w:tcBorders>
            <w:shd w:val="clear" w:color="auto" w:fill="auto"/>
            <w:vAlign w:val="center"/>
          </w:tcPr>
          <w:p w14:paraId="6F651522">
            <w:pPr>
              <w:jc w:val="center"/>
              <w:rPr>
                <w:rFonts w:hint="eastAsia" w:ascii="宋体" w:hAnsi="宋体" w:eastAsia="宋体" w:cs="宋体"/>
                <w:i w:val="0"/>
                <w:iCs w:val="0"/>
                <w:color w:val="000000"/>
                <w:sz w:val="20"/>
                <w:szCs w:val="20"/>
                <w:u w:val="none"/>
              </w:rPr>
            </w:pPr>
          </w:p>
        </w:tc>
        <w:tc>
          <w:tcPr>
            <w:tcW w:w="661" w:type="dxa"/>
            <w:vMerge w:val="restart"/>
            <w:tcBorders>
              <w:tl2br w:val="nil"/>
              <w:tr2bl w:val="nil"/>
            </w:tcBorders>
            <w:shd w:val="clear" w:color="auto" w:fill="auto"/>
            <w:vAlign w:val="center"/>
          </w:tcPr>
          <w:p w14:paraId="6BD8A8F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59" w:type="dxa"/>
            <w:vMerge w:val="restart"/>
            <w:tcBorders>
              <w:tl2br w:val="nil"/>
              <w:tr2bl w:val="nil"/>
            </w:tcBorders>
            <w:shd w:val="clear" w:color="auto" w:fill="auto"/>
            <w:vAlign w:val="center"/>
          </w:tcPr>
          <w:p w14:paraId="7FA67C1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231" w:type="dxa"/>
            <w:tcBorders>
              <w:tl2br w:val="nil"/>
              <w:tr2bl w:val="nil"/>
            </w:tcBorders>
            <w:shd w:val="clear" w:color="auto" w:fill="auto"/>
            <w:vAlign w:val="center"/>
          </w:tcPr>
          <w:p w14:paraId="4A5ECEE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项目建设成本</w:t>
            </w:r>
          </w:p>
        </w:tc>
        <w:tc>
          <w:tcPr>
            <w:tcW w:w="1110" w:type="dxa"/>
            <w:tcBorders>
              <w:tl2br w:val="nil"/>
              <w:tr2bl w:val="nil"/>
            </w:tcBorders>
            <w:shd w:val="clear" w:color="auto" w:fill="auto"/>
            <w:noWrap/>
            <w:vAlign w:val="center"/>
          </w:tcPr>
          <w:p w14:paraId="1CFA5D4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≤1000万元</w:t>
            </w:r>
          </w:p>
        </w:tc>
        <w:tc>
          <w:tcPr>
            <w:tcW w:w="869" w:type="dxa"/>
            <w:tcBorders>
              <w:tl2br w:val="nil"/>
              <w:tr2bl w:val="nil"/>
            </w:tcBorders>
            <w:shd w:val="clear" w:color="auto" w:fill="auto"/>
            <w:vAlign w:val="center"/>
          </w:tcPr>
          <w:p w14:paraId="3C243D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70" w:type="dxa"/>
            <w:tcBorders>
              <w:tl2br w:val="nil"/>
              <w:tr2bl w:val="nil"/>
            </w:tcBorders>
            <w:shd w:val="clear" w:color="auto" w:fill="auto"/>
            <w:vAlign w:val="center"/>
          </w:tcPr>
          <w:p w14:paraId="31DE1C69">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4BEAE9A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43" w:type="dxa"/>
            <w:tcBorders>
              <w:tl2br w:val="nil"/>
              <w:tr2bl w:val="nil"/>
            </w:tcBorders>
            <w:shd w:val="clear" w:color="auto" w:fill="auto"/>
            <w:vAlign w:val="center"/>
          </w:tcPr>
          <w:p w14:paraId="66C2CD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1053" w:type="dxa"/>
            <w:tcBorders>
              <w:tl2br w:val="nil"/>
              <w:tr2bl w:val="nil"/>
            </w:tcBorders>
            <w:shd w:val="clear" w:color="auto" w:fill="auto"/>
            <w:vAlign w:val="center"/>
          </w:tcPr>
          <w:p w14:paraId="583523A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008" w:type="dxa"/>
            <w:tcBorders>
              <w:tl2br w:val="nil"/>
              <w:tr2bl w:val="nil"/>
            </w:tcBorders>
            <w:shd w:val="clear" w:color="auto" w:fill="auto"/>
            <w:vAlign w:val="center"/>
          </w:tcPr>
          <w:p w14:paraId="50BFB8A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115" w:type="dxa"/>
            <w:tcBorders>
              <w:tl2br w:val="nil"/>
              <w:tr2bl w:val="nil"/>
            </w:tcBorders>
            <w:shd w:val="clear" w:color="auto" w:fill="auto"/>
            <w:vAlign w:val="center"/>
          </w:tcPr>
          <w:p w14:paraId="63C16DE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29FDC0D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46" w:type="dxa"/>
            <w:tcBorders>
              <w:tl2br w:val="nil"/>
              <w:tr2bl w:val="nil"/>
            </w:tcBorders>
            <w:shd w:val="clear" w:color="auto" w:fill="auto"/>
            <w:vAlign w:val="center"/>
          </w:tcPr>
          <w:p w14:paraId="5F3DBAD1">
            <w:pPr>
              <w:jc w:val="center"/>
              <w:rPr>
                <w:rFonts w:hint="eastAsia" w:ascii="宋体" w:hAnsi="宋体" w:eastAsia="宋体" w:cs="宋体"/>
                <w:i w:val="0"/>
                <w:iCs w:val="0"/>
                <w:color w:val="000000"/>
                <w:sz w:val="20"/>
                <w:szCs w:val="20"/>
                <w:u w:val="none"/>
              </w:rPr>
            </w:pPr>
          </w:p>
        </w:tc>
      </w:tr>
      <w:tr w14:paraId="1EBC3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00" w:hRule="atLeast"/>
        </w:trPr>
        <w:tc>
          <w:tcPr>
            <w:tcW w:w="661" w:type="dxa"/>
            <w:vMerge w:val="continue"/>
            <w:tcBorders>
              <w:tl2br w:val="nil"/>
              <w:tr2bl w:val="nil"/>
            </w:tcBorders>
            <w:shd w:val="clear" w:color="auto" w:fill="auto"/>
            <w:vAlign w:val="center"/>
          </w:tcPr>
          <w:p w14:paraId="5BC37A59">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400EA13A">
            <w:pPr>
              <w:jc w:val="center"/>
              <w:rPr>
                <w:rFonts w:hint="eastAsia" w:ascii="宋体" w:hAnsi="宋体" w:eastAsia="宋体" w:cs="宋体"/>
                <w:i w:val="0"/>
                <w:iCs w:val="0"/>
                <w:color w:val="000000"/>
                <w:sz w:val="20"/>
                <w:szCs w:val="20"/>
                <w:u w:val="none"/>
              </w:rPr>
            </w:pPr>
          </w:p>
        </w:tc>
        <w:tc>
          <w:tcPr>
            <w:tcW w:w="859" w:type="dxa"/>
            <w:vMerge w:val="continue"/>
            <w:tcBorders>
              <w:tl2br w:val="nil"/>
              <w:tr2bl w:val="nil"/>
            </w:tcBorders>
            <w:shd w:val="clear" w:color="auto" w:fill="auto"/>
            <w:vAlign w:val="center"/>
          </w:tcPr>
          <w:p w14:paraId="7ED0B00E">
            <w:pPr>
              <w:jc w:val="center"/>
              <w:rPr>
                <w:rFonts w:hint="eastAsia" w:ascii="宋体" w:hAnsi="宋体" w:eastAsia="宋体" w:cs="宋体"/>
                <w:i w:val="0"/>
                <w:iCs w:val="0"/>
                <w:color w:val="000000"/>
                <w:sz w:val="20"/>
                <w:szCs w:val="20"/>
                <w:u w:val="none"/>
              </w:rPr>
            </w:pPr>
          </w:p>
        </w:tc>
        <w:tc>
          <w:tcPr>
            <w:tcW w:w="1231" w:type="dxa"/>
            <w:tcBorders>
              <w:tl2br w:val="nil"/>
              <w:tr2bl w:val="nil"/>
            </w:tcBorders>
            <w:shd w:val="clear" w:color="auto" w:fill="auto"/>
            <w:vAlign w:val="center"/>
          </w:tcPr>
          <w:p w14:paraId="264FE97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项目前期费与其他建设费用</w:t>
            </w:r>
          </w:p>
        </w:tc>
        <w:tc>
          <w:tcPr>
            <w:tcW w:w="1110" w:type="dxa"/>
            <w:tcBorders>
              <w:tl2br w:val="nil"/>
              <w:tr2bl w:val="nil"/>
            </w:tcBorders>
            <w:shd w:val="clear" w:color="auto" w:fill="auto"/>
            <w:noWrap/>
            <w:vAlign w:val="center"/>
          </w:tcPr>
          <w:p w14:paraId="5EB61D5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≤300万元</w:t>
            </w:r>
          </w:p>
        </w:tc>
        <w:tc>
          <w:tcPr>
            <w:tcW w:w="869" w:type="dxa"/>
            <w:tcBorders>
              <w:tl2br w:val="nil"/>
              <w:tr2bl w:val="nil"/>
            </w:tcBorders>
            <w:shd w:val="clear" w:color="auto" w:fill="auto"/>
            <w:vAlign w:val="center"/>
          </w:tcPr>
          <w:p w14:paraId="6CF5A7A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预算支出标准</w:t>
            </w:r>
          </w:p>
        </w:tc>
        <w:tc>
          <w:tcPr>
            <w:tcW w:w="870" w:type="dxa"/>
            <w:tcBorders>
              <w:tl2br w:val="nil"/>
              <w:tr2bl w:val="nil"/>
            </w:tcBorders>
            <w:shd w:val="clear" w:color="auto" w:fill="auto"/>
            <w:vAlign w:val="center"/>
          </w:tcPr>
          <w:p w14:paraId="1C0780D9">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796298A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43" w:type="dxa"/>
            <w:tcBorders>
              <w:tl2br w:val="nil"/>
              <w:tr2bl w:val="nil"/>
            </w:tcBorders>
            <w:shd w:val="clear" w:color="auto" w:fill="auto"/>
            <w:vAlign w:val="center"/>
          </w:tcPr>
          <w:p w14:paraId="739BCC0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直接赋分</w:t>
            </w:r>
          </w:p>
        </w:tc>
        <w:tc>
          <w:tcPr>
            <w:tcW w:w="1053" w:type="dxa"/>
            <w:tcBorders>
              <w:tl2br w:val="nil"/>
              <w:tr2bl w:val="nil"/>
            </w:tcBorders>
            <w:shd w:val="clear" w:color="auto" w:fill="auto"/>
            <w:vAlign w:val="center"/>
          </w:tcPr>
          <w:p w14:paraId="686D201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原始凭证</w:t>
            </w:r>
          </w:p>
        </w:tc>
        <w:tc>
          <w:tcPr>
            <w:tcW w:w="1008" w:type="dxa"/>
            <w:tcBorders>
              <w:tl2br w:val="nil"/>
              <w:tr2bl w:val="nil"/>
            </w:tcBorders>
            <w:shd w:val="clear" w:color="auto" w:fill="auto"/>
            <w:vAlign w:val="center"/>
          </w:tcPr>
          <w:p w14:paraId="5951964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11.57</w:t>
            </w:r>
          </w:p>
        </w:tc>
        <w:tc>
          <w:tcPr>
            <w:tcW w:w="1115" w:type="dxa"/>
            <w:tcBorders>
              <w:tl2br w:val="nil"/>
              <w:tr2bl w:val="nil"/>
            </w:tcBorders>
            <w:shd w:val="clear" w:color="auto" w:fill="auto"/>
            <w:vAlign w:val="center"/>
          </w:tcPr>
          <w:p w14:paraId="6AD5E60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5" w:type="dxa"/>
            <w:tcBorders>
              <w:tl2br w:val="nil"/>
              <w:tr2bl w:val="nil"/>
            </w:tcBorders>
            <w:shd w:val="clear" w:color="auto" w:fill="auto"/>
            <w:vAlign w:val="center"/>
          </w:tcPr>
          <w:p w14:paraId="4173173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46" w:type="dxa"/>
            <w:tcBorders>
              <w:tl2br w:val="nil"/>
              <w:tr2bl w:val="nil"/>
            </w:tcBorders>
            <w:shd w:val="clear" w:color="auto" w:fill="auto"/>
            <w:vAlign w:val="center"/>
          </w:tcPr>
          <w:p w14:paraId="162EA7C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前期费招标金额小于预算金额，前期费未支付完成，已向财政申请拨付，待拨付。</w:t>
            </w:r>
          </w:p>
        </w:tc>
      </w:tr>
      <w:tr w14:paraId="2B20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trPr>
        <w:tc>
          <w:tcPr>
            <w:tcW w:w="661" w:type="dxa"/>
            <w:vMerge w:val="continue"/>
            <w:tcBorders>
              <w:tl2br w:val="nil"/>
              <w:tr2bl w:val="nil"/>
            </w:tcBorders>
            <w:shd w:val="clear" w:color="auto" w:fill="auto"/>
            <w:vAlign w:val="center"/>
          </w:tcPr>
          <w:p w14:paraId="42F6D17B">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282B27DE">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77840F6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231" w:type="dxa"/>
            <w:tcBorders>
              <w:tl2br w:val="nil"/>
              <w:tr2bl w:val="nil"/>
            </w:tcBorders>
            <w:shd w:val="clear" w:color="auto" w:fill="auto"/>
            <w:vAlign w:val="center"/>
          </w:tcPr>
          <w:p w14:paraId="76939EA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l2br w:val="nil"/>
              <w:tr2bl w:val="nil"/>
            </w:tcBorders>
            <w:shd w:val="clear" w:color="auto" w:fill="auto"/>
            <w:vAlign w:val="center"/>
          </w:tcPr>
          <w:p w14:paraId="7392F6C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9" w:type="dxa"/>
            <w:tcBorders>
              <w:tl2br w:val="nil"/>
              <w:tr2bl w:val="nil"/>
            </w:tcBorders>
            <w:shd w:val="clear" w:color="auto" w:fill="auto"/>
            <w:vAlign w:val="center"/>
          </w:tcPr>
          <w:p w14:paraId="58102D1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l2br w:val="nil"/>
              <w:tr2bl w:val="nil"/>
            </w:tcBorders>
            <w:shd w:val="clear" w:color="auto" w:fill="auto"/>
            <w:vAlign w:val="center"/>
          </w:tcPr>
          <w:p w14:paraId="075DA521">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2F9E79D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0413FD7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l2br w:val="nil"/>
              <w:tr2bl w:val="nil"/>
            </w:tcBorders>
            <w:shd w:val="clear" w:color="auto" w:fill="auto"/>
            <w:vAlign w:val="center"/>
          </w:tcPr>
          <w:p w14:paraId="312A8A8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8" w:type="dxa"/>
            <w:tcBorders>
              <w:tl2br w:val="nil"/>
              <w:tr2bl w:val="nil"/>
            </w:tcBorders>
            <w:shd w:val="clear" w:color="auto" w:fill="auto"/>
            <w:vAlign w:val="center"/>
          </w:tcPr>
          <w:p w14:paraId="0F35924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tcBorders>
              <w:tl2br w:val="nil"/>
              <w:tr2bl w:val="nil"/>
            </w:tcBorders>
            <w:shd w:val="clear" w:color="auto" w:fill="auto"/>
            <w:vAlign w:val="center"/>
          </w:tcPr>
          <w:p w14:paraId="12DEA2F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05" w:type="dxa"/>
            <w:tcBorders>
              <w:tl2br w:val="nil"/>
              <w:tr2bl w:val="nil"/>
            </w:tcBorders>
            <w:shd w:val="clear" w:color="auto" w:fill="auto"/>
            <w:vAlign w:val="center"/>
          </w:tcPr>
          <w:p w14:paraId="5049B47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l2br w:val="nil"/>
              <w:tr2bl w:val="nil"/>
            </w:tcBorders>
            <w:shd w:val="clear" w:color="auto" w:fill="auto"/>
            <w:vAlign w:val="center"/>
          </w:tcPr>
          <w:p w14:paraId="7EFF54FE">
            <w:pPr>
              <w:jc w:val="center"/>
              <w:rPr>
                <w:rFonts w:hint="eastAsia" w:ascii="宋体" w:hAnsi="宋体" w:eastAsia="宋体" w:cs="宋体"/>
                <w:i w:val="0"/>
                <w:iCs w:val="0"/>
                <w:color w:val="000000"/>
                <w:sz w:val="20"/>
                <w:szCs w:val="20"/>
                <w:u w:val="none"/>
              </w:rPr>
            </w:pPr>
          </w:p>
        </w:tc>
      </w:tr>
      <w:tr w14:paraId="3114F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0" w:hRule="atLeast"/>
        </w:trPr>
        <w:tc>
          <w:tcPr>
            <w:tcW w:w="661" w:type="dxa"/>
            <w:vMerge w:val="continue"/>
            <w:tcBorders>
              <w:tl2br w:val="nil"/>
              <w:tr2bl w:val="nil"/>
            </w:tcBorders>
            <w:shd w:val="clear" w:color="auto" w:fill="auto"/>
            <w:vAlign w:val="center"/>
          </w:tcPr>
          <w:p w14:paraId="7A4FC29B">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5D4C5793">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22E2E71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231" w:type="dxa"/>
            <w:tcBorders>
              <w:tl2br w:val="nil"/>
              <w:tr2bl w:val="nil"/>
            </w:tcBorders>
            <w:shd w:val="clear" w:color="auto" w:fill="auto"/>
            <w:vAlign w:val="center"/>
          </w:tcPr>
          <w:p w14:paraId="6253AFC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l2br w:val="nil"/>
              <w:tr2bl w:val="nil"/>
            </w:tcBorders>
            <w:shd w:val="clear" w:color="auto" w:fill="auto"/>
            <w:vAlign w:val="center"/>
          </w:tcPr>
          <w:p w14:paraId="3C35D7A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9" w:type="dxa"/>
            <w:tcBorders>
              <w:tl2br w:val="nil"/>
              <w:tr2bl w:val="nil"/>
            </w:tcBorders>
            <w:shd w:val="clear" w:color="auto" w:fill="auto"/>
            <w:vAlign w:val="center"/>
          </w:tcPr>
          <w:p w14:paraId="5EA88C8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l2br w:val="nil"/>
              <w:tr2bl w:val="nil"/>
            </w:tcBorders>
            <w:shd w:val="clear" w:color="auto" w:fill="auto"/>
            <w:vAlign w:val="center"/>
          </w:tcPr>
          <w:p w14:paraId="7FC6A49C">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767C18B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4DB841F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l2br w:val="nil"/>
              <w:tr2bl w:val="nil"/>
            </w:tcBorders>
            <w:shd w:val="clear" w:color="auto" w:fill="auto"/>
            <w:vAlign w:val="center"/>
          </w:tcPr>
          <w:p w14:paraId="16E2A26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8" w:type="dxa"/>
            <w:tcBorders>
              <w:tl2br w:val="nil"/>
              <w:tr2bl w:val="nil"/>
            </w:tcBorders>
            <w:shd w:val="clear" w:color="auto" w:fill="auto"/>
            <w:vAlign w:val="center"/>
          </w:tcPr>
          <w:p w14:paraId="12AB140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tcBorders>
              <w:tl2br w:val="nil"/>
              <w:tr2bl w:val="nil"/>
            </w:tcBorders>
            <w:shd w:val="clear" w:color="auto" w:fill="auto"/>
            <w:vAlign w:val="center"/>
          </w:tcPr>
          <w:p w14:paraId="48B620A0">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05" w:type="dxa"/>
            <w:tcBorders>
              <w:tl2br w:val="nil"/>
              <w:tr2bl w:val="nil"/>
            </w:tcBorders>
            <w:shd w:val="clear" w:color="auto" w:fill="auto"/>
            <w:vAlign w:val="center"/>
          </w:tcPr>
          <w:p w14:paraId="3D04F64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l2br w:val="nil"/>
              <w:tr2bl w:val="nil"/>
            </w:tcBorders>
            <w:shd w:val="clear" w:color="auto" w:fill="auto"/>
            <w:vAlign w:val="center"/>
          </w:tcPr>
          <w:p w14:paraId="73A25789">
            <w:pPr>
              <w:jc w:val="center"/>
              <w:rPr>
                <w:rFonts w:hint="eastAsia" w:ascii="宋体" w:hAnsi="宋体" w:eastAsia="宋体" w:cs="宋体"/>
                <w:i w:val="0"/>
                <w:iCs w:val="0"/>
                <w:color w:val="000000"/>
                <w:sz w:val="20"/>
                <w:szCs w:val="20"/>
                <w:u w:val="none"/>
              </w:rPr>
            </w:pPr>
          </w:p>
        </w:tc>
      </w:tr>
      <w:tr w14:paraId="24FAC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trPr>
        <w:tc>
          <w:tcPr>
            <w:tcW w:w="661" w:type="dxa"/>
            <w:vMerge w:val="continue"/>
            <w:tcBorders>
              <w:tl2br w:val="nil"/>
              <w:tr2bl w:val="nil"/>
            </w:tcBorders>
            <w:shd w:val="clear" w:color="auto" w:fill="auto"/>
            <w:vAlign w:val="center"/>
          </w:tcPr>
          <w:p w14:paraId="078B646A">
            <w:pPr>
              <w:jc w:val="center"/>
              <w:rPr>
                <w:rFonts w:hint="eastAsia" w:ascii="宋体" w:hAnsi="宋体" w:eastAsia="宋体" w:cs="宋体"/>
                <w:i w:val="0"/>
                <w:iCs w:val="0"/>
                <w:color w:val="000000"/>
                <w:sz w:val="20"/>
                <w:szCs w:val="20"/>
                <w:u w:val="none"/>
              </w:rPr>
            </w:pPr>
          </w:p>
        </w:tc>
        <w:tc>
          <w:tcPr>
            <w:tcW w:w="661" w:type="dxa"/>
            <w:vMerge w:val="restart"/>
            <w:tcBorders>
              <w:tl2br w:val="nil"/>
              <w:tr2bl w:val="nil"/>
            </w:tcBorders>
            <w:shd w:val="clear" w:color="auto" w:fill="auto"/>
            <w:vAlign w:val="center"/>
          </w:tcPr>
          <w:p w14:paraId="0C63FEB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59" w:type="dxa"/>
            <w:tcBorders>
              <w:tl2br w:val="nil"/>
              <w:tr2bl w:val="nil"/>
            </w:tcBorders>
            <w:shd w:val="clear" w:color="auto" w:fill="auto"/>
            <w:vAlign w:val="center"/>
          </w:tcPr>
          <w:p w14:paraId="14C8679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231" w:type="dxa"/>
            <w:tcBorders>
              <w:tl2br w:val="nil"/>
              <w:tr2bl w:val="nil"/>
            </w:tcBorders>
            <w:shd w:val="clear" w:color="auto" w:fill="auto"/>
            <w:vAlign w:val="center"/>
          </w:tcPr>
          <w:p w14:paraId="34E6001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tcBorders>
              <w:tl2br w:val="nil"/>
              <w:tr2bl w:val="nil"/>
            </w:tcBorders>
            <w:shd w:val="clear" w:color="auto" w:fill="auto"/>
            <w:vAlign w:val="center"/>
          </w:tcPr>
          <w:p w14:paraId="2D72474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69" w:type="dxa"/>
            <w:tcBorders>
              <w:tl2br w:val="nil"/>
              <w:tr2bl w:val="nil"/>
            </w:tcBorders>
            <w:shd w:val="clear" w:color="auto" w:fill="auto"/>
            <w:vAlign w:val="center"/>
          </w:tcPr>
          <w:p w14:paraId="3D161DB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tcBorders>
              <w:tl2br w:val="nil"/>
              <w:tr2bl w:val="nil"/>
            </w:tcBorders>
            <w:shd w:val="clear" w:color="auto" w:fill="auto"/>
            <w:vAlign w:val="center"/>
          </w:tcPr>
          <w:p w14:paraId="7390493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7A02742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600ABC2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3" w:type="dxa"/>
            <w:tcBorders>
              <w:tl2br w:val="nil"/>
              <w:tr2bl w:val="nil"/>
            </w:tcBorders>
            <w:shd w:val="clear" w:color="auto" w:fill="auto"/>
            <w:vAlign w:val="center"/>
          </w:tcPr>
          <w:p w14:paraId="71435D8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8" w:type="dxa"/>
            <w:tcBorders>
              <w:tl2br w:val="nil"/>
              <w:tr2bl w:val="nil"/>
            </w:tcBorders>
            <w:shd w:val="clear" w:color="auto" w:fill="auto"/>
            <w:vAlign w:val="center"/>
          </w:tcPr>
          <w:p w14:paraId="6E1BAF4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tcBorders>
              <w:tl2br w:val="nil"/>
              <w:tr2bl w:val="nil"/>
            </w:tcBorders>
            <w:shd w:val="clear" w:color="auto" w:fill="auto"/>
            <w:vAlign w:val="center"/>
          </w:tcPr>
          <w:p w14:paraId="1FBF377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05" w:type="dxa"/>
            <w:tcBorders>
              <w:tl2br w:val="nil"/>
              <w:tr2bl w:val="nil"/>
            </w:tcBorders>
            <w:shd w:val="clear" w:color="auto" w:fill="auto"/>
            <w:vAlign w:val="center"/>
          </w:tcPr>
          <w:p w14:paraId="40CF2DC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46" w:type="dxa"/>
            <w:tcBorders>
              <w:tl2br w:val="nil"/>
              <w:tr2bl w:val="nil"/>
            </w:tcBorders>
            <w:shd w:val="clear" w:color="auto" w:fill="auto"/>
            <w:vAlign w:val="center"/>
          </w:tcPr>
          <w:p w14:paraId="2CB84F1A">
            <w:pPr>
              <w:jc w:val="center"/>
              <w:rPr>
                <w:rFonts w:hint="eastAsia" w:ascii="宋体" w:hAnsi="宋体" w:eastAsia="宋体" w:cs="宋体"/>
                <w:i w:val="0"/>
                <w:iCs w:val="0"/>
                <w:color w:val="000000"/>
                <w:sz w:val="20"/>
                <w:szCs w:val="20"/>
                <w:u w:val="none"/>
              </w:rPr>
            </w:pPr>
          </w:p>
        </w:tc>
      </w:tr>
      <w:tr w14:paraId="4B764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20" w:hRule="atLeast"/>
        </w:trPr>
        <w:tc>
          <w:tcPr>
            <w:tcW w:w="661" w:type="dxa"/>
            <w:vMerge w:val="continue"/>
            <w:tcBorders>
              <w:tl2br w:val="nil"/>
              <w:tr2bl w:val="nil"/>
            </w:tcBorders>
            <w:shd w:val="clear" w:color="auto" w:fill="auto"/>
            <w:vAlign w:val="center"/>
          </w:tcPr>
          <w:p w14:paraId="78122EFB">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50ED0ED9">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710C679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31" w:type="dxa"/>
            <w:tcBorders>
              <w:tl2br w:val="nil"/>
              <w:tr2bl w:val="nil"/>
            </w:tcBorders>
            <w:shd w:val="clear" w:color="auto" w:fill="auto"/>
            <w:vAlign w:val="center"/>
          </w:tcPr>
          <w:p w14:paraId="64A346D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项目的实施还可提供新的社会就业机会，让乡村富余劳动力，促进社会稳定。</w:t>
            </w:r>
          </w:p>
        </w:tc>
        <w:tc>
          <w:tcPr>
            <w:tcW w:w="1110" w:type="dxa"/>
            <w:tcBorders>
              <w:tl2br w:val="nil"/>
              <w:tr2bl w:val="nil"/>
            </w:tcBorders>
            <w:shd w:val="clear" w:color="auto" w:fill="auto"/>
            <w:vAlign w:val="center"/>
          </w:tcPr>
          <w:p w14:paraId="58055B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基本改善</w:t>
            </w:r>
          </w:p>
        </w:tc>
        <w:tc>
          <w:tcPr>
            <w:tcW w:w="869" w:type="dxa"/>
            <w:tcBorders>
              <w:tl2br w:val="nil"/>
              <w:tr2bl w:val="nil"/>
            </w:tcBorders>
            <w:shd w:val="clear" w:color="auto" w:fill="auto"/>
            <w:vAlign w:val="center"/>
          </w:tcPr>
          <w:p w14:paraId="5BB6329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7BADADF3">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45D47CB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3" w:type="dxa"/>
            <w:tcBorders>
              <w:tl2br w:val="nil"/>
              <w:tr2bl w:val="nil"/>
            </w:tcBorders>
            <w:shd w:val="clear" w:color="auto" w:fill="auto"/>
            <w:vAlign w:val="center"/>
          </w:tcPr>
          <w:p w14:paraId="2529005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053" w:type="dxa"/>
            <w:tcBorders>
              <w:tl2br w:val="nil"/>
              <w:tr2bl w:val="nil"/>
            </w:tcBorders>
            <w:shd w:val="clear" w:color="auto" w:fill="auto"/>
            <w:vAlign w:val="center"/>
          </w:tcPr>
          <w:p w14:paraId="651A903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08" w:type="dxa"/>
            <w:tcBorders>
              <w:tl2br w:val="nil"/>
              <w:tr2bl w:val="nil"/>
            </w:tcBorders>
            <w:shd w:val="clear" w:color="auto" w:fill="auto"/>
            <w:vAlign w:val="center"/>
          </w:tcPr>
          <w:p w14:paraId="1CFB7B9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tcBorders>
              <w:tl2br w:val="nil"/>
              <w:tr2bl w:val="nil"/>
            </w:tcBorders>
            <w:shd w:val="clear" w:color="auto" w:fill="auto"/>
            <w:vAlign w:val="center"/>
          </w:tcPr>
          <w:p w14:paraId="5DDCCF3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294AD49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6" w:type="dxa"/>
            <w:tcBorders>
              <w:tl2br w:val="nil"/>
              <w:tr2bl w:val="nil"/>
            </w:tcBorders>
            <w:shd w:val="clear" w:color="auto" w:fill="auto"/>
            <w:vAlign w:val="center"/>
          </w:tcPr>
          <w:p w14:paraId="538D5D2F">
            <w:pPr>
              <w:jc w:val="center"/>
              <w:rPr>
                <w:rFonts w:hint="eastAsia" w:ascii="宋体" w:hAnsi="宋体" w:eastAsia="宋体" w:cs="宋体"/>
                <w:i w:val="0"/>
                <w:iCs w:val="0"/>
                <w:color w:val="000000"/>
                <w:sz w:val="20"/>
                <w:szCs w:val="20"/>
                <w:u w:val="none"/>
              </w:rPr>
            </w:pPr>
          </w:p>
        </w:tc>
      </w:tr>
      <w:tr w14:paraId="3E185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661" w:type="dxa"/>
            <w:vMerge w:val="continue"/>
            <w:tcBorders>
              <w:tl2br w:val="nil"/>
              <w:tr2bl w:val="nil"/>
            </w:tcBorders>
            <w:shd w:val="clear" w:color="auto" w:fill="auto"/>
            <w:vAlign w:val="center"/>
          </w:tcPr>
          <w:p w14:paraId="260103E9">
            <w:pPr>
              <w:jc w:val="center"/>
              <w:rPr>
                <w:rFonts w:hint="eastAsia" w:ascii="宋体" w:hAnsi="宋体" w:eastAsia="宋体" w:cs="宋体"/>
                <w:i w:val="0"/>
                <w:iCs w:val="0"/>
                <w:color w:val="000000"/>
                <w:sz w:val="20"/>
                <w:szCs w:val="20"/>
                <w:u w:val="none"/>
              </w:rPr>
            </w:pPr>
          </w:p>
        </w:tc>
        <w:tc>
          <w:tcPr>
            <w:tcW w:w="661" w:type="dxa"/>
            <w:vMerge w:val="continue"/>
            <w:tcBorders>
              <w:tl2br w:val="nil"/>
              <w:tr2bl w:val="nil"/>
            </w:tcBorders>
            <w:shd w:val="clear" w:color="auto" w:fill="auto"/>
            <w:vAlign w:val="center"/>
          </w:tcPr>
          <w:p w14:paraId="5E393F63">
            <w:pPr>
              <w:jc w:val="center"/>
              <w:rPr>
                <w:rFonts w:hint="eastAsia" w:ascii="宋体" w:hAnsi="宋体" w:eastAsia="宋体" w:cs="宋体"/>
                <w:i w:val="0"/>
                <w:iCs w:val="0"/>
                <w:color w:val="000000"/>
                <w:sz w:val="20"/>
                <w:szCs w:val="20"/>
                <w:u w:val="none"/>
              </w:rPr>
            </w:pPr>
          </w:p>
        </w:tc>
        <w:tc>
          <w:tcPr>
            <w:tcW w:w="859" w:type="dxa"/>
            <w:tcBorders>
              <w:tl2br w:val="nil"/>
              <w:tr2bl w:val="nil"/>
            </w:tcBorders>
            <w:shd w:val="clear" w:color="auto" w:fill="auto"/>
            <w:vAlign w:val="center"/>
          </w:tcPr>
          <w:p w14:paraId="494EC0D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231" w:type="dxa"/>
            <w:tcBorders>
              <w:tl2br w:val="nil"/>
              <w:tr2bl w:val="nil"/>
            </w:tcBorders>
            <w:shd w:val="clear" w:color="auto" w:fill="auto"/>
            <w:vAlign w:val="center"/>
          </w:tcPr>
          <w:p w14:paraId="79DED85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项目建成将有利于进一步完善乡村周边基础设施建设，对人居环境改善发挥着重要作用。</w:t>
            </w:r>
          </w:p>
        </w:tc>
        <w:tc>
          <w:tcPr>
            <w:tcW w:w="1110" w:type="dxa"/>
            <w:tcBorders>
              <w:tl2br w:val="nil"/>
              <w:tr2bl w:val="nil"/>
            </w:tcBorders>
            <w:shd w:val="clear" w:color="auto" w:fill="auto"/>
            <w:vAlign w:val="center"/>
          </w:tcPr>
          <w:p w14:paraId="5E0A2F5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基本改善</w:t>
            </w:r>
          </w:p>
        </w:tc>
        <w:tc>
          <w:tcPr>
            <w:tcW w:w="869" w:type="dxa"/>
            <w:tcBorders>
              <w:tl2br w:val="nil"/>
              <w:tr2bl w:val="nil"/>
            </w:tcBorders>
            <w:shd w:val="clear" w:color="auto" w:fill="auto"/>
            <w:vAlign w:val="center"/>
          </w:tcPr>
          <w:p w14:paraId="667FAD2E">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tcBorders>
              <w:tl2br w:val="nil"/>
              <w:tr2bl w:val="nil"/>
            </w:tcBorders>
            <w:shd w:val="clear" w:color="auto" w:fill="auto"/>
            <w:vAlign w:val="center"/>
          </w:tcPr>
          <w:p w14:paraId="05D323E6">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4018A6F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3" w:type="dxa"/>
            <w:tcBorders>
              <w:tl2br w:val="nil"/>
              <w:tr2bl w:val="nil"/>
            </w:tcBorders>
            <w:shd w:val="clear" w:color="auto" w:fill="auto"/>
            <w:vAlign w:val="center"/>
          </w:tcPr>
          <w:p w14:paraId="165DF23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按评判等级赋分</w:t>
            </w:r>
          </w:p>
        </w:tc>
        <w:tc>
          <w:tcPr>
            <w:tcW w:w="1053" w:type="dxa"/>
            <w:tcBorders>
              <w:tl2br w:val="nil"/>
              <w:tr2bl w:val="nil"/>
            </w:tcBorders>
            <w:shd w:val="clear" w:color="auto" w:fill="auto"/>
            <w:vAlign w:val="center"/>
          </w:tcPr>
          <w:p w14:paraId="3AAADE1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说明材料</w:t>
            </w:r>
          </w:p>
        </w:tc>
        <w:tc>
          <w:tcPr>
            <w:tcW w:w="1008" w:type="dxa"/>
            <w:tcBorders>
              <w:tl2br w:val="nil"/>
              <w:tr2bl w:val="nil"/>
            </w:tcBorders>
            <w:shd w:val="clear" w:color="auto" w:fill="auto"/>
            <w:vAlign w:val="center"/>
          </w:tcPr>
          <w:p w14:paraId="2028F7EA">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tcBorders>
              <w:tl2br w:val="nil"/>
              <w:tr2bl w:val="nil"/>
            </w:tcBorders>
            <w:shd w:val="clear" w:color="auto" w:fill="auto"/>
            <w:vAlign w:val="center"/>
          </w:tcPr>
          <w:p w14:paraId="47CE6A5F">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00F67D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6" w:type="dxa"/>
            <w:tcBorders>
              <w:tl2br w:val="nil"/>
              <w:tr2bl w:val="nil"/>
            </w:tcBorders>
            <w:shd w:val="clear" w:color="auto" w:fill="auto"/>
            <w:vAlign w:val="center"/>
          </w:tcPr>
          <w:p w14:paraId="3ACEC45D">
            <w:pPr>
              <w:jc w:val="center"/>
              <w:rPr>
                <w:rFonts w:hint="eastAsia" w:ascii="宋体" w:hAnsi="宋体" w:eastAsia="宋体" w:cs="宋体"/>
                <w:i w:val="0"/>
                <w:iCs w:val="0"/>
                <w:color w:val="000000"/>
                <w:sz w:val="20"/>
                <w:szCs w:val="20"/>
                <w:u w:val="none"/>
              </w:rPr>
            </w:pPr>
          </w:p>
        </w:tc>
      </w:tr>
      <w:tr w14:paraId="71348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661" w:type="dxa"/>
            <w:vMerge w:val="continue"/>
            <w:tcBorders>
              <w:tl2br w:val="nil"/>
              <w:tr2bl w:val="nil"/>
            </w:tcBorders>
            <w:shd w:val="clear" w:color="auto" w:fill="auto"/>
            <w:vAlign w:val="center"/>
          </w:tcPr>
          <w:p w14:paraId="7700A382">
            <w:pPr>
              <w:jc w:val="center"/>
              <w:rPr>
                <w:rFonts w:hint="eastAsia" w:ascii="宋体" w:hAnsi="宋体" w:eastAsia="宋体" w:cs="宋体"/>
                <w:i w:val="0"/>
                <w:iCs w:val="0"/>
                <w:color w:val="000000"/>
                <w:sz w:val="20"/>
                <w:szCs w:val="20"/>
                <w:u w:val="none"/>
              </w:rPr>
            </w:pPr>
          </w:p>
        </w:tc>
        <w:tc>
          <w:tcPr>
            <w:tcW w:w="661" w:type="dxa"/>
            <w:tcBorders>
              <w:tl2br w:val="nil"/>
              <w:tr2bl w:val="nil"/>
            </w:tcBorders>
            <w:shd w:val="clear" w:color="auto" w:fill="auto"/>
            <w:vAlign w:val="center"/>
          </w:tcPr>
          <w:p w14:paraId="22361BC9">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59" w:type="dxa"/>
            <w:tcBorders>
              <w:tl2br w:val="nil"/>
              <w:tr2bl w:val="nil"/>
            </w:tcBorders>
            <w:shd w:val="clear" w:color="auto" w:fill="auto"/>
            <w:vAlign w:val="center"/>
          </w:tcPr>
          <w:p w14:paraId="23A70B6D">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31" w:type="dxa"/>
            <w:tcBorders>
              <w:tl2br w:val="nil"/>
              <w:tr2bl w:val="nil"/>
            </w:tcBorders>
            <w:shd w:val="clear" w:color="auto" w:fill="auto"/>
            <w:noWrap/>
            <w:vAlign w:val="center"/>
          </w:tcPr>
          <w:p w14:paraId="6170F3D7">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周边百姓满意度</w:t>
            </w:r>
          </w:p>
        </w:tc>
        <w:tc>
          <w:tcPr>
            <w:tcW w:w="1110" w:type="dxa"/>
            <w:tcBorders>
              <w:tl2br w:val="nil"/>
              <w:tr2bl w:val="nil"/>
            </w:tcBorders>
            <w:shd w:val="clear" w:color="auto" w:fill="auto"/>
            <w:vAlign w:val="center"/>
          </w:tcPr>
          <w:p w14:paraId="70A60C05">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869" w:type="dxa"/>
            <w:tcBorders>
              <w:tl2br w:val="nil"/>
              <w:tr2bl w:val="nil"/>
            </w:tcBorders>
            <w:shd w:val="clear" w:color="auto" w:fill="auto"/>
            <w:vAlign w:val="center"/>
          </w:tcPr>
          <w:p w14:paraId="30E19EA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历史标准</w:t>
            </w:r>
          </w:p>
        </w:tc>
        <w:tc>
          <w:tcPr>
            <w:tcW w:w="870" w:type="dxa"/>
            <w:tcBorders>
              <w:tl2br w:val="nil"/>
              <w:tr2bl w:val="nil"/>
            </w:tcBorders>
            <w:shd w:val="clear" w:color="auto" w:fill="auto"/>
            <w:vAlign w:val="center"/>
          </w:tcPr>
          <w:p w14:paraId="12523F17">
            <w:pPr>
              <w:keepNext w:val="0"/>
              <w:keepLines w:val="0"/>
              <w:widowControl/>
              <w:suppressLineNumbers w:val="0"/>
              <w:ind w:firstLine="400" w:firstLineChars="200"/>
              <w:jc w:val="center"/>
              <w:textAlignment w:val="center"/>
            </w:pPr>
            <w:r>
              <w:rPr>
                <w:rFonts w:hint="eastAsia" w:ascii="宋体" w:hAnsi="宋体" w:eastAsia="宋体" w:cs="宋体"/>
                <w:i w:val="0"/>
                <w:iCs w:val="0"/>
                <w:color w:val="000000"/>
                <w:kern w:val="0"/>
                <w:sz w:val="20"/>
                <w:szCs w:val="20"/>
                <w:u w:val="none"/>
                <w:lang w:val="en-US" w:eastAsia="zh-CN" w:bidi="ar"/>
              </w:rPr>
              <w:t>-</w:t>
            </w:r>
          </w:p>
        </w:tc>
        <w:tc>
          <w:tcPr>
            <w:tcW w:w="943" w:type="dxa"/>
            <w:tcBorders>
              <w:tl2br w:val="nil"/>
              <w:tr2bl w:val="nil"/>
            </w:tcBorders>
            <w:shd w:val="clear" w:color="auto" w:fill="auto"/>
            <w:vAlign w:val="center"/>
          </w:tcPr>
          <w:p w14:paraId="1925AE1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3" w:type="dxa"/>
            <w:tcBorders>
              <w:tl2br w:val="nil"/>
              <w:tr2bl w:val="nil"/>
            </w:tcBorders>
            <w:shd w:val="clear" w:color="auto" w:fill="auto"/>
            <w:vAlign w:val="center"/>
          </w:tcPr>
          <w:p w14:paraId="08EF883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1053" w:type="dxa"/>
            <w:tcBorders>
              <w:tl2br w:val="nil"/>
              <w:tr2bl w:val="nil"/>
            </w:tcBorders>
            <w:shd w:val="clear" w:color="auto" w:fill="auto"/>
            <w:vAlign w:val="center"/>
          </w:tcPr>
          <w:p w14:paraId="4B9C3061">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8" w:type="dxa"/>
            <w:tcBorders>
              <w:tl2br w:val="nil"/>
              <w:tr2bl w:val="nil"/>
            </w:tcBorders>
            <w:shd w:val="clear" w:color="auto" w:fill="auto"/>
            <w:vAlign w:val="center"/>
          </w:tcPr>
          <w:p w14:paraId="16710628">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15" w:type="dxa"/>
            <w:tcBorders>
              <w:tl2br w:val="nil"/>
              <w:tr2bl w:val="nil"/>
            </w:tcBorders>
            <w:shd w:val="clear" w:color="auto" w:fill="auto"/>
            <w:vAlign w:val="center"/>
          </w:tcPr>
          <w:p w14:paraId="0C5A8F12">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5" w:type="dxa"/>
            <w:tcBorders>
              <w:tl2br w:val="nil"/>
              <w:tr2bl w:val="nil"/>
            </w:tcBorders>
            <w:shd w:val="clear" w:color="auto" w:fill="auto"/>
            <w:vAlign w:val="center"/>
          </w:tcPr>
          <w:p w14:paraId="536AFCE3">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46" w:type="dxa"/>
            <w:tcBorders>
              <w:tl2br w:val="nil"/>
              <w:tr2bl w:val="nil"/>
            </w:tcBorders>
            <w:shd w:val="clear" w:color="auto" w:fill="auto"/>
            <w:vAlign w:val="center"/>
          </w:tcPr>
          <w:p w14:paraId="6D58A2E6">
            <w:pPr>
              <w:jc w:val="center"/>
              <w:rPr>
                <w:rFonts w:hint="eastAsia" w:ascii="宋体" w:hAnsi="宋体" w:eastAsia="宋体" w:cs="宋体"/>
                <w:i w:val="0"/>
                <w:iCs w:val="0"/>
                <w:color w:val="000000"/>
                <w:sz w:val="20"/>
                <w:szCs w:val="20"/>
                <w:u w:val="none"/>
              </w:rPr>
            </w:pPr>
          </w:p>
        </w:tc>
      </w:tr>
      <w:tr w14:paraId="65DCF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trPr>
        <w:tc>
          <w:tcPr>
            <w:tcW w:w="3412" w:type="dxa"/>
            <w:gridSpan w:val="4"/>
            <w:tcBorders>
              <w:tl2br w:val="nil"/>
              <w:tr2bl w:val="nil"/>
            </w:tcBorders>
            <w:shd w:val="clear" w:color="auto" w:fill="auto"/>
            <w:vAlign w:val="center"/>
          </w:tcPr>
          <w:p w14:paraId="0ABF386C">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10" w:type="dxa"/>
            <w:tcBorders>
              <w:tl2br w:val="nil"/>
              <w:tr2bl w:val="nil"/>
            </w:tcBorders>
            <w:shd w:val="clear" w:color="auto" w:fill="auto"/>
            <w:vAlign w:val="center"/>
          </w:tcPr>
          <w:p w14:paraId="585B46A3">
            <w:pPr>
              <w:jc w:val="center"/>
              <w:rPr>
                <w:rFonts w:hint="eastAsia" w:ascii="宋体" w:hAnsi="宋体" w:eastAsia="宋体" w:cs="宋体"/>
                <w:i w:val="0"/>
                <w:iCs w:val="0"/>
                <w:color w:val="000000"/>
                <w:sz w:val="20"/>
                <w:szCs w:val="20"/>
                <w:u w:val="none"/>
              </w:rPr>
            </w:pPr>
          </w:p>
        </w:tc>
        <w:tc>
          <w:tcPr>
            <w:tcW w:w="869" w:type="dxa"/>
            <w:tcBorders>
              <w:tl2br w:val="nil"/>
              <w:tr2bl w:val="nil"/>
            </w:tcBorders>
            <w:shd w:val="clear" w:color="auto" w:fill="auto"/>
            <w:vAlign w:val="center"/>
          </w:tcPr>
          <w:p w14:paraId="36271F81">
            <w:pPr>
              <w:rPr>
                <w:rFonts w:hint="eastAsia" w:ascii="宋体" w:hAnsi="宋体" w:eastAsia="宋体" w:cs="宋体"/>
                <w:b/>
                <w:bCs/>
                <w:i w:val="0"/>
                <w:iCs w:val="0"/>
                <w:color w:val="000000"/>
                <w:sz w:val="20"/>
                <w:szCs w:val="20"/>
                <w:u w:val="none"/>
              </w:rPr>
            </w:pPr>
          </w:p>
        </w:tc>
        <w:tc>
          <w:tcPr>
            <w:tcW w:w="870" w:type="dxa"/>
            <w:tcBorders>
              <w:tl2br w:val="nil"/>
              <w:tr2bl w:val="nil"/>
            </w:tcBorders>
            <w:shd w:val="clear" w:color="auto" w:fill="auto"/>
            <w:vAlign w:val="center"/>
          </w:tcPr>
          <w:p w14:paraId="1561E71B">
            <w:pPr>
              <w:jc w:val="center"/>
            </w:pPr>
          </w:p>
        </w:tc>
        <w:tc>
          <w:tcPr>
            <w:tcW w:w="943" w:type="dxa"/>
            <w:tcBorders>
              <w:tl2br w:val="nil"/>
              <w:tr2bl w:val="nil"/>
            </w:tcBorders>
            <w:shd w:val="clear" w:color="auto" w:fill="auto"/>
            <w:vAlign w:val="center"/>
          </w:tcPr>
          <w:p w14:paraId="2F06FE26">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43" w:type="dxa"/>
            <w:tcBorders>
              <w:tl2br w:val="nil"/>
              <w:tr2bl w:val="nil"/>
            </w:tcBorders>
            <w:shd w:val="clear" w:color="auto" w:fill="auto"/>
            <w:vAlign w:val="center"/>
          </w:tcPr>
          <w:p w14:paraId="79D021C3">
            <w:pPr>
              <w:jc w:val="center"/>
              <w:rPr>
                <w:rFonts w:hint="eastAsia" w:ascii="宋体" w:hAnsi="宋体" w:eastAsia="宋体" w:cs="宋体"/>
                <w:i w:val="0"/>
                <w:iCs w:val="0"/>
                <w:color w:val="000000"/>
                <w:sz w:val="20"/>
                <w:szCs w:val="20"/>
                <w:u w:val="none"/>
              </w:rPr>
            </w:pPr>
          </w:p>
        </w:tc>
        <w:tc>
          <w:tcPr>
            <w:tcW w:w="1053" w:type="dxa"/>
            <w:tcBorders>
              <w:tl2br w:val="nil"/>
              <w:tr2bl w:val="nil"/>
            </w:tcBorders>
            <w:shd w:val="clear" w:color="auto" w:fill="auto"/>
            <w:vAlign w:val="center"/>
          </w:tcPr>
          <w:p w14:paraId="2E2396DF">
            <w:pPr>
              <w:rPr>
                <w:rFonts w:hint="eastAsia" w:ascii="宋体" w:hAnsi="宋体" w:eastAsia="宋体" w:cs="宋体"/>
                <w:i w:val="0"/>
                <w:iCs w:val="0"/>
                <w:color w:val="000000"/>
                <w:sz w:val="20"/>
                <w:szCs w:val="20"/>
                <w:u w:val="none"/>
              </w:rPr>
            </w:pPr>
          </w:p>
        </w:tc>
        <w:tc>
          <w:tcPr>
            <w:tcW w:w="1008" w:type="dxa"/>
            <w:tcBorders>
              <w:tl2br w:val="nil"/>
              <w:tr2bl w:val="nil"/>
            </w:tcBorders>
            <w:shd w:val="clear" w:color="auto" w:fill="auto"/>
            <w:vAlign w:val="center"/>
          </w:tcPr>
          <w:p w14:paraId="13797165">
            <w:pPr>
              <w:jc w:val="center"/>
              <w:rPr>
                <w:rFonts w:hint="eastAsia" w:ascii="宋体" w:hAnsi="宋体" w:eastAsia="宋体" w:cs="宋体"/>
                <w:i w:val="0"/>
                <w:iCs w:val="0"/>
                <w:color w:val="000000"/>
                <w:sz w:val="20"/>
                <w:szCs w:val="20"/>
                <w:u w:val="none"/>
              </w:rPr>
            </w:pPr>
          </w:p>
        </w:tc>
        <w:tc>
          <w:tcPr>
            <w:tcW w:w="1115" w:type="dxa"/>
            <w:tcBorders>
              <w:tl2br w:val="nil"/>
              <w:tr2bl w:val="nil"/>
            </w:tcBorders>
            <w:shd w:val="clear" w:color="auto" w:fill="auto"/>
            <w:vAlign w:val="center"/>
          </w:tcPr>
          <w:p w14:paraId="04604831">
            <w:pPr>
              <w:jc w:val="center"/>
              <w:rPr>
                <w:rFonts w:hint="eastAsia" w:ascii="宋体" w:hAnsi="宋体" w:eastAsia="宋体" w:cs="宋体"/>
                <w:i w:val="0"/>
                <w:iCs w:val="0"/>
                <w:color w:val="000000"/>
                <w:sz w:val="20"/>
                <w:szCs w:val="20"/>
                <w:u w:val="none"/>
              </w:rPr>
            </w:pPr>
          </w:p>
        </w:tc>
        <w:tc>
          <w:tcPr>
            <w:tcW w:w="1305" w:type="dxa"/>
            <w:tcBorders>
              <w:tl2br w:val="nil"/>
              <w:tr2bl w:val="nil"/>
            </w:tcBorders>
            <w:shd w:val="clear" w:color="auto" w:fill="auto"/>
            <w:vAlign w:val="center"/>
          </w:tcPr>
          <w:p w14:paraId="07A4D044">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89.45</w:t>
            </w:r>
          </w:p>
        </w:tc>
        <w:tc>
          <w:tcPr>
            <w:tcW w:w="1546" w:type="dxa"/>
            <w:tcBorders>
              <w:tl2br w:val="nil"/>
              <w:tr2bl w:val="nil"/>
            </w:tcBorders>
            <w:shd w:val="clear" w:color="auto" w:fill="auto"/>
            <w:vAlign w:val="center"/>
          </w:tcPr>
          <w:p w14:paraId="4689F444">
            <w:pPr>
              <w:rPr>
                <w:rFonts w:hint="eastAsia" w:ascii="宋体" w:hAnsi="宋体" w:eastAsia="宋体" w:cs="宋体"/>
                <w:i w:val="0"/>
                <w:iCs w:val="0"/>
                <w:color w:val="000000"/>
                <w:sz w:val="20"/>
                <w:szCs w:val="20"/>
                <w:u w:val="none"/>
              </w:rPr>
            </w:pPr>
          </w:p>
        </w:tc>
      </w:tr>
    </w:tbl>
    <w:p w14:paraId="49712A7F">
      <w:pPr>
        <w:pStyle w:val="3"/>
        <w:rPr>
          <w:rFonts w:hint="default"/>
          <w:color w:val="auto"/>
          <w:lang w:val="en-US" w:eastAsia="zh-CN"/>
        </w:rPr>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start="1"/>
          <w:cols w:space="720" w:num="1"/>
          <w:docGrid w:type="lines" w:linePitch="408" w:charSpace="0"/>
        </w:sectPr>
      </w:pPr>
    </w:p>
    <w:p w14:paraId="763E5036">
      <w:pPr>
        <w:pStyle w:val="4"/>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7" w:name="_Toc15067"/>
      <w:r>
        <w:rPr>
          <w:rFonts w:hint="eastAsia" w:ascii="宋体" w:hAnsi="宋体" w:eastAsia="宋体" w:cs="宋体"/>
          <w:b/>
          <w:bCs/>
          <w:color w:val="auto"/>
          <w:highlight w:val="none"/>
          <w:shd w:val="clear" w:color="auto" w:fill="auto"/>
          <w:lang w:val="en-US" w:eastAsia="zh-CN"/>
        </w:rPr>
        <w:t>附件二、项目支出绩效评价指标体系打分表</w:t>
      </w:r>
      <w:bookmarkEnd w:id="87"/>
    </w:p>
    <w:tbl>
      <w:tblPr>
        <w:tblStyle w:val="12"/>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1277"/>
        <w:gridCol w:w="1872"/>
        <w:gridCol w:w="7633"/>
        <w:gridCol w:w="785"/>
        <w:gridCol w:w="769"/>
      </w:tblGrid>
      <w:tr w14:paraId="68925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92" w:hRule="atLeast"/>
          <w:tblHeader/>
          <w:jc w:val="center"/>
        </w:trPr>
        <w:tc>
          <w:tcPr>
            <w:tcW w:w="861" w:type="dxa"/>
            <w:shd w:val="clear" w:color="auto" w:fill="auto"/>
            <w:noWrap w:val="0"/>
            <w:vAlign w:val="center"/>
          </w:tcPr>
          <w:p w14:paraId="3E41C4D5">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一级指标</w:t>
            </w:r>
          </w:p>
        </w:tc>
        <w:tc>
          <w:tcPr>
            <w:tcW w:w="727" w:type="dxa"/>
            <w:shd w:val="clear" w:color="auto" w:fill="auto"/>
            <w:noWrap w:val="0"/>
            <w:vAlign w:val="center"/>
          </w:tcPr>
          <w:p w14:paraId="6DF61980">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二级指标</w:t>
            </w:r>
          </w:p>
        </w:tc>
        <w:tc>
          <w:tcPr>
            <w:tcW w:w="1277" w:type="dxa"/>
            <w:shd w:val="clear" w:color="auto" w:fill="auto"/>
            <w:noWrap w:val="0"/>
            <w:vAlign w:val="center"/>
          </w:tcPr>
          <w:p w14:paraId="534FEEC7">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三级指标</w:t>
            </w:r>
          </w:p>
        </w:tc>
        <w:tc>
          <w:tcPr>
            <w:tcW w:w="1872" w:type="dxa"/>
            <w:shd w:val="clear" w:color="auto" w:fill="auto"/>
            <w:noWrap w:val="0"/>
            <w:vAlign w:val="center"/>
          </w:tcPr>
          <w:p w14:paraId="22B95CDE">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指标解释</w:t>
            </w:r>
          </w:p>
        </w:tc>
        <w:tc>
          <w:tcPr>
            <w:tcW w:w="7633" w:type="dxa"/>
            <w:shd w:val="clear" w:color="auto" w:fill="auto"/>
            <w:noWrap w:val="0"/>
            <w:vAlign w:val="center"/>
          </w:tcPr>
          <w:p w14:paraId="568348FB">
            <w:pPr>
              <w:widowControl/>
              <w:spacing w:line="0" w:lineRule="atLeast"/>
              <w:ind w:firstLine="0" w:firstLineChars="0"/>
              <w:jc w:val="center"/>
              <w:rPr>
                <w:rFonts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指标说明</w:t>
            </w:r>
          </w:p>
        </w:tc>
        <w:tc>
          <w:tcPr>
            <w:tcW w:w="785" w:type="dxa"/>
            <w:shd w:val="clear" w:color="auto" w:fill="auto"/>
            <w:noWrap w:val="0"/>
            <w:vAlign w:val="center"/>
          </w:tcPr>
          <w:p w14:paraId="3CABAEF0">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分值</w:t>
            </w:r>
          </w:p>
        </w:tc>
        <w:tc>
          <w:tcPr>
            <w:tcW w:w="769" w:type="dxa"/>
            <w:shd w:val="clear" w:color="auto" w:fill="auto"/>
            <w:noWrap w:val="0"/>
            <w:vAlign w:val="center"/>
          </w:tcPr>
          <w:p w14:paraId="642070A1">
            <w:pPr>
              <w:widowControl/>
              <w:spacing w:line="0" w:lineRule="atLeast"/>
              <w:ind w:firstLine="0" w:firstLineChars="0"/>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得分</w:t>
            </w:r>
          </w:p>
        </w:tc>
      </w:tr>
      <w:tr w14:paraId="59005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noWrap w:val="0"/>
            <w:vAlign w:val="center"/>
          </w:tcPr>
          <w:p w14:paraId="22C3F24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p w14:paraId="3FA73E92">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19385EBE">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727" w:type="dxa"/>
            <w:vMerge w:val="restart"/>
            <w:shd w:val="clear" w:color="auto" w:fill="auto"/>
            <w:noWrap w:val="0"/>
            <w:vAlign w:val="center"/>
          </w:tcPr>
          <w:p w14:paraId="126A2BAC">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　</w:t>
            </w:r>
          </w:p>
        </w:tc>
        <w:tc>
          <w:tcPr>
            <w:tcW w:w="1277" w:type="dxa"/>
            <w:shd w:val="clear" w:color="auto" w:fill="auto"/>
            <w:noWrap w:val="0"/>
            <w:vAlign w:val="center"/>
          </w:tcPr>
          <w:p w14:paraId="2C1AB656">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立项依据</w:t>
            </w:r>
          </w:p>
          <w:p w14:paraId="71CBDFE3">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充分性</w:t>
            </w:r>
          </w:p>
        </w:tc>
        <w:tc>
          <w:tcPr>
            <w:tcW w:w="1872" w:type="dxa"/>
            <w:shd w:val="clear" w:color="auto" w:fill="auto"/>
            <w:noWrap w:val="0"/>
            <w:vAlign w:val="center"/>
          </w:tcPr>
          <w:p w14:paraId="0264E36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项目立项是否符合法律法规、相关政策、发展规划以及部门职责，用以反映和考核项目立项依据情况。</w:t>
            </w:r>
          </w:p>
        </w:tc>
        <w:tc>
          <w:tcPr>
            <w:tcW w:w="7633" w:type="dxa"/>
            <w:shd w:val="clear" w:color="auto" w:fill="auto"/>
            <w:noWrap w:val="0"/>
            <w:vAlign w:val="center"/>
          </w:tcPr>
          <w:p w14:paraId="4458BD0B">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A899A58">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①项目立项是否符合国家法律法规、国民经济发展规划和相关政策；</w:t>
            </w:r>
          </w:p>
          <w:p w14:paraId="4EFF2172">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②项目立项是否符合行业发展规划和政策要求；</w:t>
            </w:r>
          </w:p>
          <w:p w14:paraId="68F3784B">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③项目立项是否与部门职责范围相符，属于部门履职所需；</w:t>
            </w:r>
          </w:p>
          <w:p w14:paraId="5BD4A5B3">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④项目是否属于公共财政支持范围，是否符合中央、地方事权支出责任划分原则；</w:t>
            </w:r>
          </w:p>
          <w:p w14:paraId="43B4C6B9">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⑤项目是否与相关部门同类项目或部门内部相关项目重复。</w:t>
            </w:r>
          </w:p>
        </w:tc>
        <w:tc>
          <w:tcPr>
            <w:tcW w:w="785" w:type="dxa"/>
            <w:shd w:val="clear" w:color="auto" w:fill="auto"/>
            <w:noWrap w:val="0"/>
            <w:vAlign w:val="center"/>
          </w:tcPr>
          <w:p w14:paraId="139524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742EBBF7">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040BDF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shd w:val="clear" w:color="auto" w:fill="auto"/>
            <w:noWrap w:val="0"/>
            <w:vAlign w:val="center"/>
          </w:tcPr>
          <w:p w14:paraId="0EEA6973">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439C6CEA">
            <w:pPr>
              <w:widowControl/>
              <w:spacing w:line="0" w:lineRule="atLeast"/>
              <w:ind w:firstLine="0" w:firstLineChars="0"/>
              <w:jc w:val="center"/>
              <w:rPr>
                <w:rFonts w:ascii="宋体" w:hAnsi="宋体" w:eastAsia="宋体" w:cs="宋体"/>
                <w:color w:val="auto"/>
                <w:kern w:val="0"/>
                <w:sz w:val="22"/>
                <w:szCs w:val="22"/>
                <w:highlight w:val="none"/>
              </w:rPr>
            </w:pPr>
          </w:p>
        </w:tc>
        <w:tc>
          <w:tcPr>
            <w:tcW w:w="1277" w:type="dxa"/>
            <w:shd w:val="clear" w:color="auto" w:fill="auto"/>
            <w:noWrap w:val="0"/>
            <w:vAlign w:val="center"/>
          </w:tcPr>
          <w:p w14:paraId="4375CE41">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立项程序</w:t>
            </w:r>
          </w:p>
          <w:p w14:paraId="2E5482CB">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规范性</w:t>
            </w:r>
          </w:p>
        </w:tc>
        <w:tc>
          <w:tcPr>
            <w:tcW w:w="1872" w:type="dxa"/>
            <w:shd w:val="clear" w:color="auto" w:fill="auto"/>
            <w:noWrap w:val="0"/>
            <w:vAlign w:val="center"/>
          </w:tcPr>
          <w:p w14:paraId="249D379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项目申请、设立过程是否符合相关要求，用以反映和考核项目立项的规范情况。</w:t>
            </w:r>
          </w:p>
        </w:tc>
        <w:tc>
          <w:tcPr>
            <w:tcW w:w="7633" w:type="dxa"/>
            <w:shd w:val="clear" w:color="auto" w:fill="auto"/>
            <w:noWrap w:val="0"/>
            <w:vAlign w:val="center"/>
          </w:tcPr>
          <w:p w14:paraId="28D3ABD5">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1E757BA1">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①项目是否按照规定的程序申请设立；</w:t>
            </w:r>
          </w:p>
          <w:p w14:paraId="6EEDE183">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②审批文件、材料是否符合相关要求；</w:t>
            </w:r>
          </w:p>
          <w:p w14:paraId="618A4E03">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③事前是否已经过必要的可行性研究、专家论证、风险评估、绩效评估、集体决策。</w:t>
            </w:r>
          </w:p>
        </w:tc>
        <w:tc>
          <w:tcPr>
            <w:tcW w:w="785" w:type="dxa"/>
            <w:shd w:val="clear" w:color="auto" w:fill="auto"/>
            <w:noWrap w:val="0"/>
            <w:vAlign w:val="center"/>
          </w:tcPr>
          <w:p w14:paraId="3ED7DF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13F6D381">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5D16B8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shd w:val="clear" w:color="auto" w:fill="auto"/>
            <w:noWrap w:val="0"/>
            <w:vAlign w:val="center"/>
          </w:tcPr>
          <w:p w14:paraId="403EF33D">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2BF32F3D">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　</w:t>
            </w:r>
          </w:p>
        </w:tc>
        <w:tc>
          <w:tcPr>
            <w:tcW w:w="1277" w:type="dxa"/>
            <w:shd w:val="clear" w:color="auto" w:fill="auto"/>
            <w:noWrap w:val="0"/>
            <w:vAlign w:val="center"/>
          </w:tcPr>
          <w:p w14:paraId="74E83D6D">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p w14:paraId="050C05E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1872" w:type="dxa"/>
            <w:shd w:val="clear" w:color="auto" w:fill="auto"/>
            <w:noWrap w:val="0"/>
            <w:vAlign w:val="center"/>
          </w:tcPr>
          <w:p w14:paraId="0EBEBD0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项目所设定的绩效目标是否依据充分，是否符合客观实际，用以反映和考核项目绩效目标与项目实施的相符情况。</w:t>
            </w:r>
          </w:p>
        </w:tc>
        <w:tc>
          <w:tcPr>
            <w:tcW w:w="7633" w:type="dxa"/>
            <w:shd w:val="clear" w:color="auto" w:fill="auto"/>
            <w:noWrap w:val="0"/>
            <w:vAlign w:val="center"/>
          </w:tcPr>
          <w:p w14:paraId="59076AE6">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598812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（如未设定预算绩效目标，也可考核其他工作任务目标）</w:t>
            </w:r>
          </w:p>
          <w:p w14:paraId="09E7D690">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①项目是否有绩效目标；</w:t>
            </w:r>
          </w:p>
          <w:p w14:paraId="4EFE2A53">
            <w:pPr>
              <w:widowControl/>
              <w:spacing w:line="0" w:lineRule="atLeast"/>
              <w:ind w:firstLine="0" w:firstLineChars="0"/>
              <w:jc w:val="left"/>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②项目绩效目标与实际工作内容是否具有相关性；</w:t>
            </w:r>
          </w:p>
          <w:p w14:paraId="0B3D1450">
            <w:pPr>
              <w:widowControl/>
              <w:spacing w:line="0" w:lineRule="atLeast"/>
              <w:ind w:firstLine="0" w:firstLineChars="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③项目预期产出效益和效果是否符合正常的业绩水平；</w:t>
            </w:r>
          </w:p>
          <w:p w14:paraId="12252616">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④是否与预算确定的项目投资额或资金量相匹配。</w:t>
            </w:r>
          </w:p>
        </w:tc>
        <w:tc>
          <w:tcPr>
            <w:tcW w:w="785" w:type="dxa"/>
            <w:shd w:val="clear" w:color="auto" w:fill="auto"/>
            <w:noWrap w:val="0"/>
            <w:vAlign w:val="center"/>
          </w:tcPr>
          <w:p w14:paraId="6055EE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47EFFBD8">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5F7B5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4" w:hRule="atLeast"/>
          <w:jc w:val="center"/>
        </w:trPr>
        <w:tc>
          <w:tcPr>
            <w:tcW w:w="861" w:type="dxa"/>
            <w:vMerge w:val="restart"/>
            <w:shd w:val="clear" w:color="auto" w:fill="auto"/>
            <w:noWrap w:val="0"/>
            <w:vAlign w:val="center"/>
          </w:tcPr>
          <w:p w14:paraId="24E2AEA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决策　</w:t>
            </w:r>
          </w:p>
        </w:tc>
        <w:tc>
          <w:tcPr>
            <w:tcW w:w="727" w:type="dxa"/>
            <w:shd w:val="clear" w:color="auto" w:fill="auto"/>
            <w:noWrap w:val="0"/>
            <w:vAlign w:val="center"/>
          </w:tcPr>
          <w:p w14:paraId="4C992C2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绩效目标</w:t>
            </w:r>
          </w:p>
        </w:tc>
        <w:tc>
          <w:tcPr>
            <w:tcW w:w="1277" w:type="dxa"/>
            <w:shd w:val="clear" w:color="auto" w:fill="auto"/>
            <w:noWrap w:val="0"/>
            <w:vAlign w:val="center"/>
          </w:tcPr>
          <w:p w14:paraId="2D19409A">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绩效指标</w:t>
            </w:r>
          </w:p>
          <w:p w14:paraId="067F16B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明确性</w:t>
            </w:r>
          </w:p>
        </w:tc>
        <w:tc>
          <w:tcPr>
            <w:tcW w:w="1872" w:type="dxa"/>
            <w:shd w:val="clear" w:color="auto" w:fill="auto"/>
            <w:noWrap w:val="0"/>
            <w:vAlign w:val="center"/>
          </w:tcPr>
          <w:p w14:paraId="146A4AA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依据绩效目标设定的绩效指标是否清晰、细化、可衡量等，用以反映和考核项目绩效目标的明细化情况。</w:t>
            </w:r>
          </w:p>
        </w:tc>
        <w:tc>
          <w:tcPr>
            <w:tcW w:w="7633" w:type="dxa"/>
            <w:shd w:val="clear" w:color="auto" w:fill="auto"/>
            <w:noWrap w:val="0"/>
            <w:vAlign w:val="center"/>
          </w:tcPr>
          <w:p w14:paraId="5893432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ABC3BF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①是否将项目绩效目标细化分解为具体的绩效指标；</w:t>
            </w:r>
          </w:p>
          <w:p w14:paraId="2BA892E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②是否通过清晰、可衡量的指标值予以体现；</w:t>
            </w:r>
          </w:p>
          <w:p w14:paraId="007F5EF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③是否与项目目标任务数或计划数相对应。</w:t>
            </w:r>
          </w:p>
          <w:p w14:paraId="1674EA4D">
            <w:pPr>
              <w:widowControl/>
              <w:spacing w:line="0" w:lineRule="atLeast"/>
              <w:ind w:firstLine="0" w:firstLineChars="0"/>
              <w:rPr>
                <w:rFonts w:hint="eastAsia" w:ascii="宋体" w:hAnsi="宋体" w:eastAsia="宋体" w:cs="宋体"/>
                <w:color w:val="auto"/>
                <w:kern w:val="0"/>
                <w:sz w:val="22"/>
                <w:szCs w:val="22"/>
                <w:highlight w:val="none"/>
                <w:lang w:eastAsia="zh-CN"/>
              </w:rPr>
            </w:pPr>
          </w:p>
        </w:tc>
        <w:tc>
          <w:tcPr>
            <w:tcW w:w="785" w:type="dxa"/>
            <w:shd w:val="clear" w:color="auto" w:fill="auto"/>
            <w:noWrap w:val="0"/>
            <w:vAlign w:val="center"/>
          </w:tcPr>
          <w:p w14:paraId="0FBAC2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noWrap w:val="0"/>
            <w:vAlign w:val="center"/>
          </w:tcPr>
          <w:p w14:paraId="03129C04">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5</w:t>
            </w:r>
          </w:p>
        </w:tc>
      </w:tr>
      <w:tr w14:paraId="56DEF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42" w:hRule="atLeast"/>
          <w:jc w:val="center"/>
        </w:trPr>
        <w:tc>
          <w:tcPr>
            <w:tcW w:w="861" w:type="dxa"/>
            <w:vMerge w:val="continue"/>
            <w:shd w:val="clear" w:color="auto" w:fill="auto"/>
            <w:noWrap w:val="0"/>
            <w:vAlign w:val="center"/>
          </w:tcPr>
          <w:p w14:paraId="2F523370">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7E0E68F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资金投入</w:t>
            </w:r>
          </w:p>
          <w:p w14:paraId="63CE297C">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277" w:type="dxa"/>
            <w:shd w:val="clear" w:color="auto" w:fill="auto"/>
            <w:noWrap w:val="0"/>
            <w:vAlign w:val="center"/>
          </w:tcPr>
          <w:p w14:paraId="15CFF12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预算编制</w:t>
            </w:r>
          </w:p>
          <w:p w14:paraId="643A4ED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科学性</w:t>
            </w:r>
          </w:p>
        </w:tc>
        <w:tc>
          <w:tcPr>
            <w:tcW w:w="1872" w:type="dxa"/>
            <w:shd w:val="clear" w:color="auto" w:fill="auto"/>
            <w:noWrap w:val="0"/>
            <w:vAlign w:val="center"/>
          </w:tcPr>
          <w:p w14:paraId="4DE9336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项目预算编制是否经过科学论证、有明确标准，资金额度与年度目标是否相适应，用以反映和考核项目预算编制的科学性、合理性情况。</w:t>
            </w:r>
          </w:p>
        </w:tc>
        <w:tc>
          <w:tcPr>
            <w:tcW w:w="7633" w:type="dxa"/>
            <w:shd w:val="clear" w:color="auto" w:fill="auto"/>
            <w:noWrap w:val="0"/>
            <w:vAlign w:val="center"/>
          </w:tcPr>
          <w:p w14:paraId="143D56C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48AE007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①预算编制是否经过科学论证；</w:t>
            </w:r>
          </w:p>
          <w:p w14:paraId="4DE2B3A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②预算内容与项目内容是否匹配；</w:t>
            </w:r>
          </w:p>
          <w:p w14:paraId="382BED8A">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③预算额度测算依据是否充分，是否按照标准编制；</w:t>
            </w:r>
          </w:p>
          <w:p w14:paraId="38D0A33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④预算确定的项目投资额或资金量是否与工作任务相匹配。</w:t>
            </w:r>
          </w:p>
        </w:tc>
        <w:tc>
          <w:tcPr>
            <w:tcW w:w="785" w:type="dxa"/>
            <w:shd w:val="clear" w:color="auto" w:fill="auto"/>
            <w:noWrap w:val="0"/>
            <w:vAlign w:val="center"/>
          </w:tcPr>
          <w:p w14:paraId="23448F4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noWrap w:val="0"/>
            <w:vAlign w:val="center"/>
          </w:tcPr>
          <w:p w14:paraId="2EBD55E4">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5E014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06" w:hRule="atLeast"/>
          <w:jc w:val="center"/>
        </w:trPr>
        <w:tc>
          <w:tcPr>
            <w:tcW w:w="861" w:type="dxa"/>
            <w:vMerge w:val="continue"/>
            <w:shd w:val="clear" w:color="auto" w:fill="auto"/>
            <w:noWrap w:val="0"/>
            <w:vAlign w:val="center"/>
          </w:tcPr>
          <w:p w14:paraId="72B0AF53">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09F781FB">
            <w:pPr>
              <w:widowControl/>
              <w:spacing w:line="0" w:lineRule="atLeast"/>
              <w:ind w:firstLine="0" w:firstLineChars="0"/>
              <w:jc w:val="center"/>
              <w:rPr>
                <w:rFonts w:ascii="宋体" w:hAnsi="宋体" w:eastAsia="宋体" w:cs="宋体"/>
                <w:color w:val="auto"/>
                <w:kern w:val="0"/>
                <w:sz w:val="22"/>
                <w:szCs w:val="22"/>
                <w:highlight w:val="none"/>
              </w:rPr>
            </w:pPr>
          </w:p>
        </w:tc>
        <w:tc>
          <w:tcPr>
            <w:tcW w:w="1277" w:type="dxa"/>
            <w:shd w:val="clear" w:color="auto" w:fill="auto"/>
            <w:noWrap w:val="0"/>
            <w:vAlign w:val="center"/>
          </w:tcPr>
          <w:p w14:paraId="7BFA6243">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资金分配</w:t>
            </w:r>
          </w:p>
          <w:p w14:paraId="715EE9F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合理性</w:t>
            </w:r>
          </w:p>
        </w:tc>
        <w:tc>
          <w:tcPr>
            <w:tcW w:w="1872" w:type="dxa"/>
            <w:shd w:val="clear" w:color="auto" w:fill="auto"/>
            <w:noWrap w:val="0"/>
            <w:vAlign w:val="center"/>
          </w:tcPr>
          <w:p w14:paraId="53CB2F0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项目预算资金分配是否有测算依据，与补助单位或地方实际是否相适应，用以反映和考核项目预算资金分配的科学性、合理性情况。</w:t>
            </w:r>
          </w:p>
        </w:tc>
        <w:tc>
          <w:tcPr>
            <w:tcW w:w="7633" w:type="dxa"/>
            <w:shd w:val="clear" w:color="auto" w:fill="auto"/>
            <w:noWrap w:val="0"/>
            <w:vAlign w:val="center"/>
          </w:tcPr>
          <w:p w14:paraId="1B59A799">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273350B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①预算资金分配依据是否充分；</w:t>
            </w:r>
          </w:p>
          <w:p w14:paraId="4A025B0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②资金分配额度是否合理，与项目单位或地方实际是否相适应。</w:t>
            </w:r>
          </w:p>
        </w:tc>
        <w:tc>
          <w:tcPr>
            <w:tcW w:w="785" w:type="dxa"/>
            <w:shd w:val="clear" w:color="auto" w:fill="auto"/>
            <w:noWrap w:val="0"/>
            <w:vAlign w:val="center"/>
          </w:tcPr>
          <w:p w14:paraId="299EEC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noWrap w:val="0"/>
            <w:vAlign w:val="center"/>
          </w:tcPr>
          <w:p w14:paraId="3116ADE1">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w:t>
            </w:r>
          </w:p>
        </w:tc>
      </w:tr>
      <w:tr w14:paraId="59751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15" w:hRule="atLeast"/>
          <w:jc w:val="center"/>
        </w:trPr>
        <w:tc>
          <w:tcPr>
            <w:tcW w:w="861" w:type="dxa"/>
            <w:vMerge w:val="restart"/>
            <w:shd w:val="clear" w:color="auto" w:fill="auto"/>
            <w:noWrap w:val="0"/>
            <w:vAlign w:val="center"/>
          </w:tcPr>
          <w:p w14:paraId="572B7CF9">
            <w:pPr>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w:t>
            </w:r>
          </w:p>
        </w:tc>
        <w:tc>
          <w:tcPr>
            <w:tcW w:w="727" w:type="dxa"/>
            <w:vMerge w:val="restart"/>
            <w:shd w:val="clear" w:color="auto" w:fill="auto"/>
            <w:noWrap w:val="0"/>
            <w:vAlign w:val="center"/>
          </w:tcPr>
          <w:p w14:paraId="5733D1AC">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277" w:type="dxa"/>
            <w:shd w:val="clear" w:color="auto" w:fill="auto"/>
            <w:noWrap w:val="0"/>
            <w:vAlign w:val="center"/>
          </w:tcPr>
          <w:p w14:paraId="28774AB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w:t>
            </w:r>
          </w:p>
        </w:tc>
        <w:tc>
          <w:tcPr>
            <w:tcW w:w="1872" w:type="dxa"/>
            <w:shd w:val="clear" w:color="auto" w:fill="auto"/>
            <w:noWrap w:val="0"/>
            <w:vAlign w:val="center"/>
          </w:tcPr>
          <w:p w14:paraId="5EDB095C">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实际到位资金与预算资金的比率，用以反映和考核资金落实情况对项目实施的总体保障程度。</w:t>
            </w:r>
          </w:p>
        </w:tc>
        <w:tc>
          <w:tcPr>
            <w:tcW w:w="7633" w:type="dxa"/>
            <w:shd w:val="clear" w:color="auto" w:fill="auto"/>
            <w:noWrap w:val="0"/>
            <w:vAlign w:val="center"/>
          </w:tcPr>
          <w:p w14:paraId="185F0163">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资金到位率=（实际到位资金/预算资金）×100%。</w:t>
            </w:r>
          </w:p>
          <w:p w14:paraId="2E29F5E3">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实际到位资金：一定时期（本年度或项目期）内落实到具体项目的资金。</w:t>
            </w:r>
          </w:p>
          <w:p w14:paraId="1F5778EF">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预算资金：一定时期（本年度或项目期）内预算安排到具体项目的资金。</w:t>
            </w:r>
          </w:p>
        </w:tc>
        <w:tc>
          <w:tcPr>
            <w:tcW w:w="785" w:type="dxa"/>
            <w:shd w:val="clear" w:color="auto" w:fill="auto"/>
            <w:noWrap w:val="0"/>
            <w:vAlign w:val="center"/>
          </w:tcPr>
          <w:p w14:paraId="5B14EF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0A16EB08">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96C1E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noWrap w:val="0"/>
            <w:vAlign w:val="center"/>
          </w:tcPr>
          <w:p w14:paraId="69DE3A51">
            <w:pPr>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774A6D0C">
            <w:pPr>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254DAE66">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预算执行率</w:t>
            </w:r>
          </w:p>
        </w:tc>
        <w:tc>
          <w:tcPr>
            <w:tcW w:w="1872" w:type="dxa"/>
            <w:shd w:val="clear" w:color="auto" w:fill="auto"/>
            <w:noWrap w:val="0"/>
            <w:vAlign w:val="center"/>
          </w:tcPr>
          <w:p w14:paraId="072F76E2">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项目预算资金是否按照计划执行，用以反映或考核项目预算执行情况。</w:t>
            </w:r>
          </w:p>
        </w:tc>
        <w:tc>
          <w:tcPr>
            <w:tcW w:w="7633" w:type="dxa"/>
            <w:shd w:val="clear" w:color="auto" w:fill="auto"/>
            <w:noWrap w:val="0"/>
            <w:vAlign w:val="center"/>
          </w:tcPr>
          <w:p w14:paraId="7753F96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预算执行率=（实际支出资金/实际到位资金）×100%。</w:t>
            </w:r>
          </w:p>
          <w:p w14:paraId="1EB0877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实际支出资金：一定时期（本年度或项目期）内项目实际拨付的资金。</w:t>
            </w:r>
          </w:p>
        </w:tc>
        <w:tc>
          <w:tcPr>
            <w:tcW w:w="785" w:type="dxa"/>
            <w:shd w:val="clear" w:color="auto" w:fill="auto"/>
            <w:noWrap w:val="0"/>
            <w:vAlign w:val="center"/>
          </w:tcPr>
          <w:p w14:paraId="542212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554D247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3.11</w:t>
            </w:r>
          </w:p>
        </w:tc>
      </w:tr>
      <w:tr w14:paraId="2A7FC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noWrap w:val="0"/>
            <w:vAlign w:val="center"/>
          </w:tcPr>
          <w:p w14:paraId="6B59D40F">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p w14:paraId="36881BC0">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过程　</w:t>
            </w:r>
          </w:p>
        </w:tc>
        <w:tc>
          <w:tcPr>
            <w:tcW w:w="727" w:type="dxa"/>
            <w:shd w:val="clear" w:color="auto" w:fill="auto"/>
            <w:noWrap w:val="0"/>
            <w:vAlign w:val="center"/>
          </w:tcPr>
          <w:p w14:paraId="210A869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资金管理</w:t>
            </w:r>
          </w:p>
        </w:tc>
        <w:tc>
          <w:tcPr>
            <w:tcW w:w="1277" w:type="dxa"/>
            <w:shd w:val="clear" w:color="auto" w:fill="auto"/>
            <w:noWrap w:val="0"/>
            <w:vAlign w:val="center"/>
          </w:tcPr>
          <w:p w14:paraId="094FD94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资金使用</w:t>
            </w:r>
          </w:p>
          <w:p w14:paraId="3DE4FAFA">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合规性</w:t>
            </w:r>
          </w:p>
        </w:tc>
        <w:tc>
          <w:tcPr>
            <w:tcW w:w="1872" w:type="dxa"/>
            <w:shd w:val="clear" w:color="auto" w:fill="auto"/>
            <w:noWrap w:val="0"/>
            <w:vAlign w:val="center"/>
          </w:tcPr>
          <w:p w14:paraId="2E986BA5">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项目资金使用是否符合相关的财务管理制度规定，用以反映和考核项目资金的规范运行情况。</w:t>
            </w:r>
          </w:p>
        </w:tc>
        <w:tc>
          <w:tcPr>
            <w:tcW w:w="7633" w:type="dxa"/>
            <w:shd w:val="clear" w:color="auto" w:fill="auto"/>
            <w:noWrap w:val="0"/>
            <w:vAlign w:val="center"/>
          </w:tcPr>
          <w:p w14:paraId="1C561005">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62EC6F3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①是否符合国家财经法规和财务管理制度以及有关专项资金管理办法的规定；</w:t>
            </w:r>
          </w:p>
          <w:p w14:paraId="084B6B0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②资金的拨付是否有完整的审批程序和手续；</w:t>
            </w:r>
          </w:p>
          <w:p w14:paraId="0E9507A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③是否符合项目预算批复或合同规定的用途；</w:t>
            </w:r>
          </w:p>
          <w:p w14:paraId="4C1EFE7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④是否存在截留、挤占、挪用、虚列支出等情况。</w:t>
            </w:r>
          </w:p>
        </w:tc>
        <w:tc>
          <w:tcPr>
            <w:tcW w:w="785" w:type="dxa"/>
            <w:shd w:val="clear" w:color="auto" w:fill="auto"/>
            <w:noWrap w:val="0"/>
            <w:vAlign w:val="center"/>
          </w:tcPr>
          <w:p w14:paraId="253493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3329CF05">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9B691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shd w:val="clear" w:color="auto" w:fill="auto"/>
            <w:noWrap w:val="0"/>
            <w:vAlign w:val="center"/>
          </w:tcPr>
          <w:p w14:paraId="3651368E">
            <w:pPr>
              <w:spacing w:line="0" w:lineRule="atLeast"/>
              <w:ind w:firstLine="0" w:firstLineChars="0"/>
              <w:jc w:val="center"/>
              <w:rPr>
                <w:rFonts w:ascii="宋体" w:hAnsi="宋体" w:eastAsia="宋体" w:cs="宋体"/>
                <w:color w:val="auto"/>
                <w:kern w:val="0"/>
                <w:sz w:val="22"/>
                <w:szCs w:val="22"/>
                <w:highlight w:val="none"/>
              </w:rPr>
            </w:pPr>
          </w:p>
        </w:tc>
        <w:tc>
          <w:tcPr>
            <w:tcW w:w="727" w:type="dxa"/>
            <w:vMerge w:val="restart"/>
            <w:shd w:val="clear" w:color="auto" w:fill="auto"/>
            <w:noWrap w:val="0"/>
            <w:vAlign w:val="center"/>
          </w:tcPr>
          <w:p w14:paraId="0F01941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组织实施</w:t>
            </w:r>
          </w:p>
          <w:p w14:paraId="135E0C91">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　</w:t>
            </w:r>
          </w:p>
        </w:tc>
        <w:tc>
          <w:tcPr>
            <w:tcW w:w="1277" w:type="dxa"/>
            <w:shd w:val="clear" w:color="auto" w:fill="auto"/>
            <w:noWrap w:val="0"/>
            <w:vAlign w:val="center"/>
          </w:tcPr>
          <w:p w14:paraId="7DBBEEB6">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管理制度</w:t>
            </w:r>
          </w:p>
          <w:p w14:paraId="5C9277B4">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健全性</w:t>
            </w:r>
          </w:p>
        </w:tc>
        <w:tc>
          <w:tcPr>
            <w:tcW w:w="1872" w:type="dxa"/>
            <w:shd w:val="clear" w:color="auto" w:fill="auto"/>
            <w:noWrap w:val="0"/>
            <w:vAlign w:val="center"/>
          </w:tcPr>
          <w:p w14:paraId="228F6E1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项目实施单位的财务和业务管理制度是否健全，用以反映和考核财务和业务管理制度对项目顺利实施的保障情况。</w:t>
            </w:r>
          </w:p>
        </w:tc>
        <w:tc>
          <w:tcPr>
            <w:tcW w:w="7633" w:type="dxa"/>
            <w:shd w:val="clear" w:color="auto" w:fill="auto"/>
            <w:noWrap w:val="0"/>
            <w:vAlign w:val="center"/>
          </w:tcPr>
          <w:p w14:paraId="6F30C1B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5C6B3CA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①是否已制定或具有相应的财务和业务管理制度；</w:t>
            </w:r>
          </w:p>
          <w:p w14:paraId="3980F59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②财务和业务管理制度是否合法、合规、完整。</w:t>
            </w:r>
          </w:p>
        </w:tc>
        <w:tc>
          <w:tcPr>
            <w:tcW w:w="785" w:type="dxa"/>
            <w:shd w:val="clear" w:color="auto" w:fill="auto"/>
            <w:noWrap w:val="0"/>
            <w:vAlign w:val="center"/>
          </w:tcPr>
          <w:p w14:paraId="65C414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5444977B">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1333B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noWrap w:val="0"/>
            <w:vAlign w:val="center"/>
          </w:tcPr>
          <w:p w14:paraId="1B80451E">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4344D3AF">
            <w:pPr>
              <w:widowControl/>
              <w:spacing w:line="0" w:lineRule="atLeast"/>
              <w:ind w:firstLine="0" w:firstLineChars="0"/>
              <w:jc w:val="center"/>
              <w:rPr>
                <w:rFonts w:ascii="宋体" w:hAnsi="宋体" w:eastAsia="宋体" w:cs="宋体"/>
                <w:color w:val="auto"/>
                <w:kern w:val="0"/>
                <w:sz w:val="22"/>
                <w:szCs w:val="22"/>
                <w:highlight w:val="none"/>
              </w:rPr>
            </w:pPr>
          </w:p>
        </w:tc>
        <w:tc>
          <w:tcPr>
            <w:tcW w:w="1277" w:type="dxa"/>
            <w:shd w:val="clear" w:color="auto" w:fill="auto"/>
            <w:noWrap w:val="0"/>
            <w:vAlign w:val="center"/>
          </w:tcPr>
          <w:p w14:paraId="3099D814">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制度执行</w:t>
            </w:r>
          </w:p>
          <w:p w14:paraId="463AD447">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有效性</w:t>
            </w:r>
          </w:p>
        </w:tc>
        <w:tc>
          <w:tcPr>
            <w:tcW w:w="1872" w:type="dxa"/>
            <w:shd w:val="clear" w:color="auto" w:fill="auto"/>
            <w:noWrap w:val="0"/>
            <w:vAlign w:val="center"/>
          </w:tcPr>
          <w:p w14:paraId="48C81E1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项目实施是否符合相关管理规定，用以反映和考核相关管理制度的有效执行情况。</w:t>
            </w:r>
          </w:p>
        </w:tc>
        <w:tc>
          <w:tcPr>
            <w:tcW w:w="7633" w:type="dxa"/>
            <w:shd w:val="clear" w:color="auto" w:fill="auto"/>
            <w:noWrap w:val="0"/>
            <w:vAlign w:val="center"/>
          </w:tcPr>
          <w:p w14:paraId="5A1C754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评价要点：</w:t>
            </w:r>
          </w:p>
          <w:p w14:paraId="0983F878">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①是否遵守相关法律法规和相关管理规定；</w:t>
            </w:r>
          </w:p>
          <w:p w14:paraId="1BBD438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②项目调整及支出调整手续是否完备；</w:t>
            </w:r>
          </w:p>
          <w:p w14:paraId="16B6B411">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③项目合同书、验收报告、技术鉴定等资料是否齐全并及时归档；</w:t>
            </w:r>
          </w:p>
          <w:p w14:paraId="60F50791">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④项目实施的人员条件、场地设备、信息支撑等是否落实到位。</w:t>
            </w:r>
          </w:p>
        </w:tc>
        <w:tc>
          <w:tcPr>
            <w:tcW w:w="785" w:type="dxa"/>
            <w:shd w:val="clear" w:color="auto" w:fill="auto"/>
            <w:noWrap w:val="0"/>
            <w:vAlign w:val="center"/>
          </w:tcPr>
          <w:p w14:paraId="708959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noWrap w:val="0"/>
            <w:vAlign w:val="center"/>
          </w:tcPr>
          <w:p w14:paraId="45361D6B">
            <w:pPr>
              <w:widowControl/>
              <w:spacing w:line="0" w:lineRule="atLeast"/>
              <w:ind w:firstLine="0" w:firstLineChars="0"/>
              <w:rPr>
                <w:rFonts w:hint="eastAsia"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371F21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restart"/>
            <w:shd w:val="clear" w:color="auto" w:fill="auto"/>
            <w:noWrap w:val="0"/>
            <w:vAlign w:val="center"/>
          </w:tcPr>
          <w:p w14:paraId="27DFD46E">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产出</w:t>
            </w:r>
          </w:p>
          <w:p w14:paraId="6FD23358">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p>
        </w:tc>
        <w:tc>
          <w:tcPr>
            <w:tcW w:w="727" w:type="dxa"/>
            <w:vMerge w:val="restart"/>
            <w:shd w:val="clear" w:color="auto" w:fill="auto"/>
            <w:noWrap w:val="0"/>
            <w:vAlign w:val="center"/>
          </w:tcPr>
          <w:p w14:paraId="0AA17E4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数量指标</w:t>
            </w:r>
          </w:p>
        </w:tc>
        <w:tc>
          <w:tcPr>
            <w:tcW w:w="1277" w:type="dxa"/>
            <w:shd w:val="clear" w:color="auto" w:fill="auto"/>
            <w:noWrap w:val="0"/>
            <w:vAlign w:val="center"/>
          </w:tcPr>
          <w:p w14:paraId="2DE0232A">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城关镇龙王庙西村基础设施建设面积</w:t>
            </w:r>
          </w:p>
        </w:tc>
        <w:tc>
          <w:tcPr>
            <w:tcW w:w="1872" w:type="dxa"/>
            <w:vMerge w:val="restart"/>
            <w:shd w:val="clear" w:color="auto" w:fill="auto"/>
            <w:noWrap w:val="0"/>
            <w:vAlign w:val="center"/>
          </w:tcPr>
          <w:p w14:paraId="70EABF67">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rPr>
              <w:t>项目实施的实际产出数与计划产出数的比率，用以反映和考核项目产出数量目标的实现程度。</w:t>
            </w:r>
          </w:p>
        </w:tc>
        <w:tc>
          <w:tcPr>
            <w:tcW w:w="7633" w:type="dxa"/>
            <w:shd w:val="clear" w:color="auto" w:fill="auto"/>
            <w:noWrap w:val="0"/>
            <w:vAlign w:val="center"/>
          </w:tcPr>
          <w:p w14:paraId="1AC8376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2139B75C">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32BBC247">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p w14:paraId="2E967037">
            <w:pPr>
              <w:widowControl/>
              <w:spacing w:line="0" w:lineRule="atLeast"/>
              <w:ind w:firstLine="0" w:firstLineChars="0"/>
              <w:rPr>
                <w:rFonts w:hint="eastAsia" w:cs="宋体"/>
                <w:color w:val="auto"/>
                <w:kern w:val="0"/>
                <w:sz w:val="22"/>
                <w:szCs w:val="22"/>
                <w:highlight w:val="yellow"/>
                <w:lang w:val="en-US" w:eastAsia="zh-CN"/>
              </w:rPr>
            </w:pPr>
          </w:p>
        </w:tc>
        <w:tc>
          <w:tcPr>
            <w:tcW w:w="785" w:type="dxa"/>
            <w:shd w:val="clear" w:color="auto" w:fill="auto"/>
            <w:noWrap w:val="0"/>
            <w:vAlign w:val="center"/>
          </w:tcPr>
          <w:p w14:paraId="13A02F5C">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c>
          <w:tcPr>
            <w:tcW w:w="769" w:type="dxa"/>
            <w:shd w:val="clear" w:color="auto" w:fill="auto"/>
            <w:noWrap w:val="0"/>
            <w:vAlign w:val="center"/>
          </w:tcPr>
          <w:p w14:paraId="7932DAA4">
            <w:pPr>
              <w:widowControl/>
              <w:spacing w:line="0" w:lineRule="atLeast"/>
              <w:ind w:firstLine="0" w:firstLineChars="0"/>
              <w:rPr>
                <w:rFonts w:hint="default"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bidi="ar-SA"/>
              </w:rPr>
              <w:t>4</w:t>
            </w:r>
          </w:p>
        </w:tc>
      </w:tr>
      <w:tr w14:paraId="75EC9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14:paraId="2ED5844E">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3A97E498">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4B20AE7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城关镇山坡村一期基础设施建设建设面积</w:t>
            </w:r>
          </w:p>
        </w:tc>
        <w:tc>
          <w:tcPr>
            <w:tcW w:w="1872" w:type="dxa"/>
            <w:vMerge w:val="continue"/>
            <w:shd w:val="clear" w:color="auto" w:fill="auto"/>
            <w:noWrap w:val="0"/>
            <w:vAlign w:val="center"/>
          </w:tcPr>
          <w:p w14:paraId="2AD47040">
            <w:pPr>
              <w:widowControl/>
              <w:spacing w:line="0" w:lineRule="atLeast"/>
              <w:ind w:firstLine="0" w:firstLineChars="0"/>
              <w:rPr>
                <w:rFonts w:hint="eastAsia" w:ascii="宋体" w:hAnsi="宋体" w:eastAsia="宋体" w:cs="宋体"/>
                <w:color w:val="auto"/>
                <w:kern w:val="0"/>
                <w:sz w:val="22"/>
                <w:szCs w:val="22"/>
                <w:highlight w:val="none"/>
              </w:rPr>
            </w:pPr>
          </w:p>
        </w:tc>
        <w:tc>
          <w:tcPr>
            <w:tcW w:w="7633" w:type="dxa"/>
            <w:shd w:val="clear" w:color="auto" w:fill="auto"/>
            <w:noWrap w:val="0"/>
            <w:vAlign w:val="center"/>
          </w:tcPr>
          <w:p w14:paraId="7A4E1F1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555574B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2B27696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p w14:paraId="5A492BA6">
            <w:pPr>
              <w:widowControl/>
              <w:spacing w:line="0" w:lineRule="atLeast"/>
              <w:ind w:firstLine="0" w:firstLineChars="0"/>
              <w:rPr>
                <w:rFonts w:hint="eastAsia" w:cs="宋体"/>
                <w:color w:val="auto"/>
                <w:kern w:val="0"/>
                <w:sz w:val="22"/>
                <w:szCs w:val="22"/>
                <w:highlight w:val="yellow"/>
                <w:lang w:val="en-US" w:eastAsia="zh-CN"/>
              </w:rPr>
            </w:pPr>
          </w:p>
        </w:tc>
        <w:tc>
          <w:tcPr>
            <w:tcW w:w="785" w:type="dxa"/>
            <w:shd w:val="clear" w:color="auto" w:fill="auto"/>
            <w:noWrap w:val="0"/>
            <w:vAlign w:val="center"/>
          </w:tcPr>
          <w:p w14:paraId="0C34784E">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c>
          <w:tcPr>
            <w:tcW w:w="769" w:type="dxa"/>
            <w:shd w:val="clear" w:color="auto" w:fill="auto"/>
            <w:noWrap w:val="0"/>
            <w:vAlign w:val="center"/>
          </w:tcPr>
          <w:p w14:paraId="58D9A545">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2CB6E0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14:paraId="241354CC">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14B67BCF">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149EB42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畜牧产业园区提升改造建设面积</w:t>
            </w:r>
          </w:p>
        </w:tc>
        <w:tc>
          <w:tcPr>
            <w:tcW w:w="1872" w:type="dxa"/>
            <w:vMerge w:val="continue"/>
            <w:shd w:val="clear" w:color="auto" w:fill="auto"/>
            <w:noWrap w:val="0"/>
            <w:vAlign w:val="center"/>
          </w:tcPr>
          <w:p w14:paraId="01F6981F">
            <w:pPr>
              <w:widowControl/>
              <w:spacing w:line="0" w:lineRule="atLeast"/>
              <w:ind w:firstLine="0" w:firstLineChars="0"/>
              <w:rPr>
                <w:rFonts w:hint="eastAsia" w:ascii="宋体" w:hAnsi="宋体" w:eastAsia="宋体" w:cs="宋体"/>
                <w:color w:val="auto"/>
                <w:kern w:val="0"/>
                <w:sz w:val="22"/>
                <w:szCs w:val="22"/>
                <w:highlight w:val="none"/>
              </w:rPr>
            </w:pPr>
          </w:p>
        </w:tc>
        <w:tc>
          <w:tcPr>
            <w:tcW w:w="7633" w:type="dxa"/>
            <w:shd w:val="clear" w:color="auto" w:fill="auto"/>
            <w:noWrap w:val="0"/>
            <w:vAlign w:val="center"/>
          </w:tcPr>
          <w:p w14:paraId="6E16C05F">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216B1426">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0176A4A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p w14:paraId="2D4E99AE">
            <w:pPr>
              <w:widowControl/>
              <w:spacing w:line="0" w:lineRule="atLeast"/>
              <w:ind w:firstLine="0" w:firstLineChars="0"/>
              <w:rPr>
                <w:rFonts w:hint="default" w:cs="宋体"/>
                <w:color w:val="auto"/>
                <w:kern w:val="0"/>
                <w:sz w:val="22"/>
                <w:szCs w:val="22"/>
                <w:highlight w:val="yellow"/>
                <w:lang w:val="en-US" w:eastAsia="zh-CN"/>
              </w:rPr>
            </w:pPr>
          </w:p>
        </w:tc>
        <w:tc>
          <w:tcPr>
            <w:tcW w:w="785" w:type="dxa"/>
            <w:shd w:val="clear" w:color="auto" w:fill="auto"/>
            <w:noWrap w:val="0"/>
            <w:vAlign w:val="center"/>
          </w:tcPr>
          <w:p w14:paraId="7D3B2EB8">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c>
          <w:tcPr>
            <w:tcW w:w="769" w:type="dxa"/>
            <w:shd w:val="clear" w:color="auto" w:fill="auto"/>
            <w:noWrap w:val="0"/>
            <w:vAlign w:val="center"/>
          </w:tcPr>
          <w:p w14:paraId="5D46333C">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050A5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14:paraId="4CBCADF2">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360A695C">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07574184">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天山岔路口至滋泥泉子镇围栏长度</w:t>
            </w:r>
          </w:p>
        </w:tc>
        <w:tc>
          <w:tcPr>
            <w:tcW w:w="1872" w:type="dxa"/>
            <w:vMerge w:val="restart"/>
            <w:shd w:val="clear" w:color="auto" w:fill="auto"/>
            <w:noWrap w:val="0"/>
            <w:vAlign w:val="center"/>
          </w:tcPr>
          <w:p w14:paraId="7E4100C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rPr>
              <w:t>项目实施的实际产出数与计划产出数的比率，用以反映和考核项目产出数量目标的实现程度。</w:t>
            </w:r>
          </w:p>
        </w:tc>
        <w:tc>
          <w:tcPr>
            <w:tcW w:w="7633" w:type="dxa"/>
            <w:shd w:val="clear" w:color="auto" w:fill="auto"/>
            <w:noWrap w:val="0"/>
            <w:vAlign w:val="center"/>
          </w:tcPr>
          <w:p w14:paraId="4AB5B030">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5CD8875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3B31027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p w14:paraId="04D73213">
            <w:pPr>
              <w:widowControl/>
              <w:spacing w:line="0" w:lineRule="atLeast"/>
              <w:ind w:firstLine="0" w:firstLineChars="0"/>
              <w:rPr>
                <w:rFonts w:hint="eastAsia" w:cs="宋体"/>
                <w:color w:val="auto"/>
                <w:kern w:val="0"/>
                <w:sz w:val="22"/>
                <w:szCs w:val="22"/>
                <w:highlight w:val="yellow"/>
                <w:lang w:val="en-US" w:eastAsia="zh-CN"/>
              </w:rPr>
            </w:pPr>
          </w:p>
        </w:tc>
        <w:tc>
          <w:tcPr>
            <w:tcW w:w="785" w:type="dxa"/>
            <w:shd w:val="clear" w:color="auto" w:fill="auto"/>
            <w:noWrap w:val="0"/>
            <w:vAlign w:val="center"/>
          </w:tcPr>
          <w:p w14:paraId="125C3BA8">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c>
          <w:tcPr>
            <w:tcW w:w="769" w:type="dxa"/>
            <w:shd w:val="clear" w:color="auto" w:fill="auto"/>
            <w:noWrap w:val="0"/>
            <w:vAlign w:val="center"/>
          </w:tcPr>
          <w:p w14:paraId="361076B8">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54650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continue"/>
            <w:shd w:val="clear" w:color="auto" w:fill="auto"/>
            <w:noWrap w:val="0"/>
            <w:vAlign w:val="center"/>
          </w:tcPr>
          <w:p w14:paraId="3B854042">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727" w:type="dxa"/>
            <w:vMerge w:val="continue"/>
            <w:shd w:val="clear" w:color="auto" w:fill="auto"/>
            <w:noWrap w:val="0"/>
            <w:vAlign w:val="center"/>
          </w:tcPr>
          <w:p w14:paraId="09586A09">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714C1942">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东湾林场及新湖村管线敷设长度</w:t>
            </w:r>
          </w:p>
        </w:tc>
        <w:tc>
          <w:tcPr>
            <w:tcW w:w="1872" w:type="dxa"/>
            <w:vMerge w:val="continue"/>
            <w:shd w:val="clear" w:color="auto" w:fill="auto"/>
            <w:noWrap w:val="0"/>
            <w:vAlign w:val="center"/>
          </w:tcPr>
          <w:p w14:paraId="3ED25C38">
            <w:pPr>
              <w:widowControl/>
              <w:spacing w:line="0" w:lineRule="atLeast"/>
              <w:ind w:firstLine="0" w:firstLineChars="0"/>
              <w:rPr>
                <w:rFonts w:hint="eastAsia" w:ascii="宋体" w:hAnsi="宋体" w:eastAsia="宋体" w:cs="宋体"/>
                <w:color w:val="auto"/>
                <w:kern w:val="0"/>
                <w:sz w:val="22"/>
                <w:szCs w:val="22"/>
                <w:highlight w:val="none"/>
              </w:rPr>
            </w:pPr>
          </w:p>
        </w:tc>
        <w:tc>
          <w:tcPr>
            <w:tcW w:w="7633" w:type="dxa"/>
            <w:shd w:val="clear" w:color="auto" w:fill="auto"/>
            <w:noWrap w:val="0"/>
            <w:vAlign w:val="center"/>
          </w:tcPr>
          <w:p w14:paraId="192F2A3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实际完成率=（实际产出数/计划产出数）×100%。</w:t>
            </w:r>
          </w:p>
          <w:p w14:paraId="74617452">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实际产出数：一定时期（本年度或项目期）内项目实际产出的产品或提供的服务数量。</w:t>
            </w:r>
          </w:p>
          <w:p w14:paraId="62F06F53">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计划产出数：项目绩效目标确定的在一定时期（本年度或项目期）内计划产出的产品或提供的服务数量。</w:t>
            </w:r>
          </w:p>
          <w:p w14:paraId="22269407">
            <w:pPr>
              <w:widowControl/>
              <w:spacing w:line="0" w:lineRule="atLeast"/>
              <w:ind w:firstLine="0" w:firstLineChars="0"/>
              <w:rPr>
                <w:rFonts w:hint="eastAsia" w:cs="宋体"/>
                <w:color w:val="auto"/>
                <w:kern w:val="0"/>
                <w:sz w:val="22"/>
                <w:szCs w:val="22"/>
                <w:highlight w:val="none"/>
                <w:lang w:val="en-US" w:eastAsia="zh-CN"/>
              </w:rPr>
            </w:pPr>
          </w:p>
        </w:tc>
        <w:tc>
          <w:tcPr>
            <w:tcW w:w="785" w:type="dxa"/>
            <w:shd w:val="clear" w:color="auto" w:fill="auto"/>
            <w:noWrap w:val="0"/>
            <w:vAlign w:val="center"/>
          </w:tcPr>
          <w:p w14:paraId="6F5490F9">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 xml:space="preserve"> 4</w:t>
            </w:r>
          </w:p>
        </w:tc>
        <w:tc>
          <w:tcPr>
            <w:tcW w:w="769" w:type="dxa"/>
            <w:shd w:val="clear" w:color="auto" w:fill="auto"/>
            <w:noWrap w:val="0"/>
            <w:vAlign w:val="center"/>
          </w:tcPr>
          <w:p w14:paraId="379D2D6A">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4</w:t>
            </w:r>
          </w:p>
        </w:tc>
      </w:tr>
      <w:tr w14:paraId="7DD63B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continue"/>
            <w:shd w:val="clear" w:color="auto" w:fill="auto"/>
            <w:noWrap w:val="0"/>
            <w:vAlign w:val="center"/>
          </w:tcPr>
          <w:p w14:paraId="33938BE1">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1C8A3E0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质量指标</w:t>
            </w:r>
          </w:p>
        </w:tc>
        <w:tc>
          <w:tcPr>
            <w:tcW w:w="1277" w:type="dxa"/>
            <w:shd w:val="clear" w:color="auto" w:fill="auto"/>
            <w:noWrap w:val="0"/>
            <w:vAlign w:val="center"/>
          </w:tcPr>
          <w:p w14:paraId="471B02E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工程验收合格率</w:t>
            </w:r>
          </w:p>
        </w:tc>
        <w:tc>
          <w:tcPr>
            <w:tcW w:w="1872" w:type="dxa"/>
            <w:shd w:val="clear" w:color="auto" w:fill="auto"/>
            <w:noWrap w:val="0"/>
            <w:vAlign w:val="center"/>
          </w:tcPr>
          <w:p w14:paraId="2ED48F78">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项目完成的质量达标产出数与实际产出数的比率用以反映和考核项目产出质量目标的实现程度。</w:t>
            </w:r>
          </w:p>
        </w:tc>
        <w:tc>
          <w:tcPr>
            <w:tcW w:w="7633" w:type="dxa"/>
            <w:shd w:val="clear" w:color="auto" w:fill="auto"/>
            <w:noWrap w:val="0"/>
            <w:vAlign w:val="center"/>
          </w:tcPr>
          <w:p w14:paraId="621B6FB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质量达标率=（质量达标产出数/实际产出数）×100%。</w:t>
            </w:r>
          </w:p>
          <w:p w14:paraId="5841F4C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noWrap w:val="0"/>
            <w:vAlign w:val="center"/>
          </w:tcPr>
          <w:p w14:paraId="0211B427">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3</w:t>
            </w:r>
          </w:p>
        </w:tc>
        <w:tc>
          <w:tcPr>
            <w:tcW w:w="769" w:type="dxa"/>
            <w:shd w:val="clear" w:color="auto" w:fill="auto"/>
            <w:noWrap w:val="0"/>
            <w:vAlign w:val="center"/>
          </w:tcPr>
          <w:p w14:paraId="58351F34">
            <w:pPr>
              <w:widowControl/>
              <w:spacing w:line="0" w:lineRule="atLeast"/>
              <w:ind w:firstLine="220" w:firstLineChars="100"/>
              <w:jc w:val="both"/>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3</w:t>
            </w:r>
          </w:p>
        </w:tc>
      </w:tr>
      <w:tr w14:paraId="2FD779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noWrap w:val="0"/>
            <w:vAlign w:val="center"/>
          </w:tcPr>
          <w:p w14:paraId="7E9445A1">
            <w:pPr>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30CA0FEE">
            <w:pPr>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时效指标</w:t>
            </w:r>
          </w:p>
        </w:tc>
        <w:tc>
          <w:tcPr>
            <w:tcW w:w="1277" w:type="dxa"/>
            <w:shd w:val="clear" w:color="auto" w:fill="auto"/>
            <w:noWrap w:val="0"/>
            <w:vAlign w:val="center"/>
          </w:tcPr>
          <w:p w14:paraId="5443507D">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项目完成及时率</w:t>
            </w:r>
          </w:p>
        </w:tc>
        <w:tc>
          <w:tcPr>
            <w:tcW w:w="1872" w:type="dxa"/>
            <w:shd w:val="clear" w:color="auto" w:fill="auto"/>
            <w:noWrap w:val="0"/>
            <w:vAlign w:val="center"/>
          </w:tcPr>
          <w:p w14:paraId="6B78A0FB">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项目实际完成时间与计划完成时间的比较，用以反映和考核项目产出时效目标的实现程度。</w:t>
            </w:r>
          </w:p>
        </w:tc>
        <w:tc>
          <w:tcPr>
            <w:tcW w:w="7633" w:type="dxa"/>
            <w:shd w:val="clear" w:color="auto" w:fill="auto"/>
            <w:noWrap w:val="0"/>
            <w:vAlign w:val="center"/>
          </w:tcPr>
          <w:p w14:paraId="6481A08B">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实际完成时间：项目实施单位完成该项目实际所耗用的时间。</w:t>
            </w:r>
          </w:p>
          <w:p w14:paraId="69FA5D46">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计划完成时间：按照项目实施计划或相关规定完成该项目所需的时间。</w:t>
            </w:r>
          </w:p>
        </w:tc>
        <w:tc>
          <w:tcPr>
            <w:tcW w:w="785" w:type="dxa"/>
            <w:shd w:val="clear" w:color="auto" w:fill="auto"/>
            <w:noWrap w:val="0"/>
            <w:vAlign w:val="center"/>
          </w:tcPr>
          <w:p w14:paraId="67BB7ADE">
            <w:pPr>
              <w:widowControl/>
              <w:spacing w:line="0" w:lineRule="atLeast"/>
              <w:ind w:firstLine="220" w:firstLineChars="100"/>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3</w:t>
            </w:r>
          </w:p>
        </w:tc>
        <w:tc>
          <w:tcPr>
            <w:tcW w:w="769" w:type="dxa"/>
            <w:shd w:val="clear" w:color="auto" w:fill="auto"/>
            <w:noWrap w:val="0"/>
            <w:vAlign w:val="center"/>
          </w:tcPr>
          <w:p w14:paraId="1079B4DC">
            <w:pPr>
              <w:widowControl/>
              <w:spacing w:line="0" w:lineRule="atLeast"/>
              <w:ind w:firstLine="220" w:firstLineChars="100"/>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3</w:t>
            </w:r>
          </w:p>
        </w:tc>
      </w:tr>
      <w:tr w14:paraId="0C638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shd w:val="clear" w:color="auto" w:fill="auto"/>
            <w:noWrap w:val="0"/>
            <w:vAlign w:val="center"/>
          </w:tcPr>
          <w:p w14:paraId="37912ED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0"/>
                <w:szCs w:val="20"/>
                <w:highlight w:val="none"/>
                <w:shd w:val="clear" w:color="auto" w:fill="auto"/>
                <w:lang w:val="en-US" w:eastAsia="zh-CN"/>
              </w:rPr>
              <w:t>产出</w:t>
            </w:r>
          </w:p>
        </w:tc>
        <w:tc>
          <w:tcPr>
            <w:tcW w:w="727" w:type="dxa"/>
            <w:vMerge w:val="restart"/>
            <w:shd w:val="clear" w:color="auto" w:fill="auto"/>
            <w:noWrap w:val="0"/>
            <w:vAlign w:val="center"/>
          </w:tcPr>
          <w:p w14:paraId="057D8870">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经济成本指标</w:t>
            </w:r>
          </w:p>
        </w:tc>
        <w:tc>
          <w:tcPr>
            <w:tcW w:w="1277" w:type="dxa"/>
            <w:shd w:val="clear" w:color="auto" w:fill="auto"/>
            <w:noWrap w:val="0"/>
            <w:vAlign w:val="center"/>
          </w:tcPr>
          <w:p w14:paraId="1B0D5C35">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项目完成及时率</w:t>
            </w:r>
          </w:p>
        </w:tc>
        <w:tc>
          <w:tcPr>
            <w:tcW w:w="1872" w:type="dxa"/>
            <w:shd w:val="clear" w:color="auto" w:fill="auto"/>
            <w:noWrap w:val="0"/>
            <w:vAlign w:val="center"/>
          </w:tcPr>
          <w:p w14:paraId="7B9113E7">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633" w:type="dxa"/>
            <w:shd w:val="clear" w:color="auto" w:fill="auto"/>
            <w:noWrap w:val="0"/>
            <w:vAlign w:val="center"/>
          </w:tcPr>
          <w:p w14:paraId="64ECB688">
            <w:pPr>
              <w:widowControl/>
              <w:spacing w:line="0" w:lineRule="atLeast"/>
              <w:ind w:firstLine="0" w:firstLineChars="0"/>
              <w:rPr>
                <w:rFonts w:hint="eastAsia" w:ascii="宋体" w:hAnsi="宋体" w:eastAsia="宋体" w:cs="宋体"/>
                <w:color w:val="auto"/>
                <w:kern w:val="0"/>
                <w:sz w:val="22"/>
                <w:szCs w:val="22"/>
                <w:highlight w:val="none"/>
                <w:lang w:eastAsia="zh-CN"/>
              </w:rPr>
            </w:pPr>
          </w:p>
          <w:p w14:paraId="268FD60E">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2E8EAAE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13AF8D81">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26FC9560">
            <w:pPr>
              <w:widowControl/>
              <w:spacing w:line="0" w:lineRule="atLeast"/>
              <w:ind w:firstLine="220" w:firstLineChars="10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c>
          <w:tcPr>
            <w:tcW w:w="769" w:type="dxa"/>
            <w:shd w:val="clear" w:color="auto" w:fill="auto"/>
            <w:noWrap w:val="0"/>
            <w:vAlign w:val="center"/>
          </w:tcPr>
          <w:p w14:paraId="55CC5926">
            <w:pPr>
              <w:widowControl/>
              <w:spacing w:line="0" w:lineRule="atLeast"/>
              <w:ind w:firstLine="220" w:firstLineChars="100"/>
              <w:rPr>
                <w:rFonts w:hint="eastAsia"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r>
      <w:tr w14:paraId="38BC0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shd w:val="clear" w:color="auto" w:fill="auto"/>
            <w:noWrap w:val="0"/>
            <w:vAlign w:val="center"/>
          </w:tcPr>
          <w:p w14:paraId="2D385360">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0"/>
                <w:szCs w:val="20"/>
                <w:highlight w:val="none"/>
                <w:shd w:val="clear" w:color="auto" w:fill="auto"/>
                <w:lang w:val="en-US" w:eastAsia="zh-CN"/>
              </w:rPr>
              <w:t>产出</w:t>
            </w:r>
          </w:p>
        </w:tc>
        <w:tc>
          <w:tcPr>
            <w:tcW w:w="727" w:type="dxa"/>
            <w:vMerge w:val="continue"/>
            <w:shd w:val="clear" w:color="auto" w:fill="auto"/>
            <w:noWrap w:val="0"/>
            <w:vAlign w:val="center"/>
          </w:tcPr>
          <w:p w14:paraId="4436410D">
            <w:pPr>
              <w:widowControl/>
              <w:spacing w:line="0" w:lineRule="atLeast"/>
              <w:ind w:firstLine="0" w:firstLineChars="0"/>
              <w:jc w:val="center"/>
              <w:rPr>
                <w:rFonts w:hint="eastAsia" w:ascii="宋体" w:hAnsi="宋体" w:eastAsia="宋体" w:cs="宋体"/>
                <w:color w:val="auto"/>
                <w:kern w:val="0"/>
                <w:sz w:val="22"/>
                <w:szCs w:val="22"/>
                <w:highlight w:val="none"/>
              </w:rPr>
            </w:pPr>
          </w:p>
        </w:tc>
        <w:tc>
          <w:tcPr>
            <w:tcW w:w="1277" w:type="dxa"/>
            <w:shd w:val="clear" w:color="auto" w:fill="auto"/>
            <w:noWrap w:val="0"/>
            <w:vAlign w:val="center"/>
          </w:tcPr>
          <w:p w14:paraId="3DDD3A6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lang w:val="en-US" w:eastAsia="zh-CN"/>
              </w:rPr>
              <w:t>项目前期费与其他建设费用</w:t>
            </w:r>
          </w:p>
        </w:tc>
        <w:tc>
          <w:tcPr>
            <w:tcW w:w="1872" w:type="dxa"/>
            <w:shd w:val="clear" w:color="auto" w:fill="auto"/>
            <w:noWrap w:val="0"/>
            <w:vAlign w:val="center"/>
          </w:tcPr>
          <w:p w14:paraId="1DFA91C7">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完成项目计划工作目标的实际节约成本与计划成本的比率，用以反映和考核项目的成本节约程度。</w:t>
            </w:r>
          </w:p>
        </w:tc>
        <w:tc>
          <w:tcPr>
            <w:tcW w:w="7633" w:type="dxa"/>
            <w:shd w:val="clear" w:color="auto" w:fill="auto"/>
            <w:noWrap w:val="0"/>
            <w:vAlign w:val="center"/>
          </w:tcPr>
          <w:p w14:paraId="1FE513A4">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成本节约率=[（计划成本-实际成本）/计划成本]×100%。</w:t>
            </w:r>
          </w:p>
          <w:p w14:paraId="74E13CA7">
            <w:pPr>
              <w:widowControl/>
              <w:spacing w:line="0" w:lineRule="atLeast"/>
              <w:ind w:firstLine="0" w:firstLineChars="0"/>
              <w:rPr>
                <w:rFonts w:hint="eastAsia" w:ascii="宋体" w:hAnsi="宋体" w:eastAsia="宋体" w:cs="宋体"/>
                <w:color w:val="auto"/>
                <w:kern w:val="0"/>
                <w:sz w:val="22"/>
                <w:szCs w:val="22"/>
                <w:highlight w:val="none"/>
                <w:lang w:eastAsia="zh-CN"/>
              </w:rPr>
            </w:pPr>
            <w:r>
              <w:rPr>
                <w:rFonts w:hint="eastAsia" w:ascii="宋体" w:hAnsi="宋体" w:eastAsia="宋体" w:cs="宋体"/>
                <w:color w:val="auto"/>
                <w:kern w:val="0"/>
                <w:sz w:val="22"/>
                <w:szCs w:val="22"/>
                <w:highlight w:val="none"/>
              </w:rPr>
              <w:t>实际成本：项目实施单位如期、保质、保量完成既定工作目标实际所耗费的支出。</w:t>
            </w:r>
          </w:p>
          <w:p w14:paraId="60BFC08D">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计划成本：项目实施单位为完成工作目标计划安排的支出，一般以项目预算为参考。</w:t>
            </w:r>
          </w:p>
        </w:tc>
        <w:tc>
          <w:tcPr>
            <w:tcW w:w="785" w:type="dxa"/>
            <w:shd w:val="clear" w:color="auto" w:fill="auto"/>
            <w:noWrap w:val="0"/>
            <w:vAlign w:val="center"/>
          </w:tcPr>
          <w:p w14:paraId="73E0F685">
            <w:pPr>
              <w:widowControl/>
              <w:spacing w:line="0" w:lineRule="atLeast"/>
              <w:ind w:firstLine="220" w:firstLineChars="10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2</w:t>
            </w:r>
          </w:p>
        </w:tc>
        <w:tc>
          <w:tcPr>
            <w:tcW w:w="769" w:type="dxa"/>
            <w:shd w:val="clear" w:color="auto" w:fill="auto"/>
            <w:noWrap w:val="0"/>
            <w:vAlign w:val="center"/>
          </w:tcPr>
          <w:p w14:paraId="1364AFE3">
            <w:pPr>
              <w:widowControl/>
              <w:spacing w:line="0" w:lineRule="atLeast"/>
              <w:ind w:firstLine="0" w:firstLineChars="0"/>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0.07</w:t>
            </w:r>
          </w:p>
        </w:tc>
      </w:tr>
      <w:tr w14:paraId="150DB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89" w:hRule="atLeast"/>
          <w:jc w:val="center"/>
        </w:trPr>
        <w:tc>
          <w:tcPr>
            <w:tcW w:w="861" w:type="dxa"/>
            <w:vMerge w:val="restart"/>
            <w:shd w:val="clear" w:color="auto" w:fill="auto"/>
            <w:noWrap w:val="0"/>
            <w:vAlign w:val="center"/>
          </w:tcPr>
          <w:p w14:paraId="0EEFC7B8">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效益　</w:t>
            </w:r>
          </w:p>
        </w:tc>
        <w:tc>
          <w:tcPr>
            <w:tcW w:w="727" w:type="dxa"/>
            <w:shd w:val="clear" w:color="auto" w:fill="auto"/>
            <w:noWrap w:val="0"/>
            <w:vAlign w:val="center"/>
          </w:tcPr>
          <w:p w14:paraId="717DE0FD">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社会效益指标　</w:t>
            </w:r>
          </w:p>
        </w:tc>
        <w:tc>
          <w:tcPr>
            <w:tcW w:w="1277" w:type="dxa"/>
            <w:shd w:val="clear" w:color="auto" w:fill="auto"/>
            <w:noWrap w:val="0"/>
            <w:vAlign w:val="center"/>
          </w:tcPr>
          <w:p w14:paraId="03901FC9">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项目的实施还可提供新的社会就业机会，让乡村富余劳动力，促进社会稳定。</w:t>
            </w:r>
          </w:p>
        </w:tc>
        <w:tc>
          <w:tcPr>
            <w:tcW w:w="1872" w:type="dxa"/>
            <w:shd w:val="clear" w:color="auto" w:fill="auto"/>
            <w:noWrap w:val="0"/>
            <w:vAlign w:val="center"/>
          </w:tcPr>
          <w:p w14:paraId="2E571716">
            <w:pPr>
              <w:widowControl/>
              <w:spacing w:line="0" w:lineRule="atLeast"/>
              <w:ind w:firstLine="0" w:firstLineChars="0"/>
              <w:jc w:val="left"/>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633" w:type="dxa"/>
            <w:shd w:val="clear" w:color="auto" w:fill="auto"/>
            <w:noWrap w:val="0"/>
            <w:vAlign w:val="center"/>
          </w:tcPr>
          <w:p w14:paraId="6921524E">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4E111C40">
            <w:pPr>
              <w:widowControl/>
              <w:spacing w:line="0" w:lineRule="atLeast"/>
              <w:ind w:left="0" w:leftChars="0" w:firstLine="0" w:firstLineChars="0"/>
              <w:jc w:val="center"/>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79C43209">
            <w:pPr>
              <w:widowControl/>
              <w:spacing w:line="0" w:lineRule="atLeast"/>
              <w:ind w:left="0" w:leftChars="0" w:firstLine="0" w:firstLineChars="0"/>
              <w:jc w:val="center"/>
              <w:rPr>
                <w:rFonts w:hint="eastAsia" w:ascii="宋体" w:hAnsi="宋体" w:eastAsia="宋体" w:cs="宋体"/>
                <w:color w:val="auto"/>
                <w:kern w:val="0"/>
                <w:sz w:val="22"/>
                <w:szCs w:val="22"/>
                <w:highlight w:val="none"/>
                <w:lang w:val="en-US" w:eastAsia="zh-CN" w:bidi="ar-SA"/>
              </w:rPr>
            </w:pPr>
            <w:r>
              <w:rPr>
                <w:rFonts w:hint="eastAsia" w:cs="宋体"/>
                <w:color w:val="auto"/>
                <w:kern w:val="0"/>
                <w:sz w:val="22"/>
                <w:szCs w:val="22"/>
                <w:highlight w:val="none"/>
                <w:lang w:val="en-US" w:eastAsia="zh-CN"/>
              </w:rPr>
              <w:t>10</w:t>
            </w:r>
          </w:p>
        </w:tc>
      </w:tr>
      <w:tr w14:paraId="7A93BB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14:paraId="531FA6B9">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7D21F899">
            <w:pPr>
              <w:widowControl/>
              <w:spacing w:line="0" w:lineRule="atLeast"/>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生态效益指标</w:t>
            </w:r>
          </w:p>
        </w:tc>
        <w:tc>
          <w:tcPr>
            <w:tcW w:w="1277" w:type="dxa"/>
            <w:shd w:val="clear" w:color="auto" w:fill="auto"/>
            <w:noWrap w:val="0"/>
            <w:vAlign w:val="center"/>
          </w:tcPr>
          <w:p w14:paraId="75D0387A">
            <w:pPr>
              <w:widowControl/>
              <w:spacing w:line="0" w:lineRule="atLeast"/>
              <w:ind w:firstLine="0" w:firstLineChars="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项目建成将有利于进一步完善乡村周边基础设施建设，对人居环境改善发挥着重要作用。</w:t>
            </w:r>
          </w:p>
        </w:tc>
        <w:tc>
          <w:tcPr>
            <w:tcW w:w="1872" w:type="dxa"/>
            <w:shd w:val="clear" w:color="auto" w:fill="auto"/>
            <w:noWrap w:val="0"/>
            <w:vAlign w:val="center"/>
          </w:tcPr>
          <w:p w14:paraId="0524EE44">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项目实施所产生的效益。</w:t>
            </w:r>
          </w:p>
        </w:tc>
        <w:tc>
          <w:tcPr>
            <w:tcW w:w="7633" w:type="dxa"/>
            <w:shd w:val="clear" w:color="auto" w:fill="auto"/>
            <w:noWrap w:val="0"/>
            <w:vAlign w:val="center"/>
          </w:tcPr>
          <w:p w14:paraId="0146BBE9">
            <w:pPr>
              <w:widowControl/>
              <w:spacing w:line="0" w:lineRule="atLeast"/>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项目实施所产生的社会效益、经济效益、生态效益、可持续影响等。可根据项目实际情况有选择地设置和细化。</w:t>
            </w:r>
          </w:p>
        </w:tc>
        <w:tc>
          <w:tcPr>
            <w:tcW w:w="785" w:type="dxa"/>
            <w:shd w:val="clear" w:color="auto" w:fill="auto"/>
            <w:noWrap w:val="0"/>
            <w:vAlign w:val="center"/>
          </w:tcPr>
          <w:p w14:paraId="14D03662">
            <w:pPr>
              <w:widowControl/>
              <w:spacing w:line="0" w:lineRule="atLeast"/>
              <w:ind w:left="0" w:leftChars="0"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209BA28E">
            <w:pPr>
              <w:widowControl/>
              <w:spacing w:line="0" w:lineRule="atLeast"/>
              <w:ind w:left="0" w:leftChars="0"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48157C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7" w:hRule="atLeast"/>
          <w:jc w:val="center"/>
        </w:trPr>
        <w:tc>
          <w:tcPr>
            <w:tcW w:w="861" w:type="dxa"/>
            <w:vMerge w:val="continue"/>
            <w:shd w:val="clear" w:color="auto" w:fill="auto"/>
            <w:noWrap w:val="0"/>
            <w:vAlign w:val="center"/>
          </w:tcPr>
          <w:p w14:paraId="60842736">
            <w:pPr>
              <w:widowControl/>
              <w:spacing w:line="0" w:lineRule="atLeast"/>
              <w:ind w:firstLine="0" w:firstLineChars="0"/>
              <w:jc w:val="center"/>
              <w:rPr>
                <w:rFonts w:ascii="宋体" w:hAnsi="宋体" w:eastAsia="宋体" w:cs="宋体"/>
                <w:color w:val="auto"/>
                <w:kern w:val="0"/>
                <w:sz w:val="22"/>
                <w:szCs w:val="22"/>
                <w:highlight w:val="none"/>
              </w:rPr>
            </w:pPr>
          </w:p>
        </w:tc>
        <w:tc>
          <w:tcPr>
            <w:tcW w:w="727" w:type="dxa"/>
            <w:shd w:val="clear" w:color="auto" w:fill="auto"/>
            <w:noWrap w:val="0"/>
            <w:vAlign w:val="center"/>
          </w:tcPr>
          <w:p w14:paraId="72DF81D7">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满意度</w:t>
            </w:r>
          </w:p>
        </w:tc>
        <w:tc>
          <w:tcPr>
            <w:tcW w:w="1277" w:type="dxa"/>
            <w:shd w:val="clear" w:color="auto" w:fill="auto"/>
            <w:noWrap w:val="0"/>
            <w:vAlign w:val="center"/>
          </w:tcPr>
          <w:p w14:paraId="4DC2B0FB">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周边群众满意度</w:t>
            </w:r>
          </w:p>
        </w:tc>
        <w:tc>
          <w:tcPr>
            <w:tcW w:w="1872" w:type="dxa"/>
            <w:shd w:val="clear" w:color="auto" w:fill="auto"/>
            <w:noWrap w:val="0"/>
            <w:vAlign w:val="center"/>
          </w:tcPr>
          <w:p w14:paraId="4D106A56">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社会公众或服务对象对项目实施效果的满意程度。</w:t>
            </w:r>
          </w:p>
        </w:tc>
        <w:tc>
          <w:tcPr>
            <w:tcW w:w="7633" w:type="dxa"/>
            <w:shd w:val="clear" w:color="auto" w:fill="auto"/>
            <w:noWrap w:val="0"/>
            <w:vAlign w:val="center"/>
          </w:tcPr>
          <w:p w14:paraId="679CC287">
            <w:pPr>
              <w:widowControl/>
              <w:spacing w:line="0" w:lineRule="atLeast"/>
              <w:ind w:firstLine="0" w:firstLineChars="0"/>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社会公众或服务对象是指因该项目实施而受到影响的部门（单位）、群体或个人。一般采取社会调查的方式。</w:t>
            </w:r>
          </w:p>
        </w:tc>
        <w:tc>
          <w:tcPr>
            <w:tcW w:w="785" w:type="dxa"/>
            <w:shd w:val="clear" w:color="auto" w:fill="auto"/>
            <w:noWrap w:val="0"/>
            <w:vAlign w:val="center"/>
          </w:tcPr>
          <w:p w14:paraId="713ABE91">
            <w:pPr>
              <w:widowControl/>
              <w:spacing w:line="0" w:lineRule="atLeast"/>
              <w:ind w:firstLine="0" w:firstLineChars="0"/>
              <w:jc w:val="center"/>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c>
          <w:tcPr>
            <w:tcW w:w="769" w:type="dxa"/>
            <w:shd w:val="clear" w:color="auto" w:fill="auto"/>
            <w:noWrap w:val="0"/>
            <w:vAlign w:val="center"/>
          </w:tcPr>
          <w:p w14:paraId="1345C478">
            <w:pPr>
              <w:widowControl/>
              <w:spacing w:line="0" w:lineRule="atLeast"/>
              <w:ind w:firstLine="0" w:firstLineChars="0"/>
              <w:jc w:val="center"/>
              <w:rPr>
                <w:rFonts w:hint="default" w:cs="宋体"/>
                <w:color w:val="auto"/>
                <w:kern w:val="0"/>
                <w:sz w:val="22"/>
                <w:szCs w:val="22"/>
                <w:highlight w:val="none"/>
                <w:lang w:val="en-US" w:eastAsia="zh-CN"/>
              </w:rPr>
            </w:pPr>
            <w:r>
              <w:rPr>
                <w:rFonts w:hint="eastAsia" w:cs="宋体"/>
                <w:color w:val="auto"/>
                <w:kern w:val="0"/>
                <w:sz w:val="22"/>
                <w:szCs w:val="22"/>
                <w:highlight w:val="none"/>
                <w:lang w:val="en-US" w:eastAsia="zh-CN"/>
              </w:rPr>
              <w:t>10</w:t>
            </w:r>
          </w:p>
        </w:tc>
      </w:tr>
      <w:tr w14:paraId="6F6AE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7" w:hRule="atLeast"/>
          <w:jc w:val="center"/>
        </w:trPr>
        <w:tc>
          <w:tcPr>
            <w:tcW w:w="4737" w:type="dxa"/>
            <w:gridSpan w:val="4"/>
            <w:shd w:val="clear" w:color="auto" w:fill="auto"/>
            <w:noWrap w:val="0"/>
            <w:vAlign w:val="center"/>
          </w:tcPr>
          <w:p w14:paraId="434BCF76">
            <w:pPr>
              <w:widowControl/>
              <w:spacing w:line="0" w:lineRule="atLeast"/>
              <w:ind w:firstLine="0" w:firstLineChars="0"/>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合计</w:t>
            </w:r>
          </w:p>
        </w:tc>
        <w:tc>
          <w:tcPr>
            <w:tcW w:w="7633" w:type="dxa"/>
            <w:shd w:val="clear" w:color="auto" w:fill="auto"/>
            <w:noWrap w:val="0"/>
            <w:vAlign w:val="center"/>
          </w:tcPr>
          <w:p w14:paraId="5CD7A1EB">
            <w:pPr>
              <w:widowControl/>
              <w:spacing w:line="0" w:lineRule="atLeast"/>
              <w:ind w:firstLine="0" w:firstLineChars="0"/>
              <w:rPr>
                <w:rFonts w:hint="eastAsia" w:ascii="宋体" w:hAnsi="宋体" w:eastAsia="宋体" w:cs="宋体"/>
                <w:color w:val="auto"/>
                <w:kern w:val="0"/>
                <w:sz w:val="22"/>
                <w:szCs w:val="22"/>
                <w:highlight w:val="none"/>
              </w:rPr>
            </w:pPr>
          </w:p>
        </w:tc>
        <w:tc>
          <w:tcPr>
            <w:tcW w:w="785" w:type="dxa"/>
            <w:shd w:val="clear" w:color="auto" w:fill="auto"/>
            <w:noWrap w:val="0"/>
            <w:vAlign w:val="center"/>
          </w:tcPr>
          <w:p w14:paraId="54EF7432">
            <w:pPr>
              <w:widowControl/>
              <w:spacing w:line="0" w:lineRule="atLeast"/>
              <w:ind w:firstLine="0" w:firstLineChars="0"/>
              <w:jc w:val="center"/>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100</w:t>
            </w:r>
          </w:p>
        </w:tc>
        <w:tc>
          <w:tcPr>
            <w:tcW w:w="769" w:type="dxa"/>
            <w:shd w:val="clear" w:color="auto" w:fill="auto"/>
            <w:noWrap w:val="0"/>
            <w:vAlign w:val="center"/>
          </w:tcPr>
          <w:p w14:paraId="21F8F1E4">
            <w:pPr>
              <w:widowControl/>
              <w:spacing w:line="0" w:lineRule="atLeast"/>
              <w:ind w:firstLine="0" w:firstLineChars="0"/>
              <w:rPr>
                <w:rFonts w:hint="default" w:ascii="宋体" w:hAnsi="宋体" w:eastAsia="宋体" w:cs="宋体"/>
                <w:color w:val="auto"/>
                <w:kern w:val="0"/>
                <w:sz w:val="22"/>
                <w:szCs w:val="22"/>
                <w:highlight w:val="none"/>
                <w:lang w:val="en-US" w:eastAsia="zh-CN"/>
              </w:rPr>
            </w:pPr>
            <w:r>
              <w:rPr>
                <w:rFonts w:hint="eastAsia" w:cs="宋体"/>
                <w:color w:val="auto"/>
                <w:kern w:val="0"/>
                <w:sz w:val="22"/>
                <w:szCs w:val="22"/>
                <w:highlight w:val="none"/>
                <w:lang w:val="en-US" w:eastAsia="zh-CN"/>
              </w:rPr>
              <w:t>96.18</w:t>
            </w:r>
          </w:p>
        </w:tc>
      </w:tr>
    </w:tbl>
    <w:p w14:paraId="153FAEEC">
      <w:pPr>
        <w:spacing w:line="240" w:lineRule="auto"/>
        <w:ind w:firstLine="0" w:firstLineChars="0"/>
        <w:rPr>
          <w:rFonts w:ascii="Times New Roman" w:hAnsi="Times New Roman" w:eastAsia="仿宋_GB2312" w:cs="Times New Roman"/>
          <w:color w:val="auto"/>
          <w:sz w:val="30"/>
          <w:szCs w:val="24"/>
          <w:highlight w:val="none"/>
        </w:rPr>
      </w:pPr>
    </w:p>
    <w:p w14:paraId="282FB294">
      <w:pPr>
        <w:rPr>
          <w:rFonts w:hint="default"/>
          <w:color w:val="auto"/>
          <w:lang w:val="en-US" w:eastAsia="zh-CN"/>
        </w:rPr>
      </w:pPr>
    </w:p>
    <w:sectPr>
      <w:pgSz w:w="16838" w:h="11906" w:orient="landscape"/>
      <w:pgMar w:top="1800" w:right="1440" w:bottom="1800" w:left="1440" w:header="737" w:footer="851" w:gutter="0"/>
      <w:pgBorders>
        <w:top w:val="none" w:sz="0" w:space="0"/>
        <w:left w:val="none" w:sz="0" w:space="0"/>
        <w:bottom w:val="none" w:sz="0" w:space="0"/>
        <w:right w:val="none" w:sz="0" w:space="0"/>
      </w:pgBorders>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PingFangSC-Regular">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3494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B4E99">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B4E99">
                    <w:pPr>
                      <w:pStyle w:val="8"/>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wYTY1Mjg5YTkwYTQzODE5MGVlMDdjY2YxMTFmODYifQ=="/>
  </w:docVars>
  <w:rsids>
    <w:rsidRoot w:val="68291A1A"/>
    <w:rsid w:val="005A4122"/>
    <w:rsid w:val="007D6A04"/>
    <w:rsid w:val="00E23C81"/>
    <w:rsid w:val="01253350"/>
    <w:rsid w:val="01282E62"/>
    <w:rsid w:val="014029CF"/>
    <w:rsid w:val="01470C4C"/>
    <w:rsid w:val="02200440"/>
    <w:rsid w:val="02284B43"/>
    <w:rsid w:val="02B015E2"/>
    <w:rsid w:val="02DC08FA"/>
    <w:rsid w:val="033B569D"/>
    <w:rsid w:val="039C3BA0"/>
    <w:rsid w:val="03A845BB"/>
    <w:rsid w:val="03B45AD1"/>
    <w:rsid w:val="04D12EE4"/>
    <w:rsid w:val="04D63993"/>
    <w:rsid w:val="06065BCC"/>
    <w:rsid w:val="07890F4F"/>
    <w:rsid w:val="08892439"/>
    <w:rsid w:val="08EB30F3"/>
    <w:rsid w:val="09237408"/>
    <w:rsid w:val="09781BD6"/>
    <w:rsid w:val="09F359DF"/>
    <w:rsid w:val="0A575E65"/>
    <w:rsid w:val="0ACA0AB6"/>
    <w:rsid w:val="0C032502"/>
    <w:rsid w:val="0C27698C"/>
    <w:rsid w:val="0D4452F3"/>
    <w:rsid w:val="0F5E5042"/>
    <w:rsid w:val="0FE95707"/>
    <w:rsid w:val="10510571"/>
    <w:rsid w:val="10787A20"/>
    <w:rsid w:val="108672DE"/>
    <w:rsid w:val="108C51BC"/>
    <w:rsid w:val="10EC685A"/>
    <w:rsid w:val="11FA6155"/>
    <w:rsid w:val="12CF0947"/>
    <w:rsid w:val="12F1313F"/>
    <w:rsid w:val="136C678E"/>
    <w:rsid w:val="13EB2FF5"/>
    <w:rsid w:val="15A46B04"/>
    <w:rsid w:val="15C84D4B"/>
    <w:rsid w:val="165825BC"/>
    <w:rsid w:val="16BC5D73"/>
    <w:rsid w:val="176F36D7"/>
    <w:rsid w:val="177F492B"/>
    <w:rsid w:val="1795226D"/>
    <w:rsid w:val="18456B1E"/>
    <w:rsid w:val="19626E94"/>
    <w:rsid w:val="1C1171C5"/>
    <w:rsid w:val="1D265138"/>
    <w:rsid w:val="1D7B6BCA"/>
    <w:rsid w:val="1DA41A79"/>
    <w:rsid w:val="1DF53469"/>
    <w:rsid w:val="1E2F24F2"/>
    <w:rsid w:val="1E58492F"/>
    <w:rsid w:val="1E5B6757"/>
    <w:rsid w:val="1ED10AC6"/>
    <w:rsid w:val="1F89225F"/>
    <w:rsid w:val="1F900A1F"/>
    <w:rsid w:val="1FC0575D"/>
    <w:rsid w:val="206132C7"/>
    <w:rsid w:val="21B00C1D"/>
    <w:rsid w:val="23031BEB"/>
    <w:rsid w:val="23917691"/>
    <w:rsid w:val="244D65B8"/>
    <w:rsid w:val="245E1E24"/>
    <w:rsid w:val="256F0587"/>
    <w:rsid w:val="25AD5E5D"/>
    <w:rsid w:val="2732478D"/>
    <w:rsid w:val="27661469"/>
    <w:rsid w:val="27900EAD"/>
    <w:rsid w:val="279B538A"/>
    <w:rsid w:val="286F545C"/>
    <w:rsid w:val="29314FBC"/>
    <w:rsid w:val="2C024B86"/>
    <w:rsid w:val="2C927671"/>
    <w:rsid w:val="2D7C5CD6"/>
    <w:rsid w:val="2E483E7E"/>
    <w:rsid w:val="2E690493"/>
    <w:rsid w:val="2E9854BD"/>
    <w:rsid w:val="2F0D407F"/>
    <w:rsid w:val="2F454B19"/>
    <w:rsid w:val="2FFE22BA"/>
    <w:rsid w:val="310224D9"/>
    <w:rsid w:val="31B4621C"/>
    <w:rsid w:val="31E3230A"/>
    <w:rsid w:val="330957E0"/>
    <w:rsid w:val="33356F64"/>
    <w:rsid w:val="33944516"/>
    <w:rsid w:val="341D5FA7"/>
    <w:rsid w:val="34B62907"/>
    <w:rsid w:val="36BD137C"/>
    <w:rsid w:val="385D37E7"/>
    <w:rsid w:val="38782EDD"/>
    <w:rsid w:val="3971469F"/>
    <w:rsid w:val="3B42664A"/>
    <w:rsid w:val="3D836A4E"/>
    <w:rsid w:val="3E9C21BE"/>
    <w:rsid w:val="3EA37E97"/>
    <w:rsid w:val="3EF77308"/>
    <w:rsid w:val="3FBE0BC5"/>
    <w:rsid w:val="4048103A"/>
    <w:rsid w:val="40736643"/>
    <w:rsid w:val="40D24A7A"/>
    <w:rsid w:val="42621029"/>
    <w:rsid w:val="435241E2"/>
    <w:rsid w:val="43975C51"/>
    <w:rsid w:val="439E3FA7"/>
    <w:rsid w:val="44B32266"/>
    <w:rsid w:val="44FC64F4"/>
    <w:rsid w:val="45603609"/>
    <w:rsid w:val="467F4585"/>
    <w:rsid w:val="470628CB"/>
    <w:rsid w:val="47555BD4"/>
    <w:rsid w:val="47E96399"/>
    <w:rsid w:val="48E12B50"/>
    <w:rsid w:val="4909149A"/>
    <w:rsid w:val="492E435B"/>
    <w:rsid w:val="499441BE"/>
    <w:rsid w:val="499A6C1C"/>
    <w:rsid w:val="4A2138F0"/>
    <w:rsid w:val="4A583887"/>
    <w:rsid w:val="4B9F6E02"/>
    <w:rsid w:val="4C89637B"/>
    <w:rsid w:val="4D7D56CC"/>
    <w:rsid w:val="4E4A6605"/>
    <w:rsid w:val="4E6E48A8"/>
    <w:rsid w:val="4EEC036B"/>
    <w:rsid w:val="501D2673"/>
    <w:rsid w:val="50C80BF1"/>
    <w:rsid w:val="51112598"/>
    <w:rsid w:val="51852833"/>
    <w:rsid w:val="52F11AC8"/>
    <w:rsid w:val="534F49D9"/>
    <w:rsid w:val="53555F0F"/>
    <w:rsid w:val="535D23D5"/>
    <w:rsid w:val="557217EF"/>
    <w:rsid w:val="56F4341A"/>
    <w:rsid w:val="575A7321"/>
    <w:rsid w:val="580B1A44"/>
    <w:rsid w:val="580C3AB9"/>
    <w:rsid w:val="583C7AE0"/>
    <w:rsid w:val="586C1E9A"/>
    <w:rsid w:val="586E0800"/>
    <w:rsid w:val="59216F96"/>
    <w:rsid w:val="598C4145"/>
    <w:rsid w:val="59957D1B"/>
    <w:rsid w:val="59D4294E"/>
    <w:rsid w:val="5B634312"/>
    <w:rsid w:val="5B9D2CCD"/>
    <w:rsid w:val="5B9E71EA"/>
    <w:rsid w:val="5C08044F"/>
    <w:rsid w:val="5E226FBC"/>
    <w:rsid w:val="5FE72BD2"/>
    <w:rsid w:val="60120613"/>
    <w:rsid w:val="618D5292"/>
    <w:rsid w:val="622E78FA"/>
    <w:rsid w:val="63337923"/>
    <w:rsid w:val="63343F70"/>
    <w:rsid w:val="638E32D1"/>
    <w:rsid w:val="64296E1C"/>
    <w:rsid w:val="64830DC3"/>
    <w:rsid w:val="649E64A2"/>
    <w:rsid w:val="65E5270A"/>
    <w:rsid w:val="663D3C54"/>
    <w:rsid w:val="66862C89"/>
    <w:rsid w:val="66BB486D"/>
    <w:rsid w:val="67394C7D"/>
    <w:rsid w:val="67653F52"/>
    <w:rsid w:val="68126B38"/>
    <w:rsid w:val="68291A1A"/>
    <w:rsid w:val="68352BB8"/>
    <w:rsid w:val="691B1594"/>
    <w:rsid w:val="693A016B"/>
    <w:rsid w:val="6A1363DA"/>
    <w:rsid w:val="6A17429C"/>
    <w:rsid w:val="6A567EA3"/>
    <w:rsid w:val="6A8E65B0"/>
    <w:rsid w:val="6B4B4368"/>
    <w:rsid w:val="6B79100E"/>
    <w:rsid w:val="6C844C00"/>
    <w:rsid w:val="6E10212C"/>
    <w:rsid w:val="6E43561A"/>
    <w:rsid w:val="6E557973"/>
    <w:rsid w:val="6E9568DB"/>
    <w:rsid w:val="6ED00F45"/>
    <w:rsid w:val="6F0D6C22"/>
    <w:rsid w:val="6F47657F"/>
    <w:rsid w:val="6FAF23D9"/>
    <w:rsid w:val="70635CF6"/>
    <w:rsid w:val="70670707"/>
    <w:rsid w:val="70EF69BB"/>
    <w:rsid w:val="71004204"/>
    <w:rsid w:val="720E3691"/>
    <w:rsid w:val="724E244C"/>
    <w:rsid w:val="72DA6946"/>
    <w:rsid w:val="732764B3"/>
    <w:rsid w:val="74026044"/>
    <w:rsid w:val="74746410"/>
    <w:rsid w:val="74BC3855"/>
    <w:rsid w:val="75E5007C"/>
    <w:rsid w:val="77813724"/>
    <w:rsid w:val="77861774"/>
    <w:rsid w:val="78C60FD9"/>
    <w:rsid w:val="78F31435"/>
    <w:rsid w:val="79300B45"/>
    <w:rsid w:val="794D3E18"/>
    <w:rsid w:val="79F3729A"/>
    <w:rsid w:val="7A880722"/>
    <w:rsid w:val="7ACB0498"/>
    <w:rsid w:val="7AED0B4D"/>
    <w:rsid w:val="7B921283"/>
    <w:rsid w:val="7C1E4487"/>
    <w:rsid w:val="7C215E02"/>
    <w:rsid w:val="7CF23764"/>
    <w:rsid w:val="7D450201"/>
    <w:rsid w:val="7E12157A"/>
    <w:rsid w:val="7E797F74"/>
    <w:rsid w:val="7F924011"/>
    <w:rsid w:val="7FC52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4">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5">
    <w:name w:val="heading 2"/>
    <w:basedOn w:val="1"/>
    <w:next w:val="1"/>
    <w:link w:val="15"/>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6">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before="240" w:after="240" w:line="360" w:lineRule="auto"/>
      <w:jc w:val="center"/>
    </w:pPr>
    <w:rPr>
      <w:b/>
      <w:sz w:val="44"/>
    </w:rPr>
  </w:style>
  <w:style w:type="paragraph" w:styleId="3">
    <w:name w:val="Body Text First Indent"/>
    <w:basedOn w:val="2"/>
    <w:autoRedefine/>
    <w:qFormat/>
    <w:uiPriority w:val="0"/>
    <w:pPr>
      <w:ind w:firstLine="420" w:firstLineChars="100"/>
    </w:pPr>
  </w:style>
  <w:style w:type="paragraph" w:styleId="7">
    <w:name w:val="annotation text"/>
    <w:basedOn w:val="1"/>
    <w:autoRedefine/>
    <w:qFormat/>
    <w:uiPriority w:val="0"/>
    <w:pPr>
      <w:jc w:val="left"/>
    </w:p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rPr>
      <w:rFonts w:ascii="Times New Roman" w:hAnsi="Times New Roman" w:eastAsia="宋体" w:cs="Times New Roman"/>
    </w:rPr>
  </w:style>
  <w:style w:type="paragraph" w:styleId="11">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customStyle="1" w:styleId="14">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5">
    <w:name w:val="标题 2 Char"/>
    <w:link w:val="5"/>
    <w:autoRedefine/>
    <w:qFormat/>
    <w:uiPriority w:val="0"/>
    <w:rPr>
      <w:rFonts w:ascii="Arial" w:hAnsi="Arial" w:eastAsia="楷体"/>
      <w:b/>
      <w:sz w:val="32"/>
    </w:rPr>
  </w:style>
  <w:style w:type="paragraph" w:customStyle="1" w:styleId="16">
    <w:name w:val="WPSOffice手动目录 1"/>
    <w:autoRedefine/>
    <w:qFormat/>
    <w:uiPriority w:val="0"/>
    <w:pPr>
      <w:ind w:leftChars="0"/>
    </w:pPr>
    <w:rPr>
      <w:rFonts w:ascii="Times New Roman" w:hAnsi="Times New Roman" w:eastAsia="宋体" w:cs="Times New Roman"/>
      <w:sz w:val="20"/>
      <w:szCs w:val="20"/>
    </w:rPr>
  </w:style>
  <w:style w:type="paragraph" w:customStyle="1" w:styleId="17">
    <w:name w:val="WPSOffice手动目录 2"/>
    <w:autoRedefine/>
    <w:qFormat/>
    <w:uiPriority w:val="0"/>
    <w:pPr>
      <w:ind w:leftChars="200"/>
    </w:pPr>
    <w:rPr>
      <w:rFonts w:ascii="Times New Roman" w:hAnsi="Times New Roman" w:eastAsia="宋体" w:cs="Times New Roman"/>
      <w:sz w:val="20"/>
      <w:szCs w:val="20"/>
    </w:rPr>
  </w:style>
  <w:style w:type="paragraph" w:customStyle="1" w:styleId="18">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6993</Words>
  <Characters>7271</Characters>
  <Lines>0</Lines>
  <Paragraphs>0</Paragraphs>
  <TotalTime>3</TotalTime>
  <ScaleCrop>false</ScaleCrop>
  <LinksUpToDate>false</LinksUpToDate>
  <CharactersWithSpaces>7292</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WPS_1591167138</cp:lastModifiedBy>
  <dcterms:modified xsi:type="dcterms:W3CDTF">2024-10-10T08:05:50Z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6212BE7BB62842B38C1EE26F89D98F8B</vt:lpwstr>
  </property>
</Properties>
</file>