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pacing w:line="360" w:lineRule="auto"/>
        <w:ind w:firstLine="1142" w:firstLineChars="316"/>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bookmarkStart w:id="89" w:name="_GoBack"/>
      <w:bookmarkEnd w:id="89"/>
    </w:p>
    <w:p>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40"/>
          <w:szCs w:val="40"/>
          <w:highlight w:val="none"/>
          <w:shd w:val="clear" w:color="auto" w:fill="auto"/>
          <w14:textFill>
            <w14:solidFill>
              <w14:schemeClr w14:val="tx1"/>
            </w14:solidFill>
          </w14:textFill>
        </w:rPr>
      </w:pPr>
      <w:bookmarkStart w:id="0" w:name="_Toc15679"/>
      <w:r>
        <w:rPr>
          <w:rFonts w:hint="eastAsia" w:cs="宋体"/>
          <w:b/>
          <w:bCs/>
          <w:color w:val="auto"/>
          <w:sz w:val="40"/>
          <w:szCs w:val="40"/>
          <w:highlight w:val="none"/>
          <w:shd w:val="clear" w:color="auto" w:fill="auto"/>
          <w:lang w:val="en-US" w:eastAsia="zh-CN"/>
        </w:rPr>
        <w:t>2023年清洁能源发展专项资金科林思德</w:t>
      </w:r>
      <w:r>
        <w:rPr>
          <w:rFonts w:hint="eastAsia" w:ascii="宋体" w:hAnsi="宋体" w:eastAsia="宋体" w:cs="宋体"/>
          <w:b/>
          <w:bCs/>
          <w:color w:val="auto"/>
          <w:sz w:val="40"/>
          <w:szCs w:val="40"/>
          <w:highlight w:val="none"/>
          <w:shd w:val="clear" w:color="auto" w:fill="auto"/>
          <w:lang w:val="en-US" w:eastAsia="zh-CN"/>
        </w:rPr>
        <w:t>项目</w:t>
      </w:r>
      <w:r>
        <w:rPr>
          <w:rFonts w:hint="eastAsia" w:ascii="宋体" w:hAnsi="宋体" w:eastAsia="宋体" w:cs="宋体"/>
          <w:b/>
          <w:bCs/>
          <w:color w:val="000000" w:themeColor="text1"/>
          <w:sz w:val="40"/>
          <w:szCs w:val="40"/>
          <w:highlight w:val="none"/>
          <w:shd w:val="clear" w:color="auto" w:fill="auto"/>
          <w14:textFill>
            <w14:solidFill>
              <w14:schemeClr w14:val="tx1"/>
            </w14:solidFill>
          </w14:textFill>
        </w:rPr>
        <w:t>支出绩效评价报告</w:t>
      </w:r>
      <w:bookmarkEnd w:id="0"/>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项目名称：</w:t>
      </w:r>
      <w:r>
        <w:rPr>
          <w:rFonts w:hint="eastAsia" w:cs="宋体"/>
          <w:b/>
          <w:color w:val="000000" w:themeColor="text1"/>
          <w:kern w:val="2"/>
          <w:sz w:val="28"/>
          <w:szCs w:val="28"/>
          <w:highlight w:val="none"/>
          <w:shd w:val="clear" w:color="auto" w:fill="auto"/>
          <w:lang w:val="en-US" w:eastAsia="zh-CN"/>
          <w14:textFill>
            <w14:solidFill>
              <w14:schemeClr w14:val="tx1"/>
            </w14:solidFill>
          </w14:textFill>
        </w:rPr>
        <w:t>2023年清洁能源发展专项资金</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实施单位：阜康市发展和改革委员会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default"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主管部门：</w:t>
      </w:r>
      <w:r>
        <w:rPr>
          <w:rFonts w:hint="eastAsia" w:cs="宋体"/>
          <w:b/>
          <w:color w:val="000000" w:themeColor="text1"/>
          <w:kern w:val="2"/>
          <w:sz w:val="28"/>
          <w:szCs w:val="28"/>
          <w:highlight w:val="none"/>
          <w:shd w:val="clear" w:color="auto" w:fill="auto"/>
          <w:lang w:val="en-US" w:eastAsia="zh-CN"/>
          <w14:textFill>
            <w14:solidFill>
              <w14:schemeClr w14:val="tx1"/>
            </w14:solidFill>
          </w14:textFill>
        </w:rPr>
        <w:t>阜康市发展和改革委员会</w:t>
      </w:r>
    </w:p>
    <w:p>
      <w:pPr>
        <w:pStyle w:val="10"/>
        <w:outlineLvl w:val="9"/>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p>
    <w:p>
      <w:pPr>
        <w:rPr>
          <w:rFonts w:hint="eastAsia"/>
          <w:lang w:val="en-US" w:eastAsia="zh-CN"/>
        </w:rPr>
      </w:pPr>
      <w:r>
        <w:rPr>
          <w:rFonts w:hint="eastAsia"/>
          <w:lang w:val="en-US" w:eastAsia="zh-CN"/>
        </w:rPr>
        <w:br w:type="page"/>
      </w:r>
    </w:p>
    <w:p>
      <w:pPr>
        <w:rPr>
          <w:rFonts w:hint="eastAsia"/>
          <w:lang w:val="en-US" w:eastAsia="zh-CN"/>
        </w:rPr>
      </w:pPr>
    </w:p>
    <w:sdt>
      <w:sdtPr>
        <w:rPr>
          <w:rFonts w:ascii="宋体" w:hAnsi="宋体" w:eastAsia="宋体" w:cs="宋体"/>
          <w:b/>
          <w:bCs/>
          <w:kern w:val="2"/>
          <w:sz w:val="28"/>
          <w:szCs w:val="40"/>
          <w:lang w:val="en-US" w:eastAsia="zh-CN" w:bidi="ar-SA"/>
        </w:rPr>
        <w:id w:val="147474046"/>
        <w15:color w:val="DBDBDB"/>
        <w:docPartObj>
          <w:docPartGallery w:val="Table of Contents"/>
          <w:docPartUnique/>
        </w:docPartObj>
      </w:sdtPr>
      <w:sdtEndPr>
        <w:rPr>
          <w:rFonts w:hint="eastAsia" w:ascii="宋体" w:hAnsi="宋体" w:eastAsia="宋体" w:cs="宋体"/>
          <w:b/>
          <w:bCs/>
          <w:kern w:val="2"/>
          <w:sz w:val="28"/>
          <w:szCs w:val="28"/>
          <w:lang w:val="en-US" w:eastAsia="zh-CN" w:bidi="ar-SA"/>
        </w:rPr>
      </w:sdtEndPr>
      <w:sdtContent>
        <w:p>
          <w:pPr>
            <w:keepNext w:val="0"/>
            <w:keepLines w:val="0"/>
            <w:pageBreakBefore w:val="0"/>
            <w:shd w:val="clear"/>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rPr>
              <w:b/>
              <w:bCs/>
              <w:sz w:val="40"/>
              <w:szCs w:val="40"/>
            </w:rPr>
          </w:pPr>
          <w:r>
            <w:rPr>
              <w:rFonts w:ascii="宋体" w:hAnsi="宋体" w:eastAsia="宋体"/>
              <w:b/>
              <w:bCs/>
              <w:sz w:val="40"/>
              <w:szCs w:val="40"/>
            </w:rPr>
            <w:t>目录</w:t>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TOC \o "1-3" \h \u </w:instrText>
          </w:r>
          <w:r>
            <w:rPr>
              <w:rFonts w:hint="eastAsia"/>
              <w:sz w:val="28"/>
              <w:szCs w:val="28"/>
              <w:lang w:val="en-US" w:eastAsia="zh-CN"/>
            </w:rPr>
            <w:fldChar w:fldCharType="separate"/>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_Toc17540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rPr>
            <w:t>一、基本情况</w:t>
          </w:r>
          <w:r>
            <w:rPr>
              <w:b/>
              <w:bCs/>
              <w:sz w:val="28"/>
              <w:szCs w:val="28"/>
            </w:rPr>
            <w:tab/>
          </w:r>
          <w:r>
            <w:rPr>
              <w:b/>
              <w:bCs/>
              <w:sz w:val="28"/>
              <w:szCs w:val="28"/>
            </w:rPr>
            <w:fldChar w:fldCharType="begin"/>
          </w:r>
          <w:r>
            <w:rPr>
              <w:b/>
              <w:bCs/>
              <w:sz w:val="28"/>
              <w:szCs w:val="28"/>
            </w:rPr>
            <w:instrText xml:space="preserve"> PAGEREF _Toc17540 \h </w:instrText>
          </w:r>
          <w:r>
            <w:rPr>
              <w:b/>
              <w:bCs/>
              <w:sz w:val="28"/>
              <w:szCs w:val="28"/>
            </w:rPr>
            <w:fldChar w:fldCharType="separate"/>
          </w:r>
          <w:r>
            <w:rPr>
              <w:b/>
              <w:bCs/>
              <w:sz w:val="28"/>
              <w:szCs w:val="28"/>
            </w:rPr>
            <w:t>1</w:t>
          </w:r>
          <w:r>
            <w:rPr>
              <w:b/>
              <w:bCs/>
              <w:sz w:val="28"/>
              <w:szCs w:val="28"/>
            </w:rPr>
            <w:fldChar w:fldCharType="end"/>
          </w:r>
          <w:r>
            <w:rPr>
              <w:rFonts w:hint="eastAsia"/>
              <w:b/>
              <w:bCs/>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_Toc18966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rPr>
            <w:t>（一）项目概况</w:t>
          </w:r>
          <w:r>
            <w:rPr>
              <w:sz w:val="28"/>
              <w:szCs w:val="28"/>
            </w:rPr>
            <w:tab/>
          </w:r>
          <w:r>
            <w:rPr>
              <w:sz w:val="28"/>
              <w:szCs w:val="28"/>
            </w:rPr>
            <w:fldChar w:fldCharType="begin"/>
          </w:r>
          <w:r>
            <w:rPr>
              <w:sz w:val="28"/>
              <w:szCs w:val="28"/>
            </w:rPr>
            <w:instrText xml:space="preserve"> PAGEREF _Toc18966 \h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_Toc2879 </w:instrText>
          </w:r>
          <w:r>
            <w:rPr>
              <w:rFonts w:hint="eastAsia"/>
              <w:sz w:val="28"/>
              <w:szCs w:val="28"/>
              <w:lang w:val="en-US" w:eastAsia="zh-CN"/>
            </w:rPr>
            <w:fldChar w:fldCharType="separate"/>
          </w:r>
          <w:r>
            <w:rPr>
              <w:rFonts w:hint="eastAsia" w:ascii="宋体" w:hAnsi="宋体" w:eastAsia="宋体" w:cs="宋体"/>
              <w:sz w:val="28"/>
              <w:szCs w:val="28"/>
              <w:shd w:val="clear" w:fill="auto"/>
            </w:rPr>
            <w:t>（二）</w:t>
          </w:r>
          <w:r>
            <w:rPr>
              <w:rFonts w:hint="eastAsia" w:ascii="宋体" w:hAnsi="宋体" w:eastAsia="宋体" w:cs="宋体"/>
              <w:sz w:val="28"/>
              <w:szCs w:val="28"/>
              <w:highlight w:val="none"/>
              <w:shd w:val="clear" w:color="auto" w:fill="auto"/>
            </w:rPr>
            <w:t>项目绩效目标</w:t>
          </w:r>
          <w:r>
            <w:rPr>
              <w:sz w:val="28"/>
              <w:szCs w:val="28"/>
            </w:rPr>
            <w:tab/>
          </w:r>
          <w:r>
            <w:rPr>
              <w:sz w:val="28"/>
              <w:szCs w:val="28"/>
            </w:rPr>
            <w:fldChar w:fldCharType="begin"/>
          </w:r>
          <w:r>
            <w:rPr>
              <w:sz w:val="28"/>
              <w:szCs w:val="28"/>
            </w:rPr>
            <w:instrText xml:space="preserve"> PAGEREF _Toc2879 \h </w:instrText>
          </w:r>
          <w:r>
            <w:rPr>
              <w:sz w:val="28"/>
              <w:szCs w:val="28"/>
            </w:rPr>
            <w:fldChar w:fldCharType="separate"/>
          </w:r>
          <w:r>
            <w:rPr>
              <w:sz w:val="28"/>
              <w:szCs w:val="28"/>
            </w:rPr>
            <w:t>3</w:t>
          </w:r>
          <w:r>
            <w:rPr>
              <w:sz w:val="28"/>
              <w:szCs w:val="28"/>
            </w:rPr>
            <w:fldChar w:fldCharType="end"/>
          </w:r>
          <w:r>
            <w:rPr>
              <w:rFonts w:hint="eastAsia"/>
              <w:sz w:val="28"/>
              <w:szCs w:val="28"/>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_Toc2549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rPr>
            <w:t>二、绩效评价工作开展情况</w:t>
          </w:r>
          <w:r>
            <w:rPr>
              <w:b/>
              <w:bCs/>
              <w:sz w:val="28"/>
              <w:szCs w:val="28"/>
            </w:rPr>
            <w:tab/>
          </w:r>
          <w:r>
            <w:rPr>
              <w:b/>
              <w:bCs/>
              <w:sz w:val="28"/>
              <w:szCs w:val="28"/>
            </w:rPr>
            <w:fldChar w:fldCharType="begin"/>
          </w:r>
          <w:r>
            <w:rPr>
              <w:b/>
              <w:bCs/>
              <w:sz w:val="28"/>
              <w:szCs w:val="28"/>
            </w:rPr>
            <w:instrText xml:space="preserve"> PAGEREF _Toc2549 \h </w:instrText>
          </w:r>
          <w:r>
            <w:rPr>
              <w:b/>
              <w:bCs/>
              <w:sz w:val="28"/>
              <w:szCs w:val="28"/>
            </w:rPr>
            <w:fldChar w:fldCharType="separate"/>
          </w:r>
          <w:r>
            <w:rPr>
              <w:b/>
              <w:bCs/>
              <w:sz w:val="28"/>
              <w:szCs w:val="28"/>
            </w:rPr>
            <w:t>5</w:t>
          </w:r>
          <w:r>
            <w:rPr>
              <w:b/>
              <w:bCs/>
              <w:sz w:val="28"/>
              <w:szCs w:val="28"/>
            </w:rPr>
            <w:fldChar w:fldCharType="end"/>
          </w:r>
          <w:r>
            <w:rPr>
              <w:rFonts w:hint="eastAsia"/>
              <w:b/>
              <w:bCs/>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_Toc21778 </w:instrText>
          </w:r>
          <w:r>
            <w:rPr>
              <w:rFonts w:hint="eastAsia"/>
              <w:sz w:val="28"/>
              <w:szCs w:val="28"/>
              <w:lang w:val="en-US" w:eastAsia="zh-CN"/>
            </w:rPr>
            <w:fldChar w:fldCharType="separate"/>
          </w:r>
          <w:r>
            <w:rPr>
              <w:rFonts w:hint="eastAsia" w:ascii="宋体" w:hAnsi="宋体" w:eastAsia="宋体" w:cs="宋体"/>
              <w:sz w:val="28"/>
              <w:szCs w:val="28"/>
              <w:shd w:val="clear" w:fill="auto"/>
              <w:lang w:eastAsia="zh-CN"/>
            </w:rPr>
            <w:t>（一）</w:t>
          </w:r>
          <w:r>
            <w:rPr>
              <w:rFonts w:hint="eastAsia" w:ascii="宋体" w:hAnsi="宋体" w:eastAsia="宋体" w:cs="宋体"/>
              <w:sz w:val="28"/>
              <w:szCs w:val="28"/>
              <w:highlight w:val="none"/>
              <w:shd w:val="clear" w:color="auto" w:fill="auto"/>
              <w:lang w:eastAsia="zh-CN"/>
            </w:rPr>
            <w:t>绩效评价的目的、对象和范围</w:t>
          </w:r>
          <w:r>
            <w:rPr>
              <w:sz w:val="28"/>
              <w:szCs w:val="28"/>
            </w:rPr>
            <w:tab/>
          </w:r>
          <w:r>
            <w:rPr>
              <w:sz w:val="28"/>
              <w:szCs w:val="28"/>
            </w:rPr>
            <w:fldChar w:fldCharType="begin"/>
          </w:r>
          <w:r>
            <w:rPr>
              <w:sz w:val="28"/>
              <w:szCs w:val="28"/>
            </w:rPr>
            <w:instrText xml:space="preserve"> PAGEREF _Toc21778 \h </w:instrText>
          </w:r>
          <w:r>
            <w:rPr>
              <w:sz w:val="28"/>
              <w:szCs w:val="28"/>
            </w:rPr>
            <w:fldChar w:fldCharType="separate"/>
          </w:r>
          <w:r>
            <w:rPr>
              <w:sz w:val="28"/>
              <w:szCs w:val="28"/>
            </w:rPr>
            <w:t>5</w:t>
          </w:r>
          <w:r>
            <w:rPr>
              <w:sz w:val="28"/>
              <w:szCs w:val="28"/>
            </w:rPr>
            <w:fldChar w:fldCharType="end"/>
          </w:r>
          <w:r>
            <w:rPr>
              <w:rFonts w:hint="eastAsia"/>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_Toc15902 </w:instrText>
          </w:r>
          <w:r>
            <w:rPr>
              <w:rFonts w:hint="eastAsia"/>
              <w:sz w:val="28"/>
              <w:szCs w:val="28"/>
              <w:lang w:val="en-US" w:eastAsia="zh-CN"/>
            </w:rPr>
            <w:fldChar w:fldCharType="separate"/>
          </w:r>
          <w:r>
            <w:rPr>
              <w:rFonts w:hint="eastAsia" w:ascii="宋体" w:hAnsi="宋体" w:eastAsia="宋体" w:cs="宋体"/>
              <w:sz w:val="28"/>
              <w:szCs w:val="28"/>
              <w:shd w:val="clear" w:fill="auto"/>
              <w:lang w:val="en-US" w:eastAsia="zh-CN"/>
            </w:rPr>
            <w:t>（二）</w:t>
          </w:r>
          <w:r>
            <w:rPr>
              <w:rFonts w:hint="eastAsia" w:ascii="宋体" w:hAnsi="宋体" w:eastAsia="宋体" w:cs="宋体"/>
              <w:sz w:val="28"/>
              <w:szCs w:val="28"/>
              <w:highlight w:val="none"/>
              <w:shd w:val="clear" w:color="auto" w:fill="auto"/>
              <w:lang w:val="en-US" w:eastAsia="zh-CN"/>
            </w:rPr>
            <w:t>绩效评价原则、评价指标体系（附表说明）、评价方法、评价标准</w:t>
          </w:r>
          <w:r>
            <w:rPr>
              <w:sz w:val="28"/>
              <w:szCs w:val="28"/>
            </w:rPr>
            <w:tab/>
          </w:r>
          <w:r>
            <w:rPr>
              <w:sz w:val="28"/>
              <w:szCs w:val="28"/>
            </w:rPr>
            <w:fldChar w:fldCharType="begin"/>
          </w:r>
          <w:r>
            <w:rPr>
              <w:sz w:val="28"/>
              <w:szCs w:val="28"/>
            </w:rPr>
            <w:instrText xml:space="preserve"> PAGEREF _Toc15902 \h </w:instrText>
          </w:r>
          <w:r>
            <w:rPr>
              <w:sz w:val="28"/>
              <w:szCs w:val="28"/>
            </w:rPr>
            <w:fldChar w:fldCharType="separate"/>
          </w:r>
          <w:r>
            <w:rPr>
              <w:sz w:val="28"/>
              <w:szCs w:val="28"/>
            </w:rPr>
            <w:t>5</w:t>
          </w:r>
          <w:r>
            <w:rPr>
              <w:sz w:val="28"/>
              <w:szCs w:val="28"/>
            </w:rPr>
            <w:fldChar w:fldCharType="end"/>
          </w:r>
          <w:r>
            <w:rPr>
              <w:rFonts w:hint="eastAsia"/>
              <w:sz w:val="28"/>
              <w:szCs w:val="28"/>
              <w:lang w:val="en-US" w:eastAsia="zh-CN"/>
            </w:rPr>
            <w:fldChar w:fldCharType="end"/>
          </w:r>
        </w:p>
        <w:p>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ind w:left="0" w:leftChars="0" w:firstLine="560" w:firstLineChars="200"/>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_Toc1070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val="en-US" w:eastAsia="zh-CN"/>
            </w:rPr>
            <w:t>（三）绩效评价工作过程</w:t>
          </w:r>
          <w:r>
            <w:rPr>
              <w:sz w:val="28"/>
              <w:szCs w:val="28"/>
            </w:rPr>
            <w:tab/>
          </w:r>
          <w:r>
            <w:rPr>
              <w:sz w:val="28"/>
              <w:szCs w:val="28"/>
            </w:rPr>
            <w:fldChar w:fldCharType="begin"/>
          </w:r>
          <w:r>
            <w:rPr>
              <w:sz w:val="28"/>
              <w:szCs w:val="28"/>
            </w:rPr>
            <w:instrText xml:space="preserve"> PAGEREF _Toc1070 \h </w:instrText>
          </w:r>
          <w:r>
            <w:rPr>
              <w:sz w:val="28"/>
              <w:szCs w:val="28"/>
            </w:rPr>
            <w:fldChar w:fldCharType="separate"/>
          </w:r>
          <w:r>
            <w:rPr>
              <w:sz w:val="28"/>
              <w:szCs w:val="28"/>
            </w:rPr>
            <w:t>10</w:t>
          </w:r>
          <w:r>
            <w:rPr>
              <w:sz w:val="28"/>
              <w:szCs w:val="28"/>
            </w:rPr>
            <w:fldChar w:fldCharType="end"/>
          </w:r>
          <w:r>
            <w:rPr>
              <w:rFonts w:hint="eastAsia"/>
              <w:sz w:val="28"/>
              <w:szCs w:val="28"/>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_Toc1100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三、</w:t>
          </w:r>
          <w:r>
            <w:rPr>
              <w:rFonts w:hint="eastAsia" w:ascii="宋体" w:hAnsi="宋体" w:eastAsia="宋体" w:cs="宋体"/>
              <w:b/>
              <w:bCs/>
              <w:sz w:val="28"/>
              <w:szCs w:val="28"/>
              <w:highlight w:val="none"/>
              <w:shd w:val="clear" w:color="auto" w:fill="auto"/>
            </w:rPr>
            <w:t>综合评价情况及评价结论</w:t>
          </w:r>
          <w:r>
            <w:rPr>
              <w:b/>
              <w:bCs/>
              <w:sz w:val="28"/>
              <w:szCs w:val="28"/>
            </w:rPr>
            <w:tab/>
          </w:r>
          <w:r>
            <w:rPr>
              <w:b/>
              <w:bCs/>
              <w:sz w:val="28"/>
              <w:szCs w:val="28"/>
            </w:rPr>
            <w:fldChar w:fldCharType="begin"/>
          </w:r>
          <w:r>
            <w:rPr>
              <w:b/>
              <w:bCs/>
              <w:sz w:val="28"/>
              <w:szCs w:val="28"/>
            </w:rPr>
            <w:instrText xml:space="preserve"> PAGEREF _Toc1100 \h </w:instrText>
          </w:r>
          <w:r>
            <w:rPr>
              <w:b/>
              <w:bCs/>
              <w:sz w:val="28"/>
              <w:szCs w:val="28"/>
            </w:rPr>
            <w:fldChar w:fldCharType="separate"/>
          </w:r>
          <w:r>
            <w:rPr>
              <w:b/>
              <w:bCs/>
              <w:sz w:val="28"/>
              <w:szCs w:val="28"/>
            </w:rPr>
            <w:t>12</w:t>
          </w:r>
          <w:r>
            <w:rPr>
              <w:b/>
              <w:bCs/>
              <w:sz w:val="28"/>
              <w:szCs w:val="28"/>
            </w:rPr>
            <w:fldChar w:fldCharType="end"/>
          </w:r>
          <w:r>
            <w:rPr>
              <w:rFonts w:hint="eastAsia"/>
              <w:b/>
              <w:bCs/>
              <w:sz w:val="28"/>
              <w:szCs w:val="28"/>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_Toc9421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四、绩效评价指标分析</w:t>
          </w:r>
          <w:r>
            <w:rPr>
              <w:b/>
              <w:bCs/>
              <w:sz w:val="28"/>
              <w:szCs w:val="28"/>
            </w:rPr>
            <w:tab/>
          </w:r>
          <w:r>
            <w:rPr>
              <w:b/>
              <w:bCs/>
              <w:sz w:val="28"/>
              <w:szCs w:val="28"/>
            </w:rPr>
            <w:fldChar w:fldCharType="begin"/>
          </w:r>
          <w:r>
            <w:rPr>
              <w:b/>
              <w:bCs/>
              <w:sz w:val="28"/>
              <w:szCs w:val="28"/>
            </w:rPr>
            <w:instrText xml:space="preserve"> PAGEREF _Toc9421 \h </w:instrText>
          </w:r>
          <w:r>
            <w:rPr>
              <w:b/>
              <w:bCs/>
              <w:sz w:val="28"/>
              <w:szCs w:val="28"/>
            </w:rPr>
            <w:fldChar w:fldCharType="separate"/>
          </w:r>
          <w:r>
            <w:rPr>
              <w:b/>
              <w:bCs/>
              <w:sz w:val="28"/>
              <w:szCs w:val="28"/>
            </w:rPr>
            <w:t>12</w:t>
          </w:r>
          <w:r>
            <w:rPr>
              <w:b/>
              <w:bCs/>
              <w:sz w:val="28"/>
              <w:szCs w:val="28"/>
            </w:rPr>
            <w:fldChar w:fldCharType="end"/>
          </w:r>
          <w:r>
            <w:rPr>
              <w:rFonts w:hint="eastAsia"/>
              <w:b/>
              <w:bCs/>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_Toc15355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rPr>
            <w:t>（一）项目决策情况</w:t>
          </w:r>
          <w:r>
            <w:rPr>
              <w:sz w:val="28"/>
              <w:szCs w:val="28"/>
            </w:rPr>
            <w:tab/>
          </w:r>
          <w:r>
            <w:rPr>
              <w:sz w:val="28"/>
              <w:szCs w:val="28"/>
            </w:rPr>
            <w:fldChar w:fldCharType="begin"/>
          </w:r>
          <w:r>
            <w:rPr>
              <w:sz w:val="28"/>
              <w:szCs w:val="28"/>
            </w:rPr>
            <w:instrText xml:space="preserve"> PAGEREF _Toc15355 \h </w:instrText>
          </w:r>
          <w:r>
            <w:rPr>
              <w:sz w:val="28"/>
              <w:szCs w:val="28"/>
            </w:rPr>
            <w:fldChar w:fldCharType="separate"/>
          </w:r>
          <w:r>
            <w:rPr>
              <w:sz w:val="28"/>
              <w:szCs w:val="28"/>
            </w:rPr>
            <w:t>12</w:t>
          </w:r>
          <w:r>
            <w:rPr>
              <w:sz w:val="28"/>
              <w:szCs w:val="28"/>
            </w:rPr>
            <w:fldChar w:fldCharType="end"/>
          </w:r>
          <w:r>
            <w:rPr>
              <w:rFonts w:hint="eastAsia"/>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_Toc11361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lang w:val="en-US" w:eastAsia="zh-CN"/>
            </w:rPr>
            <w:t>二</w:t>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rPr>
            <w:t>项目过程情况</w:t>
          </w:r>
          <w:r>
            <w:rPr>
              <w:sz w:val="28"/>
              <w:szCs w:val="28"/>
            </w:rPr>
            <w:tab/>
          </w:r>
          <w:r>
            <w:rPr>
              <w:sz w:val="28"/>
              <w:szCs w:val="28"/>
            </w:rPr>
            <w:fldChar w:fldCharType="begin"/>
          </w:r>
          <w:r>
            <w:rPr>
              <w:sz w:val="28"/>
              <w:szCs w:val="28"/>
            </w:rPr>
            <w:instrText xml:space="preserve"> PAGEREF _Toc11361 \h </w:instrText>
          </w:r>
          <w:r>
            <w:rPr>
              <w:sz w:val="28"/>
              <w:szCs w:val="28"/>
            </w:rPr>
            <w:fldChar w:fldCharType="separate"/>
          </w:r>
          <w:r>
            <w:rPr>
              <w:sz w:val="28"/>
              <w:szCs w:val="28"/>
            </w:rPr>
            <w:t>15</w:t>
          </w:r>
          <w:r>
            <w:rPr>
              <w:sz w:val="28"/>
              <w:szCs w:val="28"/>
            </w:rPr>
            <w:fldChar w:fldCharType="end"/>
          </w:r>
          <w:r>
            <w:rPr>
              <w:rFonts w:hint="eastAsia"/>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_Toc16268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lang w:val="en-US" w:eastAsia="zh-CN"/>
            </w:rPr>
            <w:t>三</w:t>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rPr>
            <w:t>项目产出情况</w:t>
          </w:r>
          <w:r>
            <w:rPr>
              <w:sz w:val="28"/>
              <w:szCs w:val="28"/>
            </w:rPr>
            <w:tab/>
          </w:r>
          <w:r>
            <w:rPr>
              <w:sz w:val="28"/>
              <w:szCs w:val="28"/>
            </w:rPr>
            <w:fldChar w:fldCharType="begin"/>
          </w:r>
          <w:r>
            <w:rPr>
              <w:sz w:val="28"/>
              <w:szCs w:val="28"/>
            </w:rPr>
            <w:instrText xml:space="preserve"> PAGEREF _Toc16268 \h </w:instrText>
          </w:r>
          <w:r>
            <w:rPr>
              <w:sz w:val="28"/>
              <w:szCs w:val="28"/>
            </w:rPr>
            <w:fldChar w:fldCharType="separate"/>
          </w:r>
          <w:r>
            <w:rPr>
              <w:sz w:val="28"/>
              <w:szCs w:val="28"/>
            </w:rPr>
            <w:t>17</w:t>
          </w:r>
          <w:r>
            <w:rPr>
              <w:sz w:val="28"/>
              <w:szCs w:val="28"/>
            </w:rPr>
            <w:fldChar w:fldCharType="end"/>
          </w:r>
          <w:r>
            <w:rPr>
              <w:rFonts w:hint="eastAsia"/>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_Toc18446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lang w:val="en-US" w:eastAsia="zh-CN"/>
            </w:rPr>
            <w:t>四</w:t>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rPr>
            <w:t>项目效益情况</w:t>
          </w:r>
          <w:r>
            <w:rPr>
              <w:sz w:val="28"/>
              <w:szCs w:val="28"/>
            </w:rPr>
            <w:tab/>
          </w:r>
          <w:r>
            <w:rPr>
              <w:sz w:val="28"/>
              <w:szCs w:val="28"/>
            </w:rPr>
            <w:fldChar w:fldCharType="begin"/>
          </w:r>
          <w:r>
            <w:rPr>
              <w:sz w:val="28"/>
              <w:szCs w:val="28"/>
            </w:rPr>
            <w:instrText xml:space="preserve"> PAGEREF _Toc18446 \h </w:instrText>
          </w:r>
          <w:r>
            <w:rPr>
              <w:sz w:val="28"/>
              <w:szCs w:val="28"/>
            </w:rPr>
            <w:fldChar w:fldCharType="separate"/>
          </w:r>
          <w:r>
            <w:rPr>
              <w:sz w:val="28"/>
              <w:szCs w:val="28"/>
            </w:rPr>
            <w:t>19</w:t>
          </w:r>
          <w:r>
            <w:rPr>
              <w:sz w:val="28"/>
              <w:szCs w:val="28"/>
            </w:rPr>
            <w:fldChar w:fldCharType="end"/>
          </w:r>
          <w:r>
            <w:rPr>
              <w:rFonts w:hint="eastAsia"/>
              <w:sz w:val="28"/>
              <w:szCs w:val="28"/>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_Toc19962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五、预算执行进度与指标偏差</w:t>
          </w:r>
          <w:r>
            <w:rPr>
              <w:b/>
              <w:bCs/>
              <w:sz w:val="28"/>
              <w:szCs w:val="28"/>
            </w:rPr>
            <w:tab/>
          </w:r>
          <w:r>
            <w:rPr>
              <w:b/>
              <w:bCs/>
              <w:sz w:val="28"/>
              <w:szCs w:val="28"/>
            </w:rPr>
            <w:fldChar w:fldCharType="begin"/>
          </w:r>
          <w:r>
            <w:rPr>
              <w:b/>
              <w:bCs/>
              <w:sz w:val="28"/>
              <w:szCs w:val="28"/>
            </w:rPr>
            <w:instrText xml:space="preserve"> PAGEREF _Toc19962 \h </w:instrText>
          </w:r>
          <w:r>
            <w:rPr>
              <w:b/>
              <w:bCs/>
              <w:sz w:val="28"/>
              <w:szCs w:val="28"/>
            </w:rPr>
            <w:fldChar w:fldCharType="separate"/>
          </w:r>
          <w:r>
            <w:rPr>
              <w:b/>
              <w:bCs/>
              <w:sz w:val="28"/>
              <w:szCs w:val="28"/>
            </w:rPr>
            <w:t>20</w:t>
          </w:r>
          <w:r>
            <w:rPr>
              <w:b/>
              <w:bCs/>
              <w:sz w:val="28"/>
              <w:szCs w:val="28"/>
            </w:rPr>
            <w:fldChar w:fldCharType="end"/>
          </w:r>
          <w:r>
            <w:rPr>
              <w:rFonts w:hint="eastAsia"/>
              <w:b/>
              <w:bCs/>
              <w:sz w:val="28"/>
              <w:szCs w:val="28"/>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_Toc29934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六、主要经验及做法、存在的问题及原因分析</w:t>
          </w:r>
          <w:r>
            <w:rPr>
              <w:b/>
              <w:bCs/>
              <w:sz w:val="28"/>
              <w:szCs w:val="28"/>
            </w:rPr>
            <w:tab/>
          </w:r>
          <w:r>
            <w:rPr>
              <w:b/>
              <w:bCs/>
              <w:sz w:val="28"/>
              <w:szCs w:val="28"/>
            </w:rPr>
            <w:fldChar w:fldCharType="begin"/>
          </w:r>
          <w:r>
            <w:rPr>
              <w:b/>
              <w:bCs/>
              <w:sz w:val="28"/>
              <w:szCs w:val="28"/>
            </w:rPr>
            <w:instrText xml:space="preserve"> PAGEREF _Toc29934 \h </w:instrText>
          </w:r>
          <w:r>
            <w:rPr>
              <w:b/>
              <w:bCs/>
              <w:sz w:val="28"/>
              <w:szCs w:val="28"/>
            </w:rPr>
            <w:fldChar w:fldCharType="separate"/>
          </w:r>
          <w:r>
            <w:rPr>
              <w:b/>
              <w:bCs/>
              <w:sz w:val="28"/>
              <w:szCs w:val="28"/>
            </w:rPr>
            <w:t>21</w:t>
          </w:r>
          <w:r>
            <w:rPr>
              <w:b/>
              <w:bCs/>
              <w:sz w:val="28"/>
              <w:szCs w:val="28"/>
            </w:rPr>
            <w:fldChar w:fldCharType="end"/>
          </w:r>
          <w:r>
            <w:rPr>
              <w:rFonts w:hint="eastAsia"/>
              <w:b/>
              <w:bCs/>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_Toc13160 </w:instrText>
          </w:r>
          <w:r>
            <w:rPr>
              <w:rFonts w:hint="eastAsia"/>
              <w:sz w:val="28"/>
              <w:szCs w:val="28"/>
              <w:lang w:val="en-US" w:eastAsia="zh-CN"/>
            </w:rPr>
            <w:fldChar w:fldCharType="separate"/>
          </w:r>
          <w:r>
            <w:rPr>
              <w:rFonts w:hint="eastAsia"/>
              <w:bCs/>
              <w:sz w:val="28"/>
              <w:szCs w:val="28"/>
              <w:lang w:eastAsia="zh-CN"/>
            </w:rPr>
            <w:t>（</w:t>
          </w:r>
          <w:r>
            <w:rPr>
              <w:rFonts w:hint="eastAsia"/>
              <w:bCs/>
              <w:sz w:val="28"/>
              <w:szCs w:val="28"/>
              <w:lang w:val="en-US" w:eastAsia="zh-CN"/>
            </w:rPr>
            <w:t>一</w:t>
          </w:r>
          <w:r>
            <w:rPr>
              <w:rFonts w:hint="eastAsia"/>
              <w:bCs/>
              <w:sz w:val="28"/>
              <w:szCs w:val="28"/>
              <w:lang w:eastAsia="zh-CN"/>
            </w:rPr>
            <w:t>）</w:t>
          </w:r>
          <w:r>
            <w:rPr>
              <w:rFonts w:hint="eastAsia"/>
              <w:bCs/>
              <w:sz w:val="28"/>
              <w:szCs w:val="28"/>
            </w:rPr>
            <w:t>主要经验及做法</w:t>
          </w:r>
          <w:r>
            <w:rPr>
              <w:sz w:val="28"/>
              <w:szCs w:val="28"/>
            </w:rPr>
            <w:tab/>
          </w:r>
          <w:r>
            <w:rPr>
              <w:sz w:val="28"/>
              <w:szCs w:val="28"/>
            </w:rPr>
            <w:fldChar w:fldCharType="begin"/>
          </w:r>
          <w:r>
            <w:rPr>
              <w:sz w:val="28"/>
              <w:szCs w:val="28"/>
            </w:rPr>
            <w:instrText xml:space="preserve"> PAGEREF _Toc13160 \h </w:instrText>
          </w:r>
          <w:r>
            <w:rPr>
              <w:sz w:val="28"/>
              <w:szCs w:val="28"/>
            </w:rPr>
            <w:fldChar w:fldCharType="separate"/>
          </w:r>
          <w:r>
            <w:rPr>
              <w:sz w:val="28"/>
              <w:szCs w:val="28"/>
            </w:rPr>
            <w:t>21</w:t>
          </w:r>
          <w:r>
            <w:rPr>
              <w:sz w:val="28"/>
              <w:szCs w:val="28"/>
            </w:rPr>
            <w:fldChar w:fldCharType="end"/>
          </w:r>
          <w:r>
            <w:rPr>
              <w:rFonts w:hint="eastAsia"/>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_Toc9582 </w:instrText>
          </w:r>
          <w:r>
            <w:rPr>
              <w:rFonts w:hint="eastAsia"/>
              <w:sz w:val="28"/>
              <w:szCs w:val="28"/>
              <w:lang w:val="en-US" w:eastAsia="zh-CN"/>
            </w:rPr>
            <w:fldChar w:fldCharType="separate"/>
          </w:r>
          <w:r>
            <w:rPr>
              <w:rFonts w:hint="eastAsia"/>
              <w:bCs/>
              <w:sz w:val="28"/>
              <w:szCs w:val="28"/>
              <w:lang w:eastAsia="zh-CN"/>
            </w:rPr>
            <w:t>（</w:t>
          </w:r>
          <w:r>
            <w:rPr>
              <w:rFonts w:hint="eastAsia"/>
              <w:bCs/>
              <w:sz w:val="28"/>
              <w:szCs w:val="28"/>
              <w:lang w:val="en-US" w:eastAsia="zh-CN"/>
            </w:rPr>
            <w:t>二</w:t>
          </w:r>
          <w:r>
            <w:rPr>
              <w:rFonts w:hint="eastAsia"/>
              <w:bCs/>
              <w:sz w:val="28"/>
              <w:szCs w:val="28"/>
              <w:lang w:eastAsia="zh-CN"/>
            </w:rPr>
            <w:t>）</w:t>
          </w:r>
          <w:r>
            <w:rPr>
              <w:rFonts w:hint="eastAsia"/>
              <w:bCs/>
              <w:sz w:val="28"/>
              <w:szCs w:val="28"/>
            </w:rPr>
            <w:t>存在的问题及原因分析</w:t>
          </w:r>
          <w:r>
            <w:rPr>
              <w:sz w:val="28"/>
              <w:szCs w:val="28"/>
            </w:rPr>
            <w:tab/>
          </w:r>
          <w:r>
            <w:rPr>
              <w:sz w:val="28"/>
              <w:szCs w:val="28"/>
            </w:rPr>
            <w:fldChar w:fldCharType="begin"/>
          </w:r>
          <w:r>
            <w:rPr>
              <w:sz w:val="28"/>
              <w:szCs w:val="28"/>
            </w:rPr>
            <w:instrText xml:space="preserve"> PAGEREF _Toc9582 \h </w:instrText>
          </w:r>
          <w:r>
            <w:rPr>
              <w:sz w:val="28"/>
              <w:szCs w:val="28"/>
            </w:rPr>
            <w:fldChar w:fldCharType="separate"/>
          </w:r>
          <w:r>
            <w:rPr>
              <w:sz w:val="28"/>
              <w:szCs w:val="28"/>
            </w:rPr>
            <w:t>21</w:t>
          </w:r>
          <w:r>
            <w:rPr>
              <w:sz w:val="28"/>
              <w:szCs w:val="28"/>
            </w:rPr>
            <w:fldChar w:fldCharType="end"/>
          </w:r>
          <w:r>
            <w:rPr>
              <w:rFonts w:hint="eastAsia"/>
              <w:sz w:val="28"/>
              <w:szCs w:val="28"/>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_Toc5230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七、有关建议</w:t>
          </w:r>
          <w:r>
            <w:rPr>
              <w:b/>
              <w:bCs/>
              <w:sz w:val="28"/>
              <w:szCs w:val="28"/>
            </w:rPr>
            <w:tab/>
          </w:r>
          <w:r>
            <w:rPr>
              <w:b/>
              <w:bCs/>
              <w:sz w:val="28"/>
              <w:szCs w:val="28"/>
            </w:rPr>
            <w:fldChar w:fldCharType="begin"/>
          </w:r>
          <w:r>
            <w:rPr>
              <w:b/>
              <w:bCs/>
              <w:sz w:val="28"/>
              <w:szCs w:val="28"/>
            </w:rPr>
            <w:instrText xml:space="preserve"> PAGEREF _Toc5230 \h </w:instrText>
          </w:r>
          <w:r>
            <w:rPr>
              <w:b/>
              <w:bCs/>
              <w:sz w:val="28"/>
              <w:szCs w:val="28"/>
            </w:rPr>
            <w:fldChar w:fldCharType="separate"/>
          </w:r>
          <w:r>
            <w:rPr>
              <w:b/>
              <w:bCs/>
              <w:sz w:val="28"/>
              <w:szCs w:val="28"/>
            </w:rPr>
            <w:t>21</w:t>
          </w:r>
          <w:r>
            <w:rPr>
              <w:b/>
              <w:bCs/>
              <w:sz w:val="28"/>
              <w:szCs w:val="28"/>
            </w:rPr>
            <w:fldChar w:fldCharType="end"/>
          </w:r>
          <w:r>
            <w:rPr>
              <w:rFonts w:hint="eastAsia"/>
              <w:b/>
              <w:bCs/>
              <w:sz w:val="28"/>
              <w:szCs w:val="28"/>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_Toc15618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八、其他需要说明的问题</w:t>
          </w:r>
          <w:r>
            <w:rPr>
              <w:b/>
              <w:bCs/>
              <w:sz w:val="28"/>
              <w:szCs w:val="28"/>
            </w:rPr>
            <w:tab/>
          </w:r>
          <w:r>
            <w:rPr>
              <w:b/>
              <w:bCs/>
              <w:sz w:val="28"/>
              <w:szCs w:val="28"/>
            </w:rPr>
            <w:fldChar w:fldCharType="begin"/>
          </w:r>
          <w:r>
            <w:rPr>
              <w:b/>
              <w:bCs/>
              <w:sz w:val="28"/>
              <w:szCs w:val="28"/>
            </w:rPr>
            <w:instrText xml:space="preserve"> PAGEREF _Toc15618 \h </w:instrText>
          </w:r>
          <w:r>
            <w:rPr>
              <w:b/>
              <w:bCs/>
              <w:sz w:val="28"/>
              <w:szCs w:val="28"/>
            </w:rPr>
            <w:fldChar w:fldCharType="separate"/>
          </w:r>
          <w:r>
            <w:rPr>
              <w:b/>
              <w:bCs/>
              <w:sz w:val="28"/>
              <w:szCs w:val="28"/>
            </w:rPr>
            <w:t>21</w:t>
          </w:r>
          <w:r>
            <w:rPr>
              <w:b/>
              <w:bCs/>
              <w:sz w:val="28"/>
              <w:szCs w:val="28"/>
            </w:rPr>
            <w:fldChar w:fldCharType="end"/>
          </w:r>
          <w:r>
            <w:rPr>
              <w:rFonts w:hint="eastAsia"/>
              <w:b/>
              <w:bCs/>
              <w:sz w:val="28"/>
              <w:szCs w:val="28"/>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p>
        <w:p>
          <w:pPr>
            <w:keepNext w:val="0"/>
            <w:keepLines w:val="0"/>
            <w:pageBreakBefore w:val="0"/>
            <w:shd w:val="clear"/>
            <w:kinsoku/>
            <w:wordWrap/>
            <w:overflowPunct/>
            <w:topLinePunct w:val="0"/>
            <w:autoSpaceDE/>
            <w:autoSpaceDN/>
            <w:bidi w:val="0"/>
            <w:adjustRightInd/>
            <w:snapToGrid/>
            <w:spacing w:line="520" w:lineRule="exact"/>
            <w:textAlignment w:val="auto"/>
            <w:rPr>
              <w:rFonts w:hint="eastAsia"/>
              <w:lang w:val="en-US" w:eastAsia="zh-CN"/>
            </w:rPr>
            <w:sectPr>
              <w:pgSz w:w="11906" w:h="16838"/>
              <w:pgMar w:top="1928" w:right="1531" w:bottom="1701" w:left="1531" w:header="737" w:footer="851" w:gutter="0"/>
              <w:pgBorders>
                <w:top w:val="none" w:sz="0" w:space="0"/>
                <w:left w:val="none" w:sz="0" w:space="0"/>
                <w:bottom w:val="none" w:sz="0" w:space="0"/>
                <w:right w:val="none" w:sz="0" w:space="0"/>
              </w:pgBorders>
              <w:cols w:space="720" w:num="1"/>
              <w:docGrid w:type="lines" w:linePitch="408" w:charSpace="0"/>
            </w:sectPr>
          </w:pPr>
          <w:r>
            <w:rPr>
              <w:rFonts w:hint="eastAsia"/>
              <w:sz w:val="28"/>
              <w:szCs w:val="28"/>
              <w:lang w:val="en-US" w:eastAsia="zh-CN"/>
            </w:rPr>
            <w:fldChar w:fldCharType="end"/>
          </w:r>
        </w:p>
      </w:sdtContent>
    </w:sdt>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highlight w:val="none"/>
          <w:shd w:val="clear" w:color="auto" w:fill="auto"/>
          <w14:textFill>
            <w14:solidFill>
              <w14:schemeClr w14:val="tx1"/>
            </w14:solidFill>
          </w14:textFill>
        </w:rPr>
      </w:pPr>
      <w:bookmarkStart w:id="1" w:name="_Toc1194"/>
      <w:r>
        <w:rPr>
          <w:rFonts w:hint="eastAsia" w:cs="宋体"/>
          <w:b/>
          <w:bCs/>
          <w:color w:val="auto"/>
          <w:sz w:val="36"/>
          <w:szCs w:val="36"/>
          <w:highlight w:val="none"/>
          <w:shd w:val="clear" w:color="auto" w:fill="auto"/>
          <w:lang w:val="en-US" w:eastAsia="zh-CN"/>
        </w:rPr>
        <w:t>2023年清洁能源发展专项资金科林思德</w:t>
      </w:r>
      <w:r>
        <w:rPr>
          <w:rFonts w:hint="eastAsia" w:ascii="宋体" w:hAnsi="宋体" w:eastAsia="宋体" w:cs="宋体"/>
          <w:b/>
          <w:bCs/>
          <w:color w:val="auto"/>
          <w:sz w:val="36"/>
          <w:szCs w:val="36"/>
          <w:highlight w:val="none"/>
          <w:shd w:val="clear" w:color="auto" w:fill="auto"/>
          <w:lang w:val="en-US" w:eastAsia="zh-CN"/>
        </w:rPr>
        <w:t>项目</w:t>
      </w:r>
      <w:r>
        <w:rPr>
          <w:rFonts w:hint="eastAsia" w:ascii="宋体" w:hAnsi="宋体" w:eastAsia="宋体" w:cs="宋体"/>
          <w:b/>
          <w:bCs/>
          <w:color w:val="auto"/>
          <w:sz w:val="36"/>
          <w:szCs w:val="36"/>
          <w:highlight w:val="none"/>
          <w:shd w:val="clear" w:color="auto" w:fill="auto"/>
        </w:rPr>
        <w:t>支出</w:t>
      </w:r>
      <w:r>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t>绩效评价报告</w:t>
      </w:r>
      <w:bookmarkEnd w:id="1"/>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14:textFill>
            <w14:solidFill>
              <w14:schemeClr w14:val="tx1"/>
            </w14:solidFill>
          </w14:textFill>
        </w:rPr>
      </w:pPr>
      <w:bookmarkStart w:id="2" w:name="_Toc17540"/>
      <w:r>
        <w:rPr>
          <w:rFonts w:hint="eastAsia" w:ascii="宋体" w:hAnsi="宋体" w:eastAsia="宋体" w:cs="宋体"/>
          <w:b/>
          <w:bCs/>
          <w:color w:val="000000" w:themeColor="text1"/>
          <w:highlight w:val="none"/>
          <w:shd w:val="clear" w:color="auto" w:fill="auto"/>
          <w14:textFill>
            <w14:solidFill>
              <w14:schemeClr w14:val="tx1"/>
            </w14:solidFill>
          </w14:textFill>
        </w:rPr>
        <w:t>一、基本情况</w:t>
      </w:r>
      <w:bookmarkEnd w:id="2"/>
    </w:p>
    <w:p>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3" w:name="_Toc18966"/>
      <w:r>
        <w:rPr>
          <w:rFonts w:hint="eastAsia" w:ascii="宋体" w:hAnsi="宋体" w:eastAsia="宋体" w:cs="宋体"/>
          <w:color w:val="000000" w:themeColor="text1"/>
          <w:highlight w:val="none"/>
          <w:shd w:val="clear" w:color="auto" w:fill="auto"/>
          <w14:textFill>
            <w14:solidFill>
              <w14:schemeClr w14:val="tx1"/>
            </w14:solidFill>
          </w14:textFill>
        </w:rPr>
        <w:t>（一）项目概况</w:t>
      </w:r>
      <w:bookmarkEnd w:id="3"/>
    </w:p>
    <w:p>
      <w:pPr>
        <w:pStyle w:val="2"/>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bookmarkStart w:id="4" w:name="_Toc5043"/>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14:textFill>
            <w14:solidFill>
              <w14:schemeClr w14:val="tx1"/>
            </w14:solidFill>
          </w14:textFill>
        </w:rPr>
        <w:t>项目背景</w:t>
      </w:r>
      <w:bookmarkEnd w:id="4"/>
    </w:p>
    <w:p>
      <w:pPr>
        <w:bidi w:val="0"/>
        <w:rPr>
          <w:rFonts w:hint="eastAsia"/>
        </w:rPr>
      </w:pPr>
      <w:r>
        <w:rPr>
          <w:rFonts w:hint="eastAsia"/>
        </w:rPr>
        <w:t>新疆科林斯德能源有限责任公司通过开采利用非常规天然气，依据《财政部关于煤层气（瓦斯）开发利用补贴的实施意见》财建[2007]114号申请</w:t>
      </w:r>
      <w:r>
        <w:rPr>
          <w:rFonts w:hint="eastAsia"/>
          <w:lang w:eastAsia="zh-CN"/>
        </w:rPr>
        <w:t>2023年清洁能源发展专项资金科林思德</w:t>
      </w:r>
      <w:r>
        <w:rPr>
          <w:rFonts w:hint="eastAsia"/>
        </w:rPr>
        <w:t>，项目预算资金</w:t>
      </w:r>
      <w:r>
        <w:rPr>
          <w:rFonts w:hint="eastAsia"/>
          <w:lang w:val="en-US" w:eastAsia="zh-CN"/>
        </w:rPr>
        <w:t>615</w:t>
      </w:r>
      <w:r>
        <w:rPr>
          <w:rFonts w:hint="eastAsia"/>
        </w:rPr>
        <w:t>万元，202</w:t>
      </w:r>
      <w:r>
        <w:rPr>
          <w:rFonts w:hint="eastAsia"/>
          <w:lang w:val="en-US" w:eastAsia="zh-CN"/>
        </w:rPr>
        <w:t>3</w:t>
      </w:r>
      <w:r>
        <w:rPr>
          <w:rFonts w:hint="eastAsia"/>
        </w:rPr>
        <w:t>年用于开采利用非常规天然气，非常规天然气开采利用量</w:t>
      </w:r>
      <w:r>
        <w:rPr>
          <w:rFonts w:hint="eastAsia"/>
          <w:lang w:val="en-US" w:eastAsia="zh-CN"/>
        </w:rPr>
        <w:t>4942</w:t>
      </w:r>
      <w:r>
        <w:rPr>
          <w:rFonts w:hint="eastAsia"/>
        </w:rPr>
        <w:t>万</w:t>
      </w:r>
      <w:r>
        <w:rPr>
          <w:rFonts w:hint="eastAsia"/>
          <w:lang w:eastAsia="zh-CN"/>
        </w:rPr>
        <w:t>立</w:t>
      </w:r>
      <w:r>
        <w:rPr>
          <w:rFonts w:hint="eastAsia"/>
        </w:rPr>
        <w:t>方米，采暖季非常规天然气利用量占全年</w:t>
      </w:r>
      <w:r>
        <w:rPr>
          <w:rFonts w:hint="eastAsia"/>
          <w:lang w:eastAsia="zh-CN"/>
        </w:rPr>
        <w:t>比例</w:t>
      </w:r>
      <w:r>
        <w:rPr>
          <w:rFonts w:hint="eastAsia"/>
        </w:rPr>
        <w:t>大于30%，非常规天然气抽采量</w:t>
      </w:r>
      <w:r>
        <w:rPr>
          <w:rFonts w:hint="eastAsia"/>
          <w:lang w:val="en-US" w:eastAsia="zh-CN"/>
        </w:rPr>
        <w:t>5103</w:t>
      </w:r>
      <w:r>
        <w:rPr>
          <w:rFonts w:hint="eastAsia"/>
        </w:rPr>
        <w:t>万</w:t>
      </w:r>
      <w:r>
        <w:rPr>
          <w:rFonts w:hint="eastAsia"/>
          <w:lang w:eastAsia="zh-CN"/>
        </w:rPr>
        <w:t>立</w:t>
      </w:r>
      <w:r>
        <w:rPr>
          <w:rFonts w:hint="eastAsia"/>
        </w:rPr>
        <w:t>方米，非常规天然气开采利用率大于88%。通过《关于下达 202</w:t>
      </w:r>
      <w:r>
        <w:rPr>
          <w:rFonts w:hint="eastAsia"/>
          <w:lang w:val="en-US" w:eastAsia="zh-CN"/>
        </w:rPr>
        <w:t>3</w:t>
      </w:r>
      <w:r>
        <w:rPr>
          <w:rFonts w:hint="eastAsia"/>
        </w:rPr>
        <w:t xml:space="preserve"> 年</w:t>
      </w:r>
      <w:r>
        <w:rPr>
          <w:rFonts w:hint="eastAsia"/>
          <w:lang w:eastAsia="zh-CN"/>
        </w:rPr>
        <w:t>2023年清洁能源发展专项资金科林思德</w:t>
      </w:r>
      <w:r>
        <w:rPr>
          <w:rFonts w:hint="eastAsia"/>
        </w:rPr>
        <w:t>的通知》昌州财建[2023]</w:t>
      </w:r>
      <w:r>
        <w:rPr>
          <w:rFonts w:hint="eastAsia"/>
          <w:lang w:val="en-US" w:eastAsia="zh-CN"/>
        </w:rPr>
        <w:t>77</w:t>
      </w:r>
      <w:r>
        <w:rPr>
          <w:rFonts w:hint="eastAsia"/>
        </w:rPr>
        <w:t>号拨付资金，从根本上减少煤矿生产安全事故、减少温室气体排放、增加能源供应。</w:t>
      </w:r>
      <w:bookmarkStart w:id="5" w:name="_Toc27343"/>
    </w:p>
    <w:p>
      <w:pPr>
        <w:bidi w:val="0"/>
        <w:rPr>
          <w:rFonts w:hint="eastAsia"/>
          <w:b/>
          <w:bCs/>
        </w:rPr>
      </w:pPr>
      <w:r>
        <w:rPr>
          <w:rFonts w:hint="eastAsia"/>
          <w:b/>
          <w:bCs/>
          <w:lang w:val="en-US" w:eastAsia="zh-CN"/>
        </w:rPr>
        <w:t>2.</w:t>
      </w:r>
      <w:r>
        <w:rPr>
          <w:rFonts w:hint="eastAsia"/>
          <w:b/>
          <w:bCs/>
        </w:rPr>
        <w:t>主要内容及实施情况</w:t>
      </w:r>
      <w:bookmarkEnd w:id="5"/>
    </w:p>
    <w:p>
      <w:pPr>
        <w:bidi w:val="0"/>
        <w:rPr>
          <w:rFonts w:hint="eastAsia"/>
          <w:lang w:eastAsia="zh-CN"/>
        </w:rPr>
      </w:pPr>
      <w:bookmarkStart w:id="6" w:name="_Toc16592"/>
      <w:r>
        <w:rPr>
          <w:rFonts w:hint="eastAsia"/>
          <w:b/>
          <w:bCs/>
          <w:lang w:val="en-US" w:eastAsia="zh-CN"/>
        </w:rPr>
        <w:t>主要内容：</w:t>
      </w:r>
      <w:r>
        <w:rPr>
          <w:rFonts w:hint="eastAsia"/>
          <w:lang w:val="en-US" w:eastAsia="zh-CN"/>
        </w:rPr>
        <w:t>阜康市发展和改革委员会负责研究提出能源发展战略、规划，贯彻发展能源工业的方针政策，负责能源安全监督管理及行业管理和安全生产检查监督管理工作。要求新疆科林思德新能源有限责任公司单位2023年预计完成非常规天然气开采利用量4942万立方米,采暖季非常规天然气利用量占全年比例大于30%，非常规天然气开采利用率大于88%，非常规天然气抽采量5103万立方米，项目的实施预计达到减少温室气体排放。</w:t>
      </w:r>
      <w:bookmarkEnd w:id="6"/>
    </w:p>
    <w:p>
      <w:pPr>
        <w:bidi w:val="0"/>
        <w:rPr>
          <w:rFonts w:hint="eastAsia" w:ascii="宋体" w:hAnsi="宋体" w:eastAsia="宋体" w:cs="宋体"/>
          <w:color w:val="auto"/>
          <w:highlight w:val="none"/>
          <w:shd w:val="clear" w:color="auto" w:fill="auto"/>
          <w:lang w:val="en-US" w:eastAsia="zh-CN"/>
        </w:rPr>
      </w:pPr>
      <w:r>
        <w:rPr>
          <w:rFonts w:hint="eastAsia"/>
          <w:b/>
          <w:bCs/>
          <w:lang w:val="en-US" w:eastAsia="zh-CN"/>
        </w:rPr>
        <w:t>组织实施：</w:t>
      </w:r>
      <w:r>
        <w:rPr>
          <w:rFonts w:hint="eastAsia"/>
          <w:lang w:val="en-US" w:eastAsia="zh-CN"/>
        </w:rPr>
        <w:t>本项目自2023年1月1日经《</w:t>
      </w:r>
      <w:r>
        <w:rPr>
          <w:rFonts w:hint="eastAsia" w:ascii="宋体" w:hAnsi="宋体" w:eastAsia="宋体" w:cs="宋体"/>
          <w:b w:val="0"/>
          <w:bCs w:val="0"/>
          <w:color w:val="auto"/>
          <w:kern w:val="2"/>
          <w:sz w:val="28"/>
          <w:szCs w:val="28"/>
          <w:lang w:val="en-US" w:eastAsia="zh-CN" w:bidi="ar-SA"/>
        </w:rPr>
        <w:t>关于下达 2023 年</w:t>
      </w:r>
      <w:r>
        <w:rPr>
          <w:rFonts w:hint="eastAsia" w:cs="宋体"/>
          <w:b w:val="0"/>
          <w:bCs w:val="0"/>
          <w:color w:val="auto"/>
          <w:kern w:val="2"/>
          <w:sz w:val="28"/>
          <w:szCs w:val="28"/>
          <w:lang w:val="en-US" w:eastAsia="zh-CN" w:bidi="ar-SA"/>
        </w:rPr>
        <w:t>2023年清洁能源发展专项资金科林思德</w:t>
      </w:r>
      <w:r>
        <w:rPr>
          <w:rFonts w:hint="eastAsia" w:ascii="宋体" w:hAnsi="宋体" w:eastAsia="宋体" w:cs="宋体"/>
          <w:b w:val="0"/>
          <w:bCs w:val="0"/>
          <w:color w:val="auto"/>
          <w:kern w:val="2"/>
          <w:sz w:val="28"/>
          <w:szCs w:val="28"/>
          <w:lang w:val="en-US" w:eastAsia="zh-CN" w:bidi="ar-SA"/>
        </w:rPr>
        <w:t>的通知》昌州财建[2023]77号</w:t>
      </w:r>
      <w:r>
        <w:rPr>
          <w:rFonts w:hint="eastAsia" w:ascii="宋体" w:hAnsi="宋体" w:eastAsia="宋体" w:cs="宋体"/>
          <w:color w:val="auto"/>
          <w:highlight w:val="none"/>
          <w:shd w:val="clear" w:color="auto" w:fill="auto"/>
          <w:lang w:val="en-US" w:eastAsia="zh-CN"/>
        </w:rPr>
        <w:t>文件批复，经</w:t>
      </w:r>
      <w:r>
        <w:rPr>
          <w:rFonts w:hint="eastAsia" w:cs="宋体"/>
          <w:color w:val="auto"/>
          <w:highlight w:val="none"/>
          <w:shd w:val="clear" w:color="auto" w:fill="auto"/>
          <w:lang w:val="en-US" w:eastAsia="zh-CN"/>
        </w:rPr>
        <w:t>阜康市发改委党组</w:t>
      </w:r>
      <w:r>
        <w:rPr>
          <w:rFonts w:hint="eastAsia" w:ascii="宋体" w:hAnsi="宋体" w:eastAsia="宋体" w:cs="宋体"/>
          <w:color w:val="auto"/>
          <w:highlight w:val="none"/>
          <w:shd w:val="clear" w:color="auto" w:fill="auto"/>
          <w:lang w:val="en-US" w:eastAsia="zh-CN"/>
        </w:rPr>
        <w:t>会议，确定了项目领导小组，明确了责任分工：组长为</w:t>
      </w:r>
      <w:r>
        <w:rPr>
          <w:rFonts w:hint="eastAsia" w:cs="宋体"/>
          <w:color w:val="auto"/>
          <w:highlight w:val="none"/>
          <w:shd w:val="clear" w:color="auto" w:fill="auto"/>
          <w:lang w:val="en-US" w:eastAsia="zh-CN"/>
        </w:rPr>
        <w:t>朱明磊</w:t>
      </w:r>
      <w:r>
        <w:rPr>
          <w:rFonts w:hint="eastAsia" w:ascii="宋体" w:hAnsi="宋体" w:eastAsia="宋体" w:cs="宋体"/>
          <w:color w:val="auto"/>
          <w:highlight w:val="none"/>
          <w:shd w:val="clear" w:color="auto" w:fill="auto"/>
          <w:lang w:val="en-US" w:eastAsia="zh-CN"/>
        </w:rPr>
        <w:t>，副组长为</w:t>
      </w:r>
      <w:r>
        <w:rPr>
          <w:rFonts w:hint="eastAsia" w:cs="宋体"/>
          <w:color w:val="auto"/>
          <w:highlight w:val="none"/>
          <w:shd w:val="clear" w:color="auto" w:fill="auto"/>
          <w:lang w:val="en-US" w:eastAsia="zh-CN"/>
        </w:rPr>
        <w:t>任伟杰</w:t>
      </w:r>
      <w:r>
        <w:rPr>
          <w:rFonts w:hint="eastAsia" w:ascii="宋体" w:hAnsi="宋体" w:eastAsia="宋体" w:cs="宋体"/>
          <w:color w:val="auto"/>
          <w:highlight w:val="none"/>
          <w:shd w:val="clear" w:color="auto" w:fill="auto"/>
          <w:lang w:val="en-US" w:eastAsia="zh-CN"/>
        </w:rPr>
        <w:t>，</w:t>
      </w:r>
      <w:r>
        <w:rPr>
          <w:rFonts w:hint="eastAsia" w:cs="宋体"/>
          <w:color w:val="auto"/>
          <w:highlight w:val="none"/>
          <w:shd w:val="clear" w:color="auto" w:fill="auto"/>
          <w:lang w:val="en-US" w:eastAsia="zh-CN"/>
        </w:rPr>
        <w:t>项目负责人为马旭东,</w:t>
      </w:r>
      <w:r>
        <w:rPr>
          <w:rFonts w:hint="eastAsia" w:ascii="宋体" w:hAnsi="宋体" w:eastAsia="宋体" w:cs="宋体"/>
          <w:color w:val="auto"/>
          <w:highlight w:val="none"/>
          <w:shd w:val="clear" w:color="auto" w:fill="auto"/>
          <w:lang w:val="en-US" w:eastAsia="zh-CN"/>
        </w:rPr>
        <w:t>组员为</w:t>
      </w:r>
      <w:r>
        <w:rPr>
          <w:rFonts w:hint="eastAsia" w:cs="宋体"/>
          <w:color w:val="auto"/>
          <w:highlight w:val="none"/>
          <w:shd w:val="clear" w:color="auto" w:fill="auto"/>
          <w:lang w:val="en-US" w:eastAsia="zh-CN"/>
        </w:rPr>
        <w:t>候宛利</w:t>
      </w:r>
      <w:r>
        <w:rPr>
          <w:rFonts w:hint="eastAsia" w:ascii="宋体" w:hAnsi="宋体" w:eastAsia="宋体" w:cs="宋体"/>
          <w:color w:val="auto"/>
          <w:highlight w:val="none"/>
          <w:shd w:val="clear" w:color="auto" w:fill="auto"/>
          <w:lang w:val="en-US" w:eastAsia="zh-CN"/>
        </w:rPr>
        <w:t>、</w:t>
      </w:r>
      <w:r>
        <w:rPr>
          <w:rFonts w:hint="eastAsia" w:cs="宋体"/>
          <w:color w:val="auto"/>
          <w:highlight w:val="none"/>
          <w:shd w:val="clear" w:color="auto" w:fill="auto"/>
          <w:lang w:val="en-US" w:eastAsia="zh-CN"/>
        </w:rPr>
        <w:t>范冬梅</w:t>
      </w:r>
      <w:r>
        <w:rPr>
          <w:rFonts w:hint="eastAsia" w:ascii="宋体" w:hAnsi="宋体" w:eastAsia="宋体" w:cs="宋体"/>
          <w:color w:val="auto"/>
          <w:highlight w:val="none"/>
          <w:shd w:val="clear" w:color="auto" w:fill="auto"/>
          <w:lang w:val="en-US" w:eastAsia="zh-CN"/>
        </w:rPr>
        <w:t>，其中：</w:t>
      </w:r>
      <w:r>
        <w:rPr>
          <w:rFonts w:hint="eastAsia" w:cs="宋体"/>
          <w:color w:val="auto"/>
          <w:highlight w:val="none"/>
          <w:shd w:val="clear" w:color="auto" w:fill="auto"/>
          <w:lang w:val="en-US" w:eastAsia="zh-CN"/>
        </w:rPr>
        <w:t>任伟杰</w:t>
      </w:r>
      <w:r>
        <w:rPr>
          <w:rFonts w:hint="eastAsia" w:ascii="宋体" w:hAnsi="宋体" w:eastAsia="宋体" w:cs="宋体"/>
          <w:color w:val="auto"/>
          <w:highlight w:val="none"/>
          <w:shd w:val="clear" w:color="auto" w:fill="auto"/>
          <w:lang w:val="en-US" w:eastAsia="zh-CN"/>
        </w:rPr>
        <w:t>负责监管工作，</w:t>
      </w:r>
      <w:r>
        <w:rPr>
          <w:rFonts w:hint="eastAsia" w:cs="宋体"/>
          <w:color w:val="auto"/>
          <w:highlight w:val="none"/>
          <w:shd w:val="clear" w:color="auto" w:fill="auto"/>
          <w:lang w:val="en-US" w:eastAsia="zh-CN"/>
        </w:rPr>
        <w:t>马旭东</w:t>
      </w:r>
      <w:r>
        <w:rPr>
          <w:rFonts w:hint="eastAsia" w:ascii="宋体" w:hAnsi="宋体" w:eastAsia="宋体" w:cs="宋体"/>
          <w:color w:val="auto"/>
          <w:highlight w:val="none"/>
          <w:shd w:val="clear" w:color="auto" w:fill="auto"/>
          <w:lang w:val="en-US" w:eastAsia="zh-CN"/>
        </w:rPr>
        <w:t>负责项目档案资料，</w:t>
      </w:r>
      <w:r>
        <w:rPr>
          <w:rFonts w:hint="eastAsia" w:cs="宋体"/>
          <w:color w:val="auto"/>
          <w:highlight w:val="none"/>
          <w:shd w:val="clear" w:color="auto" w:fill="auto"/>
          <w:lang w:val="en-US" w:eastAsia="zh-CN"/>
        </w:rPr>
        <w:t>候宛利</w:t>
      </w:r>
      <w:r>
        <w:rPr>
          <w:rFonts w:hint="eastAsia" w:ascii="宋体" w:hAnsi="宋体" w:eastAsia="宋体" w:cs="宋体"/>
          <w:color w:val="auto"/>
          <w:highlight w:val="none"/>
          <w:shd w:val="clear" w:color="auto" w:fill="auto"/>
          <w:lang w:val="en-US" w:eastAsia="zh-CN"/>
        </w:rPr>
        <w:t>负责资金拨付工作。</w:t>
      </w:r>
    </w:p>
    <w:p>
      <w:pPr>
        <w:pStyle w:val="5"/>
        <w:rPr>
          <w:rFonts w:hint="default" w:eastAsia="宋体"/>
          <w:color w:val="FF0000"/>
          <w:lang w:val="en-US" w:eastAsia="zh-CN"/>
        </w:rPr>
      </w:pPr>
      <w:r>
        <w:rPr>
          <w:rFonts w:hint="eastAsia"/>
        </w:rPr>
        <w:t>截至2023年12月31日本项目完成非常规天然气开采利用量4374.92万m³,采暖季非常规天然气利用量占全年比例34.27%，非常规天然气开采利用率99.02%，非常规天然气抽采量4418.22万m³，项目的实施达到减少温室气体排放</w:t>
      </w:r>
      <w:r>
        <w:rPr>
          <w:rFonts w:hint="eastAsia"/>
          <w:lang w:eastAsia="zh-CN"/>
        </w:rPr>
        <w:t>效果</w:t>
      </w:r>
      <w:r>
        <w:rPr>
          <w:rFonts w:hint="eastAsia"/>
        </w:rPr>
        <w:t>。</w:t>
      </w:r>
    </w:p>
    <w:p>
      <w:pPr>
        <w:pStyle w:val="2"/>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7" w:name="_Toc1858"/>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3.资金投入和使用情况</w:t>
      </w:r>
      <w:bookmarkEnd w:id="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14:textFill>
            <w14:solidFill>
              <w14:schemeClr w14:val="tx1"/>
            </w14:solidFill>
          </w14:textFill>
        </w:rPr>
        <w:t>项目资金安排落实、总投入等情况分析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2023年清洁能源发展专项资金科林思德</w:t>
      </w:r>
      <w:r>
        <w:rPr>
          <w:rFonts w:hint="eastAsia" w:ascii="宋体" w:hAnsi="宋体" w:eastAsia="宋体" w:cs="宋体"/>
          <w:color w:val="auto"/>
          <w:highlight w:val="none"/>
          <w:shd w:val="clear" w:color="auto" w:fill="auto"/>
          <w:lang w:val="en-US" w:eastAsia="zh-CN"/>
        </w:rPr>
        <w:t>项目预算安排总额为</w:t>
      </w:r>
      <w:r>
        <w:rPr>
          <w:rFonts w:hint="eastAsia" w:cs="宋体"/>
          <w:color w:val="auto"/>
          <w:highlight w:val="none"/>
          <w:shd w:val="clear" w:color="auto" w:fill="auto"/>
          <w:lang w:val="en-US" w:eastAsia="zh-CN"/>
        </w:rPr>
        <w:t>615</w:t>
      </w:r>
      <w:r>
        <w:rPr>
          <w:rFonts w:hint="eastAsia" w:ascii="宋体" w:hAnsi="宋体" w:eastAsia="宋体" w:cs="宋体"/>
          <w:color w:val="auto"/>
          <w:highlight w:val="none"/>
          <w:shd w:val="clear" w:color="auto" w:fill="auto"/>
          <w:lang w:val="en-US" w:eastAsia="zh-CN"/>
        </w:rPr>
        <w:t>万元，其中财政资</w:t>
      </w:r>
      <w:r>
        <w:rPr>
          <w:rFonts w:hint="eastAsia" w:cs="宋体"/>
          <w:color w:val="auto"/>
          <w:highlight w:val="none"/>
          <w:shd w:val="clear" w:color="auto" w:fill="auto"/>
          <w:lang w:val="en-US" w:eastAsia="zh-CN"/>
        </w:rPr>
        <w:t>金615</w:t>
      </w:r>
      <w:r>
        <w:rPr>
          <w:rFonts w:hint="eastAsia" w:ascii="宋体" w:hAnsi="宋体" w:eastAsia="宋体" w:cs="宋体"/>
          <w:color w:val="auto"/>
          <w:highlight w:val="none"/>
          <w:shd w:val="clear" w:color="auto" w:fill="auto"/>
          <w:lang w:val="en-US" w:eastAsia="zh-CN"/>
        </w:rPr>
        <w:t>万元，其他资金</w:t>
      </w:r>
      <w:r>
        <w:rPr>
          <w:rFonts w:hint="eastAsia" w:cs="宋体"/>
          <w:color w:val="auto"/>
          <w:highlight w:val="none"/>
          <w:shd w:val="clear" w:color="auto" w:fill="auto"/>
          <w:lang w:val="en-US" w:eastAsia="zh-CN"/>
        </w:rPr>
        <w:t>0</w:t>
      </w:r>
      <w:r>
        <w:rPr>
          <w:rFonts w:hint="eastAsia" w:ascii="宋体" w:hAnsi="宋体" w:eastAsia="宋体" w:cs="宋体"/>
          <w:color w:val="auto"/>
          <w:highlight w:val="none"/>
          <w:shd w:val="clear" w:color="auto" w:fill="auto"/>
          <w:lang w:val="en-US" w:eastAsia="zh-CN"/>
        </w:rPr>
        <w:t>万元，</w:t>
      </w:r>
      <w:r>
        <w:rPr>
          <w:rFonts w:hint="eastAsia" w:cs="宋体"/>
          <w:color w:val="auto"/>
          <w:highlight w:val="none"/>
          <w:shd w:val="clear" w:color="auto" w:fill="auto"/>
          <w:lang w:val="en-US" w:eastAsia="zh-CN"/>
        </w:rPr>
        <w:t>2023</w:t>
      </w:r>
      <w:r>
        <w:rPr>
          <w:rFonts w:hint="eastAsia" w:ascii="宋体" w:hAnsi="宋体" w:eastAsia="宋体" w:cs="宋体"/>
          <w:color w:val="auto"/>
          <w:highlight w:val="none"/>
          <w:shd w:val="clear" w:color="auto" w:fill="auto"/>
          <w:lang w:val="en-US" w:eastAsia="zh-CN"/>
        </w:rPr>
        <w:t>年实际收到预算资金</w:t>
      </w:r>
      <w:r>
        <w:rPr>
          <w:rFonts w:hint="eastAsia" w:cs="宋体"/>
          <w:color w:val="auto"/>
          <w:highlight w:val="none"/>
          <w:shd w:val="clear" w:color="auto" w:fill="auto"/>
          <w:lang w:val="en-US" w:eastAsia="zh-CN"/>
        </w:rPr>
        <w:t>615</w:t>
      </w:r>
      <w:r>
        <w:rPr>
          <w:rFonts w:hint="eastAsia" w:ascii="宋体" w:hAnsi="宋体" w:eastAsia="宋体" w:cs="宋体"/>
          <w:color w:val="auto"/>
          <w:highlight w:val="none"/>
          <w:shd w:val="clear" w:color="auto" w:fill="auto"/>
          <w:lang w:val="en-US" w:eastAsia="zh-CN"/>
        </w:rPr>
        <w:t>万元，预算资金到位率为</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44" w:firstLineChars="200"/>
        <w:textAlignment w:val="auto"/>
        <w:rPr>
          <w:rFonts w:hint="eastAsia" w:ascii="宋体" w:hAnsi="宋体" w:eastAsia="宋体" w:cs="宋体"/>
          <w:bCs/>
          <w:color w:val="000000" w:themeColor="text1"/>
          <w:spacing w:val="-4"/>
          <w:highlight w:val="none"/>
          <w:shd w:val="clear" w:color="auto" w:fill="auto"/>
          <w14:textFill>
            <w14:solidFill>
              <w14:schemeClr w14:val="tx1"/>
            </w14:solidFill>
          </w14:textFill>
        </w:rPr>
      </w:pPr>
      <w:r>
        <w:rPr>
          <w:rFonts w:hint="eastAsia" w:ascii="宋体" w:hAnsi="宋体" w:eastAsia="宋体" w:cs="宋体"/>
          <w:bCs/>
          <w:color w:val="000000" w:themeColor="text1"/>
          <w:spacing w:val="-4"/>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spacing w:val="-4"/>
          <w:highlight w:val="none"/>
          <w:shd w:val="clear" w:color="auto" w:fill="auto"/>
          <w:lang w:val="en-US" w:eastAsia="zh-CN"/>
          <w14:textFill>
            <w14:solidFill>
              <w14:schemeClr w14:val="tx1"/>
            </w14:solidFill>
          </w14:textFill>
        </w:rPr>
        <w:t>2</w:t>
      </w:r>
      <w:r>
        <w:rPr>
          <w:rFonts w:hint="eastAsia" w:ascii="宋体" w:hAnsi="宋体" w:eastAsia="宋体" w:cs="宋体"/>
          <w:bCs/>
          <w:color w:val="000000" w:themeColor="text1"/>
          <w:spacing w:val="-4"/>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spacing w:val="-4"/>
          <w:highlight w:val="none"/>
          <w:shd w:val="clear" w:color="auto" w:fill="auto"/>
          <w14:textFill>
            <w14:solidFill>
              <w14:schemeClr w14:val="tx1"/>
            </w14:solidFill>
          </w14:textFill>
        </w:rPr>
        <w:t>项目资金实际使用情况分析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截至2023年12月31日，2023年清洁能源发展专项资金科林思德</w:t>
      </w:r>
      <w:r>
        <w:rPr>
          <w:rFonts w:hint="eastAsia" w:ascii="宋体" w:hAnsi="宋体" w:eastAsia="宋体" w:cs="宋体"/>
          <w:color w:val="auto"/>
          <w:highlight w:val="none"/>
          <w:shd w:val="clear" w:color="auto" w:fill="auto"/>
        </w:rPr>
        <w:t>项目实际支付资金</w:t>
      </w:r>
      <w:r>
        <w:rPr>
          <w:rFonts w:hint="eastAsia" w:cs="宋体"/>
          <w:color w:val="auto"/>
          <w:highlight w:val="none"/>
          <w:shd w:val="clear" w:color="auto" w:fill="auto"/>
          <w:lang w:val="en-US" w:eastAsia="zh-CN"/>
        </w:rPr>
        <w:t>615</w:t>
      </w:r>
      <w:r>
        <w:rPr>
          <w:rFonts w:hint="eastAsia" w:ascii="宋体" w:hAnsi="宋体" w:eastAsia="宋体" w:cs="宋体"/>
          <w:color w:val="auto"/>
          <w:highlight w:val="none"/>
          <w:shd w:val="clear" w:color="auto" w:fill="auto"/>
        </w:rPr>
        <w:t>万元，预算执行率</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结</w:t>
      </w:r>
      <w:r>
        <w:rPr>
          <w:rFonts w:hint="eastAsia" w:cs="宋体"/>
          <w:color w:val="auto"/>
          <w:highlight w:val="none"/>
          <w:shd w:val="clear" w:color="auto" w:fill="auto"/>
          <w:lang w:val="en-US" w:eastAsia="zh-CN"/>
        </w:rPr>
        <w:t>转</w:t>
      </w:r>
      <w:r>
        <w:rPr>
          <w:rFonts w:hint="eastAsia" w:ascii="宋体" w:hAnsi="宋体" w:eastAsia="宋体" w:cs="宋体"/>
          <w:color w:val="auto"/>
          <w:highlight w:val="none"/>
          <w:shd w:val="clear" w:color="auto" w:fill="auto"/>
          <w:lang w:eastAsia="zh-CN"/>
        </w:rPr>
        <w:t>结余资金</w:t>
      </w:r>
      <w:r>
        <w:rPr>
          <w:rFonts w:hint="eastAsia" w:cs="宋体"/>
          <w:color w:val="auto"/>
          <w:highlight w:val="none"/>
          <w:shd w:val="clear" w:color="auto" w:fill="auto"/>
          <w:lang w:val="en-US" w:eastAsia="zh-CN"/>
        </w:rPr>
        <w:t>0</w:t>
      </w:r>
      <w:r>
        <w:rPr>
          <w:rFonts w:hint="eastAsia" w:ascii="宋体" w:hAnsi="宋体" w:eastAsia="宋体" w:cs="宋体"/>
          <w:color w:val="auto"/>
          <w:highlight w:val="none"/>
          <w:shd w:val="clear" w:color="auto" w:fill="auto"/>
          <w:lang w:val="en-US" w:eastAsia="zh-CN"/>
        </w:rPr>
        <w:t>万元。</w:t>
      </w:r>
      <w:r>
        <w:rPr>
          <w:rFonts w:hint="eastAsia" w:ascii="宋体" w:hAnsi="宋体" w:eastAsia="宋体" w:cs="宋体"/>
          <w:color w:val="auto"/>
          <w:highlight w:val="none"/>
          <w:shd w:val="clear" w:color="auto" w:fill="auto"/>
        </w:rPr>
        <w:t>项目资金主要用于</w:t>
      </w:r>
      <w:r>
        <w:rPr>
          <w:rFonts w:hint="eastAsia" w:ascii="宋体" w:hAnsi="宋体" w:eastAsia="宋体" w:cs="宋体"/>
          <w:color w:val="auto"/>
          <w:highlight w:val="none"/>
          <w:shd w:val="clear" w:color="auto" w:fill="auto"/>
          <w:lang w:val="en-US" w:eastAsia="zh-CN"/>
        </w:rPr>
        <w:t>非常规天然气开采</w:t>
      </w:r>
      <w:r>
        <w:rPr>
          <w:rFonts w:hint="eastAsia" w:cs="宋体"/>
          <w:color w:val="auto"/>
          <w:highlight w:val="none"/>
          <w:shd w:val="clear" w:color="auto" w:fill="auto"/>
          <w:lang w:val="en-US" w:eastAsia="zh-CN"/>
        </w:rPr>
        <w:t>，，增加</w:t>
      </w:r>
      <w:r>
        <w:rPr>
          <w:rFonts w:hint="eastAsia" w:ascii="宋体" w:hAnsi="宋体" w:eastAsia="宋体" w:cs="宋体"/>
          <w:color w:val="auto"/>
          <w:highlight w:val="none"/>
          <w:shd w:val="clear" w:color="auto" w:fill="auto"/>
          <w:lang w:val="en-US" w:eastAsia="zh-CN"/>
        </w:rPr>
        <w:t>非常规天然气开采利用率</w:t>
      </w:r>
      <w:r>
        <w:rPr>
          <w:rFonts w:hint="eastAsia" w:cs="宋体"/>
          <w:color w:val="auto"/>
          <w:highlight w:val="none"/>
          <w:shd w:val="clear" w:color="auto" w:fill="auto"/>
          <w:lang w:val="en-US" w:eastAsia="zh-CN"/>
        </w:rPr>
        <w:t>，增加</w:t>
      </w:r>
      <w:r>
        <w:rPr>
          <w:rFonts w:hint="eastAsia" w:ascii="宋体" w:hAnsi="宋体" w:eastAsia="宋体" w:cs="宋体"/>
          <w:color w:val="auto"/>
          <w:highlight w:val="none"/>
          <w:shd w:val="clear" w:color="auto" w:fill="auto"/>
          <w:lang w:val="en-US" w:eastAsia="zh-CN"/>
        </w:rPr>
        <w:t>非常规天然气抽采量，预计达到减少温室气体排放</w:t>
      </w:r>
      <w:r>
        <w:rPr>
          <w:rFonts w:hint="eastAsia" w:cs="宋体"/>
          <w:color w:val="auto"/>
          <w:highlight w:val="none"/>
          <w:shd w:val="clear" w:color="auto" w:fill="auto"/>
          <w:lang w:val="en-US" w:eastAsia="zh-CN"/>
        </w:rPr>
        <w:t>效果等方面。</w:t>
      </w:r>
    </w:p>
    <w:p>
      <w:pPr>
        <w:pStyle w:val="4"/>
        <w:pageBreakBefore w:val="0"/>
        <w:numPr>
          <w:ilvl w:val="0"/>
          <w:numId w:val="1"/>
        </w:numPr>
        <w:kinsoku/>
        <w:wordWrap/>
        <w:overflowPunct/>
        <w:topLinePunct w:val="0"/>
        <w:autoSpaceDE/>
        <w:autoSpaceDN/>
        <w:bidi w:val="0"/>
        <w:adjustRightInd/>
        <w:spacing w:beforeLines="0" w:afterLines="0" w:line="360" w:lineRule="auto"/>
        <w:ind w:left="-404" w:leftChars="0" w:firstLineChars="0"/>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8" w:name="_Toc2879"/>
      <w:r>
        <w:rPr>
          <w:rFonts w:hint="eastAsia" w:ascii="宋体" w:hAnsi="宋体" w:eastAsia="宋体" w:cs="宋体"/>
          <w:color w:val="000000" w:themeColor="text1"/>
          <w:highlight w:val="none"/>
          <w:shd w:val="clear" w:color="auto" w:fill="auto"/>
          <w14:textFill>
            <w14:solidFill>
              <w14:schemeClr w14:val="tx1"/>
            </w14:solidFill>
          </w14:textFill>
        </w:rPr>
        <w:t>项目绩效目标</w:t>
      </w:r>
      <w:bookmarkEnd w:id="8"/>
    </w:p>
    <w:p>
      <w:pPr>
        <w:pStyle w:val="2"/>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9" w:name="_Toc10047"/>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1.总体目标</w:t>
      </w:r>
      <w:bookmarkEnd w:id="9"/>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highlight w:val="none"/>
          <w:shd w:val="clear" w:color="auto" w:fill="auto"/>
          <w:lang w:val="en-US" w:eastAsia="zh-CN"/>
        </w:rPr>
      </w:pPr>
      <w:r>
        <w:rPr>
          <w:rFonts w:hint="eastAsia" w:cs="宋体"/>
          <w:color w:val="auto"/>
          <w:highlight w:val="none"/>
          <w:shd w:val="clear" w:color="auto" w:fill="auto"/>
          <w:lang w:val="en-US" w:eastAsia="zh-CN"/>
        </w:rPr>
        <w:t>2023年清洁能源发展专项资金科林思德</w:t>
      </w:r>
      <w:r>
        <w:rPr>
          <w:rFonts w:hint="eastAsia" w:ascii="宋体" w:hAnsi="宋体" w:eastAsia="宋体" w:cs="宋体"/>
          <w:color w:val="auto"/>
          <w:highlight w:val="none"/>
          <w:shd w:val="clear" w:color="auto" w:fill="auto"/>
        </w:rPr>
        <w:t>项目</w:t>
      </w:r>
      <w:r>
        <w:rPr>
          <w:rFonts w:hint="eastAsia" w:cs="宋体"/>
          <w:color w:val="auto"/>
          <w:highlight w:val="none"/>
          <w:shd w:val="clear" w:color="auto" w:fill="auto"/>
          <w:lang w:val="en-US" w:eastAsia="zh-CN"/>
        </w:rPr>
        <w:t>绩效总体目标为：阜康市发展和改革委员会负责研究提出能源发展战略、规划，贯彻发展能源工业的方针政策，负责能源安全监督管理及行业管理和安全生产检查监督管理工作。要求新疆科林思德新能源有限责任公司单位2023年预计完成非常规天然气开采利用量4942万m³,采暖季非常规天然气利用量占全年比例大于30%，非常规天然气开采利用率大于88%，非常规天然气抽采量5103万m³，项目的实施预计达到减少温室气体排放。</w:t>
      </w:r>
    </w:p>
    <w:p>
      <w:pPr>
        <w:pStyle w:val="2"/>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10" w:name="_Toc4487"/>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2.阶段性目标</w:t>
      </w:r>
      <w:bookmarkEnd w:id="10"/>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themeColor="text1"/>
          <w:highlight w:val="none"/>
          <w:shd w:val="clear" w:color="auto" w:fill="auto"/>
          <w:lang w:eastAsia="zh-CN"/>
          <w14:textFill>
            <w14:solidFill>
              <w14:schemeClr w14:val="tx1"/>
            </w14:solidFill>
          </w14:textFill>
        </w:rPr>
      </w:pP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根据《预算法</w:t>
      </w:r>
      <w:r>
        <w:rPr>
          <w:rFonts w:hint="eastAsia" w:cs="宋体"/>
          <w:bCs/>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财政支出绩效评价管理暂行办法》（财预〔20</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20</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10</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号）、《自治区党委自治区人民政府关于全面实施预算绩效管理的实施意见》（新党发〔2018〕30号）、</w:t>
      </w:r>
      <w:r>
        <w:rPr>
          <w:rFonts w:hint="eastAsia" w:ascii="宋体" w:hAnsi="宋体" w:eastAsia="宋体" w:cs="宋体"/>
          <w:color w:val="000000" w:themeColor="text1"/>
          <w:highlight w:val="none"/>
          <w:shd w:val="clear" w:color="auto" w:fill="auto"/>
          <w14:textFill>
            <w14:solidFill>
              <w14:schemeClr w14:val="tx1"/>
            </w14:solidFill>
          </w14:textFill>
        </w:rPr>
        <w:t>《自治区财政支出绩效评价管理暂行办法》</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新财预〔2018〕189号</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等文件</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的规定，结合项目实施单位的规章制度以及财务相关资料，评价小组对项目绩效目标进行了进一步的完善，完善</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后</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绩效目标如下：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项目产出</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目标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①数量指标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非常规天然气开采利用量</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为≥4942万立方米；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采暖季非常规天然气利用量占全年比例</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为≥30%；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非常规天然气开采利用率</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为≥88%；</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非常规天然气抽采量</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为≥5103万立方米；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②质量指标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非常规天然气检测合格率</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为=100%；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③</w:t>
      </w:r>
      <w:r>
        <w:rPr>
          <w:rFonts w:hint="eastAsia" w:cs="宋体"/>
          <w:color w:val="auto"/>
          <w:highlight w:val="none"/>
          <w:shd w:val="clear" w:color="auto" w:fill="auto"/>
          <w:lang w:val="en-US" w:eastAsia="zh-CN"/>
        </w:rPr>
        <w:t>时效</w:t>
      </w:r>
      <w:r>
        <w:rPr>
          <w:rFonts w:hint="eastAsia" w:ascii="宋体" w:hAnsi="宋体" w:eastAsia="宋体" w:cs="宋体"/>
          <w:color w:val="auto"/>
          <w:highlight w:val="none"/>
          <w:shd w:val="clear" w:color="auto" w:fill="auto"/>
          <w:lang w:val="en-US" w:eastAsia="zh-CN"/>
        </w:rPr>
        <w:t>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非常规天然气月度盘点及时率</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为=100%；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非常规天然气设备维护保养率</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为≥95%；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val="en-US" w:eastAsia="zh-CN"/>
        </w:rPr>
        <w:t>成本指标</w:t>
      </w:r>
    </w:p>
    <w:p>
      <w:pPr>
        <w:pageBreakBefore w:val="0"/>
        <w:widowControl w:val="0"/>
        <w:kinsoku/>
        <w:wordWrap/>
        <w:overflowPunct/>
        <w:topLinePunct w:val="0"/>
        <w:autoSpaceDE/>
        <w:autoSpaceDN/>
        <w:bidi w:val="0"/>
        <w:adjustRightInd/>
        <w:snapToGrid/>
        <w:spacing w:line="360" w:lineRule="auto"/>
        <w:textAlignment w:val="auto"/>
        <w:rPr>
          <w:rFonts w:hint="eastAsia" w:cs="宋体"/>
          <w:color w:val="auto"/>
          <w:highlight w:val="none"/>
          <w:shd w:val="clear" w:color="auto" w:fill="auto"/>
          <w:lang w:eastAsia="zh-CN"/>
        </w:rPr>
      </w:pPr>
      <w:r>
        <w:rPr>
          <w:rFonts w:hint="eastAsia" w:cs="宋体"/>
          <w:color w:val="auto"/>
          <w:highlight w:val="none"/>
          <w:shd w:val="clear" w:color="auto" w:fill="auto"/>
          <w:lang w:eastAsia="zh-CN"/>
        </w:rPr>
        <w:t>本项目不涉及成本指标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highlight w:val="none"/>
          <w:shd w:val="clear" w:color="auto" w:fill="auto"/>
          <w14:textFill>
            <w14:solidFill>
              <w14:schemeClr w14:val="tx1"/>
            </w14:solidFill>
          </w14:textFill>
        </w:rPr>
        <w:t>）项目效益</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目标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①经济效益指标</w:t>
      </w:r>
    </w:p>
    <w:p>
      <w:pPr>
        <w:pageBreakBefore w:val="0"/>
        <w:widowControl w:val="0"/>
        <w:kinsoku/>
        <w:wordWrap/>
        <w:overflowPunct/>
        <w:topLinePunct w:val="0"/>
        <w:autoSpaceDE/>
        <w:autoSpaceDN/>
        <w:bidi w:val="0"/>
        <w:adjustRightInd/>
        <w:snapToGrid/>
        <w:spacing w:line="360" w:lineRule="auto"/>
        <w:textAlignment w:val="auto"/>
        <w:rPr>
          <w:rFonts w:hint="eastAsia" w:cs="宋体"/>
          <w:color w:val="auto"/>
          <w:highlight w:val="none"/>
          <w:shd w:val="clear" w:color="auto" w:fill="auto"/>
          <w:lang w:eastAsia="zh-CN"/>
        </w:rPr>
      </w:pPr>
      <w:r>
        <w:rPr>
          <w:rFonts w:hint="eastAsia" w:cs="宋体"/>
          <w:color w:val="auto"/>
          <w:highlight w:val="none"/>
          <w:shd w:val="clear" w:color="auto" w:fill="auto"/>
          <w:lang w:eastAsia="zh-CN"/>
        </w:rPr>
        <w:t>本项目不涉及</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经济效益</w:t>
      </w:r>
      <w:r>
        <w:rPr>
          <w:rFonts w:hint="eastAsia" w:cs="宋体"/>
          <w:color w:val="auto"/>
          <w:highlight w:val="none"/>
          <w:shd w:val="clear" w:color="auto" w:fill="auto"/>
          <w:lang w:eastAsia="zh-CN"/>
        </w:rPr>
        <w:t>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②社会效益指标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eastAsia="zh-CN"/>
        </w:rPr>
        <w:t>本项目不涉及</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社会效益</w:t>
      </w:r>
      <w:r>
        <w:rPr>
          <w:rFonts w:hint="eastAsia" w:cs="宋体"/>
          <w:color w:val="auto"/>
          <w:highlight w:val="none"/>
          <w:shd w:val="clear" w:color="auto" w:fill="auto"/>
          <w:lang w:eastAsia="zh-CN"/>
        </w:rPr>
        <w:t>指标</w:t>
      </w:r>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③</w:t>
      </w:r>
      <w:r>
        <w:rPr>
          <w:rFonts w:hint="eastAsia" w:cs="宋体"/>
          <w:color w:val="000000" w:themeColor="text1"/>
          <w:highlight w:val="none"/>
          <w:shd w:val="clear" w:color="auto" w:fill="auto"/>
          <w:lang w:val="en-US" w:eastAsia="zh-CN"/>
          <w14:textFill>
            <w14:solidFill>
              <w14:schemeClr w14:val="tx1"/>
            </w14:solidFill>
          </w14:textFill>
        </w:rPr>
        <w:t>生态效益指标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减少温室气体排放</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为减少；</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④可持续影响</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eastAsia="zh-CN"/>
        </w:rPr>
        <w:t>本项目不涉及</w:t>
      </w:r>
      <w:r>
        <w:rPr>
          <w:rFonts w:hint="eastAsia" w:ascii="宋体" w:hAnsi="宋体" w:eastAsia="宋体" w:cs="宋体"/>
          <w:color w:val="auto"/>
          <w:highlight w:val="none"/>
          <w:shd w:val="clear" w:color="auto" w:fill="auto"/>
          <w:lang w:val="en-US" w:eastAsia="zh-CN"/>
        </w:rPr>
        <w:t>可持续影响指标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⑤</w:t>
      </w:r>
      <w:r>
        <w:rPr>
          <w:rFonts w:hint="eastAsia" w:ascii="宋体" w:hAnsi="宋体" w:eastAsia="宋体" w:cs="宋体"/>
          <w:color w:val="auto"/>
          <w:highlight w:val="none"/>
          <w:shd w:val="clear" w:color="auto" w:fill="auto"/>
          <w:lang w:val="en-US" w:eastAsia="zh-CN"/>
        </w:rPr>
        <w:t>满意度指标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项目实施地周边群众满意度</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为＞90%</w:t>
      </w:r>
      <w:r>
        <w:rPr>
          <w:rFonts w:hint="eastAsia" w:cs="宋体"/>
          <w:color w:val="auto"/>
          <w:highlight w:val="none"/>
          <w:shd w:val="clear" w:color="auto" w:fill="auto"/>
          <w:lang w:val="en-US" w:eastAsia="zh-CN"/>
        </w:rPr>
        <w:t>。</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11" w:name="_Toc2549"/>
      <w:r>
        <w:rPr>
          <w:rFonts w:hint="eastAsia" w:ascii="宋体" w:hAnsi="宋体" w:eastAsia="宋体" w:cs="宋体"/>
          <w:b/>
          <w:bCs/>
          <w:color w:val="000000" w:themeColor="text1"/>
          <w:highlight w:val="none"/>
          <w:shd w:val="clear" w:color="auto" w:fill="auto"/>
          <w14:textFill>
            <w14:solidFill>
              <w14:schemeClr w14:val="tx1"/>
            </w14:solidFill>
          </w14:textFill>
        </w:rPr>
        <w:t>二、绩效评价工作开展情况</w:t>
      </w:r>
      <w:bookmarkEnd w:id="11"/>
    </w:p>
    <w:p>
      <w:pPr>
        <w:pStyle w:val="4"/>
        <w:pageBreakBefore w:val="0"/>
        <w:numPr>
          <w:ilvl w:val="0"/>
          <w:numId w:val="2"/>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pPr>
      <w:bookmarkStart w:id="12" w:name="_Toc26632"/>
      <w:bookmarkStart w:id="13" w:name="_Toc5258"/>
      <w:bookmarkStart w:id="14" w:name="_Toc12868"/>
      <w:bookmarkStart w:id="15" w:name="_Toc5462343"/>
      <w:bookmarkStart w:id="16" w:name="_Toc22922"/>
      <w:bookmarkStart w:id="17" w:name="_Toc21664"/>
      <w:bookmarkStart w:id="18" w:name="_Toc22169_WPSOffice_Level2"/>
      <w:bookmarkStart w:id="19" w:name="_Toc480473081"/>
      <w:bookmarkStart w:id="20" w:name="_Toc21778"/>
      <w:r>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t>绩效评价的目的</w:t>
      </w:r>
      <w:bookmarkEnd w:id="12"/>
      <w:bookmarkEnd w:id="13"/>
      <w:bookmarkEnd w:id="14"/>
      <w:bookmarkEnd w:id="15"/>
      <w:bookmarkEnd w:id="16"/>
      <w:bookmarkEnd w:id="17"/>
      <w:bookmarkEnd w:id="18"/>
      <w:bookmarkEnd w:id="19"/>
      <w:r>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t>、对象和范围</w:t>
      </w:r>
      <w:bookmarkEnd w:id="20"/>
    </w:p>
    <w:p>
      <w:pPr>
        <w:pStyle w:val="2"/>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21" w:name="_Toc15732"/>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t>绩效评价的目的</w:t>
      </w:r>
      <w:bookmarkEnd w:id="21"/>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为全面了解</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highlight w:val="none"/>
          <w:shd w:val="clear" w:color="auto" w:fill="auto"/>
          <w:lang w:eastAsia="zh-CN"/>
          <w14:textFill>
            <w14:solidFill>
              <w14:schemeClr w14:val="tx1"/>
            </w14:solidFill>
          </w14:textFill>
        </w:rPr>
        <w:t>项目预算编制合理性、资金使用合规性、项目管理的规范性、</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绩效</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目标的实现情况、服务对象的满意度等，通过本次</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部门</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绩效评价来总结经验和教训，促进项目成果转化和应用，为今后类似项目的长效管理，提供可行性参考建议。</w:t>
      </w:r>
    </w:p>
    <w:p>
      <w:pPr>
        <w:pStyle w:val="2"/>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22" w:name="_Toc30609"/>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2.绩效评价的对象和范围</w:t>
      </w:r>
      <w:bookmarkEnd w:id="2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此次我单位根据</w:t>
      </w:r>
      <w:r>
        <w:rPr>
          <w:rFonts w:hint="eastAsia" w:ascii="宋体" w:hAnsi="宋体" w:eastAsia="宋体" w:cs="宋体"/>
          <w:color w:val="000000" w:themeColor="text1"/>
          <w:highlight w:val="none"/>
          <w:shd w:val="clear" w:color="auto" w:fill="auto"/>
          <w14:textFill>
            <w14:solidFill>
              <w14:schemeClr w14:val="tx1"/>
            </w14:solidFill>
          </w14:textFill>
        </w:rPr>
        <w:t>《财政支出绩效评价管理暂行办法》（</w:t>
      </w:r>
      <w:r>
        <w:rPr>
          <w:rFonts w:hint="eastAsia" w:ascii="宋体" w:hAnsi="宋体" w:eastAsia="宋体" w:cs="宋体"/>
          <w:color w:val="000000" w:themeColor="text1"/>
          <w:highlight w:val="none"/>
          <w:shd w:val="clear" w:color="auto" w:fill="auto"/>
          <w:lang w:eastAsia="zh-CN"/>
          <w14:textFill>
            <w14:solidFill>
              <w14:schemeClr w14:val="tx1"/>
            </w14:solidFill>
          </w14:textFill>
        </w:rPr>
        <w:t>财预〔2020〕10号</w:t>
      </w: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文件要求对</w:t>
      </w:r>
      <w:r>
        <w:rPr>
          <w:rFonts w:hint="eastAsia" w:cs="宋体"/>
          <w:color w:val="000000" w:themeColor="text1"/>
          <w:highlight w:val="none"/>
          <w:shd w:val="clear" w:color="auto" w:fill="auto"/>
          <w:lang w:val="en-US" w:eastAsia="zh-CN"/>
          <w14:textFill>
            <w14:solidFill>
              <w14:schemeClr w14:val="tx1"/>
            </w14:solidFill>
          </w14:textFill>
        </w:rPr>
        <w:t>2023</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年度我单位实</w:t>
      </w:r>
      <w:r>
        <w:rPr>
          <w:rFonts w:hint="eastAsia" w:ascii="宋体" w:hAnsi="宋体" w:eastAsia="宋体" w:cs="宋体"/>
          <w:color w:val="auto"/>
          <w:highlight w:val="none"/>
          <w:shd w:val="clear" w:color="auto" w:fill="auto"/>
          <w:lang w:val="en-US" w:eastAsia="zh-CN"/>
        </w:rPr>
        <w:t>施的</w:t>
      </w:r>
      <w:r>
        <w:rPr>
          <w:rFonts w:hint="eastAsia" w:cs="宋体"/>
          <w:color w:val="auto"/>
          <w:highlight w:val="none"/>
          <w:shd w:val="clear" w:color="auto" w:fill="auto"/>
          <w:lang w:val="en-US" w:eastAsia="zh-CN"/>
        </w:rPr>
        <w:t>2023年清洁能源发展专项资金科林思德</w:t>
      </w:r>
      <w:r>
        <w:rPr>
          <w:rFonts w:hint="eastAsia" w:ascii="宋体" w:hAnsi="宋体" w:eastAsia="宋体" w:cs="宋体"/>
          <w:color w:val="auto"/>
          <w:highlight w:val="none"/>
          <w:shd w:val="clear" w:color="auto" w:fill="auto"/>
          <w:lang w:val="en-US" w:eastAsia="zh-CN"/>
        </w:rPr>
        <w:t>项目开展部门绩效评</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本次绩效评价主要围绕项目决策、项目管理、项目产出、项目效益四个维度，对该专项资金的预算编制、项目实施、监督管理、资金支出使用、绩效目标的实现情况以及受益对象的满意度等开展综合评价。</w:t>
      </w:r>
    </w:p>
    <w:p>
      <w:pPr>
        <w:pStyle w:val="4"/>
        <w:pageBreakBefore w:val="0"/>
        <w:numPr>
          <w:ilvl w:val="0"/>
          <w:numId w:val="2"/>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000000" w:themeColor="text1"/>
          <w:sz w:val="32"/>
          <w:szCs w:val="32"/>
          <w:highlight w:val="none"/>
          <w:shd w:val="clear" w:color="auto" w:fill="auto"/>
          <w:lang w:val="en-US" w:eastAsia="zh-CN"/>
          <w14:textFill>
            <w14:solidFill>
              <w14:schemeClr w14:val="tx1"/>
            </w14:solidFill>
          </w14:textFill>
        </w:rPr>
      </w:pPr>
      <w:bookmarkStart w:id="23" w:name="_Toc15902"/>
      <w:r>
        <w:rPr>
          <w:rFonts w:hint="eastAsia" w:ascii="宋体" w:hAnsi="宋体" w:eastAsia="宋体" w:cs="宋体"/>
          <w:color w:val="000000" w:themeColor="text1"/>
          <w:sz w:val="32"/>
          <w:szCs w:val="32"/>
          <w:highlight w:val="none"/>
          <w:shd w:val="clear" w:color="auto" w:fill="auto"/>
          <w:lang w:val="en-US" w:eastAsia="zh-CN"/>
          <w14:textFill>
            <w14:solidFill>
              <w14:schemeClr w14:val="tx1"/>
            </w14:solidFill>
          </w14:textFill>
        </w:rPr>
        <w:t>绩效评价原则、评价指标体系（附表说明）、评价方法、评价标准</w:t>
      </w:r>
      <w:bookmarkEnd w:id="23"/>
    </w:p>
    <w:p>
      <w:pPr>
        <w:pStyle w:val="2"/>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24" w:name="_Toc24506"/>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14:textFill>
            <w14:solidFill>
              <w14:schemeClr w14:val="tx1"/>
            </w14:solidFill>
          </w14:textFill>
        </w:rPr>
        <w:t>绩效评价原则</w:t>
      </w:r>
      <w:bookmarkEnd w:id="24"/>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依据</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《财政支出绩效评价管理</w:t>
      </w:r>
      <w:r>
        <w:rPr>
          <w:rFonts w:hint="eastAsia" w:ascii="宋体" w:hAnsi="宋体" w:eastAsia="宋体" w:cs="宋体"/>
          <w:bCs/>
          <w:color w:val="auto"/>
          <w:highlight w:val="none"/>
          <w:shd w:val="clear" w:color="auto" w:fill="auto"/>
          <w:lang w:eastAsia="zh-CN"/>
        </w:rPr>
        <w:t>暂行办法》（财预〔20</w:t>
      </w:r>
      <w:r>
        <w:rPr>
          <w:rFonts w:hint="eastAsia" w:ascii="宋体" w:hAnsi="宋体" w:eastAsia="宋体" w:cs="宋体"/>
          <w:bCs/>
          <w:color w:val="auto"/>
          <w:highlight w:val="none"/>
          <w:shd w:val="clear" w:color="auto" w:fill="auto"/>
          <w:lang w:val="en-US" w:eastAsia="zh-CN"/>
        </w:rPr>
        <w:t>20</w:t>
      </w: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10</w:t>
      </w:r>
      <w:r>
        <w:rPr>
          <w:rFonts w:hint="eastAsia" w:ascii="宋体" w:hAnsi="宋体" w:eastAsia="宋体" w:cs="宋体"/>
          <w:bCs/>
          <w:color w:val="auto"/>
          <w:highlight w:val="none"/>
          <w:shd w:val="clear" w:color="auto" w:fill="auto"/>
          <w:lang w:eastAsia="zh-CN"/>
        </w:rPr>
        <w:t>号）</w:t>
      </w:r>
      <w:r>
        <w:rPr>
          <w:rFonts w:hint="eastAsia" w:ascii="宋体" w:hAnsi="宋体" w:eastAsia="宋体" w:cs="宋体"/>
          <w:color w:val="auto"/>
          <w:highlight w:val="none"/>
          <w:shd w:val="clear" w:color="auto" w:fill="auto"/>
          <w:lang w:eastAsia="zh-CN"/>
        </w:rPr>
        <w:t>本次绩效评价秉承科学规范、公正公开、分级分类、绩效相关等原则，按照从投入、过程到产出效果和影响的绩效逻辑路径，结合</w:t>
      </w:r>
      <w:r>
        <w:rPr>
          <w:rFonts w:hint="eastAsia" w:cs="宋体"/>
          <w:color w:val="auto"/>
          <w:highlight w:val="none"/>
          <w:shd w:val="clear" w:color="auto" w:fill="auto"/>
          <w:lang w:val="en-US" w:eastAsia="zh-CN"/>
        </w:rPr>
        <w:t>2023年清洁能源发展专项资金科林思德</w:t>
      </w:r>
      <w:r>
        <w:rPr>
          <w:rFonts w:hint="eastAsia" w:ascii="宋体" w:hAnsi="宋体" w:eastAsia="宋体" w:cs="宋体"/>
          <w:color w:val="auto"/>
          <w:highlight w:val="none"/>
          <w:shd w:val="clear" w:color="auto" w:fill="auto"/>
          <w:lang w:eastAsia="zh-CN"/>
        </w:rPr>
        <w:t>项目实际开展情况，运用定量和定性分析相结合的方法，总结经验做法，反思</w:t>
      </w:r>
      <w:r>
        <w:rPr>
          <w:rFonts w:hint="eastAsia" w:ascii="宋体" w:hAnsi="宋体" w:eastAsia="宋体" w:cs="宋体"/>
          <w:color w:val="000000" w:themeColor="text1"/>
          <w:highlight w:val="none"/>
          <w:shd w:val="clear" w:color="auto" w:fill="auto"/>
          <w:lang w:eastAsia="zh-CN"/>
          <w14:textFill>
            <w14:solidFill>
              <w14:schemeClr w14:val="tx1"/>
            </w14:solidFill>
          </w14:textFill>
        </w:rPr>
        <w:t>项目实施和管理中的问题，以切实提升财政资金管理的科学化、规范化和精细化水平。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根据以上原则，绩效评价应遵循如下要求：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1</w:t>
      </w:r>
      <w:r>
        <w:rPr>
          <w:rFonts w:hint="eastAsia"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科学公正。绩效评价应当运用科学合理的方法，按照规范的程序，对项目绩效进行客观、公正的反映。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）统筹兼顾。单位自评、部门评价和财政评价应职责明确，各有侧重，相互衔接。单位自评应由项目单位自主实施，即“谁支出、谁自评”。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highlight w:val="none"/>
          <w:shd w:val="clear" w:color="auto" w:fill="auto"/>
          <w:lang w:eastAsia="zh-CN"/>
          <w14:textFill>
            <w14:solidFill>
              <w14:schemeClr w14:val="tx1"/>
            </w14:solidFill>
          </w14:textFill>
        </w:rPr>
        <w:t>）激励约束。绩效评价结果应与预算安排、政策调整、改进管理实质性挂钩，体现奖优罚劣和激励相容导向，有效要安排、低效要压减、无效要问责。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4</w:t>
      </w:r>
      <w:r>
        <w:rPr>
          <w:rFonts w:hint="eastAsia" w:ascii="宋体" w:hAnsi="宋体" w:eastAsia="宋体" w:cs="宋体"/>
          <w:color w:val="000000" w:themeColor="text1"/>
          <w:highlight w:val="none"/>
          <w:shd w:val="clear" w:color="auto" w:fill="auto"/>
          <w:lang w:eastAsia="zh-CN"/>
          <w14:textFill>
            <w14:solidFill>
              <w14:schemeClr w14:val="tx1"/>
            </w14:solidFill>
          </w14:textFill>
        </w:rPr>
        <w:t>）公开透明。绩效评价结果应依法依规公开，并自觉接受社会监督。</w:t>
      </w:r>
    </w:p>
    <w:p>
      <w:pPr>
        <w:pStyle w:val="2"/>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bookmarkStart w:id="25" w:name="_Toc419984722"/>
      <w:bookmarkStart w:id="26" w:name="_Toc26131"/>
      <w:bookmarkStart w:id="27" w:name="_Toc428278230"/>
      <w:bookmarkStart w:id="28" w:name="_Toc1913"/>
      <w:bookmarkStart w:id="29" w:name="_Toc24396"/>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绩效评价指标体系及绩效评价</w:t>
      </w:r>
      <w:bookmarkEnd w:id="25"/>
      <w:bookmarkEnd w:id="26"/>
      <w:bookmarkEnd w:id="27"/>
      <w:bookmarkEnd w:id="28"/>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标准</w:t>
      </w:r>
      <w:bookmarkEnd w:id="29"/>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我单位</w:t>
      </w:r>
      <w:r>
        <w:rPr>
          <w:rFonts w:hint="eastAsia" w:ascii="宋体" w:hAnsi="宋体" w:eastAsia="宋体" w:cs="宋体"/>
          <w:color w:val="000000" w:themeColor="text1"/>
          <w:highlight w:val="none"/>
          <w:shd w:val="clear" w:color="auto" w:fill="auto"/>
          <w:lang w:val="zh-TW" w:eastAsia="zh-TW"/>
          <w14:textFill>
            <w14:solidFill>
              <w14:schemeClr w14:val="tx1"/>
            </w14:solidFill>
          </w14:textFill>
        </w:rPr>
        <w:t>根据项目的</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实施</w:t>
      </w:r>
      <w:r>
        <w:rPr>
          <w:rFonts w:hint="eastAsia" w:ascii="宋体" w:hAnsi="宋体" w:eastAsia="宋体" w:cs="宋体"/>
          <w:color w:val="000000" w:themeColor="text1"/>
          <w:highlight w:val="none"/>
          <w:shd w:val="clear" w:color="auto" w:fill="auto"/>
          <w:lang w:val="zh-TW" w:eastAsia="zh-TW"/>
          <w14:textFill>
            <w14:solidFill>
              <w14:schemeClr w14:val="tx1"/>
            </w14:solidFill>
          </w14:textFill>
        </w:rPr>
        <w:t>资料研读及前期调研，结合项目的实际开展情况，最终形成了项目绩效评价指标体系</w:t>
      </w:r>
      <w:r>
        <w:rPr>
          <w:rFonts w:hint="eastAsia" w:ascii="宋体" w:hAnsi="宋体" w:eastAsia="宋体" w:cs="宋体"/>
          <w:color w:val="000000" w:themeColor="text1"/>
          <w:highlight w:val="none"/>
          <w:shd w:val="clear" w:color="auto" w:fill="auto"/>
          <w:lang w:val="zh-TW"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指标体系结构如下</w:t>
      </w:r>
      <w:r>
        <w:rPr>
          <w:rFonts w:hint="eastAsia" w:cs="宋体"/>
          <w:b/>
          <w:bCs/>
          <w:color w:val="000000" w:themeColor="text1"/>
          <w:highlight w:val="none"/>
          <w:shd w:val="clear" w:color="auto" w:fill="auto"/>
          <w:lang w:val="en-US" w:eastAsia="zh-CN"/>
          <w14:textFill>
            <w14:solidFill>
              <w14:schemeClr w14:val="tx1"/>
            </w14:solidFill>
          </w14:textFill>
        </w:rPr>
        <w:t>（详见上传的附件）</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w:t>
      </w:r>
    </w:p>
    <w:p>
      <w:pPr>
        <w:jc w:val="center"/>
        <w:rPr>
          <w:rFonts w:hint="default"/>
          <w:b/>
          <w:bCs/>
          <w:sz w:val="28"/>
          <w:szCs w:val="28"/>
          <w:lang w:val="en-US" w:eastAsia="zh-CN"/>
        </w:rPr>
      </w:pPr>
      <w:r>
        <w:rPr>
          <w:rFonts w:hint="eastAsia"/>
          <w:b/>
          <w:bCs/>
          <w:sz w:val="28"/>
          <w:szCs w:val="28"/>
          <w:lang w:val="zh-TW" w:eastAsia="zh-TW"/>
        </w:rPr>
        <w:t>项目绩效评价指标体系</w:t>
      </w:r>
    </w:p>
    <w:tbl>
      <w:tblPr>
        <w:tblStyle w:val="11"/>
        <w:tblW w:w="867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642"/>
        <w:gridCol w:w="1196"/>
        <w:gridCol w:w="1050"/>
        <w:gridCol w:w="1996"/>
        <w:gridCol w:w="37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70" w:hRule="atLeast"/>
          <w:tblHeader/>
          <w:jc w:val="center"/>
        </w:trPr>
        <w:tc>
          <w:tcPr>
            <w:tcW w:w="64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一级指标</w:t>
            </w:r>
          </w:p>
        </w:tc>
        <w:tc>
          <w:tcPr>
            <w:tcW w:w="11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二级指标</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三级指标</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指标解释</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指标说明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44" w:hRule="atLeast"/>
          <w:jc w:val="center"/>
        </w:trPr>
        <w:tc>
          <w:tcPr>
            <w:tcW w:w="64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决策</w:t>
            </w:r>
          </w:p>
        </w:tc>
        <w:tc>
          <w:tcPr>
            <w:tcW w:w="11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项目立项</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立项依据</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充分性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项目立项是否符合法律法规、相关政策、发展规划以及部门职责，用以反映和考核项目立项依据情况。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①项目立项是否符合国家法律法规、国民经济发展规划和相关政策；</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②项目立项是否符合行业发展规划和政策要求；</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③项目立项是否与部门职责范围相符，属于部门履职所需；</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④项目是否属于公共财政支持范围，是否符合中央、地方事权支出责任划分原则；</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⑤项目是否与相关部门同类项目或部门内部相关项目重复。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94" w:hRule="atLeast"/>
          <w:jc w:val="center"/>
        </w:trPr>
        <w:tc>
          <w:tcPr>
            <w:tcW w:w="64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立项程序</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规范性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项目申请、设立过程是否符合相关要求，用以反映和考核项目立项的规范情况。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①项目是否按照规定的程序申请设立；</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②审批文件、材料是否符合相关要求；</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③事前是否已经过必要的可行性研究、专家论证、风险评估、绩效评估、集体决策。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68" w:hRule="atLeast"/>
          <w:jc w:val="center"/>
        </w:trPr>
        <w:tc>
          <w:tcPr>
            <w:tcW w:w="64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绩效目标</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绩效目标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合理性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项目所设定的绩效目标是否依据充分，是否符合客观实际，用以反映和考核项目绩效目标与项目实施的相符情况。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（如未设定预算绩效目标，也可考核其他工作任务目标）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①项目是否有绩效目标；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②项目绩效目标与实际工作内容是否具有相关性；</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③项目预期产出效益和效果是否符合正常的业绩水平；</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④是否与预算确定的项目投资额或资金量相匹配。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44"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绩效指标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明确性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依据绩效目标设定的绩效指标是否清晰、细化、可衡量等，用以反映和考核项目绩效目标的明细化情况。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①是否将项目绩效目标细化分解为具体的绩效指标；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②是否通过清晰、可衡量的指标值予以体现；</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③是否与项目目标任务数或计划数相对应。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44" w:hRule="atLeast"/>
          <w:jc w:val="center"/>
        </w:trPr>
        <w:tc>
          <w:tcPr>
            <w:tcW w:w="64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资金投入</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预算编制</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科学性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项目预算编制是否经过科学论证、有明确标准，资金额度与年度目标是否相适应，用以反映和考核项目预算编制的科学性、合理性情况。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①预算编制是否经过科学论证；</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②预算内容与项目内容是否匹配；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③预算额度测算依据是否充分，是否按照标准编制；</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④预算确定的项目投资额或资金量是否与工作任务相匹配。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177"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资金分配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合理性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项目预算资金分配是否有测算依据，与补助单位或地方实际是否相适应，用以反映和考核项目预算资金分配的科学性、合理性情况。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①预算资金分配依据是否充分；</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②资金分配额度是否合理，与项目单位或地方实际是否相适应。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69" w:hRule="atLeast"/>
          <w:jc w:val="center"/>
        </w:trPr>
        <w:tc>
          <w:tcPr>
            <w:tcW w:w="642" w:type="dxa"/>
            <w:vMerge w:val="restart"/>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过程</w:t>
            </w:r>
          </w:p>
        </w:tc>
        <w:tc>
          <w:tcPr>
            <w:tcW w:w="11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资金管理</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资金到位率</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实际到位资金与预算资金的比率，用以反映和考核资金落实情况对项目实施的总体保障程度。</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资金到位率=（实际到位资金/预算资金）×100%。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实际到位资金：一定时期（本年度或项目期）内落实到具体项目的资金。</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预算资金：一定时期（本年度或项目期）内预算安排到具体项目的资金。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20" w:hRule="atLeast"/>
          <w:jc w:val="center"/>
        </w:trPr>
        <w:tc>
          <w:tcPr>
            <w:tcW w:w="64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预算执行率</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项目预算资金是否按照计划执行，用以反映或考核项目预算执行情况。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预算执行率=（实际支出资金/实际到位资金）×100%。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实际支出资金：一定时期（本年度或项目期）内项目实际拨付的资金。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494"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资金使用</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合规性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项目资金使用是否符合相关的财务管理制度规定，用以反映和考核项目资金的规范运行情况。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①是否符合国家财经法规和财务管理制度以及有关专项资金管理办法的规定；</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②资金的拨付是否有完整的审批程序和手续；</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③是否符合项目预算批复或合同规定的用途；</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④是否存在截留、挤占、挪用、虚列支出等情况。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69" w:hRule="atLeast"/>
          <w:jc w:val="center"/>
        </w:trPr>
        <w:tc>
          <w:tcPr>
            <w:tcW w:w="64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组织实施</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管理制度</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健全性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项目实施单位的财务和业务管理制度是否健全，用以反映和考核财务和业务管理制度对项目顺利实施的保障情况。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①是否已制定或具有相应的财务和业务管理制度；</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②财务和业务管理制度是否合法、合规、完整。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219"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制度执行</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有效性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项目实施是否符合相关管理规定，用以反映和考核相关管理制度的有效执行情况。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①是否遵守相关法律法规和相关管理规定；</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②项目调整及支出调整手续是否完备；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③项目合同书、验收报告、技术鉴定等资料是否齐全并及时归档；</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④项目实施的人员条件、场地设备、信息支撑等是否落实到位。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219" w:hRule="atLeast"/>
          <w:jc w:val="center"/>
        </w:trPr>
        <w:tc>
          <w:tcPr>
            <w:tcW w:w="64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w:t>
            </w:r>
          </w:p>
        </w:tc>
        <w:tc>
          <w:tcPr>
            <w:tcW w:w="11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产出数量</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实际完成率</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项目实施的实际产出数与计划产出数的比率，用以反映和考核项目产出数量目标的实现程度。</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实际完成率=（实际产出数/计划产出数）×100%。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实际产出数：一定时期（本年度或项目期）内项目实际产出的产品或提供的服务数量。</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计划产出数：项目绩效目标确定的在一定时期（本年度或项目期）内计划产出的产品或提供的服务数量。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219"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产出质量</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质量达标率</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项目完成的质量达标产出数与实际产出数的比率，用以反映和考核项目产出质量目标的实现程度。</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质量达标率=（质量达标产出数/实际产出数）×100%。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70" w:hRule="atLeast"/>
          <w:jc w:val="center"/>
        </w:trPr>
        <w:tc>
          <w:tcPr>
            <w:tcW w:w="64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产出时效</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完成及时性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项目实际完成时间与计划完成时间的比较，用以反映和考核项目产出时效目标的实现程度。</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实际完成时间：项目实施单位完成该项目实际所耗用的时间。</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计划完成时间：按照项目实施计划或相关规定完成该项目所需的时间。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69"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产出成本</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成本节约率</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完成项目计划工作目标的实际节约成本与计划成本的比率，用以反映和考核项目的成本节约程度。</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成本节约率=[（计划成本-实际成本）/计划成本]×100%。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实际成本：项目实施单位如期、保质、保量完成既定工作目标实际所耗费的支出。</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计划成本：项目实施单位为完成工作目标计划安排的支出，一般以项目预算为参考。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64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效益</w:t>
            </w:r>
          </w:p>
        </w:tc>
        <w:tc>
          <w:tcPr>
            <w:tcW w:w="11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项目效益</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实施效益</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项目实施所产生的效益。</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项目实施所产生的社会效益、经济效益、生态效益、可持续影响等。可根据项目实际情况有选择地设置和细化。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满意度</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社会公众或服务对象对项目实施效果的满意程度。</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社会公众或服务对象是指因该项目实施而受到影响的部门（单位）、群体或个人。一般采取社会调查的方式。</w:t>
            </w:r>
          </w:p>
        </w:tc>
      </w:tr>
    </w:tbl>
    <w:p>
      <w:pPr>
        <w:pStyle w:val="2"/>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30" w:name="_Toc9941"/>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highlight w:val="none"/>
          <w:shd w:val="clear" w:color="auto" w:fill="auto"/>
          <w14:textFill>
            <w14:solidFill>
              <w14:schemeClr w14:val="tx1"/>
            </w14:solidFill>
          </w14:textFill>
        </w:rPr>
        <w:t>评价</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方法</w:t>
      </w:r>
      <w:bookmarkEnd w:id="3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000000" w:themeColor="text1"/>
          <w:highlight w:val="none"/>
          <w:shd w:val="clear" w:color="auto" w:fill="auto"/>
          <w14:textFill>
            <w14:solidFill>
              <w14:schemeClr w14:val="tx1"/>
            </w14:solidFill>
          </w14:textFill>
        </w:rPr>
        <w:t>本次绩效评价采用的方法</w:t>
      </w:r>
      <w:r>
        <w:rPr>
          <w:rFonts w:hint="eastAsia" w:cs="宋体"/>
          <w:color w:val="000000" w:themeColor="text1"/>
          <w:highlight w:val="none"/>
          <w:shd w:val="clear" w:color="auto" w:fill="auto"/>
          <w:lang w:val="en-US" w:eastAsia="zh-CN"/>
          <w14:textFill>
            <w14:solidFill>
              <w14:schemeClr w14:val="tx1"/>
            </w14:solidFill>
          </w14:textFill>
        </w:rPr>
        <w:t>为</w:t>
      </w:r>
      <w:r>
        <w:rPr>
          <w:rFonts w:hint="eastAsia" w:ascii="宋体" w:hAnsi="宋体" w:eastAsia="宋体" w:cs="宋体"/>
          <w:color w:val="000000" w:themeColor="text1"/>
          <w:highlight w:val="none"/>
          <w:shd w:val="clear" w:color="auto" w:fill="auto"/>
          <w14:textFill>
            <w14:solidFill>
              <w14:schemeClr w14:val="tx1"/>
            </w14:solidFill>
          </w14:textFill>
        </w:rPr>
        <w:t>比较法</w:t>
      </w:r>
      <w:r>
        <w:rPr>
          <w:rFonts w:hint="eastAsia" w:ascii="宋体" w:hAnsi="宋体" w:eastAsia="宋体" w:cs="宋体"/>
          <w:color w:val="000000" w:themeColor="text1"/>
          <w:highlight w:val="none"/>
          <w:shd w:val="clear" w:color="auto" w:fill="auto"/>
          <w:lang w:eastAsia="zh-CN"/>
          <w14:textFill>
            <w14:solidFill>
              <w14:schemeClr w14:val="tx1"/>
            </w14:solidFill>
          </w14:textFill>
        </w:rPr>
        <w:t>、因素分析法、公众评判法</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对项目绩效目标</w:t>
      </w:r>
      <w:r>
        <w:rPr>
          <w:rFonts w:hint="eastAsia" w:cs="宋体"/>
          <w:color w:val="000000" w:themeColor="text1"/>
          <w:highlight w:val="none"/>
          <w:shd w:val="clear" w:color="auto" w:fill="auto"/>
          <w:lang w:val="en-US" w:eastAsia="zh-CN"/>
          <w14:textFill>
            <w14:solidFill>
              <w14:schemeClr w14:val="tx1"/>
            </w14:solidFill>
          </w14:textFill>
        </w:rPr>
        <w:t>预期目标值</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与实施情况进行比较，以及采取公众问卷及抽样调查等方式进行评判的方法对</w:t>
      </w:r>
      <w:r>
        <w:rPr>
          <w:rFonts w:hint="eastAsia" w:cs="宋体"/>
          <w:color w:val="auto"/>
          <w:highlight w:val="none"/>
          <w:shd w:val="clear" w:color="auto" w:fill="auto"/>
          <w:lang w:val="en-US" w:eastAsia="zh-CN"/>
        </w:rPr>
        <w:t>2023年清洁能源发展专项资金科林思德</w:t>
      </w:r>
      <w:r>
        <w:rPr>
          <w:rFonts w:hint="eastAsia" w:ascii="宋体" w:hAnsi="宋体" w:eastAsia="宋体" w:cs="宋体"/>
          <w:color w:val="auto"/>
          <w:highlight w:val="none"/>
          <w:shd w:val="clear" w:color="auto" w:fill="auto"/>
          <w:lang w:val="en-US" w:eastAsia="zh-CN"/>
        </w:rPr>
        <w:t>项目进行评价。</w:t>
      </w:r>
    </w:p>
    <w:p>
      <w:pPr>
        <w:pStyle w:val="2"/>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bookmarkStart w:id="31" w:name="_Toc25391"/>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4.评价标准</w:t>
      </w:r>
      <w:bookmarkEnd w:id="3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（1）计划标准。指以预先制定的目标、计划、预算、定额等作为评价标准。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（2）行业标准。指参照国家公布的行业指标数据制定的评价标准。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（3）历史标准。指参照历史数据制定的评价标准，为体现绩效改进的原则，在可实现的条件下应当确定相对较高的评价标准。</w:t>
      </w:r>
    </w:p>
    <w:p>
      <w:pP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（4）财政部门和预算部门确认或认可的其他标准。</w:t>
      </w:r>
    </w:p>
    <w:p>
      <w:pPr>
        <w:pStyle w:val="2"/>
        <w:outlineLvl w:val="1"/>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bookmarkStart w:id="32" w:name="_Toc1070"/>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（三）绩效评价工作过程</w:t>
      </w:r>
      <w:bookmarkEnd w:id="32"/>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33" w:name="_Toc12862"/>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1.前期准备</w:t>
      </w:r>
      <w:bookmarkEnd w:id="33"/>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（1）成立绩效评价项目小组</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为确保该项目绩效评价的顺利实施，评价机构组建了绩效评价项目小组。项目小组负责建立联络制度、明确评价责任人、制定评价方案、实施具体评价等工作。</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4" w:name="_Toc3157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（2）开展前期调研</w:t>
      </w:r>
      <w:bookmarkEnd w:id="34"/>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5" w:name="_Toc21240"/>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绩效评价项目小组依据此次绩效评价受委托内容，对拟评价的项目实施前期调研。通过调研对</w:t>
      </w:r>
      <w:r>
        <w:rPr>
          <w:rFonts w:hint="eastAsia" w:ascii="宋体" w:hAnsi="宋体" w:cs="宋体"/>
          <w:b w:val="0"/>
          <w:bCs w:val="0"/>
          <w:color w:val="auto"/>
          <w:kern w:val="2"/>
          <w:sz w:val="28"/>
          <w:szCs w:val="24"/>
          <w:highlight w:val="none"/>
          <w:shd w:val="clear" w:color="auto" w:fill="auto"/>
          <w:lang w:val="en-US" w:eastAsia="zh-CN" w:bidi="ar-SA"/>
        </w:rPr>
        <w:t>2023年清洁能源发展专项资金科林思德</w:t>
      </w:r>
      <w:r>
        <w:rPr>
          <w:rFonts w:hint="eastAsia" w:ascii="宋体" w:hAnsi="宋体" w:eastAsia="宋体" w:cs="宋体"/>
          <w:b w:val="0"/>
          <w:bCs w:val="0"/>
          <w:color w:val="auto"/>
          <w:kern w:val="2"/>
          <w:sz w:val="28"/>
          <w:szCs w:val="24"/>
          <w:highlight w:val="none"/>
          <w:shd w:val="clear" w:color="auto" w:fill="auto"/>
          <w:lang w:val="en-US" w:eastAsia="zh-CN" w:bidi="ar-SA"/>
        </w:rPr>
        <w:t>项目实施内容、目标信息、预</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算信息以及其他的一些项目基本信息，有了初步了解，为制定绩效评价工作方案做好准备。</w:t>
      </w:r>
      <w:bookmarkEnd w:id="35"/>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6" w:name="_Toc27977"/>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（3）制订绩效评价工作方案</w:t>
      </w:r>
      <w:bookmarkEnd w:id="36"/>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7" w:name="_Toc19659"/>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绩效评价项目小组根据有关规定和评价对象的特点以及前期调研收集的一些信息，拟定详细的绩效评价工作方案</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w:t>
      </w:r>
      <w:bookmarkEnd w:id="37"/>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2"/>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8" w:name="_Toc11353"/>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2.具体实施</w:t>
      </w:r>
      <w:bookmarkEnd w:id="38"/>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9" w:name="_Toc1411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（1）收集基础资料</w:t>
      </w:r>
      <w:bookmarkEnd w:id="39"/>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0" w:name="_Toc28524"/>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根据评价工作的需要和要求，在前期调研的基础上，通过多种渠道全面收集项目基础信息资料，主要包括：</w:t>
      </w:r>
      <w:bookmarkEnd w:id="40"/>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1" w:name="_Toc32216"/>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①被评价单位基本概况，如单位职能、事业发展规划、预决算情况、项目立项依据等；</w:t>
      </w:r>
      <w:bookmarkEnd w:id="41"/>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2" w:name="_Toc10505"/>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②绩效目标及其设立依据和调整情况；</w:t>
      </w:r>
      <w:bookmarkEnd w:id="42"/>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3" w:name="_Toc28365"/>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③管理措施及组织实施情况；</w:t>
      </w:r>
      <w:bookmarkEnd w:id="43"/>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4" w:name="_Toc1009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④被评价单位总结分析的绩效目标完成情况及绩效报告；</w:t>
      </w:r>
      <w:bookmarkEnd w:id="44"/>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5" w:name="_Toc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⑤与绩效评价相关的计划标准、行业标准、历史标准等；</w:t>
      </w:r>
      <w:bookmarkEnd w:id="45"/>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6" w:name="_Toc20059"/>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⑥</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其他必要的相关资料等。</w:t>
      </w:r>
      <w:bookmarkEnd w:id="46"/>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7" w:name="_Toc3191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（2）整理、研读基础资料</w:t>
      </w:r>
      <w:bookmarkEnd w:id="47"/>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8" w:name="_Toc167"/>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对收集的基础资料进行分类整理、研读，并对所收集的资料进行核实和全面分析。通过基础资料的整理、研读，了解被评价对象的具体情况，分析被评价对象可能存在的问题，根据工作需要确定实地核查的内容，为现场核查做好准备。</w:t>
      </w:r>
      <w:bookmarkEnd w:id="48"/>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2"/>
        <w:rPr>
          <w:rFonts w:hint="default"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9" w:name="_Toc30513"/>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3.</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分析评价和撰写报告</w:t>
      </w:r>
      <w:bookmarkEnd w:id="49"/>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50" w:name="_Toc15974"/>
      <w:r>
        <w:rPr>
          <w:rFonts w:hint="eastAsia"/>
          <w:b w:val="0"/>
          <w:bCs w:val="0"/>
          <w:sz w:val="28"/>
          <w:szCs w:val="28"/>
        </w:rPr>
        <w:t>（</w:t>
      </w:r>
      <w:r>
        <w:rPr>
          <w:rFonts w:hint="eastAsia" w:ascii="宋体" w:hAnsi="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1</w:t>
      </w:r>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）综合分析评价</w:t>
      </w:r>
      <w:bookmarkEnd w:id="50"/>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51" w:name="_Toc4352"/>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①根据所收集的基础资料，结合现场核查的有关情况，整理出绩效评价所需的项目材料和基础数据。</w:t>
      </w:r>
      <w:bookmarkEnd w:id="51"/>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bCs/>
          <w:color w:val="000000" w:themeColor="text1"/>
          <w:kern w:val="2"/>
          <w:sz w:val="28"/>
          <w:szCs w:val="24"/>
          <w:highlight w:val="none"/>
          <w:shd w:val="clear" w:color="auto" w:fill="auto"/>
          <w:lang w:val="en-US" w:eastAsia="zh-CN" w:bidi="ar-SA"/>
          <w14:textFill>
            <w14:solidFill>
              <w14:schemeClr w14:val="tx1"/>
            </w14:solidFill>
          </w14:textFill>
        </w:rPr>
      </w:pPr>
      <w:bookmarkStart w:id="52" w:name="_Toc26231"/>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②将初步评价结论、调整</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事项、专家咨询意见和有关说明等</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提交单位内部讨论</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并征求意见。之后，对所征求的意见及时地进行收集和整理。</w:t>
      </w:r>
      <w:bookmarkEnd w:id="52"/>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53" w:name="_Toc27759"/>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）撰写报告</w:t>
      </w:r>
      <w:bookmarkEnd w:id="53"/>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54" w:name="_Toc15579"/>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绩效评价项目小组依照整理、分析后的项目材料、数据资料，依据评价形成的初步结论，按照既定的格式和内容要求撰写绩效评价初步报告，</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最终</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形成评价结果。</w:t>
      </w:r>
      <w:bookmarkEnd w:id="54"/>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14:textFill>
            <w14:solidFill>
              <w14:schemeClr w14:val="tx1"/>
            </w14:solidFill>
          </w14:textFill>
        </w:rPr>
      </w:pPr>
      <w:bookmarkStart w:id="55" w:name="_Toc1100"/>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三、</w:t>
      </w:r>
      <w:r>
        <w:rPr>
          <w:rFonts w:hint="eastAsia" w:ascii="宋体" w:hAnsi="宋体" w:eastAsia="宋体" w:cs="宋体"/>
          <w:b/>
          <w:bCs/>
          <w:color w:val="000000" w:themeColor="text1"/>
          <w:highlight w:val="none"/>
          <w:shd w:val="clear" w:color="auto" w:fill="auto"/>
          <w14:textFill>
            <w14:solidFill>
              <w14:schemeClr w14:val="tx1"/>
            </w14:solidFill>
          </w14:textFill>
        </w:rPr>
        <w:t>综合评价情况及评价结论</w:t>
      </w:r>
      <w:bookmarkEnd w:id="5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zh-TW" w:eastAsia="zh-TW"/>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此次绩效评价</w:t>
      </w:r>
      <w:r>
        <w:rPr>
          <w:rFonts w:hint="eastAsia" w:ascii="宋体" w:hAnsi="宋体" w:eastAsia="宋体" w:cs="宋体"/>
          <w:color w:val="000000" w:themeColor="text1"/>
          <w:highlight w:val="none"/>
          <w:shd w:val="clear" w:color="auto" w:fill="auto"/>
          <w:lang w:val="zh-TW" w:eastAsia="zh-TW"/>
          <w14:textFill>
            <w14:solidFill>
              <w14:schemeClr w14:val="tx1"/>
            </w14:solidFill>
          </w14:textFill>
        </w:rPr>
        <w:t>通过组论证的</w:t>
      </w:r>
      <w:r>
        <w:rPr>
          <w:rFonts w:hint="eastAsia" w:ascii="宋体" w:hAnsi="宋体" w:eastAsia="宋体" w:cs="宋体"/>
          <w:color w:val="auto"/>
          <w:highlight w:val="none"/>
          <w:shd w:val="clear" w:color="auto" w:fill="auto"/>
          <w:lang w:val="zh-TW" w:eastAsia="zh-TW"/>
        </w:rPr>
        <w:t>评价指标体系及评分标准，</w:t>
      </w:r>
      <w:r>
        <w:rPr>
          <w:rFonts w:hint="eastAsia" w:ascii="宋体" w:hAnsi="宋体" w:eastAsia="宋体" w:cs="宋体"/>
          <w:color w:val="auto"/>
          <w:highlight w:val="none"/>
          <w:shd w:val="clear" w:color="auto" w:fill="auto"/>
        </w:rPr>
        <w:t>采用的方法比较法</w:t>
      </w:r>
      <w:r>
        <w:rPr>
          <w:rFonts w:hint="eastAsia" w:ascii="宋体" w:hAnsi="宋体" w:eastAsia="宋体" w:cs="宋体"/>
          <w:color w:val="auto"/>
          <w:highlight w:val="none"/>
          <w:shd w:val="clear" w:color="auto" w:fill="auto"/>
          <w:lang w:eastAsia="zh-CN"/>
        </w:rPr>
        <w:t>、因素分析法、公众评判法，</w:t>
      </w:r>
      <w:r>
        <w:rPr>
          <w:rFonts w:hint="eastAsia" w:ascii="宋体" w:hAnsi="宋体" w:eastAsia="宋体" w:cs="宋体"/>
          <w:color w:val="auto"/>
          <w:highlight w:val="none"/>
          <w:shd w:val="clear" w:color="auto" w:fill="auto"/>
          <w:lang w:val="zh-TW" w:eastAsia="zh-TW"/>
        </w:rPr>
        <w:t>对</w:t>
      </w:r>
      <w:r>
        <w:rPr>
          <w:rFonts w:hint="eastAsia" w:cs="宋体"/>
          <w:color w:val="auto"/>
          <w:highlight w:val="none"/>
          <w:shd w:val="clear" w:color="auto" w:fill="auto"/>
          <w:lang w:val="en-US" w:eastAsia="zh-CN"/>
        </w:rPr>
        <w:t>2023年清洁能源发展专项资金科林思德</w:t>
      </w:r>
      <w:r>
        <w:rPr>
          <w:rFonts w:hint="eastAsia" w:ascii="宋体" w:hAnsi="宋体" w:eastAsia="宋体" w:cs="宋体"/>
          <w:color w:val="auto"/>
          <w:highlight w:val="none"/>
          <w:shd w:val="clear" w:color="auto" w:fill="auto"/>
          <w:lang w:eastAsia="zh-CN"/>
        </w:rPr>
        <w:t>项目</w:t>
      </w:r>
      <w:r>
        <w:rPr>
          <w:rFonts w:hint="eastAsia" w:ascii="宋体" w:hAnsi="宋体" w:eastAsia="宋体" w:cs="宋体"/>
          <w:color w:val="auto"/>
          <w:highlight w:val="none"/>
          <w:shd w:val="clear" w:color="auto" w:fill="auto"/>
          <w:lang w:val="zh-TW" w:eastAsia="zh-TW"/>
        </w:rPr>
        <w:t>绩效进行客观评价，最终评分结果：总分为</w:t>
      </w:r>
      <w:r>
        <w:rPr>
          <w:rFonts w:hint="eastAsia" w:cs="宋体"/>
          <w:color w:val="auto"/>
          <w:highlight w:val="none"/>
          <w:shd w:val="clear" w:color="auto" w:fill="auto"/>
          <w:lang w:val="en-US" w:eastAsia="zh-CN"/>
        </w:rPr>
        <w:t>99.2</w:t>
      </w:r>
      <w:r>
        <w:rPr>
          <w:rFonts w:hint="eastAsia" w:ascii="宋体" w:hAnsi="宋体" w:eastAsia="宋体" w:cs="宋体"/>
          <w:color w:val="auto"/>
          <w:highlight w:val="none"/>
          <w:shd w:val="clear" w:color="auto" w:fill="auto"/>
          <w:lang w:val="zh-TW" w:eastAsia="zh-TW"/>
        </w:rPr>
        <w:t>分，绩效评级为“</w:t>
      </w:r>
      <w:r>
        <w:rPr>
          <w:rFonts w:hint="eastAsia" w:cs="宋体"/>
          <w:color w:val="auto"/>
          <w:highlight w:val="none"/>
          <w:shd w:val="clear" w:color="auto" w:fill="auto"/>
          <w:lang w:val="en-US" w:eastAsia="zh-CN"/>
        </w:rPr>
        <w:t>优</w:t>
      </w:r>
      <w:r>
        <w:rPr>
          <w:rFonts w:hint="eastAsia" w:ascii="宋体" w:hAnsi="宋体" w:eastAsia="宋体" w:cs="宋体"/>
          <w:color w:val="auto"/>
          <w:highlight w:val="none"/>
          <w:shd w:val="clear" w:color="auto" w:fill="auto"/>
          <w:lang w:val="zh-TW" w:eastAsia="zh-TW"/>
        </w:rPr>
        <w:t>”。各部分权重和绩效</w:t>
      </w:r>
      <w:r>
        <w:rPr>
          <w:rFonts w:hint="eastAsia" w:ascii="宋体" w:hAnsi="宋体" w:eastAsia="宋体" w:cs="宋体"/>
          <w:color w:val="auto"/>
          <w:highlight w:val="none"/>
          <w:shd w:val="clear" w:color="auto" w:fill="auto"/>
          <w:lang w:val="en-US" w:eastAsia="zh-CN"/>
        </w:rPr>
        <w:t>汇总</w:t>
      </w:r>
      <w:r>
        <w:rPr>
          <w:rFonts w:hint="eastAsia" w:ascii="宋体" w:hAnsi="宋体" w:eastAsia="宋体" w:cs="宋体"/>
          <w:color w:val="auto"/>
          <w:highlight w:val="none"/>
          <w:shd w:val="clear" w:color="auto" w:fill="auto"/>
          <w:lang w:val="zh-TW" w:eastAsia="zh-TW"/>
        </w:rPr>
        <w:t>分值如下表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3-1</w:t>
      </w:r>
      <w:r>
        <w:rPr>
          <w:rFonts w:hint="eastAsia" w:ascii="宋体" w:hAnsi="宋体" w:eastAsia="宋体" w:cs="宋体"/>
          <w:color w:val="auto"/>
          <w:highlight w:val="none"/>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zh-TW" w:eastAsia="zh-TW"/>
        </w:rPr>
        <w:t>：</w:t>
      </w:r>
    </w:p>
    <w:tbl>
      <w:tblPr>
        <w:tblStyle w:val="11"/>
        <w:tblW w:w="8289" w:type="dxa"/>
        <w:jc w:val="center"/>
        <w:shd w:val="clear" w:color="auto" w:fill="auto"/>
        <w:tblLayout w:type="fixed"/>
        <w:tblCellMar>
          <w:top w:w="0" w:type="dxa"/>
          <w:left w:w="0" w:type="dxa"/>
          <w:bottom w:w="0" w:type="dxa"/>
          <w:right w:w="0" w:type="dxa"/>
        </w:tblCellMar>
      </w:tblPr>
      <w:tblGrid>
        <w:gridCol w:w="1094"/>
        <w:gridCol w:w="1361"/>
        <w:gridCol w:w="1361"/>
        <w:gridCol w:w="1361"/>
        <w:gridCol w:w="1623"/>
        <w:gridCol w:w="1489"/>
      </w:tblGrid>
      <w:tr>
        <w:tblPrEx>
          <w:shd w:val="clear" w:color="auto" w:fill="auto"/>
          <w:tblCellMar>
            <w:top w:w="0" w:type="dxa"/>
            <w:left w:w="0" w:type="dxa"/>
            <w:bottom w:w="0" w:type="dxa"/>
            <w:right w:w="0" w:type="dxa"/>
          </w:tblCellMar>
        </w:tblPrEx>
        <w:trPr>
          <w:trHeight w:val="375" w:hRule="atLeast"/>
          <w:jc w:val="center"/>
        </w:trPr>
        <w:tc>
          <w:tcPr>
            <w:tcW w:w="8289"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4"/>
                <w:szCs w:val="24"/>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表3-1</w:t>
            </w:r>
            <w:r>
              <w:rPr>
                <w:rFonts w:hint="eastAsia" w:ascii="宋体" w:hAnsi="宋体" w:eastAsia="宋体" w:cs="宋体"/>
                <w:b/>
                <w:bCs/>
                <w:color w:val="auto"/>
                <w:kern w:val="0"/>
                <w:sz w:val="28"/>
                <w:szCs w:val="28"/>
                <w:highlight w:val="none"/>
                <w:shd w:val="clear" w:color="auto" w:fill="auto"/>
                <w:lang w:val="en-US" w:eastAsia="zh-CN"/>
              </w:rPr>
              <w:t>：</w:t>
            </w:r>
            <w:r>
              <w:rPr>
                <w:rFonts w:hint="eastAsia" w:cs="宋体"/>
                <w:b/>
                <w:bCs/>
                <w:color w:val="auto"/>
                <w:kern w:val="0"/>
                <w:sz w:val="28"/>
                <w:szCs w:val="28"/>
                <w:highlight w:val="none"/>
                <w:shd w:val="clear" w:color="auto" w:fill="auto"/>
                <w:lang w:val="en-US" w:eastAsia="zh-CN"/>
              </w:rPr>
              <w:t>2023年清洁能源发展专项资金科林思德</w:t>
            </w:r>
            <w:r>
              <w:rPr>
                <w:rFonts w:hint="eastAsia" w:ascii="宋体" w:hAnsi="宋体" w:eastAsia="宋体" w:cs="宋体"/>
                <w:b/>
                <w:bCs/>
                <w:color w:val="auto"/>
                <w:kern w:val="0"/>
                <w:sz w:val="28"/>
                <w:szCs w:val="28"/>
                <w:highlight w:val="none"/>
                <w:shd w:val="clear" w:color="auto" w:fill="auto"/>
                <w:lang w:val="en-US" w:eastAsia="zh-CN"/>
              </w:rPr>
              <w:t>项目得</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分表</w:t>
            </w:r>
          </w:p>
        </w:tc>
      </w:tr>
      <w:tr>
        <w:tblPrEx>
          <w:shd w:val="clear" w:color="auto" w:fill="auto"/>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指标类别</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1.项目决策</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2.过程管理</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3.项目产出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4.项目效益</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合计</w:t>
            </w:r>
          </w:p>
        </w:tc>
      </w:tr>
      <w:tr>
        <w:tblPrEx>
          <w:shd w:val="clear" w:color="auto" w:fill="auto"/>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t>权重</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100</w:t>
            </w:r>
          </w:p>
        </w:tc>
      </w:tr>
      <w:tr>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t>分值</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19.8</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FF0000"/>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29.4</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99.2</w:t>
            </w:r>
          </w:p>
        </w:tc>
      </w:tr>
      <w:tr>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t>得分率</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99</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FF0000"/>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98</w:t>
            </w:r>
            <w:r>
              <w:rPr>
                <w:rFonts w:hint="eastAsia" w:ascii="宋体" w:hAnsi="宋体" w:eastAsia="宋体" w:cs="宋体"/>
                <w:color w:val="auto"/>
                <w:kern w:val="0"/>
                <w:sz w:val="21"/>
                <w:szCs w:val="21"/>
                <w:highlight w:val="none"/>
                <w:shd w:val="clear" w:color="auto" w:fill="auto"/>
                <w:lang w:val="en-US" w:eastAsia="zh-CN"/>
              </w:rPr>
              <w:t>%</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99.2</w:t>
            </w:r>
            <w:r>
              <w:rPr>
                <w:rFonts w:hint="eastAsia" w:ascii="宋体" w:hAnsi="宋体" w:eastAsia="宋体" w:cs="宋体"/>
                <w:color w:val="auto"/>
                <w:kern w:val="0"/>
                <w:sz w:val="21"/>
                <w:szCs w:val="21"/>
                <w:highlight w:val="none"/>
                <w:shd w:val="clear" w:color="auto" w:fill="auto"/>
                <w:lang w:val="en-US" w:eastAsia="zh-CN"/>
              </w:rPr>
              <w:t>%</w:t>
            </w:r>
          </w:p>
        </w:tc>
      </w:tr>
    </w:tbl>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56" w:name="_Toc9421"/>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四、绩效评价指标分析</w:t>
      </w:r>
      <w:bookmarkEnd w:id="56"/>
    </w:p>
    <w:p>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57" w:name="_Toc15355"/>
      <w:r>
        <w:rPr>
          <w:rFonts w:hint="eastAsia" w:ascii="宋体" w:hAnsi="宋体" w:eastAsia="宋体" w:cs="宋体"/>
          <w:color w:val="000000" w:themeColor="text1"/>
          <w:highlight w:val="none"/>
          <w:shd w:val="clear" w:color="auto" w:fill="auto"/>
          <w14:textFill>
            <w14:solidFill>
              <w14:schemeClr w14:val="tx1"/>
            </w14:solidFill>
          </w14:textFill>
        </w:rPr>
        <w:t>（一）项目决策情况</w:t>
      </w:r>
      <w:bookmarkEnd w:id="57"/>
    </w:p>
    <w:p>
      <w:pPr>
        <w:keepNext w:val="0"/>
        <w:keepLines w:val="0"/>
        <w:pageBreakBefore w:val="0"/>
        <w:widowControl w:val="0"/>
        <w:kinsoku/>
        <w:wordWrap/>
        <w:overflowPunct/>
        <w:topLinePunct w:val="0"/>
        <w:autoSpaceDE/>
        <w:autoSpaceDN/>
        <w:bidi w:val="0"/>
        <w:adjustRightInd/>
        <w:snapToGrid/>
        <w:spacing w:line="360" w:lineRule="auto"/>
        <w:ind w:firstLine="723"/>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项目决策由3个二级指标和6个三级指标构成，权重分20分，实际得分</w:t>
      </w:r>
      <w:r>
        <w:rPr>
          <w:rFonts w:hint="eastAsia" w:cs="宋体"/>
          <w:color w:val="auto"/>
          <w:highlight w:val="none"/>
          <w:shd w:val="clear" w:color="auto" w:fill="auto"/>
          <w:lang w:val="en-US" w:eastAsia="zh-CN"/>
        </w:rPr>
        <w:t>19.8</w:t>
      </w:r>
      <w:r>
        <w:rPr>
          <w:rFonts w:hint="eastAsia" w:ascii="宋体" w:hAnsi="宋体" w:eastAsia="宋体" w:cs="宋体"/>
          <w:color w:val="auto"/>
          <w:highlight w:val="none"/>
          <w:shd w:val="clear" w:color="auto" w:fill="auto"/>
          <w:lang w:val="en-US" w:eastAsia="zh-CN"/>
        </w:rPr>
        <w:t>分，</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b/>
          <w:bCs/>
          <w:color w:val="auto"/>
          <w:kern w:val="2"/>
          <w:highlight w:val="none"/>
          <w:u w:color="000000"/>
          <w:shd w:val="clear" w:color="auto" w:fill="auto"/>
          <w:lang w:val="en-US" w:eastAsia="zh-CN"/>
        </w:rPr>
        <w:t>4</w:t>
      </w:r>
      <w:r>
        <w:rPr>
          <w:rFonts w:hint="eastAsia" w:ascii="宋体" w:hAnsi="宋体" w:eastAsia="宋体" w:cs="宋体"/>
          <w:b/>
          <w:bCs/>
          <w:color w:val="auto"/>
          <w:kern w:val="2"/>
          <w:highlight w:val="none"/>
          <w:u w:color="000000"/>
          <w:shd w:val="clear" w:color="auto" w:fill="auto"/>
          <w:lang w:eastAsia="zh-CN"/>
        </w:rPr>
        <w:t>-1</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en-US"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4-1</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项目决策指标及分值</w:t>
      </w:r>
    </w:p>
    <w:tbl>
      <w:tblPr>
        <w:tblStyle w:val="11"/>
        <w:tblW w:w="84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077"/>
        <w:gridCol w:w="960"/>
        <w:gridCol w:w="1248"/>
        <w:gridCol w:w="794"/>
        <w:gridCol w:w="3"/>
        <w:gridCol w:w="1868"/>
        <w:gridCol w:w="3"/>
        <w:gridCol w:w="1414"/>
        <w:gridCol w:w="3"/>
        <w:gridCol w:w="1074"/>
        <w:gridCol w:w="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 w:type="dxa"/>
          <w:trHeight w:val="522" w:hRule="atLeast"/>
          <w:tblHeader/>
          <w:jc w:val="center"/>
        </w:trPr>
        <w:tc>
          <w:tcPr>
            <w:tcW w:w="1077"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一级指标</w:t>
            </w:r>
          </w:p>
        </w:tc>
        <w:tc>
          <w:tcPr>
            <w:tcW w:w="960"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248"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794" w:type="dxa"/>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871" w:type="dxa"/>
            <w:gridSpan w:val="2"/>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1417" w:type="dxa"/>
            <w:gridSpan w:val="2"/>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077" w:type="dxa"/>
            <w:gridSpan w:val="2"/>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 w:type="dxa"/>
          <w:trHeight w:val="334" w:hRule="atLeast"/>
          <w:tblHeader/>
          <w:jc w:val="center"/>
        </w:trPr>
        <w:tc>
          <w:tcPr>
            <w:tcW w:w="1077" w:type="dxa"/>
            <w:vMerge w:val="restart"/>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项目决策</w:t>
            </w:r>
          </w:p>
        </w:tc>
        <w:tc>
          <w:tcPr>
            <w:tcW w:w="960" w:type="dxa"/>
            <w:vMerge w:val="restart"/>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248" w:type="dxa"/>
            <w:vMerge w:val="restart"/>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项目立项</w:t>
            </w:r>
          </w:p>
        </w:tc>
        <w:tc>
          <w:tcPr>
            <w:tcW w:w="794" w:type="dxa"/>
            <w:vMerge w:val="restart"/>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5</w:t>
            </w:r>
          </w:p>
        </w:tc>
        <w:tc>
          <w:tcPr>
            <w:tcW w:w="1871" w:type="dxa"/>
            <w:gridSpan w:val="2"/>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立项依据充分性</w:t>
            </w:r>
          </w:p>
        </w:tc>
        <w:tc>
          <w:tcPr>
            <w:tcW w:w="1417" w:type="dxa"/>
            <w:gridSpan w:val="2"/>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94"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71" w:type="dxa"/>
            <w:gridSpan w:val="2"/>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立项程序规范性</w:t>
            </w:r>
          </w:p>
        </w:tc>
        <w:tc>
          <w:tcPr>
            <w:tcW w:w="1417" w:type="dxa"/>
            <w:gridSpan w:val="2"/>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restart"/>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绩效目标</w:t>
            </w:r>
          </w:p>
        </w:tc>
        <w:tc>
          <w:tcPr>
            <w:tcW w:w="794" w:type="dxa"/>
            <w:vMerge w:val="restart"/>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10</w:t>
            </w:r>
          </w:p>
        </w:tc>
        <w:tc>
          <w:tcPr>
            <w:tcW w:w="1871" w:type="dxa"/>
            <w:gridSpan w:val="2"/>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绩效目标合理性</w:t>
            </w:r>
          </w:p>
        </w:tc>
        <w:tc>
          <w:tcPr>
            <w:tcW w:w="1417" w:type="dxa"/>
            <w:gridSpan w:val="2"/>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94"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71" w:type="dxa"/>
            <w:gridSpan w:val="2"/>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绩效指标明确性</w:t>
            </w:r>
          </w:p>
        </w:tc>
        <w:tc>
          <w:tcPr>
            <w:tcW w:w="1417" w:type="dxa"/>
            <w:gridSpan w:val="2"/>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restart"/>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资金投入</w:t>
            </w:r>
          </w:p>
        </w:tc>
        <w:tc>
          <w:tcPr>
            <w:tcW w:w="794" w:type="dxa"/>
            <w:vMerge w:val="restart"/>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5</w:t>
            </w:r>
          </w:p>
        </w:tc>
        <w:tc>
          <w:tcPr>
            <w:tcW w:w="1871" w:type="dxa"/>
            <w:gridSpan w:val="2"/>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预算编制科学性</w:t>
            </w:r>
          </w:p>
        </w:tc>
        <w:tc>
          <w:tcPr>
            <w:tcW w:w="1417" w:type="dxa"/>
            <w:gridSpan w:val="2"/>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94"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71" w:type="dxa"/>
            <w:gridSpan w:val="2"/>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资金分配合理性</w:t>
            </w:r>
          </w:p>
        </w:tc>
        <w:tc>
          <w:tcPr>
            <w:tcW w:w="1417" w:type="dxa"/>
            <w:gridSpan w:val="2"/>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blHeader/>
          <w:jc w:val="center"/>
        </w:trPr>
        <w:tc>
          <w:tcPr>
            <w:tcW w:w="3285" w:type="dxa"/>
            <w:gridSpan w:val="3"/>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合计</w:t>
            </w:r>
          </w:p>
        </w:tc>
        <w:tc>
          <w:tcPr>
            <w:tcW w:w="797" w:type="dxa"/>
            <w:gridSpan w:val="2"/>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871" w:type="dxa"/>
            <w:gridSpan w:val="2"/>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417" w:type="dxa"/>
            <w:gridSpan w:val="2"/>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077" w:type="dxa"/>
            <w:gridSpan w:val="2"/>
            <w:tcBorders>
              <w:tl2br w:val="nil"/>
              <w:tr2bl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19.8</w:t>
            </w:r>
          </w:p>
        </w:tc>
      </w:tr>
    </w:tbl>
    <w:p>
      <w:pPr>
        <w:bidi w:val="0"/>
        <w:outlineLvl w:val="2"/>
        <w:rPr>
          <w:rFonts w:hint="default"/>
          <w:b/>
          <w:bCs/>
          <w:lang w:val="en-US" w:eastAsia="zh-CN"/>
        </w:rPr>
      </w:pPr>
      <w:bookmarkStart w:id="58" w:name="_Toc13522"/>
      <w:r>
        <w:rPr>
          <w:rFonts w:hint="eastAsia"/>
          <w:b/>
          <w:bCs/>
          <w:lang w:val="en-US" w:eastAsia="zh-CN"/>
        </w:rPr>
        <w:t>1.立项依据充分性</w:t>
      </w:r>
      <w:bookmarkEnd w:id="58"/>
    </w:p>
    <w:p>
      <w:pPr>
        <w:bidi w:val="0"/>
        <w:rPr>
          <w:rFonts w:hint="eastAsia"/>
          <w:color w:val="auto"/>
          <w:lang w:eastAsia="zh-CN"/>
        </w:rPr>
      </w:pPr>
      <w:r>
        <w:rPr>
          <w:rFonts w:hint="eastAsia"/>
          <w:lang w:eastAsia="zh-CN"/>
        </w:rPr>
        <w:t>①项</w:t>
      </w:r>
      <w:r>
        <w:rPr>
          <w:rFonts w:hint="eastAsia"/>
          <w:color w:val="auto"/>
          <w:lang w:eastAsia="zh-CN"/>
        </w:rPr>
        <w:t>目立项符合《财政部关于煤层气（瓦斯）开发利用补贴的实施意见》财建[2007]114号；</w:t>
      </w:r>
    </w:p>
    <w:p>
      <w:pPr>
        <w:bidi w:val="0"/>
        <w:rPr>
          <w:rFonts w:hint="eastAsia"/>
          <w:color w:val="auto"/>
          <w:lang w:eastAsia="zh-CN"/>
        </w:rPr>
      </w:pPr>
      <w:r>
        <w:rPr>
          <w:rFonts w:hint="eastAsia"/>
          <w:color w:val="auto"/>
          <w:lang w:eastAsia="zh-CN"/>
        </w:rPr>
        <w:t>②项目立项符合增加煤气层开采利用，非常规天然气开采利用量加大天然气开采利用率等行业发展规划和能源发展战略、规划，贯彻发展能源工业的方针政策要求；</w:t>
      </w:r>
    </w:p>
    <w:p>
      <w:pPr>
        <w:bidi w:val="0"/>
        <w:rPr>
          <w:rFonts w:hint="eastAsia"/>
          <w:lang w:eastAsia="zh-CN"/>
        </w:rPr>
      </w:pPr>
      <w:r>
        <w:rPr>
          <w:rFonts w:hint="eastAsia"/>
          <w:color w:val="auto"/>
          <w:lang w:eastAsia="zh-CN"/>
        </w:rPr>
        <w:t>③项目立项与阜康市发展和改革委员会负责研究提出能源发展战略、规划，贯彻发展能源工业的方针政策，负责能源安全监督管理及行业管理和安全生产检查监督管理工作相符，属于部</w:t>
      </w:r>
      <w:r>
        <w:rPr>
          <w:rFonts w:hint="eastAsia"/>
          <w:lang w:eastAsia="zh-CN"/>
        </w:rPr>
        <w:t>门履职所需；</w:t>
      </w:r>
    </w:p>
    <w:p>
      <w:pPr>
        <w:bidi w:val="0"/>
        <w:rPr>
          <w:rFonts w:hint="eastAsia"/>
          <w:lang w:eastAsia="zh-CN"/>
        </w:rPr>
      </w:pPr>
      <w:r>
        <w:rPr>
          <w:rFonts w:hint="eastAsia"/>
          <w:lang w:eastAsia="zh-CN"/>
        </w:rPr>
        <w:t>④项目属于公共财政支持范围，符合中央、地方事权支出责任划分原则；</w:t>
      </w:r>
    </w:p>
    <w:p>
      <w:pPr>
        <w:bidi w:val="0"/>
        <w:rPr>
          <w:rFonts w:hint="eastAsia"/>
          <w:color w:val="auto"/>
          <w:lang w:eastAsia="zh-CN"/>
        </w:rPr>
      </w:pPr>
      <w:r>
        <w:rPr>
          <w:rFonts w:hint="eastAsia"/>
          <w:lang w:eastAsia="zh-CN"/>
        </w:rPr>
        <w:t>⑤项目与相关</w:t>
      </w:r>
      <w:r>
        <w:rPr>
          <w:rFonts w:hint="eastAsia"/>
          <w:color w:val="auto"/>
          <w:lang w:eastAsia="zh-CN"/>
        </w:rPr>
        <w:t>部门同类项目或部门内部相关项目</w:t>
      </w:r>
      <w:r>
        <w:rPr>
          <w:rFonts w:hint="eastAsia"/>
          <w:color w:val="auto"/>
          <w:lang w:val="en-US" w:eastAsia="zh-CN"/>
        </w:rPr>
        <w:t>不</w:t>
      </w:r>
      <w:r>
        <w:rPr>
          <w:rFonts w:hint="eastAsia"/>
          <w:color w:val="auto"/>
          <w:lang w:eastAsia="zh-CN"/>
        </w:rPr>
        <w:t>重复。</w:t>
      </w:r>
    </w:p>
    <w:p>
      <w:pPr>
        <w:bidi w:val="0"/>
        <w:rPr>
          <w:rFonts w:hint="default"/>
          <w:color w:val="auto"/>
          <w:lang w:val="en-US" w:eastAsia="zh-CN"/>
        </w:rPr>
      </w:pPr>
      <w:r>
        <w:rPr>
          <w:rFonts w:hint="eastAsia"/>
          <w:b/>
          <w:bCs/>
          <w:color w:val="auto"/>
          <w:lang w:val="en-US" w:eastAsia="zh-CN"/>
        </w:rPr>
        <w:t>综上，该项指标满分2分，得分2分。</w:t>
      </w:r>
    </w:p>
    <w:p>
      <w:pPr>
        <w:bidi w:val="0"/>
        <w:outlineLvl w:val="2"/>
        <w:rPr>
          <w:rFonts w:hint="default"/>
          <w:b/>
          <w:bCs/>
          <w:color w:val="auto"/>
          <w:lang w:val="en-US" w:eastAsia="zh-CN"/>
        </w:rPr>
      </w:pPr>
      <w:bookmarkStart w:id="59" w:name="_Toc21976"/>
      <w:r>
        <w:rPr>
          <w:rFonts w:hint="eastAsia"/>
          <w:b/>
          <w:bCs/>
          <w:color w:val="auto"/>
          <w:lang w:val="en-US" w:eastAsia="zh-CN"/>
        </w:rPr>
        <w:t>2.立项程序规范性</w:t>
      </w:r>
      <w:bookmarkEnd w:id="59"/>
    </w:p>
    <w:p>
      <w:pPr>
        <w:bidi w:val="0"/>
        <w:rPr>
          <w:rFonts w:hint="eastAsia"/>
          <w:lang w:eastAsia="zh-CN"/>
        </w:rPr>
      </w:pPr>
      <w:r>
        <w:rPr>
          <w:rFonts w:hint="eastAsia"/>
          <w:lang w:eastAsia="zh-CN"/>
        </w:rPr>
        <w:t>①项目按照规定的程序申请设立；</w:t>
      </w:r>
    </w:p>
    <w:p>
      <w:pPr>
        <w:bidi w:val="0"/>
        <w:rPr>
          <w:rFonts w:hint="eastAsia"/>
          <w:lang w:eastAsia="zh-CN"/>
        </w:rPr>
      </w:pPr>
      <w:r>
        <w:rPr>
          <w:rFonts w:hint="eastAsia"/>
          <w:lang w:eastAsia="zh-CN"/>
        </w:rPr>
        <w:t>②审批文件、材料符合相关要求；</w:t>
      </w:r>
    </w:p>
    <w:p>
      <w:pPr>
        <w:bidi w:val="0"/>
        <w:rPr>
          <w:rFonts w:hint="eastAsia"/>
          <w:color w:val="auto"/>
          <w:highlight w:val="none"/>
          <w:lang w:eastAsia="zh-CN"/>
        </w:rPr>
      </w:pPr>
      <w:r>
        <w:rPr>
          <w:rFonts w:hint="eastAsia"/>
          <w:highlight w:val="none"/>
          <w:lang w:eastAsia="zh-CN"/>
        </w:rPr>
        <w:t>③事前经</w:t>
      </w:r>
      <w:r>
        <w:rPr>
          <w:rFonts w:hint="eastAsia"/>
          <w:color w:val="auto"/>
          <w:highlight w:val="none"/>
          <w:lang w:eastAsia="zh-CN"/>
        </w:rPr>
        <w:t>过必要的可行性研究、专家论证、风险评估、集体决策</w:t>
      </w:r>
      <w:r>
        <w:rPr>
          <w:rFonts w:hint="eastAsia" w:cs="宋体"/>
          <w:color w:val="auto"/>
          <w:highlight w:val="none"/>
          <w:lang w:val="en-US" w:eastAsia="zh-CN"/>
        </w:rPr>
        <w:t>，未经过事前绩效评估，扣0.2分</w:t>
      </w:r>
      <w:r>
        <w:rPr>
          <w:rFonts w:hint="eastAsia"/>
          <w:color w:val="auto"/>
          <w:highlight w:val="none"/>
          <w:lang w:eastAsia="zh-CN"/>
        </w:rPr>
        <w:t>。</w:t>
      </w:r>
    </w:p>
    <w:p>
      <w:pPr>
        <w:bidi w:val="0"/>
        <w:rPr>
          <w:rFonts w:hint="eastAsia"/>
          <w:color w:val="auto"/>
          <w:lang w:eastAsia="zh-CN"/>
        </w:rPr>
      </w:pPr>
      <w:r>
        <w:rPr>
          <w:rFonts w:hint="eastAsia"/>
          <w:b/>
          <w:bCs/>
          <w:color w:val="auto"/>
          <w:lang w:val="en-US" w:eastAsia="zh-CN"/>
        </w:rPr>
        <w:t>综上，该项指标满分3分，得分2.8分。</w:t>
      </w:r>
    </w:p>
    <w:p>
      <w:pPr>
        <w:bidi w:val="0"/>
        <w:outlineLvl w:val="2"/>
        <w:rPr>
          <w:rFonts w:hint="default"/>
          <w:b/>
          <w:bCs/>
          <w:color w:val="auto"/>
          <w:lang w:val="en-US" w:eastAsia="zh-CN"/>
        </w:rPr>
      </w:pPr>
      <w:bookmarkStart w:id="60" w:name="_Toc15382"/>
      <w:r>
        <w:rPr>
          <w:rFonts w:hint="eastAsia"/>
          <w:b/>
          <w:bCs/>
          <w:color w:val="auto"/>
          <w:lang w:val="en-US" w:eastAsia="zh-CN"/>
        </w:rPr>
        <w:t>3.绩效目标合理性</w:t>
      </w:r>
      <w:bookmarkEnd w:id="60"/>
    </w:p>
    <w:p>
      <w:pPr>
        <w:bidi w:val="0"/>
        <w:rPr>
          <w:rFonts w:hint="eastAsia"/>
          <w:color w:val="auto"/>
          <w:lang w:eastAsia="zh-CN"/>
        </w:rPr>
      </w:pPr>
      <w:r>
        <w:rPr>
          <w:rFonts w:hint="eastAsia"/>
          <w:color w:val="auto"/>
          <w:lang w:eastAsia="zh-CN"/>
        </w:rPr>
        <w:t>①项目有绩效目标；</w:t>
      </w:r>
    </w:p>
    <w:p>
      <w:pPr>
        <w:bidi w:val="0"/>
        <w:rPr>
          <w:rFonts w:hint="eastAsia"/>
          <w:color w:val="auto"/>
          <w:lang w:eastAsia="zh-CN"/>
        </w:rPr>
      </w:pPr>
      <w:r>
        <w:rPr>
          <w:rFonts w:hint="eastAsia"/>
          <w:color w:val="auto"/>
          <w:lang w:eastAsia="zh-CN"/>
        </w:rPr>
        <w:t>②项目绩效目</w:t>
      </w:r>
      <w:r>
        <w:rPr>
          <w:rFonts w:hint="eastAsia"/>
          <w:color w:val="auto"/>
          <w:highlight w:val="none"/>
          <w:lang w:eastAsia="zh-CN"/>
        </w:rPr>
        <w:t>标与非常规天然气开采利用量4942万m³,采暖季非常规天然气利用量占全年比例大于30%，非常规天然气开采利用率大于88%，非常规天然气抽采量5103万m³具有相关性</w:t>
      </w:r>
      <w:r>
        <w:rPr>
          <w:rFonts w:hint="eastAsia"/>
          <w:color w:val="auto"/>
          <w:lang w:eastAsia="zh-CN"/>
        </w:rPr>
        <w:t>；</w:t>
      </w:r>
    </w:p>
    <w:p>
      <w:pPr>
        <w:bidi w:val="0"/>
        <w:rPr>
          <w:rFonts w:hint="eastAsia"/>
          <w:color w:val="auto"/>
          <w:highlight w:val="none"/>
          <w:lang w:eastAsia="zh-CN"/>
        </w:rPr>
      </w:pPr>
      <w:r>
        <w:rPr>
          <w:rFonts w:hint="eastAsia"/>
          <w:color w:val="auto"/>
          <w:lang w:eastAsia="zh-CN"/>
        </w:rPr>
        <w:t>③项目预期非常规天然气利用量占全年比例</w:t>
      </w:r>
      <w:r>
        <w:rPr>
          <w:rFonts w:hint="eastAsia"/>
          <w:color w:val="auto"/>
          <w:highlight w:val="none"/>
          <w:lang w:eastAsia="zh-CN"/>
        </w:rPr>
        <w:t>大于30%，非常规天然气开采利用率大于88%，达到减少温室气体排放效益和效果符合正常的业绩水平；</w:t>
      </w:r>
    </w:p>
    <w:p>
      <w:pPr>
        <w:bidi w:val="0"/>
        <w:rPr>
          <w:rFonts w:hint="eastAsia"/>
          <w:color w:val="auto"/>
          <w:lang w:eastAsia="zh-CN"/>
        </w:rPr>
      </w:pPr>
      <w:r>
        <w:rPr>
          <w:rFonts w:hint="eastAsia"/>
          <w:color w:val="auto"/>
          <w:lang w:eastAsia="zh-CN"/>
        </w:rPr>
        <w:t>④与预算确定的项目投资额或资金量相匹配。</w:t>
      </w:r>
    </w:p>
    <w:p>
      <w:pPr>
        <w:bidi w:val="0"/>
        <w:rPr>
          <w:rFonts w:hint="eastAsia"/>
          <w:color w:val="auto"/>
          <w:lang w:eastAsia="zh-CN"/>
        </w:rPr>
      </w:pPr>
      <w:r>
        <w:rPr>
          <w:rFonts w:hint="eastAsia"/>
          <w:b/>
          <w:bCs/>
          <w:color w:val="auto"/>
          <w:lang w:val="en-US" w:eastAsia="zh-CN"/>
        </w:rPr>
        <w:t>综上，该项指标满分5分，得分5分。</w:t>
      </w:r>
    </w:p>
    <w:p>
      <w:pPr>
        <w:bidi w:val="0"/>
        <w:outlineLvl w:val="2"/>
        <w:rPr>
          <w:rFonts w:hint="default"/>
          <w:b/>
          <w:bCs/>
          <w:lang w:val="en-US" w:eastAsia="zh-CN"/>
        </w:rPr>
      </w:pPr>
      <w:bookmarkStart w:id="61" w:name="_Toc10650"/>
      <w:r>
        <w:rPr>
          <w:rFonts w:hint="eastAsia"/>
          <w:b/>
          <w:bCs/>
          <w:lang w:val="en-US" w:eastAsia="zh-CN"/>
        </w:rPr>
        <w:t>4.绩效指标明确性</w:t>
      </w:r>
      <w:bookmarkEnd w:id="61"/>
    </w:p>
    <w:p>
      <w:pPr>
        <w:bidi w:val="0"/>
        <w:rPr>
          <w:rFonts w:hint="eastAsia"/>
          <w:highlight w:val="none"/>
          <w:lang w:eastAsia="zh-CN"/>
        </w:rPr>
      </w:pPr>
      <w:r>
        <w:rPr>
          <w:rFonts w:hint="eastAsia"/>
          <w:highlight w:val="none"/>
          <w:lang w:eastAsia="zh-CN"/>
        </w:rPr>
        <w:t>①将项目绩效目标细化分解为具体的绩效指标一级指标三个，二级指标五个，三级指标九个；</w:t>
      </w:r>
    </w:p>
    <w:p>
      <w:pPr>
        <w:bidi w:val="0"/>
        <w:rPr>
          <w:rFonts w:hint="default"/>
          <w:highlight w:val="none"/>
          <w:lang w:val="en-US" w:eastAsia="zh-CN"/>
        </w:rPr>
      </w:pPr>
      <w:r>
        <w:rPr>
          <w:rFonts w:hint="eastAsia"/>
          <w:highlight w:val="none"/>
          <w:lang w:eastAsia="zh-CN"/>
        </w:rPr>
        <w:t>②通过清晰、可衡量的指标值予以体现；三级指标九个，定量指标八个，定性指标一个，量化率</w:t>
      </w:r>
      <w:r>
        <w:rPr>
          <w:rFonts w:hint="eastAsia"/>
          <w:highlight w:val="none"/>
          <w:lang w:val="en-US" w:eastAsia="zh-CN"/>
        </w:rPr>
        <w:t>88.88%。</w:t>
      </w:r>
    </w:p>
    <w:p>
      <w:pPr>
        <w:bidi w:val="0"/>
        <w:rPr>
          <w:rFonts w:hint="eastAsia"/>
          <w:lang w:eastAsia="zh-CN"/>
        </w:rPr>
      </w:pPr>
      <w:r>
        <w:rPr>
          <w:rFonts w:hint="eastAsia"/>
          <w:lang w:eastAsia="zh-CN"/>
        </w:rPr>
        <w:t>③与项目目标任务数或计划数相对应。</w:t>
      </w:r>
    </w:p>
    <w:p>
      <w:pPr>
        <w:bidi w:val="0"/>
        <w:rPr>
          <w:rFonts w:hint="eastAsia"/>
          <w:color w:val="auto"/>
          <w:lang w:eastAsia="zh-CN"/>
        </w:rPr>
      </w:pPr>
      <w:r>
        <w:rPr>
          <w:rFonts w:hint="eastAsia"/>
          <w:b/>
          <w:bCs/>
          <w:lang w:val="en-US" w:eastAsia="zh-CN"/>
        </w:rPr>
        <w:t>综上，该项指标满</w:t>
      </w:r>
      <w:r>
        <w:rPr>
          <w:rFonts w:hint="eastAsia"/>
          <w:b/>
          <w:bCs/>
          <w:color w:val="auto"/>
          <w:lang w:val="en-US" w:eastAsia="zh-CN"/>
        </w:rPr>
        <w:t>分5分，得分5分。</w:t>
      </w:r>
    </w:p>
    <w:p>
      <w:pPr>
        <w:bidi w:val="0"/>
        <w:outlineLvl w:val="2"/>
        <w:rPr>
          <w:rFonts w:hint="default"/>
          <w:b/>
          <w:bCs/>
          <w:lang w:val="en-US" w:eastAsia="zh-CN"/>
        </w:rPr>
      </w:pPr>
      <w:bookmarkStart w:id="62" w:name="_Toc19401"/>
      <w:r>
        <w:rPr>
          <w:rFonts w:hint="eastAsia"/>
          <w:b/>
          <w:bCs/>
          <w:lang w:val="en-US" w:eastAsia="zh-CN"/>
        </w:rPr>
        <w:t>5.预算编制科学性</w:t>
      </w:r>
      <w:bookmarkEnd w:id="62"/>
    </w:p>
    <w:p>
      <w:pPr>
        <w:bidi w:val="0"/>
        <w:rPr>
          <w:rFonts w:hint="eastAsia"/>
          <w:lang w:eastAsia="zh-CN"/>
        </w:rPr>
      </w:pPr>
      <w:r>
        <w:rPr>
          <w:rFonts w:hint="eastAsia"/>
          <w:lang w:eastAsia="zh-CN"/>
        </w:rPr>
        <w:t>①预算编制经过科学论证；</w:t>
      </w:r>
    </w:p>
    <w:p>
      <w:pPr>
        <w:bidi w:val="0"/>
        <w:rPr>
          <w:rFonts w:hint="eastAsia"/>
          <w:highlight w:val="none"/>
          <w:lang w:eastAsia="zh-CN"/>
        </w:rPr>
      </w:pPr>
      <w:r>
        <w:rPr>
          <w:rFonts w:hint="eastAsia"/>
          <w:lang w:eastAsia="zh-CN"/>
        </w:rPr>
        <w:t>②预算内容</w:t>
      </w:r>
      <w:r>
        <w:rPr>
          <w:rFonts w:hint="eastAsia"/>
          <w:highlight w:val="none"/>
          <w:lang w:eastAsia="zh-CN"/>
        </w:rPr>
        <w:t>与非常规天然气开采利用量4942万m³,采暖季非常规天然气利用量占全年比例大于30%，非常规天然气开采利用率大于88%，非常规天然气抽采量5103万m³项目匹配；</w:t>
      </w:r>
    </w:p>
    <w:p>
      <w:pPr>
        <w:bidi w:val="0"/>
        <w:rPr>
          <w:rFonts w:hint="eastAsia"/>
          <w:highlight w:val="none"/>
          <w:lang w:eastAsia="zh-CN"/>
        </w:rPr>
      </w:pPr>
      <w:r>
        <w:rPr>
          <w:rFonts w:hint="eastAsia"/>
          <w:highlight w:val="none"/>
          <w:lang w:eastAsia="zh-CN"/>
        </w:rPr>
        <w:t>③预算额度测算依据充分，按照标准编制；</w:t>
      </w:r>
    </w:p>
    <w:p>
      <w:pPr>
        <w:bidi w:val="0"/>
        <w:rPr>
          <w:rFonts w:hint="eastAsia"/>
          <w:lang w:eastAsia="zh-CN"/>
        </w:rPr>
      </w:pPr>
      <w:r>
        <w:rPr>
          <w:rFonts w:hint="eastAsia"/>
          <w:lang w:eastAsia="zh-CN"/>
        </w:rPr>
        <w:t>④预算确定的项目投资额与工作任务相匹配。</w:t>
      </w:r>
    </w:p>
    <w:p>
      <w:pPr>
        <w:bidi w:val="0"/>
        <w:rPr>
          <w:rFonts w:hint="eastAsia"/>
          <w:color w:val="auto"/>
          <w:lang w:eastAsia="zh-CN"/>
        </w:rPr>
      </w:pPr>
      <w:r>
        <w:rPr>
          <w:rFonts w:hint="eastAsia"/>
          <w:b/>
          <w:bCs/>
          <w:lang w:val="en-US" w:eastAsia="zh-CN"/>
        </w:rPr>
        <w:t>综上，该项指标满</w:t>
      </w:r>
      <w:r>
        <w:rPr>
          <w:rFonts w:hint="eastAsia"/>
          <w:b/>
          <w:bCs/>
          <w:color w:val="auto"/>
          <w:lang w:val="en-US" w:eastAsia="zh-CN"/>
        </w:rPr>
        <w:t>分2分，得分2分。</w:t>
      </w:r>
    </w:p>
    <w:p>
      <w:pPr>
        <w:bidi w:val="0"/>
        <w:outlineLvl w:val="2"/>
        <w:rPr>
          <w:rFonts w:hint="default"/>
          <w:b/>
          <w:bCs/>
          <w:color w:val="auto"/>
          <w:lang w:val="en-US" w:eastAsia="zh-CN"/>
        </w:rPr>
      </w:pPr>
      <w:bookmarkStart w:id="63" w:name="_Toc697"/>
      <w:r>
        <w:rPr>
          <w:rFonts w:hint="eastAsia"/>
          <w:b/>
          <w:bCs/>
          <w:color w:val="auto"/>
          <w:lang w:val="en-US" w:eastAsia="zh-CN"/>
        </w:rPr>
        <w:t>6.资金分配合理性</w:t>
      </w:r>
      <w:bookmarkEnd w:id="63"/>
    </w:p>
    <w:p>
      <w:pPr>
        <w:bidi w:val="0"/>
        <w:rPr>
          <w:rFonts w:hint="eastAsia"/>
          <w:color w:val="auto"/>
          <w:lang w:eastAsia="zh-CN"/>
        </w:rPr>
      </w:pPr>
      <w:r>
        <w:rPr>
          <w:rFonts w:hint="eastAsia"/>
          <w:color w:val="auto"/>
          <w:lang w:eastAsia="zh-CN"/>
        </w:rPr>
        <w:t>①预算资金分配依据充分；</w:t>
      </w:r>
    </w:p>
    <w:p>
      <w:pPr>
        <w:bidi w:val="0"/>
        <w:rPr>
          <w:rFonts w:hint="eastAsia"/>
          <w:color w:val="auto"/>
          <w:lang w:eastAsia="zh-CN"/>
        </w:rPr>
      </w:pPr>
      <w:r>
        <w:rPr>
          <w:rFonts w:hint="eastAsia"/>
          <w:color w:val="auto"/>
          <w:lang w:eastAsia="zh-CN"/>
        </w:rPr>
        <w:t>②资金分配额度合理，与项目单位或地方实际相适应。</w:t>
      </w:r>
    </w:p>
    <w:p>
      <w:pPr>
        <w:bidi w:val="0"/>
        <w:rPr>
          <w:rFonts w:hint="eastAsia"/>
          <w:color w:val="auto"/>
          <w:lang w:eastAsia="zh-CN"/>
        </w:rPr>
      </w:pPr>
      <w:r>
        <w:rPr>
          <w:rFonts w:hint="eastAsia"/>
          <w:b/>
          <w:bCs/>
          <w:color w:val="auto"/>
          <w:lang w:val="en-US" w:eastAsia="zh-CN"/>
        </w:rPr>
        <w:t>综上，该项指标满分3分，得分3分。</w:t>
      </w:r>
    </w:p>
    <w:p>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64" w:name="_Toc11361"/>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二</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项目过程情况</w:t>
      </w:r>
      <w:bookmarkEnd w:id="64"/>
    </w:p>
    <w:p>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rPr>
        <w:t>过程</w:t>
      </w:r>
      <w:r>
        <w:rPr>
          <w:rFonts w:hint="eastAsia" w:ascii="宋体" w:hAnsi="宋体" w:eastAsia="宋体" w:cs="宋体"/>
          <w:color w:val="auto"/>
          <w:kern w:val="2"/>
          <w:highlight w:val="none"/>
          <w:u w:color="000000"/>
          <w:shd w:val="clear" w:color="auto" w:fill="auto"/>
          <w:lang w:eastAsia="zh-CN"/>
        </w:rPr>
        <w:t>管理</w:t>
      </w:r>
      <w:r>
        <w:rPr>
          <w:rFonts w:hint="eastAsia" w:ascii="宋体" w:hAnsi="宋体" w:eastAsia="宋体" w:cs="宋体"/>
          <w:color w:val="auto"/>
          <w:kern w:val="2"/>
          <w:highlight w:val="none"/>
          <w:u w:color="000000"/>
          <w:shd w:val="clear" w:color="auto" w:fill="auto"/>
          <w:lang w:val="zh-TW" w:eastAsia="zh-TW"/>
        </w:rPr>
        <w:t>类指标由</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ascii="宋体" w:hAnsi="宋体" w:eastAsia="宋体" w:cs="宋体"/>
          <w:color w:val="auto"/>
          <w:kern w:val="2"/>
          <w:highlight w:val="none"/>
          <w:u w:color="000000"/>
          <w:shd w:val="clear" w:color="auto" w:fill="auto"/>
          <w:lang w:val="en-US" w:eastAsia="zh-CN"/>
        </w:rPr>
        <w:t>5</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4-2</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项目</w:t>
      </w:r>
      <w:r>
        <w:rPr>
          <w:rFonts w:hint="eastAsia" w:ascii="宋体" w:hAnsi="宋体" w:eastAsia="宋体" w:cs="宋体"/>
          <w:b/>
          <w:bCs/>
          <w:color w:val="000000" w:themeColor="text1"/>
          <w:kern w:val="0"/>
          <w:sz w:val="28"/>
          <w:szCs w:val="28"/>
          <w:highlight w:val="none"/>
          <w:shd w:val="clear" w:color="auto" w:fill="auto"/>
          <w:lang w:val="zh-TW" w:eastAsia="zh-CN"/>
          <w14:textFill>
            <w14:solidFill>
              <w14:schemeClr w14:val="tx1"/>
            </w14:solidFill>
          </w14:textFill>
        </w:rPr>
        <w:t>管理</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指标及分值</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情况</w:t>
      </w:r>
    </w:p>
    <w:tbl>
      <w:tblPr>
        <w:tblStyle w:val="11"/>
        <w:tblW w:w="8317" w:type="dxa"/>
        <w:jc w:val="center"/>
        <w:shd w:val="clear" w:color="auto" w:fill="auto"/>
        <w:tblLayout w:type="fixed"/>
        <w:tblCellMar>
          <w:top w:w="0" w:type="dxa"/>
          <w:left w:w="0" w:type="dxa"/>
          <w:bottom w:w="0" w:type="dxa"/>
          <w:right w:w="0" w:type="dxa"/>
        </w:tblCellMar>
      </w:tblPr>
      <w:tblGrid>
        <w:gridCol w:w="1182"/>
        <w:gridCol w:w="738"/>
        <w:gridCol w:w="1248"/>
        <w:gridCol w:w="1176"/>
        <w:gridCol w:w="1833"/>
        <w:gridCol w:w="987"/>
        <w:gridCol w:w="1153"/>
      </w:tblGrid>
      <w:tr>
        <w:tblPrEx>
          <w:shd w:val="clear" w:color="auto" w:fill="auto"/>
          <w:tblCellMar>
            <w:top w:w="0" w:type="dxa"/>
            <w:left w:w="0" w:type="dxa"/>
            <w:bottom w:w="0" w:type="dxa"/>
            <w:right w:w="0" w:type="dxa"/>
          </w:tblCellMar>
        </w:tblPrEx>
        <w:trPr>
          <w:trHeight w:val="272" w:hRule="atLeast"/>
          <w:tblHeader/>
          <w:jc w:val="center"/>
        </w:trPr>
        <w:tc>
          <w:tcPr>
            <w:tcW w:w="11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一级指标</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得分</w:t>
            </w:r>
          </w:p>
        </w:tc>
      </w:tr>
      <w:tr>
        <w:tblPrEx>
          <w:shd w:val="clear" w:color="auto" w:fill="auto"/>
          <w:tblCellMar>
            <w:top w:w="0" w:type="dxa"/>
            <w:left w:w="0" w:type="dxa"/>
            <w:bottom w:w="0" w:type="dxa"/>
            <w:right w:w="0" w:type="dxa"/>
          </w:tblCellMar>
        </w:tblPrEx>
        <w:trPr>
          <w:trHeight w:val="23"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过程管理</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资金管理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12</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资金到位率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r>
      <w:tr>
        <w:tblPrEx>
          <w:shd w:val="clear" w:color="auto" w:fill="auto"/>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预算执行率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r>
      <w:tr>
        <w:tblPrEx>
          <w:shd w:val="clear" w:color="auto" w:fill="auto"/>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资金使用合规性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r>
      <w:tr>
        <w:tblPrEx>
          <w:shd w:val="clear" w:color="auto" w:fill="auto"/>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组织实施</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管理制度健全性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r>
      <w:tr>
        <w:tblPrEx>
          <w:shd w:val="clear" w:color="auto" w:fill="auto"/>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制度执行有效性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r>
      <w:tr>
        <w:tblPrEx>
          <w:shd w:val="clear" w:color="auto" w:fill="auto"/>
          <w:tblCellMar>
            <w:top w:w="0" w:type="dxa"/>
            <w:left w:w="0" w:type="dxa"/>
            <w:bottom w:w="0" w:type="dxa"/>
            <w:right w:w="0" w:type="dxa"/>
          </w:tblCellMar>
        </w:tblPrEx>
        <w:trPr>
          <w:trHeight w:val="23" w:hRule="atLeast"/>
          <w:jc w:val="center"/>
        </w:trPr>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r>
    </w:tbl>
    <w:p>
      <w:pPr>
        <w:bidi w:val="0"/>
        <w:outlineLvl w:val="2"/>
        <w:rPr>
          <w:rFonts w:hint="default"/>
          <w:b/>
          <w:bCs/>
          <w:color w:val="auto"/>
          <w:lang w:val="en-US" w:eastAsia="zh-CN"/>
        </w:rPr>
      </w:pPr>
      <w:bookmarkStart w:id="65" w:name="_Toc3886"/>
      <w:r>
        <w:rPr>
          <w:rFonts w:hint="eastAsia"/>
          <w:b/>
          <w:bCs/>
          <w:lang w:val="en-US" w:eastAsia="zh-CN"/>
        </w:rPr>
        <w:t>1.资金到位</w:t>
      </w:r>
      <w:r>
        <w:rPr>
          <w:rFonts w:hint="eastAsia"/>
          <w:b/>
          <w:bCs/>
          <w:color w:val="auto"/>
          <w:lang w:val="en-US" w:eastAsia="zh-CN"/>
        </w:rPr>
        <w:t>率</w:t>
      </w:r>
      <w:bookmarkEnd w:id="65"/>
    </w:p>
    <w:p>
      <w:pPr>
        <w:bidi w:val="0"/>
        <w:rPr>
          <w:rFonts w:hint="default"/>
          <w:b/>
          <w:bCs/>
          <w:color w:val="auto"/>
          <w:lang w:val="en-US" w:eastAsia="zh-CN"/>
        </w:rPr>
      </w:pPr>
      <w:r>
        <w:rPr>
          <w:rFonts w:hint="eastAsia"/>
          <w:color w:val="auto"/>
          <w:lang w:eastAsia="zh-CN"/>
        </w:rPr>
        <w:t>资金到位率=（</w:t>
      </w:r>
      <w:r>
        <w:rPr>
          <w:rFonts w:hint="eastAsia"/>
          <w:color w:val="auto"/>
          <w:lang w:val="en-US" w:eastAsia="zh-CN"/>
        </w:rPr>
        <w:t>615万元</w:t>
      </w:r>
      <w:r>
        <w:rPr>
          <w:rFonts w:hint="eastAsia"/>
          <w:color w:val="auto"/>
          <w:lang w:eastAsia="zh-CN"/>
        </w:rPr>
        <w:t>/</w:t>
      </w:r>
      <w:r>
        <w:rPr>
          <w:rFonts w:hint="eastAsia"/>
          <w:color w:val="auto"/>
          <w:lang w:val="en-US" w:eastAsia="zh-CN"/>
        </w:rPr>
        <w:t>615万元</w:t>
      </w:r>
      <w:r>
        <w:rPr>
          <w:rFonts w:hint="eastAsia"/>
          <w:color w:val="auto"/>
          <w:lang w:eastAsia="zh-CN"/>
        </w:rPr>
        <w:t>）×100%</w:t>
      </w:r>
      <w:r>
        <w:rPr>
          <w:rFonts w:hint="eastAsia"/>
          <w:b/>
          <w:bCs/>
          <w:color w:val="auto"/>
          <w:lang w:val="en-US" w:eastAsia="zh-CN"/>
        </w:rPr>
        <w:t>=</w:t>
      </w:r>
      <w:r>
        <w:rPr>
          <w:rFonts w:hint="eastAsia"/>
          <w:color w:val="auto"/>
          <w:lang w:eastAsia="zh-CN"/>
        </w:rPr>
        <w:t>100%</w:t>
      </w:r>
    </w:p>
    <w:p>
      <w:pPr>
        <w:bidi w:val="0"/>
        <w:rPr>
          <w:rFonts w:hint="eastAsia"/>
          <w:color w:val="auto"/>
          <w:lang w:eastAsia="zh-CN"/>
        </w:rPr>
      </w:pPr>
      <w:r>
        <w:rPr>
          <w:rFonts w:hint="eastAsia"/>
          <w:b/>
          <w:bCs/>
          <w:color w:val="auto"/>
          <w:lang w:val="en-US" w:eastAsia="zh-CN"/>
        </w:rPr>
        <w:t>综上，该项指标满分4分，得分4分。</w:t>
      </w:r>
    </w:p>
    <w:p>
      <w:pPr>
        <w:bidi w:val="0"/>
        <w:outlineLvl w:val="2"/>
        <w:rPr>
          <w:rFonts w:hint="default"/>
          <w:b/>
          <w:bCs/>
          <w:color w:val="auto"/>
          <w:lang w:val="en-US" w:eastAsia="zh-CN"/>
        </w:rPr>
      </w:pPr>
      <w:bookmarkStart w:id="66" w:name="_Toc9705"/>
      <w:r>
        <w:rPr>
          <w:rFonts w:hint="eastAsia"/>
          <w:b/>
          <w:bCs/>
          <w:color w:val="auto"/>
          <w:lang w:val="en-US" w:eastAsia="zh-CN"/>
        </w:rPr>
        <w:t>2.预算执行率</w:t>
      </w:r>
      <w:bookmarkEnd w:id="66"/>
    </w:p>
    <w:p>
      <w:pPr>
        <w:bidi w:val="0"/>
        <w:rPr>
          <w:rFonts w:hint="default"/>
          <w:b/>
          <w:bCs/>
          <w:color w:val="auto"/>
          <w:lang w:val="en-US" w:eastAsia="zh-CN"/>
        </w:rPr>
      </w:pPr>
      <w:r>
        <w:rPr>
          <w:rFonts w:hint="eastAsia"/>
          <w:color w:val="auto"/>
          <w:lang w:eastAsia="zh-CN"/>
        </w:rPr>
        <w:t>预算执行率=（</w:t>
      </w:r>
      <w:r>
        <w:rPr>
          <w:rFonts w:hint="eastAsia"/>
          <w:color w:val="auto"/>
          <w:lang w:val="en-US" w:eastAsia="zh-CN"/>
        </w:rPr>
        <w:t>615万元</w:t>
      </w:r>
      <w:r>
        <w:rPr>
          <w:rFonts w:hint="eastAsia"/>
          <w:color w:val="auto"/>
          <w:lang w:eastAsia="zh-CN"/>
        </w:rPr>
        <w:t>/</w:t>
      </w:r>
      <w:r>
        <w:rPr>
          <w:rFonts w:hint="eastAsia"/>
          <w:color w:val="auto"/>
          <w:lang w:val="en-US" w:eastAsia="zh-CN"/>
        </w:rPr>
        <w:t>615万元</w:t>
      </w:r>
      <w:r>
        <w:rPr>
          <w:rFonts w:hint="eastAsia"/>
          <w:color w:val="auto"/>
          <w:lang w:eastAsia="zh-CN"/>
        </w:rPr>
        <w:t>）×100%</w:t>
      </w:r>
      <w:r>
        <w:rPr>
          <w:rFonts w:hint="eastAsia"/>
          <w:b/>
          <w:bCs/>
          <w:color w:val="auto"/>
          <w:lang w:val="en-US" w:eastAsia="zh-CN"/>
        </w:rPr>
        <w:t>=</w:t>
      </w:r>
      <w:r>
        <w:rPr>
          <w:rFonts w:hint="eastAsia"/>
          <w:color w:val="auto"/>
          <w:lang w:eastAsia="zh-CN"/>
        </w:rPr>
        <w:t>100%</w:t>
      </w:r>
    </w:p>
    <w:p>
      <w:pPr>
        <w:bidi w:val="0"/>
        <w:rPr>
          <w:rFonts w:hint="eastAsia"/>
          <w:color w:val="auto"/>
          <w:lang w:eastAsia="zh-CN"/>
        </w:rPr>
      </w:pPr>
      <w:r>
        <w:rPr>
          <w:rFonts w:hint="eastAsia"/>
          <w:b/>
          <w:bCs/>
          <w:lang w:val="en-US" w:eastAsia="zh-CN"/>
        </w:rPr>
        <w:t>综上，该项指</w:t>
      </w:r>
      <w:r>
        <w:rPr>
          <w:rFonts w:hint="eastAsia"/>
          <w:b/>
          <w:bCs/>
          <w:color w:val="auto"/>
          <w:lang w:val="en-US" w:eastAsia="zh-CN"/>
        </w:rPr>
        <w:t>标满分4分，得分4分。</w:t>
      </w:r>
    </w:p>
    <w:p>
      <w:pPr>
        <w:bidi w:val="0"/>
        <w:outlineLvl w:val="2"/>
        <w:rPr>
          <w:rFonts w:hint="default"/>
          <w:b/>
          <w:bCs/>
          <w:color w:val="auto"/>
          <w:lang w:val="en-US" w:eastAsia="zh-CN"/>
        </w:rPr>
      </w:pPr>
      <w:bookmarkStart w:id="67" w:name="_Toc18691"/>
      <w:r>
        <w:rPr>
          <w:rFonts w:hint="eastAsia"/>
          <w:b/>
          <w:bCs/>
          <w:color w:val="auto"/>
          <w:lang w:val="en-US" w:eastAsia="zh-CN"/>
        </w:rPr>
        <w:t>3.资金使用合规性</w:t>
      </w:r>
      <w:bookmarkEnd w:id="67"/>
    </w:p>
    <w:p>
      <w:pPr>
        <w:bidi w:val="0"/>
        <w:rPr>
          <w:rFonts w:hint="eastAsia"/>
          <w:color w:val="auto"/>
          <w:lang w:eastAsia="zh-CN"/>
        </w:rPr>
      </w:pPr>
      <w:r>
        <w:rPr>
          <w:rFonts w:hint="eastAsia"/>
          <w:color w:val="auto"/>
          <w:lang w:eastAsia="zh-CN"/>
        </w:rPr>
        <w:t>①符合国家《阜康市发改委财务管理制度》及有关专项资金管理办法的规定；</w:t>
      </w:r>
    </w:p>
    <w:p>
      <w:pPr>
        <w:bidi w:val="0"/>
        <w:rPr>
          <w:rFonts w:hint="eastAsia"/>
          <w:lang w:eastAsia="zh-CN"/>
        </w:rPr>
      </w:pPr>
      <w:r>
        <w:rPr>
          <w:rFonts w:hint="eastAsia"/>
          <w:color w:val="auto"/>
          <w:lang w:eastAsia="zh-CN"/>
        </w:rPr>
        <w:t>②资金的拨付有完整的审批程序和</w:t>
      </w:r>
      <w:r>
        <w:rPr>
          <w:rFonts w:hint="eastAsia"/>
          <w:lang w:eastAsia="zh-CN"/>
        </w:rPr>
        <w:t>手续；</w:t>
      </w:r>
    </w:p>
    <w:p>
      <w:pPr>
        <w:bidi w:val="0"/>
        <w:rPr>
          <w:rFonts w:hint="eastAsia"/>
          <w:highlight w:val="none"/>
          <w:lang w:eastAsia="zh-CN"/>
        </w:rPr>
      </w:pPr>
      <w:r>
        <w:rPr>
          <w:rFonts w:hint="eastAsia"/>
          <w:lang w:eastAsia="zh-CN"/>
        </w:rPr>
        <w:t>③符合项</w:t>
      </w:r>
      <w:r>
        <w:rPr>
          <w:rFonts w:hint="eastAsia"/>
          <w:highlight w:val="none"/>
          <w:lang w:eastAsia="zh-CN"/>
        </w:rPr>
        <w:t>目预算《关于下达 2023 年2023年清洁能源发展专项资金科林思德的通知》昌州财建[2023]77号文件批复规定的用途；</w:t>
      </w:r>
    </w:p>
    <w:p>
      <w:pPr>
        <w:bidi w:val="0"/>
        <w:rPr>
          <w:rFonts w:hint="eastAsia"/>
          <w:lang w:eastAsia="zh-CN"/>
        </w:rPr>
      </w:pPr>
      <w:r>
        <w:rPr>
          <w:rFonts w:hint="eastAsia"/>
          <w:highlight w:val="none"/>
          <w:lang w:eastAsia="zh-CN"/>
        </w:rPr>
        <w:t>④</w:t>
      </w:r>
      <w:r>
        <w:rPr>
          <w:rFonts w:hint="eastAsia"/>
          <w:highlight w:val="none"/>
          <w:lang w:val="en-US" w:eastAsia="zh-CN"/>
        </w:rPr>
        <w:t>不</w:t>
      </w:r>
      <w:r>
        <w:rPr>
          <w:rFonts w:hint="eastAsia"/>
          <w:highlight w:val="none"/>
          <w:lang w:eastAsia="zh-CN"/>
        </w:rPr>
        <w:t>存在截留、挤占、挪用、虚列支</w:t>
      </w:r>
      <w:r>
        <w:rPr>
          <w:rFonts w:hint="eastAsia"/>
          <w:lang w:eastAsia="zh-CN"/>
        </w:rPr>
        <w:t>出等情况。</w:t>
      </w:r>
    </w:p>
    <w:p>
      <w:pPr>
        <w:bidi w:val="0"/>
        <w:rPr>
          <w:rFonts w:hint="eastAsia"/>
          <w:color w:val="auto"/>
          <w:lang w:eastAsia="zh-CN"/>
        </w:rPr>
      </w:pPr>
      <w:r>
        <w:rPr>
          <w:rFonts w:hint="eastAsia"/>
          <w:b/>
          <w:bCs/>
          <w:lang w:val="en-US" w:eastAsia="zh-CN"/>
        </w:rPr>
        <w:t>综上，该项指标</w:t>
      </w:r>
      <w:r>
        <w:rPr>
          <w:rFonts w:hint="eastAsia"/>
          <w:b/>
          <w:bCs/>
          <w:color w:val="auto"/>
          <w:lang w:val="en-US" w:eastAsia="zh-CN"/>
        </w:rPr>
        <w:t>满分4分，得分4分。</w:t>
      </w:r>
    </w:p>
    <w:p>
      <w:pPr>
        <w:bidi w:val="0"/>
        <w:rPr>
          <w:rFonts w:hint="default"/>
          <w:b/>
          <w:bCs/>
          <w:color w:val="auto"/>
          <w:lang w:val="en-US" w:eastAsia="zh-CN"/>
        </w:rPr>
      </w:pPr>
      <w:r>
        <w:rPr>
          <w:rFonts w:hint="eastAsia"/>
          <w:b/>
          <w:bCs/>
          <w:color w:val="auto"/>
          <w:lang w:val="en-US" w:eastAsia="zh-CN"/>
        </w:rPr>
        <w:t>4.管理制度健全性</w:t>
      </w:r>
    </w:p>
    <w:p>
      <w:pPr>
        <w:bidi w:val="0"/>
        <w:rPr>
          <w:rFonts w:hint="eastAsia"/>
          <w:highlight w:val="none"/>
          <w:lang w:eastAsia="zh-CN"/>
        </w:rPr>
      </w:pPr>
      <w:r>
        <w:rPr>
          <w:rFonts w:hint="eastAsia"/>
          <w:lang w:eastAsia="zh-CN"/>
        </w:rPr>
        <w:t>①已制定或具有相应的《</w:t>
      </w:r>
      <w:r>
        <w:rPr>
          <w:rFonts w:hint="eastAsia"/>
          <w:highlight w:val="none"/>
          <w:lang w:eastAsia="zh-CN"/>
        </w:rPr>
        <w:t>阜康市发改委财务管理制度》《阜康市发改委资预算执行管理办法》《阜康市发改委收支管理办法》《阜康市发改委能源安全监测中心工作职责》等；</w:t>
      </w:r>
    </w:p>
    <w:p>
      <w:pPr>
        <w:bidi w:val="0"/>
        <w:rPr>
          <w:rFonts w:hint="eastAsia"/>
          <w:color w:val="auto"/>
          <w:lang w:eastAsia="zh-CN"/>
        </w:rPr>
      </w:pPr>
      <w:r>
        <w:rPr>
          <w:rFonts w:hint="eastAsia"/>
          <w:highlight w:val="none"/>
          <w:lang w:eastAsia="zh-CN"/>
        </w:rPr>
        <w:t>②财务和业务</w:t>
      </w:r>
      <w:r>
        <w:rPr>
          <w:rFonts w:hint="eastAsia"/>
          <w:color w:val="auto"/>
          <w:highlight w:val="none"/>
          <w:lang w:eastAsia="zh-CN"/>
        </w:rPr>
        <w:t>管理制度是合法、合规、完</w:t>
      </w:r>
      <w:r>
        <w:rPr>
          <w:rFonts w:hint="eastAsia"/>
          <w:color w:val="auto"/>
          <w:lang w:eastAsia="zh-CN"/>
        </w:rPr>
        <w:t>整。</w:t>
      </w:r>
    </w:p>
    <w:p>
      <w:pPr>
        <w:bidi w:val="0"/>
        <w:rPr>
          <w:rFonts w:hint="eastAsia"/>
          <w:color w:val="auto"/>
          <w:lang w:eastAsia="zh-CN"/>
        </w:rPr>
      </w:pPr>
      <w:r>
        <w:rPr>
          <w:rFonts w:hint="eastAsia"/>
          <w:b/>
          <w:bCs/>
          <w:color w:val="auto"/>
          <w:lang w:val="en-US" w:eastAsia="zh-CN"/>
        </w:rPr>
        <w:t>综上，该项指标满分4分，得分4分。</w:t>
      </w:r>
    </w:p>
    <w:p>
      <w:pPr>
        <w:bidi w:val="0"/>
        <w:ind w:left="1403" w:leftChars="200" w:hanging="843" w:hangingChars="300"/>
        <w:outlineLvl w:val="2"/>
        <w:rPr>
          <w:rFonts w:hint="eastAsia"/>
          <w:b/>
          <w:bCs/>
          <w:lang w:val="en-US" w:eastAsia="zh-CN"/>
        </w:rPr>
      </w:pPr>
      <w:bookmarkStart w:id="68" w:name="_Toc31684"/>
      <w:r>
        <w:rPr>
          <w:rFonts w:hint="eastAsia"/>
          <w:b/>
          <w:bCs/>
          <w:lang w:val="en-US" w:eastAsia="zh-CN"/>
        </w:rPr>
        <w:t>5.制度执行有效性</w:t>
      </w:r>
      <w:bookmarkEnd w:id="68"/>
    </w:p>
    <w:p>
      <w:pPr>
        <w:bidi w:val="0"/>
        <w:rPr>
          <w:rFonts w:hint="eastAsia"/>
          <w:lang w:eastAsia="zh-CN"/>
        </w:rPr>
      </w:pPr>
      <w:r>
        <w:rPr>
          <w:rFonts w:hint="eastAsia"/>
          <w:lang w:eastAsia="zh-CN"/>
        </w:rPr>
        <w:t>①遵守相关法律法规和相关管理规定；</w:t>
      </w:r>
    </w:p>
    <w:p>
      <w:pPr>
        <w:pStyle w:val="2"/>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根据《财政部关于煤层气（瓦斯）开发利用补贴的实施意见》财建[2007]114号申请2023年清洁能源发展专项资金科林思德，项目预算资金615万元，2023年用于开采利用非常规天然气，非常规天然气开采利用量4942万立方米，采暖季非常规天然气利用量占全年比例大于30%，非常规天然气抽采量5103万立方米，非常规天然气开采利用率大于88%。通过《关于下达 2023 年2023年清洁能源发展专项资金科林思德的通知》昌州财建[2023]77号拨付资金。</w:t>
      </w:r>
    </w:p>
    <w:p>
      <w:pPr>
        <w:bidi w:val="0"/>
        <w:rPr>
          <w:rFonts w:hint="eastAsia"/>
          <w:highlight w:val="none"/>
          <w:lang w:eastAsia="zh-CN"/>
        </w:rPr>
      </w:pPr>
      <w:r>
        <w:rPr>
          <w:rFonts w:hint="eastAsia"/>
          <w:lang w:eastAsia="zh-CN"/>
        </w:rPr>
        <w:t>②</w:t>
      </w:r>
      <w:r>
        <w:rPr>
          <w:rFonts w:hint="eastAsia" w:cs="宋体"/>
          <w:b w:val="0"/>
          <w:bCs w:val="0"/>
          <w:kern w:val="2"/>
          <w:sz w:val="28"/>
          <w:szCs w:val="28"/>
          <w:lang w:val="en-US" w:eastAsia="zh-CN" w:bidi="ar-SA"/>
        </w:rPr>
        <w:t>2023年清洁能源发展专项资金科林思德</w:t>
      </w:r>
      <w:r>
        <w:rPr>
          <w:rFonts w:hint="eastAsia"/>
          <w:lang w:eastAsia="zh-CN"/>
        </w:rPr>
        <w:t>项目</w:t>
      </w:r>
      <w:r>
        <w:rPr>
          <w:rFonts w:hint="eastAsia"/>
          <w:color w:val="auto"/>
          <w:highlight w:val="none"/>
          <w:lang w:eastAsia="zh-CN"/>
        </w:rPr>
        <w:t>无调整及支出调整；</w:t>
      </w:r>
    </w:p>
    <w:p>
      <w:pPr>
        <w:bidi w:val="0"/>
        <w:rPr>
          <w:rFonts w:hint="eastAsia"/>
          <w:lang w:eastAsia="zh-CN"/>
        </w:rPr>
      </w:pPr>
      <w:r>
        <w:rPr>
          <w:rFonts w:hint="eastAsia"/>
          <w:highlight w:val="none"/>
          <w:lang w:eastAsia="zh-CN"/>
        </w:rPr>
        <w:t>③</w:t>
      </w:r>
      <w:r>
        <w:rPr>
          <w:rFonts w:hint="eastAsia" w:cs="宋体"/>
          <w:b w:val="0"/>
          <w:bCs w:val="0"/>
          <w:kern w:val="2"/>
          <w:sz w:val="28"/>
          <w:szCs w:val="28"/>
          <w:highlight w:val="none"/>
          <w:lang w:val="en-US" w:eastAsia="zh-CN" w:bidi="ar-SA"/>
        </w:rPr>
        <w:t>2023年清洁能源发展专项资金科林思德</w:t>
      </w:r>
      <w:r>
        <w:rPr>
          <w:rFonts w:hint="eastAsia"/>
          <w:highlight w:val="none"/>
          <w:lang w:eastAsia="zh-CN"/>
        </w:rPr>
        <w:t>项目非常规天然气检测合格率、设备维护保养率、非常规天然气开采利用率</w:t>
      </w:r>
      <w:r>
        <w:rPr>
          <w:rFonts w:hint="eastAsia"/>
          <w:color w:val="auto"/>
          <w:highlight w:val="none"/>
          <w:lang w:eastAsia="zh-CN"/>
        </w:rPr>
        <w:t>技术鉴定等资</w:t>
      </w:r>
      <w:r>
        <w:rPr>
          <w:rFonts w:hint="eastAsia"/>
          <w:lang w:eastAsia="zh-CN"/>
        </w:rPr>
        <w:t>料齐全并及时归档；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eastAsia="zh-CN"/>
        </w:rPr>
      </w:pPr>
      <w:r>
        <w:rPr>
          <w:rFonts w:hint="eastAsia"/>
          <w:lang w:eastAsia="zh-CN"/>
        </w:rPr>
        <w:t>④项目实施的人</w:t>
      </w:r>
      <w:r>
        <w:rPr>
          <w:rFonts w:hint="eastAsia"/>
          <w:color w:val="auto"/>
          <w:lang w:eastAsia="zh-CN"/>
        </w:rPr>
        <w:t>员</w:t>
      </w:r>
      <w:r>
        <w:rPr>
          <w:rFonts w:hint="eastAsia"/>
          <w:color w:val="auto"/>
          <w:highlight w:val="none"/>
          <w:lang w:eastAsia="zh-CN"/>
        </w:rPr>
        <w:t>条件</w:t>
      </w:r>
      <w:r>
        <w:rPr>
          <w:rFonts w:hint="eastAsia"/>
          <w:color w:val="auto"/>
          <w:highlight w:val="none"/>
          <w:shd w:val="clear"/>
          <w:lang w:eastAsia="zh-CN"/>
        </w:rPr>
        <w:t>、场地设备、信息</w:t>
      </w:r>
      <w:r>
        <w:rPr>
          <w:rFonts w:hint="eastAsia"/>
          <w:color w:val="auto"/>
          <w:shd w:val="clear"/>
          <w:lang w:eastAsia="zh-CN"/>
        </w:rPr>
        <w:t>支撑等落实到</w:t>
      </w:r>
      <w:r>
        <w:rPr>
          <w:rFonts w:hint="eastAsia"/>
          <w:color w:val="auto"/>
          <w:lang w:eastAsia="zh-CN"/>
        </w:rPr>
        <w:t>位。</w:t>
      </w:r>
      <w:r>
        <w:rPr>
          <w:rFonts w:hint="eastAsia" w:ascii="宋体" w:hAnsi="宋体" w:eastAsia="宋体" w:cs="宋体"/>
          <w:color w:val="auto"/>
          <w:highlight w:val="none"/>
          <w:shd w:val="clear" w:color="auto" w:fill="auto"/>
          <w:lang w:val="en-US" w:eastAsia="zh-CN"/>
        </w:rPr>
        <w:t>本项目自</w:t>
      </w:r>
      <w:r>
        <w:rPr>
          <w:rFonts w:hint="eastAsia" w:cs="宋体"/>
          <w:color w:val="auto"/>
          <w:highlight w:val="none"/>
          <w:shd w:val="clear" w:color="auto" w:fill="auto"/>
          <w:lang w:val="en-US" w:eastAsia="zh-CN"/>
        </w:rPr>
        <w:t>2023</w:t>
      </w:r>
      <w:r>
        <w:rPr>
          <w:rFonts w:hint="eastAsia" w:ascii="宋体" w:hAnsi="宋体" w:eastAsia="宋体" w:cs="宋体"/>
          <w:color w:val="auto"/>
          <w:highlight w:val="none"/>
          <w:shd w:val="clear" w:color="auto" w:fill="auto"/>
          <w:lang w:val="en-US" w:eastAsia="zh-CN"/>
        </w:rPr>
        <w:t>年</w:t>
      </w:r>
      <w:r>
        <w:rPr>
          <w:rFonts w:hint="eastAsia"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lang w:val="en-US" w:eastAsia="zh-CN"/>
        </w:rPr>
        <w:t>月由</w:t>
      </w:r>
      <w:r>
        <w:rPr>
          <w:rFonts w:hint="eastAsia" w:cs="宋体"/>
          <w:color w:val="auto"/>
          <w:highlight w:val="none"/>
          <w:shd w:val="clear" w:color="auto" w:fill="auto"/>
          <w:lang w:val="en-US" w:eastAsia="zh-CN"/>
        </w:rPr>
        <w:t>阜康市发改委监督，新疆科林思德新能源有限责任公司单位具体实施，</w:t>
      </w:r>
      <w:r>
        <w:rPr>
          <w:rFonts w:hint="eastAsia" w:ascii="宋体" w:hAnsi="宋体" w:eastAsia="宋体" w:cs="宋体"/>
          <w:color w:val="auto"/>
          <w:highlight w:val="none"/>
          <w:shd w:val="clear" w:color="auto" w:fill="auto"/>
          <w:lang w:val="en-US" w:eastAsia="zh-CN"/>
        </w:rPr>
        <w:t>明确了责任分工，发改委协助向财政申请补贴资金，根据项目实施情况，按时支付补贴资金。</w:t>
      </w:r>
    </w:p>
    <w:p>
      <w:pPr>
        <w:bidi w:val="0"/>
        <w:rPr>
          <w:rFonts w:hint="eastAsia"/>
          <w:color w:val="auto"/>
          <w:lang w:eastAsia="zh-CN"/>
        </w:rPr>
      </w:pPr>
      <w:r>
        <w:rPr>
          <w:rFonts w:hint="eastAsia"/>
          <w:b/>
          <w:bCs/>
          <w:color w:val="auto"/>
          <w:lang w:val="en-US" w:eastAsia="zh-CN"/>
        </w:rPr>
        <w:t>综上，该项指标满分4分，得分4分。</w:t>
      </w:r>
    </w:p>
    <w:p>
      <w:pPr>
        <w:pStyle w:val="4"/>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69" w:name="_Toc16268"/>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项目产出情况</w:t>
      </w:r>
      <w:bookmarkEnd w:id="69"/>
    </w:p>
    <w:p>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8</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29.4</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4-3项目产出</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指标及分值</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情况</w:t>
      </w:r>
    </w:p>
    <w:tbl>
      <w:tblPr>
        <w:tblStyle w:val="11"/>
        <w:tblW w:w="8197" w:type="dxa"/>
        <w:tblInd w:w="0" w:type="dxa"/>
        <w:shd w:val="clear" w:color="auto" w:fill="auto"/>
        <w:tblLayout w:type="fixed"/>
        <w:tblCellMar>
          <w:top w:w="0" w:type="dxa"/>
          <w:left w:w="0" w:type="dxa"/>
          <w:bottom w:w="0" w:type="dxa"/>
          <w:right w:w="0" w:type="dxa"/>
        </w:tblCellMar>
      </w:tblPr>
      <w:tblGrid>
        <w:gridCol w:w="634"/>
        <w:gridCol w:w="928"/>
        <w:gridCol w:w="2644"/>
        <w:gridCol w:w="1437"/>
        <w:gridCol w:w="619"/>
        <w:gridCol w:w="1304"/>
        <w:gridCol w:w="631"/>
      </w:tblGrid>
      <w:tr>
        <w:tblPrEx>
          <w:shd w:val="clear" w:color="auto" w:fill="auto"/>
          <w:tblCellMar>
            <w:top w:w="0" w:type="dxa"/>
            <w:left w:w="0" w:type="dxa"/>
            <w:bottom w:w="0" w:type="dxa"/>
            <w:right w:w="0" w:type="dxa"/>
          </w:tblCellMar>
        </w:tblPrEx>
        <w:trPr>
          <w:trHeight w:val="7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年度指标值</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标杆分值</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全年实际完成值</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指标得分</w:t>
            </w:r>
          </w:p>
        </w:tc>
      </w:tr>
      <w:tr>
        <w:tblPrEx>
          <w:shd w:val="clear" w:color="auto" w:fill="auto"/>
          <w:tblCellMar>
            <w:top w:w="0" w:type="dxa"/>
            <w:left w:w="0" w:type="dxa"/>
            <w:bottom w:w="0" w:type="dxa"/>
            <w:right w:w="0" w:type="dxa"/>
          </w:tblCellMar>
        </w:tblPrEx>
        <w:trPr>
          <w:trHeight w:val="523" w:hRule="atLeast"/>
        </w:trPr>
        <w:tc>
          <w:tcPr>
            <w:tcW w:w="63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产出</w:t>
            </w: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数量指标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FF0000"/>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tabs>
                <w:tab w:val="left" w:pos="355"/>
              </w:tabs>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ab/>
            </w:r>
            <w:r>
              <w:rPr>
                <w:rFonts w:hint="eastAsia" w:cs="宋体"/>
                <w:color w:val="auto"/>
                <w:kern w:val="0"/>
                <w:sz w:val="20"/>
                <w:szCs w:val="20"/>
                <w:highlight w:val="none"/>
                <w:shd w:val="clear" w:color="auto" w:fill="auto"/>
                <w:lang w:val="en-US" w:eastAsia="zh-CN"/>
              </w:rPr>
              <w:t>非常规天然气开采利用量</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≥4942万立方米</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4374.92万立方米</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2.2</w:t>
            </w:r>
          </w:p>
        </w:tc>
      </w:tr>
      <w:tr>
        <w:tblPrEx>
          <w:shd w:val="clear" w:color="auto" w:fill="auto"/>
          <w:tblCellMar>
            <w:top w:w="0" w:type="dxa"/>
            <w:left w:w="0" w:type="dxa"/>
            <w:bottom w:w="0" w:type="dxa"/>
            <w:right w:w="0" w:type="dxa"/>
          </w:tblCellMar>
        </w:tblPrEx>
        <w:trPr>
          <w:trHeight w:val="523"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pPr>
          </w:p>
        </w:tc>
        <w:tc>
          <w:tcPr>
            <w:tcW w:w="92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采暖季非常规天然气利用量占全年比例</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34.27%</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r>
      <w:tr>
        <w:tblPrEx>
          <w:shd w:val="clear" w:color="auto" w:fill="auto"/>
          <w:tblCellMar>
            <w:top w:w="0" w:type="dxa"/>
            <w:left w:w="0" w:type="dxa"/>
            <w:bottom w:w="0" w:type="dxa"/>
            <w:right w:w="0" w:type="dxa"/>
          </w:tblCellMar>
        </w:tblPrEx>
        <w:trPr>
          <w:trHeight w:val="105"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2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非常规天然气开采利用率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≥88%</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99.02%</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r>
      <w:tr>
        <w:tblPrEx>
          <w:shd w:val="clear" w:color="auto" w:fill="auto"/>
          <w:tblCellMar>
            <w:top w:w="0" w:type="dxa"/>
            <w:left w:w="0" w:type="dxa"/>
            <w:bottom w:w="0" w:type="dxa"/>
            <w:right w:w="0" w:type="dxa"/>
          </w:tblCellMar>
        </w:tblPrEx>
        <w:trPr>
          <w:trHeight w:val="105"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非常规天然气抽采量</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≥5103万立方米</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4418.22万立方米</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2.2</w:t>
            </w:r>
          </w:p>
        </w:tc>
      </w:tr>
      <w:tr>
        <w:tblPrEx>
          <w:shd w:val="clear" w:color="auto" w:fill="auto"/>
          <w:tblCellMar>
            <w:top w:w="0" w:type="dxa"/>
            <w:left w:w="0" w:type="dxa"/>
            <w:bottom w:w="0" w:type="dxa"/>
            <w:right w:w="0" w:type="dxa"/>
          </w:tblCellMar>
        </w:tblPrEx>
        <w:trPr>
          <w:trHeight w:val="39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质量指标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非常规天然气检测合格率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shd w:val="clear" w:color="auto" w:fill="auto"/>
          <w:tblCellMar>
            <w:top w:w="0" w:type="dxa"/>
            <w:left w:w="0" w:type="dxa"/>
            <w:bottom w:w="0" w:type="dxa"/>
            <w:right w:w="0" w:type="dxa"/>
          </w:tblCellMar>
        </w:tblPrEx>
        <w:trPr>
          <w:trHeight w:val="41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时效指标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非常规天然气月度盘点及时率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CellMar>
            <w:top w:w="0" w:type="dxa"/>
            <w:left w:w="0" w:type="dxa"/>
            <w:bottom w:w="0" w:type="dxa"/>
            <w:right w:w="0" w:type="dxa"/>
          </w:tblCellMar>
        </w:tblPrEx>
        <w:trPr>
          <w:trHeight w:val="428"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非常规天然气设备维护保养率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≥95%</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CellMar>
            <w:top w:w="0" w:type="dxa"/>
            <w:left w:w="0" w:type="dxa"/>
            <w:bottom w:w="0" w:type="dxa"/>
            <w:right w:w="0" w:type="dxa"/>
          </w:tblCellMar>
        </w:tblPrEx>
        <w:trPr>
          <w:trHeight w:val="403" w:hRule="atLeast"/>
        </w:trPr>
        <w:tc>
          <w:tcPr>
            <w:tcW w:w="63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成本指标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非常规天然气开采补贴费用</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615万元</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615万元</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CellMar>
            <w:top w:w="0" w:type="dxa"/>
            <w:left w:w="0" w:type="dxa"/>
            <w:bottom w:w="0" w:type="dxa"/>
            <w:right w:w="0" w:type="dxa"/>
          </w:tblCellMar>
        </w:tblPrEx>
        <w:trPr>
          <w:trHeight w:val="403" w:hRule="atLeast"/>
        </w:trPr>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合计</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29.4</w:t>
            </w:r>
          </w:p>
        </w:tc>
      </w:tr>
    </w:tbl>
    <w:p>
      <w:pPr>
        <w:bidi w:val="0"/>
        <w:rPr>
          <w:rFonts w:hint="default"/>
          <w:b/>
          <w:bCs/>
          <w:color w:val="FF0000"/>
          <w:lang w:val="en-US" w:eastAsia="zh-CN"/>
        </w:rPr>
      </w:pPr>
      <w:bookmarkStart w:id="70" w:name="_Toc11067"/>
      <w:r>
        <w:rPr>
          <w:rFonts w:hint="eastAsia"/>
          <w:b/>
          <w:bCs/>
          <w:lang w:val="en-US" w:eastAsia="zh-CN"/>
        </w:rPr>
        <w:t>1.项目完成数量</w:t>
      </w:r>
      <w:bookmarkEnd w:id="70"/>
    </w:p>
    <w:p>
      <w:pPr>
        <w:bidi w:val="0"/>
        <w:rPr>
          <w:rFonts w:hint="eastAsia"/>
          <w:color w:val="auto"/>
          <w:highlight w:val="none"/>
          <w:lang w:val="en-US" w:eastAsia="zh-CN"/>
        </w:rPr>
      </w:pPr>
      <w:r>
        <w:rPr>
          <w:rFonts w:hint="eastAsia"/>
          <w:lang w:eastAsia="zh-CN"/>
        </w:rPr>
        <w:t>“</w:t>
      </w:r>
      <w:r>
        <w:rPr>
          <w:rFonts w:hint="eastAsia" w:ascii="宋体" w:hAnsi="宋体" w:eastAsia="宋体" w:cs="宋体"/>
          <w:b w:val="0"/>
          <w:bCs w:val="0"/>
          <w:lang w:val="en-US" w:eastAsia="zh-CN"/>
        </w:rPr>
        <w:t>非常规天然气开采利用量</w:t>
      </w:r>
      <w:r>
        <w:rPr>
          <w:rFonts w:hint="eastAsia"/>
          <w:lang w:eastAsia="zh-CN"/>
        </w:rPr>
        <w:t>”</w:t>
      </w:r>
      <w:r>
        <w:rPr>
          <w:rFonts w:hint="eastAsia"/>
          <w:lang w:val="en-US" w:eastAsia="zh-CN"/>
        </w:rPr>
        <w:t>指标，预</w:t>
      </w:r>
      <w:r>
        <w:rPr>
          <w:rFonts w:hint="eastAsia"/>
          <w:b w:val="0"/>
          <w:bCs w:val="0"/>
          <w:lang w:val="en-US" w:eastAsia="zh-CN"/>
        </w:rPr>
        <w:t>期目</w:t>
      </w:r>
      <w:r>
        <w:rPr>
          <w:rFonts w:hint="eastAsia"/>
          <w:lang w:val="en-US" w:eastAsia="zh-CN"/>
        </w:rPr>
        <w:t>标值为</w:t>
      </w:r>
      <w:r>
        <w:rPr>
          <w:rFonts w:hint="eastAsia" w:ascii="宋体" w:hAnsi="宋体" w:eastAsia="宋体" w:cs="宋体"/>
          <w:b w:val="0"/>
          <w:bCs w:val="0"/>
          <w:lang w:val="en-US" w:eastAsia="zh-CN"/>
        </w:rPr>
        <w:t>≥4942万立方米，实际完成为4374.92万立方米。实际完成率=（4374.92万立方米/4942万立方米</w:t>
      </w:r>
      <w:r>
        <w:rPr>
          <w:rFonts w:hint="eastAsia"/>
          <w:lang w:val="en-US" w:eastAsia="zh-CN"/>
        </w:rPr>
        <w:t>）×10</w:t>
      </w:r>
      <w:r>
        <w:rPr>
          <w:rFonts w:hint="eastAsia"/>
          <w:color w:val="auto"/>
          <w:highlight w:val="none"/>
          <w:lang w:val="en-US" w:eastAsia="zh-CN"/>
        </w:rPr>
        <w:t>0%=88.53%。</w:t>
      </w: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偏差原因：因抽采量降低，故导致抽采利用量未完成指标值；下一步措施：加大勘探开发，利用新开发区域增加产能贡献，确保如期完成指标值。</w:t>
      </w:r>
    </w:p>
    <w:p>
      <w:pPr>
        <w:bidi w:val="0"/>
        <w:rPr>
          <w:rFonts w:hint="eastAsia"/>
          <w:color w:val="auto"/>
          <w:highlight w:val="none"/>
          <w:lang w:eastAsia="zh-CN"/>
        </w:rPr>
      </w:pPr>
      <w:r>
        <w:rPr>
          <w:rFonts w:hint="eastAsia"/>
          <w:b/>
          <w:bCs/>
          <w:color w:val="auto"/>
          <w:highlight w:val="none"/>
          <w:lang w:val="en-US" w:eastAsia="zh-CN"/>
        </w:rPr>
        <w:t>综上，该项指标满分2.5分，得分2.2分。</w:t>
      </w:r>
    </w:p>
    <w:p>
      <w:pPr>
        <w:bidi w:val="0"/>
        <w:rPr>
          <w:rFonts w:hint="eastAsia"/>
          <w:color w:val="auto"/>
          <w:lang w:eastAsia="zh-CN"/>
        </w:rPr>
      </w:pPr>
      <w:r>
        <w:rPr>
          <w:rFonts w:hint="eastAsia"/>
          <w:color w:val="auto"/>
          <w:highlight w:val="none"/>
          <w:lang w:eastAsia="zh-CN"/>
        </w:rPr>
        <w:t>“</w:t>
      </w:r>
      <w:r>
        <w:rPr>
          <w:rFonts w:hint="eastAsia"/>
          <w:color w:val="auto"/>
          <w:highlight w:val="none"/>
          <w:lang w:val="en-US" w:eastAsia="zh-CN"/>
        </w:rPr>
        <w:t>采暖季非常规天然气利用量占全年比例</w:t>
      </w:r>
      <w:r>
        <w:rPr>
          <w:rFonts w:hint="eastAsia"/>
          <w:color w:val="auto"/>
          <w:highlight w:val="none"/>
          <w:lang w:eastAsia="zh-CN"/>
        </w:rPr>
        <w:t>”</w:t>
      </w:r>
      <w:r>
        <w:rPr>
          <w:rFonts w:hint="eastAsia"/>
          <w:color w:val="auto"/>
          <w:highlight w:val="none"/>
          <w:lang w:val="en-US" w:eastAsia="zh-CN"/>
        </w:rPr>
        <w:t>指标，预期目标值</w:t>
      </w:r>
      <w:r>
        <w:rPr>
          <w:rFonts w:hint="eastAsia"/>
          <w:color w:val="auto"/>
          <w:lang w:val="en-US" w:eastAsia="zh-CN"/>
        </w:rPr>
        <w:t>为</w:t>
      </w:r>
      <w:r>
        <w:rPr>
          <w:rFonts w:hint="eastAsia" w:ascii="宋体" w:hAnsi="宋体" w:eastAsia="宋体" w:cs="宋体"/>
          <w:color w:val="auto"/>
          <w:lang w:val="en-US" w:eastAsia="zh-CN"/>
        </w:rPr>
        <w:t>≥30%，</w:t>
      </w:r>
      <w:r>
        <w:rPr>
          <w:rFonts w:hint="eastAsia"/>
          <w:color w:val="auto"/>
          <w:lang w:val="en-US" w:eastAsia="zh-CN"/>
        </w:rPr>
        <w:t>实际完成为34.27%，实际完成率100%。</w:t>
      </w:r>
    </w:p>
    <w:p>
      <w:pPr>
        <w:bidi w:val="0"/>
        <w:rPr>
          <w:rFonts w:hint="eastAsia"/>
          <w:color w:val="auto"/>
          <w:lang w:eastAsia="zh-CN"/>
        </w:rPr>
      </w:pPr>
      <w:r>
        <w:rPr>
          <w:rFonts w:hint="eastAsia"/>
          <w:b/>
          <w:bCs/>
          <w:lang w:val="en-US" w:eastAsia="zh-CN"/>
        </w:rPr>
        <w:t>综上，该项指标满分</w:t>
      </w:r>
      <w:r>
        <w:rPr>
          <w:rFonts w:hint="eastAsia"/>
          <w:b/>
          <w:bCs/>
          <w:color w:val="auto"/>
          <w:lang w:val="en-US" w:eastAsia="zh-CN"/>
        </w:rPr>
        <w:t>2.5分，得分2.5分。</w:t>
      </w:r>
    </w:p>
    <w:p>
      <w:pPr>
        <w:bidi w:val="0"/>
        <w:rPr>
          <w:rFonts w:hint="eastAsia"/>
          <w:color w:val="auto"/>
          <w:lang w:val="en-US" w:eastAsia="zh-CN"/>
        </w:rPr>
      </w:pPr>
      <w:r>
        <w:rPr>
          <w:rFonts w:hint="eastAsia"/>
          <w:color w:val="auto"/>
          <w:lang w:eastAsia="zh-CN"/>
        </w:rPr>
        <w:t>“</w:t>
      </w:r>
      <w:r>
        <w:rPr>
          <w:rFonts w:hint="eastAsia"/>
          <w:color w:val="auto"/>
          <w:lang w:val="en-US" w:eastAsia="zh-CN"/>
        </w:rPr>
        <w:t>非常规天然气开采利用率</w:t>
      </w:r>
      <w:r>
        <w:rPr>
          <w:rFonts w:hint="eastAsia"/>
          <w:color w:val="auto"/>
          <w:lang w:eastAsia="zh-CN"/>
        </w:rPr>
        <w:t>”</w:t>
      </w:r>
      <w:r>
        <w:rPr>
          <w:rFonts w:hint="eastAsia"/>
          <w:color w:val="auto"/>
          <w:lang w:val="en-US" w:eastAsia="zh-CN"/>
        </w:rPr>
        <w:t>指标，预期目标值为</w:t>
      </w:r>
      <w:r>
        <w:rPr>
          <w:rFonts w:hint="eastAsia" w:ascii="宋体" w:hAnsi="宋体" w:eastAsia="宋体" w:cs="宋体"/>
          <w:color w:val="auto"/>
          <w:lang w:val="en-US" w:eastAsia="zh-CN"/>
        </w:rPr>
        <w:t>≥88%，</w:t>
      </w:r>
      <w:r>
        <w:rPr>
          <w:rFonts w:hint="eastAsia"/>
          <w:color w:val="auto"/>
          <w:lang w:val="en-US" w:eastAsia="zh-CN"/>
        </w:rPr>
        <w:t>实际完成为99.02%，实际完成率100%。</w:t>
      </w:r>
    </w:p>
    <w:p>
      <w:pPr>
        <w:bidi w:val="0"/>
        <w:rPr>
          <w:rFonts w:hint="eastAsia"/>
          <w:color w:val="auto"/>
          <w:lang w:eastAsia="zh-CN"/>
        </w:rPr>
      </w:pPr>
      <w:r>
        <w:rPr>
          <w:rFonts w:hint="eastAsia"/>
          <w:b/>
          <w:bCs/>
          <w:color w:val="auto"/>
          <w:lang w:val="en-US" w:eastAsia="zh-CN"/>
        </w:rPr>
        <w:t>综上，该项指标满分2.5分，得分2.5分。</w:t>
      </w:r>
    </w:p>
    <w:p>
      <w:pPr>
        <w:bidi w:val="0"/>
        <w:rPr>
          <w:rFonts w:hint="eastAsia"/>
          <w:color w:val="auto"/>
          <w:lang w:val="en-US" w:eastAsia="zh-CN"/>
        </w:rPr>
      </w:pPr>
      <w:r>
        <w:rPr>
          <w:rFonts w:hint="eastAsia"/>
          <w:lang w:eastAsia="zh-CN"/>
        </w:rPr>
        <w:t>“</w:t>
      </w:r>
      <w:r>
        <w:rPr>
          <w:rFonts w:hint="eastAsia" w:ascii="宋体" w:hAnsi="宋体" w:eastAsia="宋体" w:cs="宋体"/>
          <w:lang w:val="en-US" w:eastAsia="zh-CN"/>
        </w:rPr>
        <w:t>非常规天然气抽采量</w:t>
      </w:r>
      <w:r>
        <w:rPr>
          <w:rFonts w:hint="eastAsia"/>
          <w:lang w:eastAsia="zh-CN"/>
        </w:rPr>
        <w:t>”</w:t>
      </w:r>
      <w:r>
        <w:rPr>
          <w:rFonts w:hint="eastAsia"/>
          <w:lang w:val="en-US" w:eastAsia="zh-CN"/>
        </w:rPr>
        <w:t>指标，预期</w:t>
      </w:r>
      <w:r>
        <w:rPr>
          <w:rFonts w:hint="eastAsia"/>
          <w:color w:val="auto"/>
          <w:lang w:val="en-US" w:eastAsia="zh-CN"/>
        </w:rPr>
        <w:t>目标值为</w:t>
      </w:r>
      <w:r>
        <w:rPr>
          <w:rFonts w:hint="eastAsia" w:ascii="宋体" w:hAnsi="宋体" w:eastAsia="宋体" w:cs="宋体"/>
          <w:color w:val="auto"/>
          <w:lang w:val="en-US" w:eastAsia="zh-CN"/>
        </w:rPr>
        <w:t>≥5103万立方米，</w:t>
      </w:r>
      <w:r>
        <w:rPr>
          <w:rFonts w:hint="eastAsia"/>
          <w:color w:val="auto"/>
          <w:lang w:val="en-US" w:eastAsia="zh-CN"/>
        </w:rPr>
        <w:t>实际完成为4418.22万立方米。</w:t>
      </w:r>
      <w:r>
        <w:rPr>
          <w:rFonts w:hint="eastAsia" w:ascii="宋体" w:hAnsi="宋体" w:eastAsia="宋体" w:cs="宋体"/>
          <w:b w:val="0"/>
          <w:bCs w:val="0"/>
          <w:color w:val="auto"/>
          <w:lang w:val="en-US" w:eastAsia="zh-CN"/>
        </w:rPr>
        <w:t>实际完成率=（4418.22万立方米/5103万立方米</w:t>
      </w:r>
      <w:r>
        <w:rPr>
          <w:rFonts w:hint="eastAsia"/>
          <w:color w:val="auto"/>
          <w:lang w:val="en-US" w:eastAsia="zh-CN"/>
        </w:rPr>
        <w:t>）×100%=86.58%。</w:t>
      </w:r>
    </w:p>
    <w:p>
      <w:pPr>
        <w:pStyle w:val="2"/>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偏差原因:2023年初部分生产井故障但因检修工器具及物资未如期到场，延后检泵周期，同时老井产量逐年递减，致使抽采量下降。下一步措施：增加物资库存，防范应对各类突发状况；同时加大勘探开发，利用新开发区域增加产能贡献。</w:t>
      </w:r>
    </w:p>
    <w:p>
      <w:pPr>
        <w:pStyle w:val="2"/>
        <w:ind w:left="0" w:leftChars="0" w:firstLine="0" w:firstLineChars="0"/>
        <w:rPr>
          <w:rFonts w:hint="eastAsia"/>
          <w:lang w:val="en-US" w:eastAsia="zh-CN"/>
        </w:rPr>
      </w:pPr>
      <w:r>
        <w:rPr>
          <w:rFonts w:hint="eastAsia" w:ascii="宋体" w:hAnsi="宋体" w:eastAsia="宋体" w:cs="宋体"/>
          <w:b w:val="0"/>
          <w:bCs w:val="0"/>
          <w:kern w:val="2"/>
          <w:sz w:val="28"/>
          <w:szCs w:val="28"/>
          <w:lang w:val="en-US" w:eastAsia="zh-CN" w:bidi="ar-SA"/>
        </w:rPr>
        <w:t>2023年新井施工过程影响抽采量，因阜康矿区地质复杂，煤层渗透性强，断层分布广，新井施工易与老井连通，导致老井产量突降致使抽采量下降。下一步措施：针对受新井施工影响的井，与行业专家交流合作制定可行性施工方案恢复产能。</w:t>
      </w:r>
    </w:p>
    <w:p>
      <w:pPr>
        <w:bidi w:val="0"/>
        <w:rPr>
          <w:rFonts w:hint="eastAsia"/>
          <w:color w:val="auto"/>
          <w:lang w:eastAsia="zh-CN"/>
        </w:rPr>
      </w:pPr>
      <w:r>
        <w:rPr>
          <w:rFonts w:hint="eastAsia"/>
          <w:b/>
          <w:bCs/>
          <w:lang w:val="en-US" w:eastAsia="zh-CN"/>
        </w:rPr>
        <w:t>综上，该项指标满</w:t>
      </w:r>
      <w:r>
        <w:rPr>
          <w:rFonts w:hint="eastAsia"/>
          <w:b/>
          <w:bCs/>
          <w:color w:val="auto"/>
          <w:lang w:val="en-US" w:eastAsia="zh-CN"/>
        </w:rPr>
        <w:t>分2.5分，得分2.2分。</w:t>
      </w:r>
    </w:p>
    <w:p>
      <w:pPr>
        <w:bidi w:val="0"/>
        <w:outlineLvl w:val="2"/>
        <w:rPr>
          <w:rFonts w:hint="default"/>
          <w:b/>
          <w:bCs/>
          <w:lang w:val="en-US" w:eastAsia="zh-CN"/>
        </w:rPr>
      </w:pPr>
      <w:bookmarkStart w:id="71" w:name="_Toc31739"/>
      <w:r>
        <w:rPr>
          <w:rFonts w:hint="eastAsia"/>
          <w:b/>
          <w:bCs/>
          <w:lang w:val="en-US" w:eastAsia="zh-CN"/>
        </w:rPr>
        <w:t>2.项目完成质量</w:t>
      </w:r>
      <w:bookmarkEnd w:id="71"/>
    </w:p>
    <w:p>
      <w:pPr>
        <w:bidi w:val="0"/>
        <w:rPr>
          <w:rFonts w:hint="eastAsia"/>
          <w:color w:val="auto"/>
          <w:lang w:eastAsia="zh-CN"/>
        </w:rPr>
      </w:pPr>
      <w:r>
        <w:rPr>
          <w:rFonts w:hint="eastAsia" w:ascii="宋体" w:hAnsi="宋体" w:eastAsia="宋体" w:cs="宋体"/>
          <w:color w:val="auto"/>
          <w:lang w:val="en-US" w:eastAsia="zh-CN"/>
        </w:rPr>
        <w:t>“非常规天然气检测合格率</w:t>
      </w:r>
      <w:r>
        <w:rPr>
          <w:rFonts w:hint="eastAsia"/>
          <w:color w:val="auto"/>
          <w:lang w:eastAsia="zh-CN"/>
        </w:rPr>
        <w:t>”</w:t>
      </w:r>
      <w:r>
        <w:rPr>
          <w:rFonts w:hint="eastAsia"/>
          <w:color w:val="auto"/>
          <w:lang w:val="en-US" w:eastAsia="zh-CN"/>
        </w:rPr>
        <w:t>指标，预期目标值为</w:t>
      </w:r>
      <w:r>
        <w:rPr>
          <w:rFonts w:hint="eastAsia" w:ascii="宋体" w:hAnsi="宋体" w:eastAsia="宋体" w:cs="宋体"/>
          <w:color w:val="auto"/>
          <w:lang w:val="en-US" w:eastAsia="zh-CN"/>
        </w:rPr>
        <w:t>≥100%，</w:t>
      </w:r>
      <w:r>
        <w:rPr>
          <w:rFonts w:hint="eastAsia"/>
          <w:color w:val="auto"/>
          <w:lang w:val="en-US" w:eastAsia="zh-CN"/>
        </w:rPr>
        <w:t>实际完成为100%。</w:t>
      </w:r>
    </w:p>
    <w:p>
      <w:pPr>
        <w:bidi w:val="0"/>
        <w:rPr>
          <w:rFonts w:hint="eastAsia"/>
          <w:lang w:eastAsia="zh-CN"/>
        </w:rPr>
      </w:pPr>
      <w:r>
        <w:rPr>
          <w:rFonts w:hint="eastAsia"/>
          <w:b/>
          <w:bCs/>
          <w:color w:val="auto"/>
          <w:lang w:val="en-US" w:eastAsia="zh-CN"/>
        </w:rPr>
        <w:t>综上，该项指标满分5分，得分5分。</w:t>
      </w:r>
    </w:p>
    <w:p>
      <w:pPr>
        <w:bidi w:val="0"/>
        <w:outlineLvl w:val="2"/>
        <w:rPr>
          <w:rFonts w:hint="default"/>
          <w:b/>
          <w:bCs/>
          <w:lang w:val="en-US" w:eastAsia="zh-CN"/>
        </w:rPr>
      </w:pPr>
      <w:bookmarkStart w:id="72" w:name="_Toc18307"/>
      <w:r>
        <w:rPr>
          <w:rFonts w:hint="eastAsia"/>
          <w:b/>
          <w:bCs/>
          <w:lang w:val="en-US" w:eastAsia="zh-CN"/>
        </w:rPr>
        <w:t>3.项目完成时效</w:t>
      </w:r>
      <w:bookmarkEnd w:id="72"/>
    </w:p>
    <w:p>
      <w:pPr>
        <w:bidi w:val="0"/>
        <w:rPr>
          <w:rFonts w:hint="eastAsia"/>
          <w:color w:val="auto"/>
          <w:lang w:val="en-US" w:eastAsia="zh-CN"/>
        </w:rPr>
      </w:pPr>
      <w:r>
        <w:rPr>
          <w:rFonts w:hint="eastAsia"/>
          <w:color w:val="auto"/>
          <w:lang w:eastAsia="zh-CN"/>
        </w:rPr>
        <w:t>“</w:t>
      </w:r>
      <w:r>
        <w:rPr>
          <w:rFonts w:hint="eastAsia"/>
          <w:color w:val="auto"/>
          <w:lang w:val="en-US" w:eastAsia="zh-CN"/>
        </w:rPr>
        <w:t>非常规天然气月度盘点及时率</w:t>
      </w:r>
      <w:r>
        <w:rPr>
          <w:rFonts w:hint="eastAsia"/>
          <w:color w:val="auto"/>
          <w:lang w:eastAsia="zh-CN"/>
        </w:rPr>
        <w:t>”</w:t>
      </w:r>
      <w:r>
        <w:rPr>
          <w:rFonts w:hint="eastAsia"/>
          <w:color w:val="auto"/>
          <w:lang w:val="en-US" w:eastAsia="zh-CN"/>
        </w:rPr>
        <w:t>指标，预期目标值为100%，实际完成为100%。实际完成率100%。</w:t>
      </w:r>
    </w:p>
    <w:p>
      <w:pPr>
        <w:bidi w:val="0"/>
        <w:rPr>
          <w:rFonts w:hint="eastAsia"/>
          <w:color w:val="auto"/>
          <w:lang w:val="en-US" w:eastAsia="zh-CN"/>
        </w:rPr>
      </w:pPr>
      <w:r>
        <w:rPr>
          <w:rFonts w:hint="eastAsia"/>
          <w:b/>
          <w:bCs/>
          <w:color w:val="auto"/>
          <w:lang w:val="en-US" w:eastAsia="zh-CN"/>
        </w:rPr>
        <w:t>综上，该项指标满分5分，得分5分。</w:t>
      </w:r>
    </w:p>
    <w:p>
      <w:pPr>
        <w:bidi w:val="0"/>
        <w:rPr>
          <w:rFonts w:hint="eastAsia"/>
          <w:color w:val="auto"/>
          <w:lang w:val="en-US" w:eastAsia="zh-CN"/>
        </w:rPr>
      </w:pPr>
      <w:r>
        <w:rPr>
          <w:rFonts w:hint="eastAsia"/>
          <w:color w:val="auto"/>
          <w:lang w:eastAsia="zh-CN"/>
        </w:rPr>
        <w:t>“</w:t>
      </w:r>
      <w:r>
        <w:rPr>
          <w:rFonts w:hint="eastAsia"/>
          <w:color w:val="auto"/>
          <w:lang w:val="en-US" w:eastAsia="zh-CN"/>
        </w:rPr>
        <w:t>非常规天然气设备维护保养率</w:t>
      </w:r>
      <w:r>
        <w:rPr>
          <w:rFonts w:hint="eastAsia"/>
          <w:color w:val="auto"/>
          <w:lang w:eastAsia="zh-CN"/>
        </w:rPr>
        <w:t>”</w:t>
      </w:r>
      <w:r>
        <w:rPr>
          <w:rFonts w:hint="eastAsia"/>
          <w:color w:val="auto"/>
          <w:lang w:val="en-US" w:eastAsia="zh-CN"/>
        </w:rPr>
        <w:t>指标，预期目标值为≥95%，实际完成为96.42%。实际完成率100%。</w:t>
      </w:r>
    </w:p>
    <w:p>
      <w:pPr>
        <w:bidi w:val="0"/>
        <w:rPr>
          <w:rFonts w:hint="eastAsia"/>
          <w:color w:val="auto"/>
          <w:lang w:eastAsia="zh-CN"/>
        </w:rPr>
      </w:pPr>
      <w:r>
        <w:rPr>
          <w:rFonts w:hint="eastAsia"/>
          <w:b/>
          <w:bCs/>
          <w:color w:val="auto"/>
          <w:lang w:val="en-US" w:eastAsia="zh-CN"/>
        </w:rPr>
        <w:t>综上，该项指标满分5分，得分5分。</w:t>
      </w:r>
    </w:p>
    <w:p>
      <w:pPr>
        <w:numPr>
          <w:ilvl w:val="0"/>
          <w:numId w:val="3"/>
        </w:numPr>
        <w:bidi w:val="0"/>
        <w:outlineLvl w:val="2"/>
        <w:rPr>
          <w:rFonts w:hint="eastAsia"/>
          <w:b/>
          <w:bCs/>
          <w:color w:val="auto"/>
          <w:lang w:val="en-US" w:eastAsia="zh-CN"/>
        </w:rPr>
      </w:pPr>
      <w:bookmarkStart w:id="73" w:name="_Toc32765"/>
      <w:r>
        <w:rPr>
          <w:rFonts w:hint="eastAsia"/>
          <w:b/>
          <w:bCs/>
          <w:color w:val="auto"/>
          <w:lang w:val="en-US" w:eastAsia="zh-CN"/>
        </w:rPr>
        <w:t>项目完成成本</w:t>
      </w:r>
      <w:bookmarkEnd w:id="73"/>
    </w:p>
    <w:p>
      <w:pPr>
        <w:bidi w:val="0"/>
        <w:rPr>
          <w:rFonts w:hint="eastAsia"/>
          <w:color w:val="auto"/>
          <w:lang w:val="en-US" w:eastAsia="zh-CN"/>
        </w:rPr>
      </w:pPr>
      <w:bookmarkStart w:id="74" w:name="_Toc18446"/>
      <w:r>
        <w:rPr>
          <w:rFonts w:hint="eastAsia"/>
          <w:color w:val="auto"/>
          <w:lang w:eastAsia="zh-CN"/>
        </w:rPr>
        <w:t>“</w:t>
      </w:r>
      <w:r>
        <w:rPr>
          <w:rFonts w:hint="eastAsia"/>
          <w:color w:val="auto"/>
          <w:lang w:val="en-US" w:eastAsia="zh-CN"/>
        </w:rPr>
        <w:t>非常规天然气开采补贴费用”指标，预期目标值为615万元，实际完成为615万元。实际完成率100%。</w:t>
      </w:r>
    </w:p>
    <w:p>
      <w:pPr>
        <w:bidi w:val="0"/>
        <w:rPr>
          <w:rFonts w:hint="eastAsia"/>
          <w:color w:val="auto"/>
          <w:lang w:eastAsia="zh-CN"/>
        </w:rPr>
      </w:pPr>
      <w:r>
        <w:rPr>
          <w:rFonts w:hint="eastAsia"/>
          <w:b/>
          <w:bCs/>
          <w:color w:val="auto"/>
          <w:lang w:val="en-US" w:eastAsia="zh-CN"/>
        </w:rPr>
        <w:t>综上，该项指标满分5分，得分5分。</w:t>
      </w:r>
    </w:p>
    <w:p>
      <w:pPr>
        <w:pStyle w:val="4"/>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四</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项目效益情况</w:t>
      </w:r>
      <w:bookmarkEnd w:id="74"/>
    </w:p>
    <w:p>
      <w:pPr>
        <w:pageBreakBefore w:val="0"/>
        <w:widowControl w:val="0"/>
        <w:kinsoku/>
        <w:wordWrap/>
        <w:overflowPunct/>
        <w:topLinePunct w:val="0"/>
        <w:autoSpaceDE/>
        <w:autoSpaceDN/>
        <w:bidi w:val="0"/>
        <w:adjustRightInd/>
        <w:spacing w:line="360" w:lineRule="auto"/>
        <w:ind w:firstLine="560"/>
        <w:jc w:val="left"/>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pPr>
        <w:pageBreakBefore w:val="0"/>
        <w:widowControl w:val="0"/>
        <w:kinsoku/>
        <w:wordWrap/>
        <w:overflowPunct/>
        <w:topLinePunct w:val="0"/>
        <w:autoSpaceDE/>
        <w:autoSpaceDN/>
        <w:bidi w:val="0"/>
        <w:adjustRightInd/>
        <w:spacing w:line="360" w:lineRule="auto"/>
        <w:ind w:firstLine="56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4-4项目效益</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指标及分值</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情况</w:t>
      </w:r>
    </w:p>
    <w:tbl>
      <w:tblPr>
        <w:tblStyle w:val="11"/>
        <w:tblW w:w="83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85"/>
        <w:gridCol w:w="1725"/>
        <w:gridCol w:w="2744"/>
        <w:gridCol w:w="870"/>
        <w:gridCol w:w="645"/>
        <w:gridCol w:w="1050"/>
        <w:gridCol w:w="6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16" w:hRule="atLeast"/>
          <w:jc w:val="center"/>
        </w:trPr>
        <w:tc>
          <w:tcPr>
            <w:tcW w:w="685"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指标</w:t>
            </w:r>
          </w:p>
        </w:tc>
        <w:tc>
          <w:tcPr>
            <w:tcW w:w="1725"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274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87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年度指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标值</w:t>
            </w:r>
          </w:p>
        </w:tc>
        <w:tc>
          <w:tcPr>
            <w:tcW w:w="645"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标杆</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05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全年实</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际完成值</w:t>
            </w:r>
          </w:p>
        </w:tc>
        <w:tc>
          <w:tcPr>
            <w:tcW w:w="653"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36" w:hRule="atLeast"/>
          <w:jc w:val="center"/>
        </w:trPr>
        <w:tc>
          <w:tcPr>
            <w:tcW w:w="685"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效益</w:t>
            </w:r>
          </w:p>
        </w:tc>
        <w:tc>
          <w:tcPr>
            <w:tcW w:w="1725"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经济效益指标</w:t>
            </w:r>
          </w:p>
        </w:tc>
        <w:tc>
          <w:tcPr>
            <w:tcW w:w="274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FF0000"/>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87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FF0000"/>
                <w:kern w:val="0"/>
                <w:sz w:val="20"/>
                <w:szCs w:val="20"/>
                <w:highlight w:val="none"/>
                <w:shd w:val="clear" w:color="auto" w:fill="auto"/>
                <w:lang w:val="en-US" w:eastAsia="zh-CN"/>
              </w:rPr>
            </w:pPr>
          </w:p>
        </w:tc>
        <w:tc>
          <w:tcPr>
            <w:tcW w:w="645"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FF0000"/>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105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FF0000"/>
                <w:kern w:val="0"/>
                <w:sz w:val="20"/>
                <w:szCs w:val="20"/>
                <w:highlight w:val="none"/>
                <w:shd w:val="clear" w:color="auto" w:fill="auto"/>
                <w:lang w:val="en-US" w:eastAsia="zh-CN"/>
              </w:rPr>
            </w:pPr>
          </w:p>
        </w:tc>
        <w:tc>
          <w:tcPr>
            <w:tcW w:w="653"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FF0000"/>
                <w:kern w:val="0"/>
                <w:sz w:val="20"/>
                <w:szCs w:val="20"/>
                <w:highlight w:val="none"/>
                <w:shd w:val="clear" w:color="auto" w:fil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36" w:hRule="atLeast"/>
          <w:jc w:val="center"/>
        </w:trPr>
        <w:tc>
          <w:tcPr>
            <w:tcW w:w="685"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725"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社会效益指标</w:t>
            </w:r>
          </w:p>
        </w:tc>
        <w:tc>
          <w:tcPr>
            <w:tcW w:w="274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FF0000"/>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87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FF0000"/>
                <w:kern w:val="0"/>
                <w:sz w:val="20"/>
                <w:szCs w:val="20"/>
                <w:highlight w:val="none"/>
                <w:shd w:val="clear" w:color="auto" w:fill="auto"/>
                <w:lang w:val="en-US" w:eastAsia="zh-CN"/>
              </w:rPr>
            </w:pPr>
          </w:p>
        </w:tc>
        <w:tc>
          <w:tcPr>
            <w:tcW w:w="645"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FF0000"/>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105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FF0000"/>
                <w:kern w:val="0"/>
                <w:sz w:val="20"/>
                <w:szCs w:val="20"/>
                <w:highlight w:val="none"/>
                <w:shd w:val="clear" w:color="auto" w:fill="auto"/>
                <w:lang w:val="en-US" w:eastAsia="zh-CN"/>
              </w:rPr>
            </w:pPr>
          </w:p>
        </w:tc>
        <w:tc>
          <w:tcPr>
            <w:tcW w:w="653"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FF0000"/>
                <w:kern w:val="0"/>
                <w:sz w:val="20"/>
                <w:szCs w:val="20"/>
                <w:highlight w:val="none"/>
                <w:shd w:val="clear" w:color="auto" w:fil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36" w:hRule="atLeast"/>
          <w:jc w:val="center"/>
        </w:trPr>
        <w:tc>
          <w:tcPr>
            <w:tcW w:w="685"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725"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生态效益指标</w:t>
            </w:r>
          </w:p>
        </w:tc>
        <w:tc>
          <w:tcPr>
            <w:tcW w:w="274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减少温室气体排放</w:t>
            </w:r>
          </w:p>
        </w:tc>
        <w:tc>
          <w:tcPr>
            <w:tcW w:w="87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减少</w:t>
            </w:r>
          </w:p>
        </w:tc>
        <w:tc>
          <w:tcPr>
            <w:tcW w:w="645"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15</w:t>
            </w:r>
          </w:p>
        </w:tc>
        <w:tc>
          <w:tcPr>
            <w:tcW w:w="105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653"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36" w:hRule="atLeast"/>
          <w:jc w:val="center"/>
        </w:trPr>
        <w:tc>
          <w:tcPr>
            <w:tcW w:w="685"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725"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可持续影响指标</w:t>
            </w:r>
          </w:p>
        </w:tc>
        <w:tc>
          <w:tcPr>
            <w:tcW w:w="274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87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45"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105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53"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36" w:hRule="atLeast"/>
          <w:jc w:val="center"/>
        </w:trPr>
        <w:tc>
          <w:tcPr>
            <w:tcW w:w="685"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725"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满意度指标</w:t>
            </w:r>
          </w:p>
        </w:tc>
        <w:tc>
          <w:tcPr>
            <w:tcW w:w="274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项目实施地周边群众满意度</w:t>
            </w:r>
          </w:p>
        </w:tc>
        <w:tc>
          <w:tcPr>
            <w:tcW w:w="87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＞90%</w:t>
            </w:r>
          </w:p>
        </w:tc>
        <w:tc>
          <w:tcPr>
            <w:tcW w:w="645"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15</w:t>
            </w:r>
          </w:p>
        </w:tc>
        <w:tc>
          <w:tcPr>
            <w:tcW w:w="105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97.5%</w:t>
            </w:r>
          </w:p>
        </w:tc>
        <w:tc>
          <w:tcPr>
            <w:tcW w:w="653"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69" w:hRule="atLeast"/>
          <w:jc w:val="center"/>
        </w:trPr>
        <w:tc>
          <w:tcPr>
            <w:tcW w:w="6024"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645"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30</w:t>
            </w:r>
          </w:p>
        </w:tc>
        <w:tc>
          <w:tcPr>
            <w:tcW w:w="105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53"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pPr>
        <w:bidi w:val="0"/>
        <w:outlineLvl w:val="2"/>
        <w:rPr>
          <w:rFonts w:hint="default"/>
          <w:b/>
          <w:bCs/>
          <w:lang w:val="en-US" w:eastAsia="zh-CN"/>
        </w:rPr>
      </w:pPr>
      <w:bookmarkStart w:id="75" w:name="_Toc8010"/>
      <w:r>
        <w:rPr>
          <w:rFonts w:hint="eastAsia"/>
          <w:b/>
          <w:bCs/>
          <w:lang w:val="en-US" w:eastAsia="zh-CN"/>
        </w:rPr>
        <w:t>1.经济效益指标</w:t>
      </w:r>
      <w:bookmarkEnd w:id="75"/>
    </w:p>
    <w:p>
      <w:pPr>
        <w:bidi w:val="0"/>
        <w:outlineLvl w:val="2"/>
        <w:rPr>
          <w:rFonts w:hint="eastAsia"/>
          <w:color w:val="auto"/>
          <w:highlight w:val="none"/>
          <w:lang w:eastAsia="zh-CN"/>
        </w:rPr>
      </w:pPr>
      <w:bookmarkStart w:id="76" w:name="_Toc27006"/>
      <w:r>
        <w:rPr>
          <w:rFonts w:hint="eastAsia"/>
          <w:color w:val="auto"/>
          <w:highlight w:val="none"/>
          <w:lang w:eastAsia="zh-CN"/>
        </w:rPr>
        <w:t>本项目不涉及经济效益指标</w:t>
      </w:r>
    </w:p>
    <w:p>
      <w:pPr>
        <w:bidi w:val="0"/>
        <w:outlineLvl w:val="2"/>
        <w:rPr>
          <w:rFonts w:hint="eastAsia"/>
          <w:b/>
          <w:bCs/>
          <w:lang w:val="en-US" w:eastAsia="zh-CN"/>
        </w:rPr>
      </w:pPr>
      <w:r>
        <w:rPr>
          <w:rFonts w:hint="eastAsia"/>
          <w:b/>
          <w:bCs/>
          <w:lang w:val="en-US" w:eastAsia="zh-CN"/>
        </w:rPr>
        <w:t>2.社会效益指标</w:t>
      </w:r>
      <w:bookmarkEnd w:id="76"/>
    </w:p>
    <w:p>
      <w:pPr>
        <w:bidi w:val="0"/>
        <w:outlineLvl w:val="2"/>
        <w:rPr>
          <w:rFonts w:hint="eastAsia"/>
          <w:lang w:val="en-US" w:eastAsia="zh-CN"/>
        </w:rPr>
      </w:pPr>
      <w:r>
        <w:rPr>
          <w:rFonts w:hint="eastAsia"/>
          <w:color w:val="auto"/>
          <w:highlight w:val="none"/>
          <w:lang w:eastAsia="zh-CN"/>
        </w:rPr>
        <w:t>本项目不涉及社会效益指标</w:t>
      </w:r>
    </w:p>
    <w:p>
      <w:pPr>
        <w:bidi w:val="0"/>
        <w:outlineLvl w:val="2"/>
        <w:rPr>
          <w:rFonts w:hint="eastAsia"/>
          <w:lang w:val="en-US" w:eastAsia="zh-CN"/>
        </w:rPr>
      </w:pPr>
      <w:bookmarkStart w:id="77" w:name="_Toc23106"/>
      <w:r>
        <w:rPr>
          <w:rFonts w:hint="eastAsia"/>
          <w:b/>
          <w:bCs/>
          <w:lang w:val="en-US" w:eastAsia="zh-CN"/>
        </w:rPr>
        <w:t>3.生态效益指标</w:t>
      </w:r>
      <w:bookmarkEnd w:id="77"/>
    </w:p>
    <w:p>
      <w:pPr>
        <w:bidi w:val="0"/>
        <w:rPr>
          <w:rFonts w:hint="eastAsia"/>
          <w:b w:val="0"/>
          <w:bCs w:val="0"/>
          <w:color w:val="auto"/>
          <w:highlight w:val="none"/>
          <w:lang w:val="en-US" w:eastAsia="zh-CN"/>
        </w:rPr>
      </w:pPr>
      <w:r>
        <w:rPr>
          <w:rFonts w:hint="eastAsia"/>
          <w:color w:val="auto"/>
          <w:lang w:eastAsia="zh-CN"/>
        </w:rPr>
        <w:t>“</w:t>
      </w:r>
      <w:r>
        <w:rPr>
          <w:rFonts w:hint="eastAsia"/>
          <w:color w:val="auto"/>
          <w:lang w:val="en-US" w:eastAsia="zh-CN"/>
        </w:rPr>
        <w:t>减少温室气体排放</w:t>
      </w:r>
      <w:r>
        <w:rPr>
          <w:rFonts w:hint="eastAsia"/>
          <w:color w:val="auto"/>
          <w:lang w:eastAsia="zh-CN"/>
        </w:rPr>
        <w:t>”</w:t>
      </w:r>
      <w:r>
        <w:rPr>
          <w:rFonts w:hint="eastAsia"/>
          <w:color w:val="auto"/>
          <w:lang w:val="en-US" w:eastAsia="zh-CN"/>
        </w:rPr>
        <w:t>指标，预期目标值为减少，实际完成为100</w:t>
      </w:r>
      <w:r>
        <w:rPr>
          <w:rFonts w:hint="eastAsia"/>
          <w:color w:val="auto"/>
          <w:highlight w:val="none"/>
          <w:lang w:val="en-US" w:eastAsia="zh-CN"/>
        </w:rPr>
        <w:t>%。</w:t>
      </w:r>
    </w:p>
    <w:p>
      <w:pPr>
        <w:bidi w:val="0"/>
        <w:rPr>
          <w:rFonts w:hint="eastAsia"/>
          <w:b w:val="0"/>
          <w:bCs w:val="0"/>
          <w:color w:val="auto"/>
          <w:highlight w:val="none"/>
          <w:lang w:val="en-US" w:eastAsia="zh-CN"/>
        </w:rPr>
      </w:pPr>
      <w:r>
        <w:rPr>
          <w:rFonts w:hint="eastAsia"/>
          <w:b w:val="0"/>
          <w:bCs w:val="0"/>
          <w:color w:val="auto"/>
          <w:highlight w:val="none"/>
          <w:lang w:val="en-US" w:eastAsia="zh-CN"/>
        </w:rPr>
        <w:t>通过项目的实施，有效开采非常规天然气抽采量，提高非常规天然气利用量和非天然气利用率，有效减少温室气体排放。</w:t>
      </w:r>
    </w:p>
    <w:p>
      <w:pPr>
        <w:bidi w:val="0"/>
        <w:rPr>
          <w:rFonts w:hint="eastAsia"/>
          <w:color w:val="auto"/>
          <w:highlight w:val="none"/>
          <w:lang w:val="en-US" w:eastAsia="zh-CN"/>
        </w:rPr>
      </w:pPr>
      <w:r>
        <w:rPr>
          <w:rFonts w:hint="eastAsia"/>
          <w:b/>
          <w:bCs/>
          <w:color w:val="auto"/>
          <w:highlight w:val="none"/>
          <w:lang w:val="en-US" w:eastAsia="zh-CN"/>
        </w:rPr>
        <w:t>综上，该项指标满分15分，得分15分。</w:t>
      </w:r>
    </w:p>
    <w:p>
      <w:pPr>
        <w:bidi w:val="0"/>
        <w:outlineLvl w:val="2"/>
        <w:rPr>
          <w:rFonts w:hint="eastAsia"/>
          <w:b/>
          <w:bCs/>
          <w:color w:val="auto"/>
          <w:highlight w:val="none"/>
          <w:lang w:val="en-US" w:eastAsia="zh-CN"/>
        </w:rPr>
      </w:pPr>
      <w:bookmarkStart w:id="78" w:name="_Toc3271"/>
      <w:r>
        <w:rPr>
          <w:rFonts w:hint="eastAsia"/>
          <w:b/>
          <w:bCs/>
          <w:color w:val="auto"/>
          <w:highlight w:val="none"/>
          <w:lang w:val="en-US" w:eastAsia="zh-CN"/>
        </w:rPr>
        <w:t>4.满意度指标</w:t>
      </w:r>
      <w:bookmarkEnd w:id="78"/>
    </w:p>
    <w:p>
      <w:pPr>
        <w:bidi w:val="0"/>
        <w:rPr>
          <w:rFonts w:hint="eastAsia"/>
          <w:b/>
          <w:bCs/>
          <w:color w:val="auto"/>
          <w:highlight w:val="none"/>
          <w:lang w:val="en-US" w:eastAsia="zh-CN"/>
        </w:rPr>
      </w:pPr>
      <w:r>
        <w:rPr>
          <w:rFonts w:hint="eastAsia"/>
          <w:color w:val="auto"/>
          <w:highlight w:val="none"/>
          <w:lang w:eastAsia="zh-CN"/>
        </w:rPr>
        <w:t>“</w:t>
      </w:r>
      <w:r>
        <w:rPr>
          <w:rFonts w:hint="eastAsia"/>
          <w:color w:val="auto"/>
          <w:highlight w:val="none"/>
          <w:lang w:val="en-US" w:eastAsia="zh-CN"/>
        </w:rPr>
        <w:t>项目实施地周边群众满意度</w:t>
      </w:r>
      <w:r>
        <w:rPr>
          <w:rFonts w:hint="eastAsia"/>
          <w:color w:val="auto"/>
          <w:highlight w:val="none"/>
          <w:lang w:eastAsia="zh-CN"/>
        </w:rPr>
        <w:t>”</w:t>
      </w:r>
      <w:r>
        <w:rPr>
          <w:rFonts w:hint="eastAsia"/>
          <w:color w:val="auto"/>
          <w:highlight w:val="none"/>
          <w:lang w:val="en-US" w:eastAsia="zh-CN"/>
        </w:rPr>
        <w:t>指标，预期目标值为＞90%，实际完成为97.5%，实际完成率100%。</w:t>
      </w:r>
    </w:p>
    <w:p>
      <w:pPr>
        <w:bidi w:val="0"/>
        <w:rPr>
          <w:rFonts w:hint="eastAsia"/>
          <w:b/>
          <w:bCs/>
          <w:color w:val="auto"/>
          <w:highlight w:val="none"/>
          <w:lang w:val="en-US" w:eastAsia="zh-CN"/>
        </w:rPr>
      </w:pPr>
      <w:r>
        <w:rPr>
          <w:rFonts w:hint="eastAsia"/>
          <w:b/>
          <w:bCs/>
          <w:color w:val="auto"/>
          <w:highlight w:val="none"/>
          <w:lang w:val="en-US" w:eastAsia="zh-CN"/>
        </w:rPr>
        <w:t>综上，该项指标满分15分，得分15分。</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79" w:name="_Toc19962"/>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五、预算执行进度与指标偏差</w:t>
      </w:r>
      <w:bookmarkEnd w:id="79"/>
    </w:p>
    <w:p>
      <w:pPr>
        <w:pStyle w:val="5"/>
        <w:numPr>
          <w:ilvl w:val="0"/>
          <w:numId w:val="0"/>
        </w:numPr>
        <w:ind w:firstLine="560" w:firstLineChars="200"/>
        <w:rPr>
          <w:rFonts w:hint="eastAsia" w:ascii="宋体" w:hAnsi="宋体" w:eastAsia="宋体" w:cs="仿宋_GB2312"/>
          <w:b w:val="0"/>
          <w:bCs w:val="0"/>
          <w:color w:val="auto"/>
          <w:kern w:val="2"/>
          <w:sz w:val="28"/>
          <w:szCs w:val="28"/>
          <w:highlight w:val="none"/>
          <w:lang w:val="en-US" w:eastAsia="zh-CN" w:bidi="ar-SA"/>
        </w:rPr>
      </w:pPr>
      <w:r>
        <w:rPr>
          <w:rFonts w:hint="eastAsia" w:cs="仿宋_GB2312"/>
          <w:color w:val="000000" w:themeColor="text1"/>
          <w:sz w:val="28"/>
          <w:szCs w:val="28"/>
          <w:lang w:val="en-US" w:eastAsia="zh-CN"/>
          <w14:textFill>
            <w14:solidFill>
              <w14:schemeClr w14:val="tx1"/>
            </w14:solidFill>
          </w14:textFill>
        </w:rPr>
        <w:t>该</w:t>
      </w:r>
      <w:r>
        <w:rPr>
          <w:rFonts w:hint="eastAsia" w:cs="仿宋_GB2312"/>
          <w:color w:val="000000" w:themeColor="text1"/>
          <w:sz w:val="28"/>
          <w:szCs w:val="28"/>
          <w:lang w:eastAsia="zh-CN"/>
          <w14:textFill>
            <w14:solidFill>
              <w14:schemeClr w14:val="tx1"/>
            </w14:solidFill>
          </w14:textFill>
        </w:rPr>
        <w:t>项目预算资</w:t>
      </w:r>
      <w:r>
        <w:rPr>
          <w:rFonts w:hint="eastAsia" w:cs="仿宋_GB2312"/>
          <w:b w:val="0"/>
          <w:bCs w:val="0"/>
          <w:color w:val="auto"/>
          <w:sz w:val="28"/>
          <w:szCs w:val="28"/>
          <w:highlight w:val="none"/>
          <w:lang w:eastAsia="zh-CN"/>
        </w:rPr>
        <w:t>金总额为</w:t>
      </w:r>
      <w:r>
        <w:rPr>
          <w:rFonts w:hint="eastAsia"/>
          <w:b w:val="0"/>
          <w:bCs w:val="0"/>
          <w:color w:val="auto"/>
          <w:highlight w:val="none"/>
          <w:lang w:val="en-US" w:eastAsia="zh-CN"/>
        </w:rPr>
        <w:t>615</w:t>
      </w:r>
      <w:r>
        <w:rPr>
          <w:rFonts w:hint="eastAsia" w:cs="仿宋_GB2312"/>
          <w:b w:val="0"/>
          <w:bCs w:val="0"/>
          <w:color w:val="auto"/>
          <w:sz w:val="28"/>
          <w:szCs w:val="28"/>
          <w:highlight w:val="none"/>
          <w:lang w:val="en-US" w:eastAsia="zh-CN"/>
        </w:rPr>
        <w:t>万元，全年执行数为</w:t>
      </w:r>
      <w:r>
        <w:rPr>
          <w:rFonts w:hint="eastAsia"/>
          <w:b w:val="0"/>
          <w:bCs w:val="0"/>
          <w:color w:val="auto"/>
          <w:highlight w:val="none"/>
          <w:lang w:val="en-US" w:eastAsia="zh-CN"/>
        </w:rPr>
        <w:t>615</w:t>
      </w:r>
      <w:r>
        <w:rPr>
          <w:rFonts w:hint="eastAsia" w:cs="仿宋_GB2312"/>
          <w:b w:val="0"/>
          <w:bCs w:val="0"/>
          <w:color w:val="auto"/>
          <w:sz w:val="28"/>
          <w:szCs w:val="28"/>
          <w:highlight w:val="none"/>
          <w:lang w:val="en-US" w:eastAsia="zh-CN"/>
        </w:rPr>
        <w:t>万元，预算执行率为</w:t>
      </w:r>
      <w:r>
        <w:rPr>
          <w:rFonts w:hint="eastAsia"/>
          <w:b w:val="0"/>
          <w:bCs w:val="0"/>
          <w:color w:val="auto"/>
          <w:highlight w:val="none"/>
          <w:lang w:val="en-US" w:eastAsia="zh-CN"/>
        </w:rPr>
        <w:t>100</w:t>
      </w:r>
      <w:r>
        <w:rPr>
          <w:rFonts w:hint="eastAsia" w:cs="仿宋_GB2312"/>
          <w:b w:val="0"/>
          <w:bCs w:val="0"/>
          <w:color w:val="auto"/>
          <w:sz w:val="28"/>
          <w:szCs w:val="28"/>
          <w:highlight w:val="none"/>
          <w:lang w:val="en-US" w:eastAsia="zh-CN"/>
        </w:rPr>
        <w:t>%，</w:t>
      </w:r>
      <w:r>
        <w:rPr>
          <w:rFonts w:hint="eastAsia" w:cs="仿宋_GB2312"/>
          <w:b w:val="0"/>
          <w:bCs w:val="0"/>
          <w:color w:val="auto"/>
          <w:sz w:val="28"/>
          <w:szCs w:val="28"/>
          <w:highlight w:val="none"/>
          <w:lang w:eastAsia="zh-CN"/>
        </w:rPr>
        <w:t>总体完成率为</w:t>
      </w:r>
      <w:r>
        <w:rPr>
          <w:rFonts w:hint="eastAsia"/>
          <w:b w:val="0"/>
          <w:bCs w:val="0"/>
          <w:color w:val="auto"/>
          <w:highlight w:val="none"/>
          <w:lang w:val="en-US" w:eastAsia="zh-CN"/>
        </w:rPr>
        <w:t>97.23</w:t>
      </w:r>
      <w:r>
        <w:rPr>
          <w:rFonts w:hint="eastAsia" w:cs="仿宋_GB2312"/>
          <w:b w:val="0"/>
          <w:bCs w:val="0"/>
          <w:color w:val="auto"/>
          <w:sz w:val="28"/>
          <w:szCs w:val="28"/>
          <w:highlight w:val="none"/>
          <w:lang w:val="zh-TW" w:eastAsia="zh-TW"/>
        </w:rPr>
        <w:t>%。</w:t>
      </w:r>
      <w:r>
        <w:rPr>
          <w:rFonts w:hint="eastAsia" w:cs="仿宋_GB2312"/>
          <w:b w:val="0"/>
          <w:bCs w:val="0"/>
          <w:color w:val="auto"/>
          <w:sz w:val="28"/>
          <w:szCs w:val="28"/>
          <w:highlight w:val="none"/>
          <w:lang w:val="en-US" w:eastAsia="zh-CN"/>
        </w:rPr>
        <w:t>预算执行率与总体完成率之间的偏差为</w:t>
      </w:r>
      <w:r>
        <w:rPr>
          <w:rFonts w:hint="eastAsia"/>
          <w:b w:val="0"/>
          <w:bCs w:val="0"/>
          <w:color w:val="auto"/>
          <w:highlight w:val="none"/>
          <w:lang w:val="en-US" w:eastAsia="zh-CN"/>
        </w:rPr>
        <w:t>2.77</w:t>
      </w:r>
      <w:r>
        <w:rPr>
          <w:rFonts w:hint="eastAsia" w:cs="仿宋_GB2312"/>
          <w:b w:val="0"/>
          <w:bCs w:val="0"/>
          <w:color w:val="auto"/>
          <w:sz w:val="28"/>
          <w:szCs w:val="28"/>
          <w:highlight w:val="none"/>
          <w:lang w:val="en-US" w:eastAsia="zh-CN"/>
        </w:rPr>
        <w:t>%</w:t>
      </w:r>
      <w:r>
        <w:rPr>
          <w:rFonts w:hint="eastAsia" w:cs="仿宋_GB2312"/>
          <w:b w:val="0"/>
          <w:bCs w:val="0"/>
          <w:color w:val="auto"/>
          <w:kern w:val="2"/>
          <w:sz w:val="28"/>
          <w:szCs w:val="28"/>
          <w:highlight w:val="none"/>
          <w:lang w:val="en-US" w:eastAsia="zh-CN" w:bidi="ar-SA"/>
        </w:rPr>
        <w:t>。</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80" w:name="_Toc29934"/>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六、主要经验及做法、存在的问题及原因分析</w:t>
      </w:r>
      <w:bookmarkEnd w:id="80"/>
    </w:p>
    <w:p>
      <w:pPr>
        <w:numPr>
          <w:ilvl w:val="0"/>
          <w:numId w:val="0"/>
        </w:numPr>
        <w:bidi w:val="0"/>
        <w:ind w:left="560" w:leftChars="0"/>
        <w:outlineLvl w:val="1"/>
        <w:rPr>
          <w:rFonts w:hint="eastAsia"/>
          <w:b/>
          <w:bCs/>
          <w:lang w:eastAsia="zh-CN"/>
        </w:rPr>
      </w:pPr>
      <w:bookmarkStart w:id="81" w:name="_Toc13160"/>
      <w:bookmarkStart w:id="82" w:name="_Toc1921"/>
      <w:bookmarkStart w:id="83" w:name="_Toc28290"/>
      <w:r>
        <w:rPr>
          <w:rFonts w:hint="eastAsia"/>
          <w:b/>
          <w:bCs/>
          <w:lang w:eastAsia="zh-CN"/>
        </w:rPr>
        <w:t>（</w:t>
      </w:r>
      <w:r>
        <w:rPr>
          <w:rFonts w:hint="eastAsia"/>
          <w:b/>
          <w:bCs/>
          <w:lang w:val="en-US" w:eastAsia="zh-CN"/>
        </w:rPr>
        <w:t>一</w:t>
      </w:r>
      <w:r>
        <w:rPr>
          <w:rFonts w:hint="eastAsia"/>
          <w:b/>
          <w:bCs/>
          <w:lang w:eastAsia="zh-CN"/>
        </w:rPr>
        <w:t>）</w:t>
      </w:r>
      <w:r>
        <w:rPr>
          <w:rFonts w:hint="eastAsia"/>
          <w:b/>
          <w:bCs/>
        </w:rPr>
        <w:t>主要经验及做法</w:t>
      </w:r>
      <w:bookmarkEnd w:id="81"/>
    </w:p>
    <w:p>
      <w:pPr>
        <w:bidi w:val="0"/>
        <w:rPr>
          <w:rFonts w:hint="eastAsia"/>
          <w:color w:val="auto"/>
          <w:lang w:eastAsia="zh-CN"/>
        </w:rPr>
      </w:pPr>
      <w:r>
        <w:rPr>
          <w:rFonts w:hint="eastAsia"/>
          <w:color w:val="auto"/>
          <w:lang w:val="en-US" w:eastAsia="zh-CN"/>
        </w:rPr>
        <w:t>2023年清洁能源发展专项资金科林思德项目</w:t>
      </w:r>
      <w:r>
        <w:rPr>
          <w:rFonts w:hint="eastAsia"/>
          <w:color w:val="auto"/>
          <w:lang w:eastAsia="zh-CN"/>
        </w:rPr>
        <w:t>20</w:t>
      </w:r>
      <w:r>
        <w:rPr>
          <w:rFonts w:hint="eastAsia"/>
          <w:color w:val="auto"/>
          <w:lang w:val="en-US" w:eastAsia="zh-CN"/>
        </w:rPr>
        <w:t>23</w:t>
      </w:r>
      <w:r>
        <w:rPr>
          <w:rFonts w:hint="eastAsia"/>
          <w:color w:val="auto"/>
          <w:lang w:eastAsia="zh-CN"/>
        </w:rPr>
        <w:t>年预算</w:t>
      </w:r>
      <w:r>
        <w:rPr>
          <w:rFonts w:hint="eastAsia"/>
          <w:color w:val="auto"/>
          <w:lang w:val="en-US" w:eastAsia="zh-CN"/>
        </w:rPr>
        <w:t>数</w:t>
      </w:r>
      <w:r>
        <w:rPr>
          <w:rFonts w:hint="eastAsia"/>
          <w:color w:val="auto"/>
          <w:lang w:eastAsia="zh-CN"/>
        </w:rPr>
        <w:t>为</w:t>
      </w:r>
      <w:r>
        <w:rPr>
          <w:rFonts w:hint="eastAsia"/>
          <w:color w:val="auto"/>
          <w:lang w:val="en-US" w:eastAsia="zh-CN"/>
        </w:rPr>
        <w:t>615</w:t>
      </w:r>
      <w:r>
        <w:rPr>
          <w:rFonts w:hint="eastAsia"/>
          <w:color w:val="auto"/>
          <w:lang w:eastAsia="zh-CN"/>
        </w:rPr>
        <w:t>万元，</w:t>
      </w:r>
      <w:r>
        <w:rPr>
          <w:rFonts w:hint="eastAsia"/>
          <w:color w:val="auto"/>
          <w:lang w:val="en-US" w:eastAsia="zh-CN"/>
        </w:rPr>
        <w:t>截至2023年12月31日共</w:t>
      </w:r>
      <w:r>
        <w:rPr>
          <w:rFonts w:hint="eastAsia"/>
          <w:color w:val="auto"/>
          <w:lang w:eastAsia="zh-CN"/>
        </w:rPr>
        <w:t>支出</w:t>
      </w:r>
      <w:r>
        <w:rPr>
          <w:rFonts w:hint="eastAsia"/>
          <w:color w:val="auto"/>
          <w:lang w:val="en-US" w:eastAsia="zh-CN"/>
        </w:rPr>
        <w:t>615</w:t>
      </w:r>
      <w:r>
        <w:rPr>
          <w:rFonts w:hint="eastAsia"/>
          <w:color w:val="auto"/>
          <w:lang w:eastAsia="zh-CN"/>
        </w:rPr>
        <w:t>万元，预算</w:t>
      </w:r>
      <w:r>
        <w:rPr>
          <w:rFonts w:hint="eastAsia"/>
          <w:color w:val="auto"/>
          <w:lang w:val="en-US" w:eastAsia="zh-CN"/>
        </w:rPr>
        <w:t>执行</w:t>
      </w:r>
      <w:r>
        <w:rPr>
          <w:rFonts w:hint="eastAsia"/>
          <w:color w:val="auto"/>
          <w:lang w:eastAsia="zh-CN"/>
        </w:rPr>
        <w:t>率为</w:t>
      </w:r>
      <w:r>
        <w:rPr>
          <w:rFonts w:hint="eastAsia"/>
          <w:color w:val="auto"/>
          <w:lang w:val="en-US" w:eastAsia="zh-CN"/>
        </w:rPr>
        <w:t>100</w:t>
      </w:r>
      <w:r>
        <w:rPr>
          <w:rFonts w:hint="eastAsia"/>
          <w:color w:val="auto"/>
          <w:lang w:eastAsia="zh-CN"/>
        </w:rPr>
        <w:t>%。</w:t>
      </w:r>
    </w:p>
    <w:p>
      <w:pPr>
        <w:bidi w:val="0"/>
        <w:rPr>
          <w:rFonts w:hint="eastAsia"/>
          <w:lang w:eastAsia="zh-CN"/>
        </w:rPr>
      </w:pPr>
      <w:r>
        <w:rPr>
          <w:rFonts w:hint="eastAsia"/>
          <w:color w:val="auto"/>
          <w:lang w:val="en-US" w:eastAsia="zh-CN"/>
        </w:rPr>
        <w:t>阜康市发改委单位</w:t>
      </w:r>
      <w:r>
        <w:rPr>
          <w:rFonts w:hint="eastAsia"/>
          <w:color w:val="auto"/>
          <w:lang w:eastAsia="zh-CN"/>
        </w:rPr>
        <w:t>建立健全了预算管理规章制度，各部门严格按照预算编制的原则和要求做好当年预算编制工作，在预算绩效管理工作中，做到合理安排各项资金，重点保障基本支出，按轻重缓急顺序原则，优先安排了</w:t>
      </w:r>
      <w:r>
        <w:rPr>
          <w:rFonts w:hint="eastAsia"/>
          <w:color w:val="auto"/>
          <w:lang w:val="en-US" w:eastAsia="zh-CN"/>
        </w:rPr>
        <w:t>阜康市发改委单位</w:t>
      </w:r>
      <w:r>
        <w:rPr>
          <w:rFonts w:hint="eastAsia"/>
          <w:color w:val="auto"/>
          <w:lang w:eastAsia="zh-CN"/>
        </w:rPr>
        <w:t>事业发展中关</w:t>
      </w:r>
      <w:r>
        <w:rPr>
          <w:rFonts w:hint="eastAsia"/>
          <w:lang w:eastAsia="zh-CN"/>
        </w:rPr>
        <w:t>系民生与稳定的项目，切实优化资源配置，提高了资金使用的效率和效果。</w:t>
      </w:r>
    </w:p>
    <w:bookmarkEnd w:id="82"/>
    <w:bookmarkEnd w:id="83"/>
    <w:p>
      <w:pPr>
        <w:bidi w:val="0"/>
        <w:outlineLvl w:val="1"/>
        <w:rPr>
          <w:rFonts w:hint="eastAsia"/>
          <w:b/>
          <w:bCs/>
          <w:lang w:eastAsia="zh-CN"/>
        </w:rPr>
      </w:pPr>
      <w:bookmarkStart w:id="84" w:name="_Toc9582"/>
      <w:r>
        <w:rPr>
          <w:rFonts w:hint="eastAsia"/>
          <w:b/>
          <w:bCs/>
          <w:lang w:eastAsia="zh-CN"/>
        </w:rPr>
        <w:t>（</w:t>
      </w:r>
      <w:r>
        <w:rPr>
          <w:rFonts w:hint="eastAsia"/>
          <w:b/>
          <w:bCs/>
          <w:lang w:val="en-US" w:eastAsia="zh-CN"/>
        </w:rPr>
        <w:t>二</w:t>
      </w:r>
      <w:r>
        <w:rPr>
          <w:rFonts w:hint="eastAsia"/>
          <w:b/>
          <w:bCs/>
          <w:lang w:eastAsia="zh-CN"/>
        </w:rPr>
        <w:t>）</w:t>
      </w:r>
      <w:r>
        <w:rPr>
          <w:rFonts w:hint="eastAsia"/>
          <w:b/>
          <w:bCs/>
        </w:rPr>
        <w:t>存在的问题及原因分析</w:t>
      </w:r>
      <w:bookmarkEnd w:id="84"/>
    </w:p>
    <w:p>
      <w:pPr>
        <w:bidi w:val="0"/>
        <w:ind w:left="0" w:leftChars="0" w:firstLine="560" w:firstLineChars="200"/>
        <w:rPr>
          <w:rFonts w:hint="eastAsia"/>
          <w:color w:val="auto"/>
          <w:highlight w:val="none"/>
          <w:lang w:val="en-US" w:eastAsia="zh-CN"/>
        </w:rPr>
      </w:pPr>
      <w:r>
        <w:rPr>
          <w:rFonts w:hint="eastAsia"/>
          <w:color w:val="auto"/>
          <w:highlight w:val="none"/>
          <w:lang w:val="en-US" w:eastAsia="zh-CN"/>
        </w:rPr>
        <w:t>1.绩效指标值设置不够严谨，设置指标值之前未能严格做好项目实施预算，未精准预计项目实施情况。</w:t>
      </w:r>
    </w:p>
    <w:p>
      <w:pPr>
        <w:bidi w:val="0"/>
        <w:ind w:left="0" w:leftChars="0" w:firstLine="560" w:firstLineChars="200"/>
        <w:rPr>
          <w:rFonts w:hint="default"/>
          <w:highlight w:val="none"/>
          <w:lang w:val="en-US" w:eastAsia="zh-CN"/>
        </w:rPr>
      </w:pPr>
      <w:r>
        <w:rPr>
          <w:rFonts w:hint="eastAsia"/>
          <w:color w:val="auto"/>
          <w:highlight w:val="none"/>
          <w:lang w:val="en-US" w:eastAsia="zh-CN"/>
        </w:rPr>
        <w:t>2.项目组织实施保障工作不到位，2023年初部分生产井故障但因检修工器具及物资未如期到场，延后检泵周期，同时老井产量逐年递减，致使抽采量下降，抽采量低，2023年新井施工过程影响抽采量，因阜康矿区地质复杂，煤层渗透性强，断层分布广，新井施工易与老井连通，导致老井产量突降致使抽采量下降。</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85" w:name="_Toc5230"/>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七、有关建议</w:t>
      </w:r>
      <w:bookmarkEnd w:id="85"/>
    </w:p>
    <w:p>
      <w:pPr>
        <w:bidi w:val="0"/>
        <w:ind w:left="0" w:leftChars="0" w:firstLine="560" w:firstLineChars="200"/>
        <w:rPr>
          <w:rFonts w:hint="eastAsia"/>
          <w:color w:val="auto"/>
          <w:highlight w:val="none"/>
          <w:lang w:val="en-US" w:eastAsia="zh-CN"/>
        </w:rPr>
      </w:pPr>
      <w:bookmarkStart w:id="86" w:name="_Toc15618"/>
      <w:r>
        <w:rPr>
          <w:rFonts w:hint="eastAsia"/>
          <w:color w:val="auto"/>
          <w:highlight w:val="none"/>
          <w:lang w:val="en-US" w:eastAsia="zh-CN"/>
        </w:rPr>
        <w:t>（一）在项目前期应做好相关预算，能够精准预计项目实施的具体情况，根据预算做好相关绩效指标设置。</w:t>
      </w:r>
    </w:p>
    <w:p>
      <w:pPr>
        <w:bidi w:val="0"/>
        <w:ind w:left="0" w:leftChars="0" w:firstLine="560" w:firstLineChars="200"/>
        <w:rPr>
          <w:rFonts w:hint="default"/>
          <w:highlight w:val="none"/>
          <w:lang w:val="en-US" w:eastAsia="zh-CN"/>
        </w:rPr>
      </w:pPr>
      <w:r>
        <w:rPr>
          <w:rFonts w:hint="eastAsia"/>
          <w:color w:val="auto"/>
          <w:highlight w:val="none"/>
          <w:lang w:val="en-US" w:eastAsia="zh-CN"/>
        </w:rPr>
        <w:t>（二）项目组织实施保障应充分考虑各项有可能影响项目实施的因素，做好项目实施保障工作，争取在项目实施过程能够保质保量的按期完成项目进度。</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八、其他需要说明的问题</w:t>
      </w:r>
      <w:bookmarkEnd w:id="86"/>
    </w:p>
    <w:p>
      <w:pPr>
        <w:bidi w:val="0"/>
        <w:rPr>
          <w:rFonts w:hint="default" w:ascii="宋体" w:hAnsi="宋体" w:eastAsia="宋体" w:cs="宋体"/>
          <w:lang w:val="en-US" w:eastAsia="zh-CN"/>
        </w:rPr>
      </w:pPr>
      <w:r>
        <w:rPr>
          <w:rFonts w:hint="eastAsia" w:ascii="宋体" w:hAnsi="宋体" w:eastAsia="宋体" w:cs="宋体"/>
          <w:lang w:val="en-US" w:eastAsia="zh-CN"/>
        </w:rPr>
        <w:t>无其他需要说明的问题。</w:t>
      </w:r>
    </w:p>
    <w:p>
      <w:pPr>
        <w:pageBreakBefore w:val="0"/>
        <w:kinsoku/>
        <w:wordWrap/>
        <w:overflowPunct/>
        <w:topLinePunct w:val="0"/>
        <w:autoSpaceDE/>
        <w:autoSpaceDN/>
        <w:bidi w:val="0"/>
        <w:adjustRightInd/>
        <w:spacing w:line="360" w:lineRule="auto"/>
        <w:textAlignment w:val="auto"/>
        <w:rPr>
          <w:rFonts w:hint="eastAsia" w:cs="宋体"/>
          <w:color w:val="000000" w:themeColor="text1"/>
          <w:highlight w:val="none"/>
          <w:shd w:val="clear" w:color="auto" w:fill="auto"/>
          <w:lang w:val="en-US" w:eastAsia="zh-CN"/>
          <w14:textFill>
            <w14:solidFill>
              <w14:schemeClr w14:val="tx1"/>
            </w14:solidFill>
          </w14:textFill>
        </w:rPr>
      </w:pPr>
    </w:p>
    <w:p>
      <w:pPr>
        <w:ind w:left="0" w:leftChars="0" w:firstLine="0" w:firstLineChars="0"/>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sectPr>
          <w:footerReference r:id="rId5" w:type="default"/>
          <w:pgSz w:w="11906" w:h="16838"/>
          <w:pgMar w:top="1440" w:right="1800" w:bottom="1440" w:left="1800" w:header="737" w:footer="851" w:gutter="0"/>
          <w:pgBorders>
            <w:top w:val="none" w:sz="0" w:space="0"/>
            <w:left w:val="none" w:sz="0" w:space="0"/>
            <w:bottom w:val="none" w:sz="0" w:space="0"/>
            <w:right w:val="none" w:sz="0" w:space="0"/>
          </w:pgBorders>
          <w:pgNumType w:fmt="decimal" w:start="1"/>
          <w:cols w:space="720" w:num="1"/>
          <w:docGrid w:type="lines" w:linePitch="408" w:charSpace="0"/>
        </w:sectPr>
      </w:pPr>
      <w:bookmarkStart w:id="87" w:name="_Toc11349"/>
    </w:p>
    <w:p>
      <w:pPr>
        <w:ind w:left="0" w:leftChars="0" w:firstLine="0" w:firstLineChars="0"/>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附件一、项目支出绩效自评表</w:t>
      </w:r>
      <w:bookmarkEnd w:id="87"/>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07"/>
        <w:gridCol w:w="708"/>
        <w:gridCol w:w="920"/>
        <w:gridCol w:w="1190"/>
        <w:gridCol w:w="864"/>
        <w:gridCol w:w="930"/>
        <w:gridCol w:w="931"/>
        <w:gridCol w:w="725"/>
        <w:gridCol w:w="938"/>
        <w:gridCol w:w="1127"/>
        <w:gridCol w:w="1079"/>
        <w:gridCol w:w="1027"/>
        <w:gridCol w:w="865"/>
        <w:gridCol w:w="21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14174" w:type="dxa"/>
            <w:gridSpan w:val="14"/>
            <w:tcBorders>
              <w:top w:val="nil"/>
              <w:left w:val="nil"/>
              <w:bottom w:val="nil"/>
              <w:right w:val="nil"/>
              <w:tl2br w:val="nil"/>
              <w:tr2bl w:val="nil"/>
            </w:tcBorders>
            <w:shd w:val="clear" w:color="auto" w:fill="auto"/>
            <w:vAlign w:val="center"/>
          </w:tcPr>
          <w:p>
            <w:pPr>
              <w:keepNext w:val="0"/>
              <w:keepLines w:val="0"/>
              <w:widowControl/>
              <w:suppressLineNumbers w:val="0"/>
              <w:ind w:firstLine="803" w:firstLineChars="200"/>
              <w:jc w:val="center"/>
              <w:textAlignment w:val="center"/>
              <w:rPr>
                <w:rFonts w:ascii="华文中宋" w:hAnsi="华文中宋" w:eastAsia="华文中宋" w:cs="华文中宋"/>
                <w:b/>
                <w:bCs/>
                <w:i w:val="0"/>
                <w:iCs w:val="0"/>
                <w:color w:val="000000"/>
                <w:sz w:val="40"/>
                <w:szCs w:val="40"/>
                <w:u w:val="none"/>
              </w:rPr>
            </w:pPr>
            <w:r>
              <w:rPr>
                <w:rFonts w:hint="eastAsia" w:ascii="华文中宋" w:hAnsi="华文中宋" w:eastAsia="华文中宋" w:cs="华文中宋"/>
                <w:b/>
                <w:bCs/>
                <w:i w:val="0"/>
                <w:iCs w:val="0"/>
                <w:color w:val="000000"/>
                <w:kern w:val="0"/>
                <w:sz w:val="40"/>
                <w:szCs w:val="40"/>
                <w:u w:val="none"/>
                <w:lang w:val="en-US" w:eastAsia="zh-CN" w:bidi="ar"/>
              </w:rPr>
              <w:t>项目支出绩效自评表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trPr>
        <w:tc>
          <w:tcPr>
            <w:tcW w:w="14174" w:type="dxa"/>
            <w:gridSpan w:val="14"/>
            <w:tcBorders>
              <w:top w:val="nil"/>
              <w:left w:val="nil"/>
              <w:bottom w:val="single" w:color="auto" w:sz="4" w:space="0"/>
              <w:right w:val="nil"/>
              <w:tl2br w:val="nil"/>
              <w:tr2bl w:val="nil"/>
            </w:tcBorders>
            <w:shd w:val="clear" w:color="auto" w:fill="auto"/>
            <w:vAlign w:val="center"/>
          </w:tcPr>
          <w:p>
            <w:pPr>
              <w:keepNext w:val="0"/>
              <w:keepLines w:val="0"/>
              <w:widowControl/>
              <w:suppressLineNumbers w:val="0"/>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（2023年度）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415" w:type="dxa"/>
            <w:gridSpan w:val="2"/>
            <w:tcBorders>
              <w:top w:val="single" w:color="auto" w:sz="4" w:space="0"/>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759" w:type="dxa"/>
            <w:gridSpan w:val="12"/>
            <w:tcBorders>
              <w:top w:val="single" w:color="auto" w:sz="4" w:space="0"/>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2023年清洁能源发展专项资金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415"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835" w:type="dxa"/>
            <w:gridSpan w:val="5"/>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阜康市发展和改革委员会</w:t>
            </w:r>
          </w:p>
        </w:tc>
        <w:tc>
          <w:tcPr>
            <w:tcW w:w="1663"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6261" w:type="dxa"/>
            <w:gridSpan w:val="5"/>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阜康市发展和改革委员会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415" w:type="dxa"/>
            <w:gridSpan w:val="2"/>
            <w:vMerge w:val="restart"/>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110"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c>
          <w:tcPr>
            <w:tcW w:w="8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861"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663"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2206"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分值权重</w:t>
            </w:r>
          </w:p>
        </w:tc>
        <w:tc>
          <w:tcPr>
            <w:tcW w:w="1892"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216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415" w:type="dxa"/>
            <w:gridSpan w:val="2"/>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0"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8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615.00 </w:t>
            </w:r>
          </w:p>
        </w:tc>
        <w:tc>
          <w:tcPr>
            <w:tcW w:w="1861"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615.00 </w:t>
            </w:r>
          </w:p>
        </w:tc>
        <w:tc>
          <w:tcPr>
            <w:tcW w:w="1663"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615.00 </w:t>
            </w:r>
          </w:p>
        </w:tc>
        <w:tc>
          <w:tcPr>
            <w:tcW w:w="2206"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92"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16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415" w:type="dxa"/>
            <w:gridSpan w:val="2"/>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0"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8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615.00 </w:t>
            </w:r>
          </w:p>
        </w:tc>
        <w:tc>
          <w:tcPr>
            <w:tcW w:w="1861"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615.00 </w:t>
            </w:r>
          </w:p>
        </w:tc>
        <w:tc>
          <w:tcPr>
            <w:tcW w:w="1663"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615.00 </w:t>
            </w:r>
          </w:p>
        </w:tc>
        <w:tc>
          <w:tcPr>
            <w:tcW w:w="2206"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92"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16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0" w:hRule="atLeast"/>
        </w:trPr>
        <w:tc>
          <w:tcPr>
            <w:tcW w:w="1415" w:type="dxa"/>
            <w:gridSpan w:val="2"/>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0"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8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861"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663"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206"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92"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16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0" w:hRule="atLeast"/>
        </w:trPr>
        <w:tc>
          <w:tcPr>
            <w:tcW w:w="707" w:type="dxa"/>
            <w:vMerge w:val="restart"/>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7206" w:type="dxa"/>
            <w:gridSpan w:val="8"/>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6261" w:type="dxa"/>
            <w:gridSpan w:val="5"/>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40" w:hRule="atLeast"/>
        </w:trPr>
        <w:tc>
          <w:tcPr>
            <w:tcW w:w="707"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6" w:type="dxa"/>
            <w:gridSpan w:val="8"/>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发展和改革委员会负责研究提出能源发展战略、规划，贯彻发展能源工业的方针政策，负责能源安全监督管理及行业管理和安全生产检查监督管理工作。要求新疆科林思德新能源有限责任公司单位2023年预计完成非常规天然气开采利用量4942万m³,采暖季非常规天然气利用量占全年比例大于30%，非常规天然气开采利用率大于88%，非常规天然气抽采量5103万m³，项目的实施预计达到减少温室气体排放。</w:t>
            </w:r>
          </w:p>
        </w:tc>
        <w:tc>
          <w:tcPr>
            <w:tcW w:w="6261" w:type="dxa"/>
            <w:gridSpan w:val="5"/>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至2023年12月31日本项目完成非常规天然气开采利用量4374.92万m³,采暖季非常规天然气利用量占全年比例34.27%，非常规天然气开采利用率99.02%，非常规天然气抽采量4418.22万m³，项目的实施达到减少温室气体排放4374.92万立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707"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8"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92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19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8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93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指标值设置依据</w:t>
            </w:r>
          </w:p>
        </w:tc>
        <w:tc>
          <w:tcPr>
            <w:tcW w:w="931"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上年完成值</w:t>
            </w:r>
          </w:p>
        </w:tc>
        <w:tc>
          <w:tcPr>
            <w:tcW w:w="725"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指标分值权重</w:t>
            </w:r>
          </w:p>
        </w:tc>
        <w:tc>
          <w:tcPr>
            <w:tcW w:w="938"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指标赋分规则</w:t>
            </w:r>
          </w:p>
        </w:tc>
        <w:tc>
          <w:tcPr>
            <w:tcW w:w="112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佐证资料</w:t>
            </w:r>
          </w:p>
        </w:tc>
        <w:tc>
          <w:tcPr>
            <w:tcW w:w="107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指标实际完成值</w:t>
            </w:r>
          </w:p>
        </w:tc>
        <w:tc>
          <w:tcPr>
            <w:tcW w:w="102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c>
          <w:tcPr>
            <w:tcW w:w="865"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指标得分</w:t>
            </w:r>
          </w:p>
        </w:tc>
        <w:tc>
          <w:tcPr>
            <w:tcW w:w="216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60" w:hRule="atLeast"/>
        </w:trPr>
        <w:tc>
          <w:tcPr>
            <w:tcW w:w="707" w:type="dxa"/>
            <w:vMerge w:val="restart"/>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708" w:type="dxa"/>
            <w:vMerge w:val="restart"/>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920" w:type="dxa"/>
            <w:vMerge w:val="restart"/>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19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非常规天然气开采利用量</w:t>
            </w:r>
          </w:p>
        </w:tc>
        <w:tc>
          <w:tcPr>
            <w:tcW w:w="8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≥4942万立方米</w:t>
            </w:r>
          </w:p>
        </w:tc>
        <w:tc>
          <w:tcPr>
            <w:tcW w:w="93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931"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4286.31万立方米</w:t>
            </w:r>
          </w:p>
        </w:tc>
        <w:tc>
          <w:tcPr>
            <w:tcW w:w="725"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38"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12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7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4374.92万立方米</w:t>
            </w:r>
          </w:p>
        </w:tc>
        <w:tc>
          <w:tcPr>
            <w:tcW w:w="102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88.53%</w:t>
            </w:r>
          </w:p>
        </w:tc>
        <w:tc>
          <w:tcPr>
            <w:tcW w:w="865"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7.13 </w:t>
            </w:r>
          </w:p>
        </w:tc>
        <w:tc>
          <w:tcPr>
            <w:tcW w:w="216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因抽采量降低，故导致抽采利用量未完成指标值；下一步措施：加大勘探开发，利用新开发区域增加产能贡献，确保如期完成指标值。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0" w:hRule="atLeast"/>
        </w:trPr>
        <w:tc>
          <w:tcPr>
            <w:tcW w:w="707"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8"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采暖季非常规天然气利用量占全年比例</w:t>
            </w:r>
          </w:p>
        </w:tc>
        <w:tc>
          <w:tcPr>
            <w:tcW w:w="8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3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931"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w:t>
            </w:r>
          </w:p>
        </w:tc>
        <w:tc>
          <w:tcPr>
            <w:tcW w:w="725"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38"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12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7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34.27%</w:t>
            </w:r>
          </w:p>
        </w:tc>
        <w:tc>
          <w:tcPr>
            <w:tcW w:w="102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65"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163"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0" w:hRule="atLeast"/>
        </w:trPr>
        <w:tc>
          <w:tcPr>
            <w:tcW w:w="707"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8"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非常规天然气开采利用率</w:t>
            </w:r>
          </w:p>
        </w:tc>
        <w:tc>
          <w:tcPr>
            <w:tcW w:w="8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93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历史标准</w:t>
            </w:r>
          </w:p>
        </w:tc>
        <w:tc>
          <w:tcPr>
            <w:tcW w:w="931"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97.90%</w:t>
            </w:r>
          </w:p>
        </w:tc>
        <w:tc>
          <w:tcPr>
            <w:tcW w:w="725"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38"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12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7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99.02%</w:t>
            </w:r>
          </w:p>
        </w:tc>
        <w:tc>
          <w:tcPr>
            <w:tcW w:w="102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65"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63"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60" w:hRule="atLeast"/>
        </w:trPr>
        <w:tc>
          <w:tcPr>
            <w:tcW w:w="707"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8"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非常规天然气抽采量</w:t>
            </w:r>
          </w:p>
        </w:tc>
        <w:tc>
          <w:tcPr>
            <w:tcW w:w="8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≥5103万立方米</w:t>
            </w:r>
          </w:p>
        </w:tc>
        <w:tc>
          <w:tcPr>
            <w:tcW w:w="93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历史标准</w:t>
            </w:r>
          </w:p>
        </w:tc>
        <w:tc>
          <w:tcPr>
            <w:tcW w:w="931"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4378.32万立方米</w:t>
            </w:r>
          </w:p>
        </w:tc>
        <w:tc>
          <w:tcPr>
            <w:tcW w:w="725"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38"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12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7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4418.22万立方米</w:t>
            </w:r>
          </w:p>
        </w:tc>
        <w:tc>
          <w:tcPr>
            <w:tcW w:w="102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86.58%</w:t>
            </w:r>
          </w:p>
        </w:tc>
        <w:tc>
          <w:tcPr>
            <w:tcW w:w="865"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3.22 </w:t>
            </w:r>
          </w:p>
        </w:tc>
        <w:tc>
          <w:tcPr>
            <w:tcW w:w="216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要原因是2023年初部分生产井故障但因检修工器具及物资未如期到场，延后检泵周期，同时老井产量逐年递减，致使抽采量下降。下一步措施：增加物资库存，防范应对各类突发状况；同时加大勘探开发，利用新开发区域增加产能贡献。2.2023年新井施工过程影响抽采量，因阜康矿区地质复杂，煤层渗透性强，断层分布广，新井施工易与老井连通，导致老井产量突降致使抽采量下降。下一步措施：针对受新井施工影响的井，与行业专家交流合作制定可行性施工方案恢复产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0" w:hRule="atLeast"/>
        </w:trPr>
        <w:tc>
          <w:tcPr>
            <w:tcW w:w="707"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8"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19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非常规天然气检测合格率</w:t>
            </w:r>
          </w:p>
        </w:tc>
        <w:tc>
          <w:tcPr>
            <w:tcW w:w="8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3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931"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725"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38"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12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正式资料</w:t>
            </w:r>
          </w:p>
        </w:tc>
        <w:tc>
          <w:tcPr>
            <w:tcW w:w="107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65"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63"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0" w:hRule="atLeast"/>
        </w:trPr>
        <w:tc>
          <w:tcPr>
            <w:tcW w:w="707"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8"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0" w:type="dxa"/>
            <w:vMerge w:val="restart"/>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19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非常规天然气月度盘点及时率</w:t>
            </w:r>
          </w:p>
        </w:tc>
        <w:tc>
          <w:tcPr>
            <w:tcW w:w="8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3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931"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725"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38"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12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7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65"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163"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0" w:hRule="atLeast"/>
        </w:trPr>
        <w:tc>
          <w:tcPr>
            <w:tcW w:w="707"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8"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非常规天然气设备维护保养率</w:t>
            </w:r>
          </w:p>
        </w:tc>
        <w:tc>
          <w:tcPr>
            <w:tcW w:w="8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93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931"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95.62%</w:t>
            </w:r>
          </w:p>
        </w:tc>
        <w:tc>
          <w:tcPr>
            <w:tcW w:w="725"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38"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12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7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96.42%</w:t>
            </w:r>
          </w:p>
        </w:tc>
        <w:tc>
          <w:tcPr>
            <w:tcW w:w="102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65"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63" w:type="dxa"/>
            <w:tcBorders>
              <w:tl2br w:val="nil"/>
              <w:tr2bl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0" w:hRule="atLeast"/>
        </w:trPr>
        <w:tc>
          <w:tcPr>
            <w:tcW w:w="707"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8" w:type="dxa"/>
            <w:tcBorders>
              <w:tl2br w:val="nil"/>
              <w:tr2bl w:val="nil"/>
            </w:tcBorders>
            <w:shd w:val="clear" w:color="auto" w:fill="auto"/>
            <w:vAlign w:val="center"/>
          </w:tcPr>
          <w:p>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92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19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减少温室气体排放</w:t>
            </w:r>
          </w:p>
        </w:tc>
        <w:tc>
          <w:tcPr>
            <w:tcW w:w="8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减少</w:t>
            </w:r>
          </w:p>
        </w:tc>
        <w:tc>
          <w:tcPr>
            <w:tcW w:w="93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其他标准</w:t>
            </w:r>
          </w:p>
        </w:tc>
        <w:tc>
          <w:tcPr>
            <w:tcW w:w="931"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减少排放4286.31万立方米</w:t>
            </w:r>
          </w:p>
        </w:tc>
        <w:tc>
          <w:tcPr>
            <w:tcW w:w="725"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38"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按评判等级赋分</w:t>
            </w:r>
          </w:p>
        </w:tc>
        <w:tc>
          <w:tcPr>
            <w:tcW w:w="112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说明材料</w:t>
            </w:r>
          </w:p>
        </w:tc>
        <w:tc>
          <w:tcPr>
            <w:tcW w:w="107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65"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163"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0" w:hRule="atLeast"/>
        </w:trPr>
        <w:tc>
          <w:tcPr>
            <w:tcW w:w="707"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8"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92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19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项目实施地周边群众满意度</w:t>
            </w:r>
          </w:p>
        </w:tc>
        <w:tc>
          <w:tcPr>
            <w:tcW w:w="8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3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931"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95.00%</w:t>
            </w:r>
          </w:p>
        </w:tc>
        <w:tc>
          <w:tcPr>
            <w:tcW w:w="725"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38"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满意度赋分</w:t>
            </w:r>
          </w:p>
        </w:tc>
        <w:tc>
          <w:tcPr>
            <w:tcW w:w="112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7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w:t>
            </w:r>
          </w:p>
        </w:tc>
        <w:tc>
          <w:tcPr>
            <w:tcW w:w="102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65"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163"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3525" w:type="dxa"/>
            <w:gridSpan w:val="4"/>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864"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tcBorders>
              <w:tl2br w:val="nil"/>
              <w:tr2bl w:val="nil"/>
            </w:tcBorders>
            <w:shd w:val="clear" w:color="auto" w:fill="auto"/>
            <w:vAlign w:val="center"/>
          </w:tcPr>
          <w:p>
            <w:pPr>
              <w:rPr>
                <w:rFonts w:hint="eastAsia" w:ascii="宋体" w:hAnsi="宋体" w:eastAsia="宋体" w:cs="宋体"/>
                <w:b/>
                <w:bCs/>
                <w:i w:val="0"/>
                <w:iCs w:val="0"/>
                <w:color w:val="000000"/>
                <w:sz w:val="20"/>
                <w:szCs w:val="20"/>
                <w:u w:val="none"/>
              </w:rPr>
            </w:pPr>
          </w:p>
        </w:tc>
        <w:tc>
          <w:tcPr>
            <w:tcW w:w="931"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5"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100分</w:t>
            </w:r>
          </w:p>
        </w:tc>
        <w:tc>
          <w:tcPr>
            <w:tcW w:w="938"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7" w:type="dxa"/>
            <w:tcBorders>
              <w:tl2br w:val="nil"/>
              <w:tr2bl w:val="nil"/>
            </w:tcBorders>
            <w:shd w:val="clear" w:color="auto" w:fill="auto"/>
            <w:vAlign w:val="center"/>
          </w:tcPr>
          <w:p>
            <w:pPr>
              <w:rPr>
                <w:rFonts w:hint="eastAsia" w:ascii="宋体" w:hAnsi="宋体" w:eastAsia="宋体" w:cs="宋体"/>
                <w:i w:val="0"/>
                <w:iCs w:val="0"/>
                <w:color w:val="000000"/>
                <w:sz w:val="20"/>
                <w:szCs w:val="20"/>
                <w:u w:val="none"/>
              </w:rPr>
            </w:pPr>
          </w:p>
        </w:tc>
        <w:tc>
          <w:tcPr>
            <w:tcW w:w="1079" w:type="dxa"/>
            <w:tcBorders>
              <w:tl2br w:val="nil"/>
              <w:tr2bl w:val="nil"/>
            </w:tcBorders>
            <w:shd w:val="clear" w:color="auto" w:fill="auto"/>
            <w:vAlign w:val="center"/>
          </w:tcPr>
          <w:p>
            <w:pPr>
              <w:rPr>
                <w:rFonts w:hint="eastAsia" w:ascii="宋体" w:hAnsi="宋体" w:eastAsia="宋体" w:cs="宋体"/>
                <w:i w:val="0"/>
                <w:iCs w:val="0"/>
                <w:color w:val="000000"/>
                <w:sz w:val="20"/>
                <w:szCs w:val="20"/>
                <w:u w:val="none"/>
              </w:rPr>
            </w:pPr>
          </w:p>
        </w:tc>
        <w:tc>
          <w:tcPr>
            <w:tcW w:w="1027" w:type="dxa"/>
            <w:tcBorders>
              <w:tl2br w:val="nil"/>
              <w:tr2bl w:val="nil"/>
            </w:tcBorders>
            <w:shd w:val="clear" w:color="auto" w:fill="auto"/>
            <w:vAlign w:val="center"/>
          </w:tcPr>
          <w:p>
            <w:pPr>
              <w:rPr>
                <w:rFonts w:hint="eastAsia" w:ascii="宋体" w:hAnsi="宋体" w:eastAsia="宋体" w:cs="宋体"/>
                <w:i w:val="0"/>
                <w:iCs w:val="0"/>
                <w:color w:val="000000"/>
                <w:sz w:val="20"/>
                <w:szCs w:val="20"/>
                <w:u w:val="none"/>
              </w:rPr>
            </w:pPr>
          </w:p>
        </w:tc>
        <w:tc>
          <w:tcPr>
            <w:tcW w:w="865"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95.35 </w:t>
            </w:r>
          </w:p>
        </w:tc>
        <w:tc>
          <w:tcPr>
            <w:tcW w:w="2163" w:type="dxa"/>
            <w:tcBorders>
              <w:tl2br w:val="nil"/>
              <w:tr2bl w:val="nil"/>
            </w:tcBorders>
            <w:shd w:val="clear" w:color="auto" w:fill="auto"/>
            <w:vAlign w:val="center"/>
          </w:tcPr>
          <w:p>
            <w:pPr>
              <w:rPr>
                <w:rFonts w:hint="eastAsia" w:ascii="宋体" w:hAnsi="宋体" w:eastAsia="宋体" w:cs="宋体"/>
                <w:i w:val="0"/>
                <w:iCs w:val="0"/>
                <w:color w:val="000000"/>
                <w:sz w:val="20"/>
                <w:szCs w:val="20"/>
                <w:u w:val="none"/>
              </w:rPr>
            </w:pPr>
          </w:p>
        </w:tc>
      </w:tr>
    </w:tbl>
    <w:p>
      <w:pPr>
        <w:pStyle w:val="2"/>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p>
    <w:p>
      <w:pPr>
        <w:rPr>
          <w:rFonts w:hint="default"/>
          <w:lang w:val="en-US" w:eastAsia="zh-CN"/>
        </w:rPr>
        <w:sectPr>
          <w:pgSz w:w="16838" w:h="11906" w:orient="landscape"/>
          <w:pgMar w:top="1800" w:right="1440" w:bottom="1800" w:left="1440" w:header="737" w:footer="851" w:gutter="0"/>
          <w:pgBorders>
            <w:top w:val="none" w:sz="0" w:space="0"/>
            <w:left w:val="none" w:sz="0" w:space="0"/>
            <w:bottom w:val="none" w:sz="0" w:space="0"/>
            <w:right w:val="none" w:sz="0" w:space="0"/>
          </w:pgBorders>
          <w:pgNumType w:fmt="decimal" w:start="1"/>
          <w:cols w:space="720" w:num="1"/>
          <w:docGrid w:type="lines" w:linePitch="408" w:charSpace="0"/>
        </w:sectPr>
      </w:pPr>
    </w:p>
    <w:p>
      <w:pPr>
        <w:pStyle w:val="3"/>
        <w:pageBreakBefore w:val="0"/>
        <w:numPr>
          <w:ilvl w:val="0"/>
          <w:numId w:val="0"/>
        </w:numPr>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88" w:name="_Toc15067"/>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附件二、项目支出绩效评价指标体系打分表</w:t>
      </w:r>
      <w:bookmarkEnd w:id="88"/>
    </w:p>
    <w:tbl>
      <w:tblPr>
        <w:tblStyle w:val="11"/>
        <w:tblW w:w="1392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61"/>
        <w:gridCol w:w="727"/>
        <w:gridCol w:w="948"/>
        <w:gridCol w:w="2013"/>
        <w:gridCol w:w="7821"/>
        <w:gridCol w:w="785"/>
        <w:gridCol w:w="7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2" w:hRule="atLeast"/>
          <w:tblHeader/>
          <w:jc w:val="center"/>
        </w:trPr>
        <w:tc>
          <w:tcPr>
            <w:tcW w:w="861" w:type="dxa"/>
            <w:shd w:val="clear" w:color="auto" w:fill="auto"/>
            <w:noWrap w:val="0"/>
            <w:vAlign w:val="center"/>
          </w:tcPr>
          <w:p>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727" w:type="dxa"/>
            <w:shd w:val="clear" w:color="auto" w:fill="auto"/>
            <w:noWrap w:val="0"/>
            <w:vAlign w:val="center"/>
          </w:tcPr>
          <w:p>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948" w:type="dxa"/>
            <w:shd w:val="clear" w:color="auto" w:fill="auto"/>
            <w:noWrap w:val="0"/>
            <w:vAlign w:val="center"/>
          </w:tcPr>
          <w:p>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2013" w:type="dxa"/>
            <w:shd w:val="clear" w:color="auto" w:fill="auto"/>
            <w:noWrap w:val="0"/>
            <w:vAlign w:val="center"/>
          </w:tcPr>
          <w:p>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指标解释</w:t>
            </w:r>
          </w:p>
        </w:tc>
        <w:tc>
          <w:tcPr>
            <w:tcW w:w="7821" w:type="dxa"/>
            <w:shd w:val="clear" w:color="auto" w:fill="auto"/>
            <w:noWrap w:val="0"/>
            <w:vAlign w:val="center"/>
          </w:tcPr>
          <w:p>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指标说明</w:t>
            </w:r>
          </w:p>
        </w:tc>
        <w:tc>
          <w:tcPr>
            <w:tcW w:w="785" w:type="dxa"/>
            <w:shd w:val="clear" w:color="auto" w:fill="auto"/>
            <w:noWrap w:val="0"/>
            <w:vAlign w:val="center"/>
          </w:tcPr>
          <w:p>
            <w:pPr>
              <w:widowControl/>
              <w:spacing w:line="0" w:lineRule="atLeast"/>
              <w:ind w:firstLine="0" w:firstLineChars="0"/>
              <w:jc w:val="center"/>
              <w:rPr>
                <w:rFonts w:hint="eastAsia"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分值</w:t>
            </w:r>
          </w:p>
        </w:tc>
        <w:tc>
          <w:tcPr>
            <w:tcW w:w="769" w:type="dxa"/>
            <w:shd w:val="clear" w:color="auto" w:fill="auto"/>
            <w:noWrap w:val="0"/>
            <w:vAlign w:val="center"/>
          </w:tcPr>
          <w:p>
            <w:pPr>
              <w:widowControl/>
              <w:spacing w:line="0" w:lineRule="atLeast"/>
              <w:ind w:firstLine="0" w:firstLineChars="0"/>
              <w:jc w:val="center"/>
              <w:rPr>
                <w:rFonts w:hint="eastAsia"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318" w:hRule="atLeast"/>
          <w:jc w:val="center"/>
        </w:trPr>
        <w:tc>
          <w:tcPr>
            <w:tcW w:w="861" w:type="dxa"/>
            <w:vMerge w:val="restart"/>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决策　</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p>
            <w:pPr>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727" w:type="dxa"/>
            <w:vMerge w:val="restart"/>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项目立项　</w:t>
            </w:r>
          </w:p>
        </w:tc>
        <w:tc>
          <w:tcPr>
            <w:tcW w:w="948" w:type="dxa"/>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立项依据</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充分性</w:t>
            </w:r>
          </w:p>
        </w:tc>
        <w:tc>
          <w:tcPr>
            <w:tcW w:w="2013" w:type="dxa"/>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项目立项是否符合法律法规、相关政策、发展规划以及部门职责，用以反映和考核项目立项依据情况。</w:t>
            </w:r>
          </w:p>
        </w:tc>
        <w:tc>
          <w:tcPr>
            <w:tcW w:w="7821" w:type="dxa"/>
            <w:shd w:val="clear" w:color="auto" w:fill="auto"/>
            <w:noWrap w:val="0"/>
            <w:vAlign w:val="center"/>
          </w:tcPr>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①项目立项是否符合国家法律法规、国民经济发展规划和相关政策；</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②项目立项是否符合行业发展规划和政策要求；</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③项目立项是否与部门职责范围相符，属于部门履职所需；</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④项目是否属于公共财政支持范围，是否符合中央、地方事权支出责任划分原则；</w:t>
            </w:r>
          </w:p>
          <w:p>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⑤项目是否与相关部门同类项目或部门内部相关项目重复。</w:t>
            </w: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auto"/>
            <w:noWrap w:val="0"/>
            <w:vAlign w:val="center"/>
          </w:tcPr>
          <w:p>
            <w:pPr>
              <w:widowControl/>
              <w:spacing w:line="0" w:lineRule="atLeast"/>
              <w:ind w:firstLine="0" w:firstLineChars="0"/>
              <w:jc w:val="left"/>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40" w:hRule="atLeast"/>
          <w:jc w:val="center"/>
        </w:trPr>
        <w:tc>
          <w:tcPr>
            <w:tcW w:w="861" w:type="dxa"/>
            <w:vMerge w:val="continue"/>
            <w:shd w:val="clear" w:color="auto" w:fill="auto"/>
            <w:noWrap w:val="0"/>
            <w:vAlign w:val="center"/>
          </w:tcPr>
          <w:p>
            <w:pPr>
              <w:spacing w:line="0" w:lineRule="atLeast"/>
              <w:ind w:firstLine="0" w:firstLineChars="0"/>
              <w:jc w:val="center"/>
              <w:rPr>
                <w:rFonts w:ascii="宋体" w:hAnsi="宋体" w:eastAsia="宋体" w:cs="宋体"/>
                <w:color w:val="auto"/>
                <w:kern w:val="0"/>
                <w:sz w:val="22"/>
                <w:szCs w:val="22"/>
              </w:rPr>
            </w:pPr>
          </w:p>
        </w:tc>
        <w:tc>
          <w:tcPr>
            <w:tcW w:w="727" w:type="dxa"/>
            <w:vMerge w:val="continue"/>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rPr>
            </w:pPr>
          </w:p>
        </w:tc>
        <w:tc>
          <w:tcPr>
            <w:tcW w:w="948" w:type="dxa"/>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立项程序</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规范性</w:t>
            </w:r>
          </w:p>
        </w:tc>
        <w:tc>
          <w:tcPr>
            <w:tcW w:w="2013" w:type="dxa"/>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项目申请、设立过程是否符合相关要求，用以反映和考核项目立项的规范情况。</w:t>
            </w:r>
          </w:p>
        </w:tc>
        <w:tc>
          <w:tcPr>
            <w:tcW w:w="7821" w:type="dxa"/>
            <w:shd w:val="clear" w:color="auto" w:fill="auto"/>
            <w:noWrap w:val="0"/>
            <w:vAlign w:val="center"/>
          </w:tcPr>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①项目是否按照规定的程序申请设立；</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②审批文件、材料是否符合相关要求；</w:t>
            </w:r>
          </w:p>
          <w:p>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③事前是否已经过必要的可行性研究、专家论证、风险评估、绩效评估、集体决策。</w:t>
            </w: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auto"/>
            <w:noWrap w:val="0"/>
            <w:vAlign w:val="center"/>
          </w:tcPr>
          <w:p>
            <w:pPr>
              <w:widowControl/>
              <w:spacing w:line="0" w:lineRule="atLeast"/>
              <w:ind w:firstLine="0" w:firstLineChars="0"/>
              <w:jc w:val="left"/>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19" w:hRule="atLeast"/>
          <w:jc w:val="center"/>
        </w:trPr>
        <w:tc>
          <w:tcPr>
            <w:tcW w:w="861" w:type="dxa"/>
            <w:vMerge w:val="continue"/>
            <w:shd w:val="clear" w:color="auto" w:fill="auto"/>
            <w:noWrap w:val="0"/>
            <w:vAlign w:val="center"/>
          </w:tcPr>
          <w:p>
            <w:pPr>
              <w:spacing w:line="0" w:lineRule="atLeast"/>
              <w:ind w:firstLine="0" w:firstLineChars="0"/>
              <w:jc w:val="center"/>
              <w:rPr>
                <w:rFonts w:ascii="宋体" w:hAnsi="宋体" w:eastAsia="宋体" w:cs="宋体"/>
                <w:color w:val="auto"/>
                <w:kern w:val="0"/>
                <w:sz w:val="22"/>
                <w:szCs w:val="22"/>
              </w:rPr>
            </w:pPr>
          </w:p>
        </w:tc>
        <w:tc>
          <w:tcPr>
            <w:tcW w:w="727" w:type="dxa"/>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绩效目标　</w:t>
            </w:r>
          </w:p>
        </w:tc>
        <w:tc>
          <w:tcPr>
            <w:tcW w:w="948" w:type="dxa"/>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绩效目标</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合理性</w:t>
            </w:r>
          </w:p>
        </w:tc>
        <w:tc>
          <w:tcPr>
            <w:tcW w:w="2013" w:type="dxa"/>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项目所设定的绩效目标是否依据充分，是否符合客观实际，用以反映和考核项目绩效目标与项目实施的相符情况。</w:t>
            </w:r>
          </w:p>
        </w:tc>
        <w:tc>
          <w:tcPr>
            <w:tcW w:w="7821" w:type="dxa"/>
            <w:shd w:val="clear" w:color="auto" w:fill="auto"/>
            <w:noWrap w:val="0"/>
            <w:vAlign w:val="center"/>
          </w:tcPr>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（如未设定预算绩效目标，也可考核其他工作任务目标）</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①项目是否有绩效目标；</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②项目绩效目标与实际工作内容是否具有相关性；</w:t>
            </w:r>
          </w:p>
          <w:p>
            <w:pPr>
              <w:widowControl/>
              <w:spacing w:line="0" w:lineRule="atLeas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③项目预期产出效益和效果是否符合正常的业绩水平；</w:t>
            </w:r>
          </w:p>
          <w:p>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④是否与预算确定的项目投资额或资金量相匹配。</w:t>
            </w: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auto" w:fill="auto"/>
            <w:noWrap w:val="0"/>
            <w:vAlign w:val="center"/>
          </w:tcPr>
          <w:p>
            <w:pPr>
              <w:widowControl/>
              <w:spacing w:line="0" w:lineRule="atLeast"/>
              <w:ind w:firstLine="0" w:firstLineChars="0"/>
              <w:jc w:val="left"/>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464" w:hRule="atLeast"/>
          <w:jc w:val="center"/>
        </w:trPr>
        <w:tc>
          <w:tcPr>
            <w:tcW w:w="861" w:type="dxa"/>
            <w:vMerge w:val="restart"/>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决策　</w:t>
            </w:r>
          </w:p>
        </w:tc>
        <w:tc>
          <w:tcPr>
            <w:tcW w:w="727" w:type="dxa"/>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绩效目标</w:t>
            </w:r>
          </w:p>
        </w:tc>
        <w:tc>
          <w:tcPr>
            <w:tcW w:w="948" w:type="dxa"/>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绩效指标</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明确性</w:t>
            </w:r>
          </w:p>
        </w:tc>
        <w:tc>
          <w:tcPr>
            <w:tcW w:w="2013" w:type="dxa"/>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依据绩效目标设定的绩效指标是否清晰、细化、可衡量等，用以反映和考核项目绩效目标的明细化情况。</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①是否将项目绩效目标细化分解为具体的绩效指标；</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②是否通过清晰、可衡量的指标值予以体现；</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③是否与项目目标任务数或计划数相对应。</w:t>
            </w:r>
          </w:p>
          <w:p>
            <w:pPr>
              <w:widowControl/>
              <w:spacing w:line="0" w:lineRule="atLeast"/>
              <w:ind w:firstLine="0" w:firstLineChars="0"/>
              <w:rPr>
                <w:rFonts w:hint="eastAsia" w:ascii="宋体" w:hAnsi="宋体" w:eastAsia="宋体" w:cs="宋体"/>
                <w:color w:val="000000"/>
                <w:kern w:val="0"/>
                <w:sz w:val="22"/>
                <w:szCs w:val="22"/>
                <w:lang w:eastAsia="zh-CN"/>
              </w:rPr>
            </w:pP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42" w:hRule="atLeast"/>
          <w:jc w:val="center"/>
        </w:trPr>
        <w:tc>
          <w:tcPr>
            <w:tcW w:w="861" w:type="dxa"/>
            <w:vMerge w:val="continue"/>
            <w:shd w:val="clear" w:color="auto" w:fill="auto"/>
            <w:noWrap w:val="0"/>
            <w:vAlign w:val="center"/>
          </w:tcPr>
          <w:p>
            <w:pPr>
              <w:spacing w:line="0" w:lineRule="atLeast"/>
              <w:ind w:firstLine="0" w:firstLineChars="0"/>
              <w:jc w:val="center"/>
              <w:rPr>
                <w:rFonts w:ascii="宋体" w:hAnsi="宋体" w:eastAsia="宋体" w:cs="宋体"/>
                <w:color w:val="auto"/>
                <w:kern w:val="0"/>
                <w:sz w:val="22"/>
                <w:szCs w:val="22"/>
              </w:rPr>
            </w:pPr>
          </w:p>
        </w:tc>
        <w:tc>
          <w:tcPr>
            <w:tcW w:w="727" w:type="dxa"/>
            <w:vMerge w:val="restart"/>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资金投入</w:t>
            </w:r>
          </w:p>
          <w:p>
            <w:pPr>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948" w:type="dxa"/>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预算编制</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科学性</w:t>
            </w:r>
          </w:p>
        </w:tc>
        <w:tc>
          <w:tcPr>
            <w:tcW w:w="2013" w:type="dxa"/>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项目预算编制是否经过科学论证、有明确标准，资金额度与年度目标是否相适应，用以反映和考核项目预算编制的科学性、合理性情况。</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①预算编制是否经过科学论证；</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②预算内容与项目内容是否匹配；</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③预算额度测算依据是否充分，是否按照标准编制；</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④预算确定的项目投资额或资金量是否与工作任务相匹配。</w:t>
            </w: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06" w:hRule="atLeast"/>
          <w:jc w:val="center"/>
        </w:trPr>
        <w:tc>
          <w:tcPr>
            <w:tcW w:w="861" w:type="dxa"/>
            <w:vMerge w:val="continue"/>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rPr>
            </w:pPr>
          </w:p>
        </w:tc>
        <w:tc>
          <w:tcPr>
            <w:tcW w:w="727" w:type="dxa"/>
            <w:vMerge w:val="continue"/>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rPr>
            </w:pPr>
          </w:p>
        </w:tc>
        <w:tc>
          <w:tcPr>
            <w:tcW w:w="948" w:type="dxa"/>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资金分配</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合理性</w:t>
            </w:r>
          </w:p>
        </w:tc>
        <w:tc>
          <w:tcPr>
            <w:tcW w:w="2013" w:type="dxa"/>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项目预算资金分配是否有测算依据，与补助单位或地方实际是否相适应，用以反映和考核项目预算资金分配的科学性、合理性情况。</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①预算资金分配依据是否充分；</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②资金分配额度是否合理，与项目单位或地方实际是否相适应。</w:t>
            </w: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415" w:hRule="atLeast"/>
          <w:jc w:val="center"/>
        </w:trPr>
        <w:tc>
          <w:tcPr>
            <w:tcW w:w="861" w:type="dxa"/>
            <w:vMerge w:val="restart"/>
            <w:shd w:val="clear" w:color="auto" w:fill="auto"/>
            <w:noWrap w:val="0"/>
            <w:vAlign w:val="center"/>
          </w:tcPr>
          <w:p>
            <w:pPr>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过程</w:t>
            </w:r>
          </w:p>
        </w:tc>
        <w:tc>
          <w:tcPr>
            <w:tcW w:w="727" w:type="dxa"/>
            <w:vMerge w:val="restart"/>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资金管理</w:t>
            </w:r>
          </w:p>
        </w:tc>
        <w:tc>
          <w:tcPr>
            <w:tcW w:w="948" w:type="dxa"/>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资金到位率</w:t>
            </w:r>
          </w:p>
        </w:tc>
        <w:tc>
          <w:tcPr>
            <w:tcW w:w="2013" w:type="dxa"/>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实际到位资金与预算资金的比率，用以反映和考核资金落实情况对项目实施的总体保障程度。</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资金到位率=（实际到位资金/预算资金）×100%。</w:t>
            </w:r>
          </w:p>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实际到位资金：一定时期（本年度或项目期）内落实到具体项目的资金。</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预算资金：一定时期（本年度或项目期）内预算安排到具体项目的资金。</w:t>
            </w: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20" w:hRule="atLeast"/>
          <w:jc w:val="center"/>
        </w:trPr>
        <w:tc>
          <w:tcPr>
            <w:tcW w:w="861" w:type="dxa"/>
            <w:vMerge w:val="continue"/>
            <w:shd w:val="clear" w:color="auto" w:fill="auto"/>
            <w:noWrap w:val="0"/>
            <w:vAlign w:val="center"/>
          </w:tcPr>
          <w:p>
            <w:pPr>
              <w:spacing w:line="0" w:lineRule="atLeast"/>
              <w:ind w:firstLine="0" w:firstLineChars="0"/>
              <w:jc w:val="center"/>
              <w:rPr>
                <w:rFonts w:hint="eastAsia" w:ascii="宋体" w:hAnsi="宋体" w:eastAsia="宋体" w:cs="宋体"/>
                <w:color w:val="auto"/>
                <w:kern w:val="0"/>
                <w:sz w:val="22"/>
                <w:szCs w:val="22"/>
              </w:rPr>
            </w:pPr>
          </w:p>
        </w:tc>
        <w:tc>
          <w:tcPr>
            <w:tcW w:w="727" w:type="dxa"/>
            <w:vMerge w:val="continue"/>
            <w:shd w:val="clear" w:color="auto" w:fill="auto"/>
            <w:noWrap w:val="0"/>
            <w:vAlign w:val="center"/>
          </w:tcPr>
          <w:p>
            <w:pPr>
              <w:spacing w:line="0" w:lineRule="atLeast"/>
              <w:ind w:firstLine="0" w:firstLineChars="0"/>
              <w:jc w:val="center"/>
              <w:rPr>
                <w:rFonts w:hint="eastAsia" w:ascii="宋体" w:hAnsi="宋体" w:eastAsia="宋体" w:cs="宋体"/>
                <w:color w:val="auto"/>
                <w:kern w:val="0"/>
                <w:sz w:val="22"/>
                <w:szCs w:val="22"/>
              </w:rPr>
            </w:pPr>
          </w:p>
        </w:tc>
        <w:tc>
          <w:tcPr>
            <w:tcW w:w="948" w:type="dxa"/>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预算执行率</w:t>
            </w:r>
          </w:p>
        </w:tc>
        <w:tc>
          <w:tcPr>
            <w:tcW w:w="2013" w:type="dxa"/>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项目预算资金是否按照计划执行，用以反映或考核项目预算执行情况。</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预算执行率=（实际支出资金/实际到位资金）×100%。</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实际支出资金：一定时期（本年度或项目期）内项目实际拨付的资金。</w:t>
            </w: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076" w:hRule="atLeast"/>
          <w:jc w:val="center"/>
        </w:trPr>
        <w:tc>
          <w:tcPr>
            <w:tcW w:w="861" w:type="dxa"/>
            <w:vMerge w:val="restart"/>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p>
            <w:pPr>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过程　</w:t>
            </w:r>
          </w:p>
        </w:tc>
        <w:tc>
          <w:tcPr>
            <w:tcW w:w="727" w:type="dxa"/>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资金管理</w:t>
            </w:r>
          </w:p>
        </w:tc>
        <w:tc>
          <w:tcPr>
            <w:tcW w:w="948" w:type="dxa"/>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资金使用</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合规性</w:t>
            </w:r>
          </w:p>
        </w:tc>
        <w:tc>
          <w:tcPr>
            <w:tcW w:w="2013" w:type="dxa"/>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项目资金使用是否符合相关的财务管理制度规定，用以反映和考核项目资金的规范运行情况。</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①是否符合国家财经法规和财务管理制度以及有关专项资金管理办法的规定；</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②资金的拨付是否有完整的审批程序和手续；</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③是否符合项目预算批复或合同规定的用途；</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④是否存在截留、挤占、挪用、虚列支出等情况。</w:t>
            </w: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97" w:hRule="atLeast"/>
          <w:jc w:val="center"/>
        </w:trPr>
        <w:tc>
          <w:tcPr>
            <w:tcW w:w="861" w:type="dxa"/>
            <w:vMerge w:val="continue"/>
            <w:shd w:val="clear" w:color="auto" w:fill="auto"/>
            <w:noWrap w:val="0"/>
            <w:vAlign w:val="center"/>
          </w:tcPr>
          <w:p>
            <w:pPr>
              <w:spacing w:line="0" w:lineRule="atLeast"/>
              <w:ind w:firstLine="0" w:firstLineChars="0"/>
              <w:jc w:val="center"/>
              <w:rPr>
                <w:rFonts w:ascii="宋体" w:hAnsi="宋体" w:eastAsia="宋体" w:cs="宋体"/>
                <w:color w:val="auto"/>
                <w:kern w:val="0"/>
                <w:sz w:val="22"/>
                <w:szCs w:val="22"/>
              </w:rPr>
            </w:pPr>
          </w:p>
        </w:tc>
        <w:tc>
          <w:tcPr>
            <w:tcW w:w="727" w:type="dxa"/>
            <w:vMerge w:val="restart"/>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组织实施</w:t>
            </w:r>
          </w:p>
          <w:p>
            <w:pPr>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948" w:type="dxa"/>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管理制度</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健全性</w:t>
            </w:r>
          </w:p>
        </w:tc>
        <w:tc>
          <w:tcPr>
            <w:tcW w:w="2013" w:type="dxa"/>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项目实施单位的财务和业务管理制度是否健全，用以反映和考核财务和业务管理制度对项目顺利实施的保障情况。</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①是否已制定或具有相应的财务和业务管理制度；</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②财务和业务管理制度是否合法、合规、完整。</w:t>
            </w: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69" w:hRule="atLeast"/>
          <w:jc w:val="center"/>
        </w:trPr>
        <w:tc>
          <w:tcPr>
            <w:tcW w:w="861" w:type="dxa"/>
            <w:vMerge w:val="continue"/>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rPr>
            </w:pPr>
          </w:p>
        </w:tc>
        <w:tc>
          <w:tcPr>
            <w:tcW w:w="727" w:type="dxa"/>
            <w:vMerge w:val="continue"/>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rPr>
            </w:pPr>
          </w:p>
        </w:tc>
        <w:tc>
          <w:tcPr>
            <w:tcW w:w="948" w:type="dxa"/>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制度执行</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有效性</w:t>
            </w:r>
          </w:p>
        </w:tc>
        <w:tc>
          <w:tcPr>
            <w:tcW w:w="2013" w:type="dxa"/>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项目实施是否符合相关管理规定，用以反映和考核相关管理制度的有效执行情况。</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①是否遵守相关法律法规和相关管理规定；</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②项目调整及支出调整手续是否完备；</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③项目合同书、验收报告、技术鉴定等资料是否齐全并及时归档；</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④项目实施的人员条件、场地设备、信息支撑等是否落实到位。</w:t>
            </w: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17" w:hRule="atLeast"/>
          <w:jc w:val="center"/>
        </w:trPr>
        <w:tc>
          <w:tcPr>
            <w:tcW w:w="861" w:type="dxa"/>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w:t>
            </w:r>
          </w:p>
        </w:tc>
        <w:tc>
          <w:tcPr>
            <w:tcW w:w="727" w:type="dxa"/>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产出数量</w:t>
            </w:r>
          </w:p>
        </w:tc>
        <w:tc>
          <w:tcPr>
            <w:tcW w:w="948" w:type="dxa"/>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非常规天然气开采利用量</w:t>
            </w:r>
          </w:p>
        </w:tc>
        <w:tc>
          <w:tcPr>
            <w:tcW w:w="2013" w:type="dxa"/>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项目实施的实际产出数与计划产出数的比率，用以反映和考核项目产出数量目标的实现程度。</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实际完成率=（实际产出数/计划产出数）×100%。</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实际产出数：一定时期（本年度或项目期）内项目实际产出的产品或提供的服务数量。</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785" w:type="dxa"/>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2.5</w:t>
            </w:r>
          </w:p>
        </w:tc>
        <w:tc>
          <w:tcPr>
            <w:tcW w:w="769" w:type="dxa"/>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17" w:hRule="atLeast"/>
          <w:jc w:val="center"/>
        </w:trPr>
        <w:tc>
          <w:tcPr>
            <w:tcW w:w="861" w:type="dxa"/>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产出</w:t>
            </w:r>
          </w:p>
        </w:tc>
        <w:tc>
          <w:tcPr>
            <w:tcW w:w="727" w:type="dxa"/>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产出数量</w:t>
            </w:r>
          </w:p>
        </w:tc>
        <w:tc>
          <w:tcPr>
            <w:tcW w:w="948" w:type="dxa"/>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采暖季非常规天然气利用量占全年比例</w:t>
            </w:r>
          </w:p>
        </w:tc>
        <w:tc>
          <w:tcPr>
            <w:tcW w:w="2013" w:type="dxa"/>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项目实施的实际产出数与计划产出数的比率，用以反映和考核项目产出数量目标的实现程度。</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实际完成率=（实际产出数/计划产出数）×100%。</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实际产出数：一定时期（本年度或项目期）内项目实际产出的产品或提供的服务数量。</w:t>
            </w:r>
          </w:p>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785"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bidi="ar-SA"/>
              </w:rPr>
            </w:pPr>
            <w:r>
              <w:rPr>
                <w:rFonts w:hint="eastAsia" w:cs="宋体"/>
                <w:color w:val="000000"/>
                <w:kern w:val="0"/>
                <w:sz w:val="22"/>
                <w:szCs w:val="22"/>
                <w:lang w:val="en-US" w:eastAsia="zh-CN"/>
              </w:rPr>
              <w:t>2.5</w:t>
            </w:r>
          </w:p>
        </w:tc>
        <w:tc>
          <w:tcPr>
            <w:tcW w:w="769" w:type="dxa"/>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bidi="ar-SA"/>
              </w:rPr>
            </w:pPr>
            <w:r>
              <w:rPr>
                <w:rFonts w:hint="eastAsia" w:cs="宋体"/>
                <w:color w:val="000000"/>
                <w:kern w:val="0"/>
                <w:sz w:val="22"/>
                <w:szCs w:val="22"/>
                <w:lang w:val="en-US" w:eastAsia="zh-CN"/>
              </w:rPr>
              <w:t>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17" w:hRule="atLeast"/>
          <w:jc w:val="center"/>
        </w:trPr>
        <w:tc>
          <w:tcPr>
            <w:tcW w:w="861" w:type="dxa"/>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产出</w:t>
            </w:r>
          </w:p>
        </w:tc>
        <w:tc>
          <w:tcPr>
            <w:tcW w:w="727" w:type="dxa"/>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产出数量</w:t>
            </w:r>
          </w:p>
        </w:tc>
        <w:tc>
          <w:tcPr>
            <w:tcW w:w="948" w:type="dxa"/>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非常规天然气开采利用率</w:t>
            </w:r>
          </w:p>
        </w:tc>
        <w:tc>
          <w:tcPr>
            <w:tcW w:w="2013" w:type="dxa"/>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项目实施的实际产出数与计划产出数的比率，用以反映和考核项目产出数量目标的实现程度。</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实际完成率=（实际产出数/计划产出数）×100%。</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实际产出数：一定时期（本年度或项目期）内项目实际产出的产品或提供的服务数量。</w:t>
            </w:r>
          </w:p>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785"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bidi="ar-SA"/>
              </w:rPr>
            </w:pPr>
            <w:r>
              <w:rPr>
                <w:rFonts w:hint="eastAsia" w:cs="宋体"/>
                <w:color w:val="000000"/>
                <w:kern w:val="0"/>
                <w:sz w:val="22"/>
                <w:szCs w:val="22"/>
                <w:lang w:val="en-US" w:eastAsia="zh-CN"/>
              </w:rPr>
              <w:t>2.5</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bidi="ar-SA"/>
              </w:rPr>
            </w:pPr>
            <w:r>
              <w:rPr>
                <w:rFonts w:hint="eastAsia" w:cs="宋体"/>
                <w:color w:val="000000"/>
                <w:kern w:val="0"/>
                <w:sz w:val="22"/>
                <w:szCs w:val="22"/>
                <w:lang w:val="en-US" w:eastAsia="zh-CN"/>
              </w:rPr>
              <w:t>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17" w:hRule="atLeast"/>
          <w:jc w:val="center"/>
        </w:trPr>
        <w:tc>
          <w:tcPr>
            <w:tcW w:w="861" w:type="dxa"/>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产出</w:t>
            </w:r>
          </w:p>
        </w:tc>
        <w:tc>
          <w:tcPr>
            <w:tcW w:w="727" w:type="dxa"/>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产出数量</w:t>
            </w:r>
          </w:p>
        </w:tc>
        <w:tc>
          <w:tcPr>
            <w:tcW w:w="948" w:type="dxa"/>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非常规天然气抽采量</w:t>
            </w:r>
          </w:p>
        </w:tc>
        <w:tc>
          <w:tcPr>
            <w:tcW w:w="2013" w:type="dxa"/>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项目实施的实际产出数与计划产出数的比率，用以反映和考核项目产出数量目标的实现程度。</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实际完成率=（实际产出数/计划产出数）×100%。</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实际产出数：一定时期（本年度或项目期）内项目实际产出的产品或提供的服务数量。</w:t>
            </w:r>
          </w:p>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785"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bidi="ar-SA"/>
              </w:rPr>
            </w:pPr>
            <w:r>
              <w:rPr>
                <w:rFonts w:hint="eastAsia" w:cs="宋体"/>
                <w:color w:val="000000"/>
                <w:kern w:val="0"/>
                <w:sz w:val="22"/>
                <w:szCs w:val="22"/>
                <w:lang w:val="en-US" w:eastAsia="zh-CN"/>
              </w:rPr>
              <w:t>2.5</w:t>
            </w:r>
          </w:p>
        </w:tc>
        <w:tc>
          <w:tcPr>
            <w:tcW w:w="769" w:type="dxa"/>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bidi="ar-SA"/>
              </w:rPr>
            </w:pPr>
            <w:r>
              <w:rPr>
                <w:rFonts w:hint="eastAsia" w:cs="宋体"/>
                <w:color w:val="000000"/>
                <w:kern w:val="0"/>
                <w:sz w:val="22"/>
                <w:szCs w:val="22"/>
                <w:lang w:val="en-US" w:eastAsia="zh-CN"/>
              </w:rPr>
              <w:t>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18" w:hRule="atLeast"/>
          <w:jc w:val="center"/>
        </w:trPr>
        <w:tc>
          <w:tcPr>
            <w:tcW w:w="861" w:type="dxa"/>
            <w:vMerge w:val="restart"/>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w:t>
            </w:r>
          </w:p>
        </w:tc>
        <w:tc>
          <w:tcPr>
            <w:tcW w:w="727" w:type="dxa"/>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产出质量</w:t>
            </w:r>
          </w:p>
        </w:tc>
        <w:tc>
          <w:tcPr>
            <w:tcW w:w="948" w:type="dxa"/>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非常规天然气检测合格率</w:t>
            </w:r>
          </w:p>
        </w:tc>
        <w:tc>
          <w:tcPr>
            <w:tcW w:w="2013" w:type="dxa"/>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项目完成的质量达标产出数与实际产出数的比率，用以反映和考核项目产出质量目标的实现程度。</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质量达标率=（质量达标产出数/实际产出数）×100%。</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85"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506" w:hRule="atLeast"/>
          <w:jc w:val="center"/>
        </w:trPr>
        <w:tc>
          <w:tcPr>
            <w:tcW w:w="861" w:type="dxa"/>
            <w:vMerge w:val="continue"/>
            <w:shd w:val="clear" w:color="auto" w:fill="auto"/>
            <w:noWrap w:val="0"/>
            <w:vAlign w:val="center"/>
          </w:tcPr>
          <w:p>
            <w:pPr>
              <w:spacing w:line="0" w:lineRule="atLeast"/>
              <w:ind w:firstLine="0" w:firstLineChars="0"/>
              <w:jc w:val="center"/>
              <w:rPr>
                <w:rFonts w:ascii="宋体" w:hAnsi="宋体" w:eastAsia="宋体" w:cs="宋体"/>
                <w:color w:val="auto"/>
                <w:kern w:val="0"/>
                <w:sz w:val="22"/>
                <w:szCs w:val="22"/>
                <w:highlight w:val="none"/>
              </w:rPr>
            </w:pPr>
          </w:p>
        </w:tc>
        <w:tc>
          <w:tcPr>
            <w:tcW w:w="727" w:type="dxa"/>
            <w:shd w:val="clear" w:color="auto" w:fill="auto"/>
            <w:noWrap w:val="0"/>
            <w:vAlign w:val="center"/>
          </w:tcPr>
          <w:p>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产出时效</w:t>
            </w:r>
          </w:p>
        </w:tc>
        <w:tc>
          <w:tcPr>
            <w:tcW w:w="948" w:type="dxa"/>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非常规天然气月度盘点及时率</w:t>
            </w:r>
          </w:p>
        </w:tc>
        <w:tc>
          <w:tcPr>
            <w:tcW w:w="2013" w:type="dxa"/>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项目实际完成时间与计划完成时间的比较，用以反映和考核项目产出时效目标的实现程度。</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实际完成时间：项目实施单位完成该项目实际所耗用的时间。</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计划完成时间：按照项目实施计划或相关规定完成该项目所需的时间。</w:t>
            </w:r>
          </w:p>
        </w:tc>
        <w:tc>
          <w:tcPr>
            <w:tcW w:w="785"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bidi="ar-SA"/>
              </w:rPr>
            </w:pPr>
            <w:r>
              <w:rPr>
                <w:rFonts w:hint="eastAsia" w:cs="宋体"/>
                <w:color w:val="000000"/>
                <w:kern w:val="0"/>
                <w:sz w:val="22"/>
                <w:szCs w:val="22"/>
                <w:lang w:val="en-US" w:eastAsia="zh-CN"/>
              </w:rPr>
              <w:t>5</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bidi="ar-SA"/>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506" w:hRule="atLeast"/>
          <w:jc w:val="center"/>
        </w:trPr>
        <w:tc>
          <w:tcPr>
            <w:tcW w:w="861" w:type="dxa"/>
            <w:vMerge w:val="continue"/>
            <w:shd w:val="clear" w:color="auto" w:fill="auto"/>
            <w:noWrap w:val="0"/>
            <w:vAlign w:val="center"/>
          </w:tcPr>
          <w:p>
            <w:pPr>
              <w:spacing w:line="0" w:lineRule="atLeast"/>
              <w:ind w:firstLine="0" w:firstLineChars="0"/>
              <w:jc w:val="center"/>
              <w:rPr>
                <w:rFonts w:ascii="宋体" w:hAnsi="宋体" w:eastAsia="宋体" w:cs="宋体"/>
                <w:color w:val="auto"/>
                <w:kern w:val="0"/>
                <w:sz w:val="22"/>
                <w:szCs w:val="22"/>
                <w:highlight w:val="yellow"/>
              </w:rPr>
            </w:pPr>
          </w:p>
        </w:tc>
        <w:tc>
          <w:tcPr>
            <w:tcW w:w="727" w:type="dxa"/>
            <w:shd w:val="clear" w:color="auto" w:fill="auto"/>
            <w:noWrap w:val="0"/>
            <w:vAlign w:val="center"/>
          </w:tcPr>
          <w:p>
            <w:pPr>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产出时效</w:t>
            </w:r>
          </w:p>
        </w:tc>
        <w:tc>
          <w:tcPr>
            <w:tcW w:w="948" w:type="dxa"/>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非常规天然气设备维护保养率</w:t>
            </w:r>
          </w:p>
        </w:tc>
        <w:tc>
          <w:tcPr>
            <w:tcW w:w="2013" w:type="dxa"/>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项目实际完成时间与计划完成时间的比较，用以反映和考核项目产出时效目标的实现程度。</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实际完成时间：项目实施单位完成该项目实际所耗用的时间。</w:t>
            </w:r>
          </w:p>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计划完成时间：按照项目实施计划或相关规定完成该项目所需的时间。</w:t>
            </w:r>
          </w:p>
        </w:tc>
        <w:tc>
          <w:tcPr>
            <w:tcW w:w="785"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bidi="ar-SA"/>
              </w:rPr>
            </w:pPr>
            <w:r>
              <w:rPr>
                <w:rFonts w:hint="eastAsia" w:cs="宋体"/>
                <w:color w:val="000000"/>
                <w:kern w:val="0"/>
                <w:sz w:val="22"/>
                <w:szCs w:val="22"/>
                <w:lang w:val="en-US" w:eastAsia="zh-CN"/>
              </w:rPr>
              <w:t>5</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bidi="ar-SA"/>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076" w:hRule="atLeast"/>
          <w:jc w:val="center"/>
        </w:trPr>
        <w:tc>
          <w:tcPr>
            <w:tcW w:w="861" w:type="dxa"/>
            <w:vMerge w:val="continue"/>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yellow"/>
              </w:rPr>
            </w:pPr>
          </w:p>
        </w:tc>
        <w:tc>
          <w:tcPr>
            <w:tcW w:w="727" w:type="dxa"/>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产出成本</w:t>
            </w:r>
          </w:p>
        </w:tc>
        <w:tc>
          <w:tcPr>
            <w:tcW w:w="948" w:type="dxa"/>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lang w:eastAsia="zh-CN"/>
              </w:rPr>
            </w:pPr>
            <w:r>
              <w:rPr>
                <w:rFonts w:hint="eastAsia" w:cs="宋体"/>
                <w:color w:val="auto"/>
                <w:kern w:val="0"/>
                <w:sz w:val="22"/>
                <w:szCs w:val="22"/>
                <w:highlight w:val="none"/>
                <w:lang w:eastAsia="zh-CN"/>
              </w:rPr>
              <w:t>非常规天然气开采补贴费用</w:t>
            </w:r>
          </w:p>
        </w:tc>
        <w:tc>
          <w:tcPr>
            <w:tcW w:w="2013" w:type="dxa"/>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完成项目计划工作目标的实际节约成本与计划成本的比率，用以反映和考核项目的成本节约程度。</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成本节约率=[（计划成本-实际成本）/计划成本]×100%。</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实际成本：项目实施单位如期、保质、保量完成既定工作目标实际所耗费的支出。</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计划成本：项目实施单位为完成工作目标计划安排的支出，一般以项目预算为参考。</w:t>
            </w:r>
          </w:p>
        </w:tc>
        <w:tc>
          <w:tcPr>
            <w:tcW w:w="785"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bidi="ar-SA"/>
              </w:rPr>
            </w:pPr>
            <w:r>
              <w:rPr>
                <w:rFonts w:hint="eastAsia" w:cs="宋体"/>
                <w:color w:val="000000"/>
                <w:kern w:val="0"/>
                <w:sz w:val="22"/>
                <w:szCs w:val="22"/>
                <w:lang w:val="en-US" w:eastAsia="zh-CN"/>
              </w:rPr>
              <w:t>5</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bidi="ar-SA"/>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89" w:hRule="atLeast"/>
          <w:jc w:val="center"/>
        </w:trPr>
        <w:tc>
          <w:tcPr>
            <w:tcW w:w="861" w:type="dxa"/>
            <w:vMerge w:val="restart"/>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yellow"/>
              </w:rPr>
            </w:pPr>
            <w:r>
              <w:rPr>
                <w:rFonts w:hint="eastAsia" w:ascii="宋体" w:hAnsi="宋体" w:eastAsia="宋体" w:cs="宋体"/>
                <w:color w:val="auto"/>
                <w:kern w:val="0"/>
                <w:sz w:val="22"/>
                <w:szCs w:val="22"/>
                <w:highlight w:val="none"/>
              </w:rPr>
              <w:t>效益　</w:t>
            </w:r>
          </w:p>
        </w:tc>
        <w:tc>
          <w:tcPr>
            <w:tcW w:w="727" w:type="dxa"/>
            <w:vMerge w:val="restart"/>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项目效益　</w:t>
            </w:r>
          </w:p>
        </w:tc>
        <w:tc>
          <w:tcPr>
            <w:tcW w:w="948" w:type="dxa"/>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lang w:eastAsia="zh-CN"/>
              </w:rPr>
            </w:pPr>
            <w:r>
              <w:rPr>
                <w:rFonts w:hint="eastAsia" w:cs="宋体"/>
                <w:color w:val="auto"/>
                <w:kern w:val="0"/>
                <w:sz w:val="22"/>
                <w:szCs w:val="22"/>
                <w:highlight w:val="none"/>
                <w:lang w:eastAsia="zh-CN"/>
              </w:rPr>
              <w:t>减少温室气体排放</w:t>
            </w:r>
          </w:p>
        </w:tc>
        <w:tc>
          <w:tcPr>
            <w:tcW w:w="2013" w:type="dxa"/>
            <w:shd w:val="clear" w:color="auto" w:fill="auto"/>
            <w:noWrap w:val="0"/>
            <w:vAlign w:val="center"/>
          </w:tcPr>
          <w:p>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项目实施所产生的效益。</w:t>
            </w:r>
          </w:p>
        </w:tc>
        <w:tc>
          <w:tcPr>
            <w:tcW w:w="7821"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项目实施所产生的社会效益、经济效益、生态效益、可持续影响等。可根据项目实际情况有选择地设置和细化。</w:t>
            </w:r>
          </w:p>
        </w:tc>
        <w:tc>
          <w:tcPr>
            <w:tcW w:w="785" w:type="dxa"/>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15</w:t>
            </w:r>
          </w:p>
        </w:tc>
        <w:tc>
          <w:tcPr>
            <w:tcW w:w="769" w:type="dxa"/>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37" w:hRule="atLeast"/>
          <w:jc w:val="center"/>
        </w:trPr>
        <w:tc>
          <w:tcPr>
            <w:tcW w:w="861" w:type="dxa"/>
            <w:vMerge w:val="continue"/>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yellow"/>
              </w:rPr>
            </w:pPr>
          </w:p>
        </w:tc>
        <w:tc>
          <w:tcPr>
            <w:tcW w:w="727" w:type="dxa"/>
            <w:vMerge w:val="continue"/>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p>
        </w:tc>
        <w:tc>
          <w:tcPr>
            <w:tcW w:w="948" w:type="dxa"/>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项目实施地周边群众满意度</w:t>
            </w:r>
          </w:p>
        </w:tc>
        <w:tc>
          <w:tcPr>
            <w:tcW w:w="2013" w:type="dxa"/>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社会公众或服务对象对项目实施效果的满意程度。</w:t>
            </w:r>
          </w:p>
        </w:tc>
        <w:tc>
          <w:tcPr>
            <w:tcW w:w="7821"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社会公众或服务对象是指因该项目实施而受到影响的部门（单位）、群体或个人。一般采取社会调查的方式。</w:t>
            </w:r>
          </w:p>
        </w:tc>
        <w:tc>
          <w:tcPr>
            <w:tcW w:w="785" w:type="dxa"/>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15</w:t>
            </w:r>
          </w:p>
        </w:tc>
        <w:tc>
          <w:tcPr>
            <w:tcW w:w="769" w:type="dxa"/>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7" w:hRule="atLeast"/>
          <w:jc w:val="center"/>
        </w:trPr>
        <w:tc>
          <w:tcPr>
            <w:tcW w:w="4549" w:type="dxa"/>
            <w:gridSpan w:val="4"/>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合计</w:t>
            </w:r>
          </w:p>
        </w:tc>
        <w:tc>
          <w:tcPr>
            <w:tcW w:w="7821"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p>
        </w:tc>
        <w:tc>
          <w:tcPr>
            <w:tcW w:w="785" w:type="dxa"/>
            <w:shd w:val="clear" w:color="auto" w:fill="auto"/>
            <w:noWrap w:val="0"/>
            <w:vAlign w:val="center"/>
          </w:tcPr>
          <w:p>
            <w:pPr>
              <w:widowControl/>
              <w:spacing w:line="0" w:lineRule="atLeast"/>
              <w:ind w:firstLine="0" w:firstLineChars="0"/>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100</w:t>
            </w:r>
          </w:p>
        </w:tc>
        <w:tc>
          <w:tcPr>
            <w:tcW w:w="769" w:type="dxa"/>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99.2</w:t>
            </w:r>
          </w:p>
        </w:tc>
      </w:tr>
    </w:tbl>
    <w:p>
      <w:pPr>
        <w:spacing w:line="240" w:lineRule="auto"/>
        <w:ind w:firstLine="0" w:firstLineChars="0"/>
        <w:rPr>
          <w:rFonts w:ascii="Times New Roman" w:hAnsi="Times New Roman" w:eastAsia="仿宋_GB2312" w:cs="Times New Roman"/>
          <w:sz w:val="30"/>
          <w:szCs w:val="24"/>
        </w:rPr>
      </w:pPr>
    </w:p>
    <w:p>
      <w:pPr>
        <w:rPr>
          <w:rFonts w:hint="default"/>
          <w:lang w:val="en-US" w:eastAsia="zh-CN"/>
        </w:rPr>
      </w:pPr>
    </w:p>
    <w:sectPr>
      <w:pgSz w:w="16838" w:h="11906" w:orient="landscape"/>
      <w:pgMar w:top="1800" w:right="1440" w:bottom="1800" w:left="1440" w:header="737" w:footer="851" w:gutter="0"/>
      <w:pgBorders>
        <w:top w:val="none" w:sz="0" w:space="0"/>
        <w:left w:val="none" w:sz="0" w:space="0"/>
        <w:bottom w:val="none" w:sz="0" w:space="0"/>
        <w:right w:val="none" w:sz="0" w:space="0"/>
      </w:pgBorders>
      <w:pgNumType w:fmt="decimal"/>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C92B9"/>
    <w:multiLevelType w:val="singleLevel"/>
    <w:tmpl w:val="826C92B9"/>
    <w:lvl w:ilvl="0" w:tentative="0">
      <w:start w:val="2"/>
      <w:numFmt w:val="chineseCounting"/>
      <w:suff w:val="nothing"/>
      <w:lvlText w:val="（%1）"/>
      <w:lvlJc w:val="left"/>
      <w:pPr>
        <w:ind w:left="-404"/>
      </w:pPr>
      <w:rPr>
        <w:rFonts w:hint="eastAsia"/>
      </w:rPr>
    </w:lvl>
  </w:abstractNum>
  <w:abstractNum w:abstractNumId="1">
    <w:nsid w:val="1FFA6D59"/>
    <w:multiLevelType w:val="singleLevel"/>
    <w:tmpl w:val="1FFA6D59"/>
    <w:lvl w:ilvl="0" w:tentative="0">
      <w:start w:val="1"/>
      <w:numFmt w:val="chineseCounting"/>
      <w:suff w:val="nothing"/>
      <w:lvlText w:val="（%1）"/>
      <w:lvlJc w:val="left"/>
      <w:pPr>
        <w:ind w:left="0" w:firstLine="420"/>
      </w:pPr>
      <w:rPr>
        <w:rFonts w:hint="eastAsia"/>
      </w:rPr>
    </w:lvl>
  </w:abstractNum>
  <w:abstractNum w:abstractNumId="2">
    <w:nsid w:val="6780CCB1"/>
    <w:multiLevelType w:val="singleLevel"/>
    <w:tmpl w:val="6780CCB1"/>
    <w:lvl w:ilvl="0" w:tentative="0">
      <w:start w:val="4"/>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wYTY1Mjg5YTkwYTQzODE5MGVlMDdjY2YxMTFmODYifQ=="/>
  </w:docVars>
  <w:rsids>
    <w:rsidRoot w:val="68291A1A"/>
    <w:rsid w:val="000B6281"/>
    <w:rsid w:val="007D6A04"/>
    <w:rsid w:val="00E23C81"/>
    <w:rsid w:val="01253350"/>
    <w:rsid w:val="01282E62"/>
    <w:rsid w:val="014029CF"/>
    <w:rsid w:val="01470C4C"/>
    <w:rsid w:val="01E97347"/>
    <w:rsid w:val="02200440"/>
    <w:rsid w:val="02284B43"/>
    <w:rsid w:val="022A4AD2"/>
    <w:rsid w:val="02B015E2"/>
    <w:rsid w:val="02DC08FA"/>
    <w:rsid w:val="02FC0103"/>
    <w:rsid w:val="033B569D"/>
    <w:rsid w:val="03500FFB"/>
    <w:rsid w:val="035C6DF3"/>
    <w:rsid w:val="0374413D"/>
    <w:rsid w:val="039C3BA0"/>
    <w:rsid w:val="03A845BB"/>
    <w:rsid w:val="03B45AD1"/>
    <w:rsid w:val="04BD7D66"/>
    <w:rsid w:val="04D12EE4"/>
    <w:rsid w:val="04D63993"/>
    <w:rsid w:val="07575201"/>
    <w:rsid w:val="07890F4F"/>
    <w:rsid w:val="08892439"/>
    <w:rsid w:val="08EB30F3"/>
    <w:rsid w:val="09237408"/>
    <w:rsid w:val="09781BD6"/>
    <w:rsid w:val="09E85885"/>
    <w:rsid w:val="09F359DF"/>
    <w:rsid w:val="0A575E65"/>
    <w:rsid w:val="0ACA0AB6"/>
    <w:rsid w:val="0C032502"/>
    <w:rsid w:val="0C1464BD"/>
    <w:rsid w:val="0C27698C"/>
    <w:rsid w:val="0D2B7A64"/>
    <w:rsid w:val="0D4032E2"/>
    <w:rsid w:val="0D4452F3"/>
    <w:rsid w:val="0D9618A4"/>
    <w:rsid w:val="0ECF0DC1"/>
    <w:rsid w:val="0F5E5042"/>
    <w:rsid w:val="0FE95707"/>
    <w:rsid w:val="102C217E"/>
    <w:rsid w:val="10510571"/>
    <w:rsid w:val="10787A20"/>
    <w:rsid w:val="108672DE"/>
    <w:rsid w:val="10E421B1"/>
    <w:rsid w:val="10EC685A"/>
    <w:rsid w:val="11F928FC"/>
    <w:rsid w:val="11FA6155"/>
    <w:rsid w:val="12331667"/>
    <w:rsid w:val="127F665A"/>
    <w:rsid w:val="12852416"/>
    <w:rsid w:val="12CF0947"/>
    <w:rsid w:val="12F1313F"/>
    <w:rsid w:val="12F40DF6"/>
    <w:rsid w:val="136C678E"/>
    <w:rsid w:val="13EB2FF5"/>
    <w:rsid w:val="143F2545"/>
    <w:rsid w:val="15A46B04"/>
    <w:rsid w:val="165825BC"/>
    <w:rsid w:val="16BC5D73"/>
    <w:rsid w:val="16C92DBF"/>
    <w:rsid w:val="17414D1A"/>
    <w:rsid w:val="17677229"/>
    <w:rsid w:val="176F36D7"/>
    <w:rsid w:val="1795226D"/>
    <w:rsid w:val="18351C95"/>
    <w:rsid w:val="18456B1E"/>
    <w:rsid w:val="185540E5"/>
    <w:rsid w:val="18C354F3"/>
    <w:rsid w:val="19762565"/>
    <w:rsid w:val="19A17F9C"/>
    <w:rsid w:val="1A2975D8"/>
    <w:rsid w:val="1B576BD5"/>
    <w:rsid w:val="1C1171C5"/>
    <w:rsid w:val="1C3D7A9A"/>
    <w:rsid w:val="1C493F61"/>
    <w:rsid w:val="1C986C96"/>
    <w:rsid w:val="1D265138"/>
    <w:rsid w:val="1D5D5B3E"/>
    <w:rsid w:val="1D7B6BCA"/>
    <w:rsid w:val="1DA41A79"/>
    <w:rsid w:val="1DF53469"/>
    <w:rsid w:val="1E2F24F2"/>
    <w:rsid w:val="1E58492F"/>
    <w:rsid w:val="1E5B6757"/>
    <w:rsid w:val="1ED10AC6"/>
    <w:rsid w:val="1F89225F"/>
    <w:rsid w:val="1F900A1F"/>
    <w:rsid w:val="1FC0575D"/>
    <w:rsid w:val="202F346E"/>
    <w:rsid w:val="206132C7"/>
    <w:rsid w:val="21A11A6D"/>
    <w:rsid w:val="21B00C1D"/>
    <w:rsid w:val="21CC1034"/>
    <w:rsid w:val="23031BEB"/>
    <w:rsid w:val="23917691"/>
    <w:rsid w:val="244D65B8"/>
    <w:rsid w:val="24554986"/>
    <w:rsid w:val="245E1E24"/>
    <w:rsid w:val="25AD5E5D"/>
    <w:rsid w:val="264D50FA"/>
    <w:rsid w:val="27165388"/>
    <w:rsid w:val="2732478D"/>
    <w:rsid w:val="27661469"/>
    <w:rsid w:val="27900EAD"/>
    <w:rsid w:val="279B538A"/>
    <w:rsid w:val="286F545C"/>
    <w:rsid w:val="29314FBC"/>
    <w:rsid w:val="2AA902C1"/>
    <w:rsid w:val="2C024B86"/>
    <w:rsid w:val="2C927671"/>
    <w:rsid w:val="2CB055CD"/>
    <w:rsid w:val="2D513BA7"/>
    <w:rsid w:val="2D7C5CD6"/>
    <w:rsid w:val="2DA84860"/>
    <w:rsid w:val="2E483E7E"/>
    <w:rsid w:val="2E690493"/>
    <w:rsid w:val="2E9853FD"/>
    <w:rsid w:val="2E9854BD"/>
    <w:rsid w:val="2F0D407F"/>
    <w:rsid w:val="2F454B19"/>
    <w:rsid w:val="2F884949"/>
    <w:rsid w:val="304B7492"/>
    <w:rsid w:val="30B8300C"/>
    <w:rsid w:val="30BD6874"/>
    <w:rsid w:val="310224D9"/>
    <w:rsid w:val="31140231"/>
    <w:rsid w:val="31B4621C"/>
    <w:rsid w:val="31E3230A"/>
    <w:rsid w:val="32EB3B6C"/>
    <w:rsid w:val="330957E0"/>
    <w:rsid w:val="331F7372"/>
    <w:rsid w:val="33356F64"/>
    <w:rsid w:val="33944516"/>
    <w:rsid w:val="34931DC5"/>
    <w:rsid w:val="34B62907"/>
    <w:rsid w:val="35042CC3"/>
    <w:rsid w:val="35A468B3"/>
    <w:rsid w:val="362F7310"/>
    <w:rsid w:val="369E3689"/>
    <w:rsid w:val="36BD137C"/>
    <w:rsid w:val="378620B5"/>
    <w:rsid w:val="38151804"/>
    <w:rsid w:val="384B3D8A"/>
    <w:rsid w:val="385D37E7"/>
    <w:rsid w:val="38782EDD"/>
    <w:rsid w:val="38EE746A"/>
    <w:rsid w:val="39EB6200"/>
    <w:rsid w:val="3A26548A"/>
    <w:rsid w:val="3AB900AC"/>
    <w:rsid w:val="3B42664A"/>
    <w:rsid w:val="3BC907C3"/>
    <w:rsid w:val="3D7F55DD"/>
    <w:rsid w:val="3D836A4E"/>
    <w:rsid w:val="3EA37E97"/>
    <w:rsid w:val="3F297138"/>
    <w:rsid w:val="3F8A2017"/>
    <w:rsid w:val="3FBE0BC5"/>
    <w:rsid w:val="402204A1"/>
    <w:rsid w:val="4048103A"/>
    <w:rsid w:val="40736643"/>
    <w:rsid w:val="40B82BB4"/>
    <w:rsid w:val="40D24A7A"/>
    <w:rsid w:val="41261F96"/>
    <w:rsid w:val="41A85062"/>
    <w:rsid w:val="42621029"/>
    <w:rsid w:val="434846C3"/>
    <w:rsid w:val="435241E2"/>
    <w:rsid w:val="4379487C"/>
    <w:rsid w:val="43975C51"/>
    <w:rsid w:val="439E3FA7"/>
    <w:rsid w:val="44B32266"/>
    <w:rsid w:val="44C24001"/>
    <w:rsid w:val="44FC64F4"/>
    <w:rsid w:val="451C1963"/>
    <w:rsid w:val="45F20916"/>
    <w:rsid w:val="467F4585"/>
    <w:rsid w:val="470628CB"/>
    <w:rsid w:val="47555BD4"/>
    <w:rsid w:val="47E96399"/>
    <w:rsid w:val="48E12B50"/>
    <w:rsid w:val="499441BE"/>
    <w:rsid w:val="499A6C1C"/>
    <w:rsid w:val="4A020490"/>
    <w:rsid w:val="4A2138F0"/>
    <w:rsid w:val="4A58343D"/>
    <w:rsid w:val="4A583887"/>
    <w:rsid w:val="4B9F6E02"/>
    <w:rsid w:val="4BB9615E"/>
    <w:rsid w:val="4BC65CEE"/>
    <w:rsid w:val="4C08271A"/>
    <w:rsid w:val="4C7327B1"/>
    <w:rsid w:val="4C89637B"/>
    <w:rsid w:val="4E6E48A8"/>
    <w:rsid w:val="4EEC036B"/>
    <w:rsid w:val="4F764366"/>
    <w:rsid w:val="4FEE5BCE"/>
    <w:rsid w:val="501D2673"/>
    <w:rsid w:val="50C80BF1"/>
    <w:rsid w:val="50D756CE"/>
    <w:rsid w:val="51852833"/>
    <w:rsid w:val="52020133"/>
    <w:rsid w:val="524C338E"/>
    <w:rsid w:val="52F11AC8"/>
    <w:rsid w:val="531E6A68"/>
    <w:rsid w:val="534F49D9"/>
    <w:rsid w:val="53555F0F"/>
    <w:rsid w:val="535D23D5"/>
    <w:rsid w:val="548E6294"/>
    <w:rsid w:val="55085A60"/>
    <w:rsid w:val="558C043F"/>
    <w:rsid w:val="55C43C82"/>
    <w:rsid w:val="567156BF"/>
    <w:rsid w:val="56F4341A"/>
    <w:rsid w:val="575A7321"/>
    <w:rsid w:val="57D61E5F"/>
    <w:rsid w:val="580C3AB9"/>
    <w:rsid w:val="583C7AE0"/>
    <w:rsid w:val="585C32C4"/>
    <w:rsid w:val="586C1E9A"/>
    <w:rsid w:val="586E0800"/>
    <w:rsid w:val="59216F96"/>
    <w:rsid w:val="598C4145"/>
    <w:rsid w:val="59957D1B"/>
    <w:rsid w:val="59D4294E"/>
    <w:rsid w:val="5B634312"/>
    <w:rsid w:val="5B991007"/>
    <w:rsid w:val="5B9D2CCD"/>
    <w:rsid w:val="5B9E71EA"/>
    <w:rsid w:val="5BB26726"/>
    <w:rsid w:val="5CF35F8D"/>
    <w:rsid w:val="5E226FBC"/>
    <w:rsid w:val="5FE72BD2"/>
    <w:rsid w:val="60120613"/>
    <w:rsid w:val="615213AC"/>
    <w:rsid w:val="618D5292"/>
    <w:rsid w:val="61FB1DF1"/>
    <w:rsid w:val="622E78FA"/>
    <w:rsid w:val="627D65F0"/>
    <w:rsid w:val="62946B85"/>
    <w:rsid w:val="63343F70"/>
    <w:rsid w:val="63507678"/>
    <w:rsid w:val="64296E1C"/>
    <w:rsid w:val="649E64A2"/>
    <w:rsid w:val="64F658D5"/>
    <w:rsid w:val="65E5270A"/>
    <w:rsid w:val="663D3C54"/>
    <w:rsid w:val="66862C89"/>
    <w:rsid w:val="66BB486D"/>
    <w:rsid w:val="67394C7D"/>
    <w:rsid w:val="67E1762E"/>
    <w:rsid w:val="68126B38"/>
    <w:rsid w:val="68291A1A"/>
    <w:rsid w:val="68352BB8"/>
    <w:rsid w:val="685017A0"/>
    <w:rsid w:val="68FD36D6"/>
    <w:rsid w:val="691B1594"/>
    <w:rsid w:val="693A016B"/>
    <w:rsid w:val="69860EC5"/>
    <w:rsid w:val="6A17429C"/>
    <w:rsid w:val="6A567EA3"/>
    <w:rsid w:val="6B4B4368"/>
    <w:rsid w:val="6B79100E"/>
    <w:rsid w:val="6C34291A"/>
    <w:rsid w:val="6C844C00"/>
    <w:rsid w:val="6D0B213A"/>
    <w:rsid w:val="6E10212C"/>
    <w:rsid w:val="6E25722B"/>
    <w:rsid w:val="6E43561A"/>
    <w:rsid w:val="6E5428BB"/>
    <w:rsid w:val="6E557973"/>
    <w:rsid w:val="6E9568DB"/>
    <w:rsid w:val="6F0D6C22"/>
    <w:rsid w:val="6F47657F"/>
    <w:rsid w:val="6F6110D1"/>
    <w:rsid w:val="6FAF23D9"/>
    <w:rsid w:val="70635CF6"/>
    <w:rsid w:val="70670707"/>
    <w:rsid w:val="70D96B6F"/>
    <w:rsid w:val="720E3691"/>
    <w:rsid w:val="724E244C"/>
    <w:rsid w:val="72DA6946"/>
    <w:rsid w:val="732764B3"/>
    <w:rsid w:val="7394090C"/>
    <w:rsid w:val="73E813EA"/>
    <w:rsid w:val="74026044"/>
    <w:rsid w:val="74746410"/>
    <w:rsid w:val="74C0380A"/>
    <w:rsid w:val="75E5007C"/>
    <w:rsid w:val="76037E52"/>
    <w:rsid w:val="77813724"/>
    <w:rsid w:val="77861774"/>
    <w:rsid w:val="77A411C1"/>
    <w:rsid w:val="77D53A20"/>
    <w:rsid w:val="78B6564F"/>
    <w:rsid w:val="78F31435"/>
    <w:rsid w:val="79013463"/>
    <w:rsid w:val="79300B45"/>
    <w:rsid w:val="794D3E18"/>
    <w:rsid w:val="796B4C07"/>
    <w:rsid w:val="79F3729A"/>
    <w:rsid w:val="7A880722"/>
    <w:rsid w:val="7ACB0498"/>
    <w:rsid w:val="7AED0B4D"/>
    <w:rsid w:val="7BAF535C"/>
    <w:rsid w:val="7BBC57F7"/>
    <w:rsid w:val="7BF85F7F"/>
    <w:rsid w:val="7C1923C4"/>
    <w:rsid w:val="7C1E4487"/>
    <w:rsid w:val="7C215E02"/>
    <w:rsid w:val="7CA35EEB"/>
    <w:rsid w:val="7CC540B3"/>
    <w:rsid w:val="7CC55E61"/>
    <w:rsid w:val="7CF23764"/>
    <w:rsid w:val="7D106A78"/>
    <w:rsid w:val="7E1539DA"/>
    <w:rsid w:val="7E797F74"/>
    <w:rsid w:val="7E89169A"/>
    <w:rsid w:val="7F3B065C"/>
    <w:rsid w:val="7F924011"/>
    <w:rsid w:val="7FC52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ascii="宋体" w:hAnsi="宋体" w:eastAsia="宋体" w:cs="宋体"/>
      <w:kern w:val="2"/>
      <w:sz w:val="28"/>
      <w:szCs w:val="28"/>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964" w:firstLineChars="200"/>
      <w:outlineLvl w:val="0"/>
    </w:pPr>
    <w:rPr>
      <w:rFonts w:ascii="Times New Roman" w:hAnsi="Times New Roman" w:eastAsia="黑体"/>
      <w:kern w:val="44"/>
      <w:sz w:val="32"/>
      <w:szCs w:val="22"/>
    </w:rPr>
  </w:style>
  <w:style w:type="paragraph" w:styleId="4">
    <w:name w:val="heading 2"/>
    <w:basedOn w:val="1"/>
    <w:next w:val="1"/>
    <w:link w:val="14"/>
    <w:unhideWhenUsed/>
    <w:qFormat/>
    <w:uiPriority w:val="0"/>
    <w:pPr>
      <w:keepNext/>
      <w:keepLines/>
      <w:spacing w:beforeLines="0" w:beforeAutospacing="0" w:afterLines="0" w:afterAutospacing="0" w:line="560" w:lineRule="exact"/>
      <w:ind w:firstLine="964" w:firstLineChars="200"/>
      <w:outlineLvl w:val="1"/>
    </w:pPr>
    <w:rPr>
      <w:rFonts w:ascii="Arial" w:hAnsi="Arial" w:eastAsia="楷体"/>
      <w:b/>
      <w:sz w:val="32"/>
    </w:rPr>
  </w:style>
  <w:style w:type="paragraph" w:styleId="2">
    <w:name w:val="heading 3"/>
    <w:basedOn w:val="1"/>
    <w:next w:val="1"/>
    <w:qFormat/>
    <w:uiPriority w:val="99"/>
    <w:pPr>
      <w:keepNext/>
      <w:keepLines/>
      <w:spacing w:line="560" w:lineRule="exact"/>
      <w:ind w:firstLine="883" w:firstLineChars="200"/>
      <w:outlineLvl w:val="2"/>
    </w:pPr>
    <w:rPr>
      <w:rFonts w:ascii="仿宋_GB2312" w:hAnsi="仿宋_GB2312" w:eastAsia="仿宋_GB2312"/>
      <w:b/>
      <w:bCs/>
      <w:kern w:val="0"/>
      <w:sz w:val="28"/>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0"/>
    <w:pPr>
      <w:spacing w:before="240" w:after="240" w:line="360" w:lineRule="auto"/>
      <w:jc w:val="center"/>
    </w:pPr>
    <w:rPr>
      <w:b/>
      <w:sz w:val="44"/>
    </w:rPr>
  </w:style>
  <w:style w:type="paragraph" w:styleId="7">
    <w:name w:val="Body Text 2"/>
    <w:basedOn w:val="1"/>
    <w:qFormat/>
    <w:uiPriority w:val="0"/>
    <w:pPr>
      <w:spacing w:after="120" w:line="480" w:lineRule="auto"/>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next w:val="1"/>
    <w:qFormat/>
    <w:uiPriority w:val="0"/>
    <w:pPr>
      <w:spacing w:before="240" w:beforeLines="0" w:after="60" w:afterLines="0"/>
      <w:jc w:val="left"/>
      <w:outlineLvl w:val="0"/>
    </w:pPr>
    <w:rPr>
      <w:rFonts w:ascii="MS Sans Serif" w:hAnsi="MS Sans Serif" w:eastAsia="宋体" w:cs="MS Sans Serif"/>
      <w:b/>
      <w:bCs/>
      <w:sz w:val="24"/>
      <w:szCs w:val="32"/>
    </w:rPr>
  </w:style>
  <w:style w:type="paragraph" w:customStyle="1" w:styleId="13">
    <w:name w:val="正文 A"/>
    <w:qFormat/>
    <w:uiPriority w:val="99"/>
    <w:pPr>
      <w:widowControl w:val="0"/>
      <w:spacing w:before="50" w:after="50" w:line="360" w:lineRule="auto"/>
    </w:pPr>
    <w:rPr>
      <w:rFonts w:ascii="Times New Roman" w:hAnsi="Arial Unicode MS" w:eastAsia="Arial Unicode MS" w:cs="Arial Unicode MS"/>
      <w:color w:val="000000"/>
      <w:kern w:val="2"/>
      <w:sz w:val="28"/>
      <w:szCs w:val="28"/>
      <w:u w:color="000000"/>
      <w:lang w:val="en-US" w:eastAsia="zh-CN" w:bidi="ar-SA"/>
    </w:rPr>
  </w:style>
  <w:style w:type="character" w:customStyle="1" w:styleId="14">
    <w:name w:val="标题 2 Char"/>
    <w:link w:val="4"/>
    <w:qFormat/>
    <w:uiPriority w:val="0"/>
    <w:rPr>
      <w:rFonts w:ascii="Arial" w:hAnsi="Arial" w:eastAsia="楷体"/>
      <w:b/>
      <w:sz w:val="32"/>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 w:type="paragraph" w:customStyle="1" w:styleId="1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14661</Words>
  <Characters>15771</Characters>
  <Lines>0</Lines>
  <Paragraphs>0</Paragraphs>
  <TotalTime>1</TotalTime>
  <ScaleCrop>false</ScaleCrop>
  <LinksUpToDate>false</LinksUpToDate>
  <CharactersWithSpaces>15861</CharactersWithSpaces>
  <Application>WPS Office_11.8.2.12162_F1E327BC-269C-435d-A152-05C5408002CA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2020-04-01T11:28:00Z</dcterms:created>
  <dc:creator>驰远天合-柴万顺-18690160103</dc:creator>
  <cp:lastModifiedBy>admin</cp:lastModifiedBy>
  <dcterms:modified xsi:type="dcterms:W3CDTF">2025-02-17T09:08:27Z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2052-11.8.2.12162</vt:lpwstr>
  </property>
  <property fmtid="{D5CDD505-2E9C-101B-9397-08002B2CF9AE}" pid="3" name="ICV">
    <vt:lpwstr>1D17C581B7B649E79D2BCA767FA9A472_13</vt:lpwstr>
  </property>
</Properties>
</file>