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 w14:paraId="1002F3D3"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 w14:paraId="3F3D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 w14:paraId="096E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18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新疆阜康市白杨河区域煤矿瓦斯治理二期项目</w:t>
      </w:r>
    </w:p>
    <w:p w14:paraId="1CD2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新疆科林思德新能源有限责任公司</w:t>
      </w:r>
    </w:p>
    <w:p w14:paraId="292A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国有及国有控股企业</w:t>
      </w:r>
    </w:p>
    <w:p w14:paraId="37BD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 w14:paraId="1617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新疆昌吉回族自治州阜康市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上户沟乡辖区内</w:t>
      </w:r>
    </w:p>
    <w:p w14:paraId="28AD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新建10座井场、81口井;建设集输管线长度25km，管线运行压力0.4MPa;新建10kv电力线20km.形成年度煤层气建设产能1.43亿方/年的生产规模</w:t>
      </w:r>
    </w:p>
    <w:p w14:paraId="0EBF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122763万元</w:t>
      </w:r>
      <w:bookmarkStart w:id="0" w:name="_GoBack"/>
      <w:bookmarkEnd w:id="0"/>
    </w:p>
    <w:p w14:paraId="1100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企业自筹、银行贷效、政府财政资助</w:t>
      </w:r>
    </w:p>
    <w:p w14:paraId="7A11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1956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01F5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 w14:paraId="70CA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025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27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 w14:paraId="0BED5440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7C07D1F2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34AD5860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07E11D47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79AF91C4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4C391A9D"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36B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2A0558D"/>
    <w:rsid w:val="046E5DB5"/>
    <w:rsid w:val="068B7AEA"/>
    <w:rsid w:val="07337712"/>
    <w:rsid w:val="0A4C67A1"/>
    <w:rsid w:val="0B6925C7"/>
    <w:rsid w:val="0B815112"/>
    <w:rsid w:val="0D764904"/>
    <w:rsid w:val="10126D3E"/>
    <w:rsid w:val="101711AC"/>
    <w:rsid w:val="10F06757"/>
    <w:rsid w:val="13CA0776"/>
    <w:rsid w:val="181300B2"/>
    <w:rsid w:val="1B6C5365"/>
    <w:rsid w:val="1CC82ECF"/>
    <w:rsid w:val="1D6614D1"/>
    <w:rsid w:val="1EA10CBA"/>
    <w:rsid w:val="2409763A"/>
    <w:rsid w:val="28975811"/>
    <w:rsid w:val="29AE6057"/>
    <w:rsid w:val="2E022BD5"/>
    <w:rsid w:val="2E480866"/>
    <w:rsid w:val="2EEE4FFC"/>
    <w:rsid w:val="30FD0B3E"/>
    <w:rsid w:val="31133CCE"/>
    <w:rsid w:val="334315B1"/>
    <w:rsid w:val="35955925"/>
    <w:rsid w:val="38DD02E1"/>
    <w:rsid w:val="3F0E6A9E"/>
    <w:rsid w:val="40900803"/>
    <w:rsid w:val="40CE3045"/>
    <w:rsid w:val="41E54A3C"/>
    <w:rsid w:val="43EB374E"/>
    <w:rsid w:val="44005DC9"/>
    <w:rsid w:val="46D93A3F"/>
    <w:rsid w:val="47C70207"/>
    <w:rsid w:val="49565B73"/>
    <w:rsid w:val="4B966A16"/>
    <w:rsid w:val="4DBB2FD1"/>
    <w:rsid w:val="4F854B9A"/>
    <w:rsid w:val="53022644"/>
    <w:rsid w:val="53BD48B2"/>
    <w:rsid w:val="55743D2D"/>
    <w:rsid w:val="5BD02826"/>
    <w:rsid w:val="5BFE23D6"/>
    <w:rsid w:val="5DDA37B9"/>
    <w:rsid w:val="5DEA7494"/>
    <w:rsid w:val="63EC3C65"/>
    <w:rsid w:val="66B163D5"/>
    <w:rsid w:val="68413A78"/>
    <w:rsid w:val="6A437205"/>
    <w:rsid w:val="6CE07F2B"/>
    <w:rsid w:val="6F605C9E"/>
    <w:rsid w:val="76993E58"/>
    <w:rsid w:val="778650B8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qFormat/>
    <w:uiPriority w:val="0"/>
    <w:pPr>
      <w:jc w:val="center"/>
    </w:pPr>
    <w:rPr>
      <w:sz w:val="36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310</Characters>
  <Lines>4</Lines>
  <Paragraphs>1</Paragraphs>
  <TotalTime>2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陆.</cp:lastModifiedBy>
  <cp:lastPrinted>2022-05-26T05:08:00Z</cp:lastPrinted>
  <dcterms:modified xsi:type="dcterms:W3CDTF">2025-01-27T04:53:54Z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DF01DE65065D42F3891EE02E5193B823</vt:lpwstr>
  </property>
  <property fmtid="{D5CDD505-2E9C-101B-9397-08002B2CF9AE}" pid="4" name="KSOTemplateDocerSaveRecord">
    <vt:lpwstr>eyJoZGlkIjoiYTNiYmQ1Nzg0ZGI0YTlkYjVmNzA0MDc4MzJjZWE2N2UiLCJ1c2VySWQiOiI4OTc0Mjk4NzMifQ==</vt:lpwstr>
  </property>
</Properties>
</file>