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D76CC">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3A982A">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124ECF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665952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lang w:val="en-US" w:eastAsia="zh-CN"/>
        </w:rPr>
      </w:pPr>
      <w:bookmarkStart w:id="0" w:name="_Toc15679"/>
      <w:r>
        <w:rPr>
          <w:rFonts w:hint="eastAsia" w:cs="宋体"/>
          <w:b/>
          <w:bCs/>
          <w:color w:val="auto"/>
          <w:sz w:val="40"/>
          <w:szCs w:val="40"/>
          <w:highlight w:val="none"/>
          <w:shd w:val="clear" w:color="auto" w:fill="auto"/>
          <w:lang w:val="en-US" w:eastAsia="zh-CN"/>
        </w:rPr>
        <w:t>2024化解运动场项目地勘测费、周转房项目设计费、运动场项目费欠款</w:t>
      </w:r>
      <w:r>
        <w:rPr>
          <w:rFonts w:hint="eastAsia" w:ascii="宋体" w:hAnsi="宋体" w:eastAsia="宋体" w:cs="宋体"/>
          <w:b/>
          <w:bCs/>
          <w:color w:val="auto"/>
          <w:sz w:val="40"/>
          <w:szCs w:val="40"/>
          <w:highlight w:val="none"/>
          <w:shd w:val="clear" w:color="auto" w:fill="auto"/>
          <w:lang w:val="en-US" w:eastAsia="zh-CN"/>
        </w:rPr>
        <w:t>项目</w:t>
      </w:r>
    </w:p>
    <w:p w14:paraId="5473D8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支出绩效评价报告</w:t>
      </w:r>
      <w:bookmarkEnd w:id="0"/>
    </w:p>
    <w:p w14:paraId="3F5A78B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EB06A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0322E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9C03E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CFC2C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F1865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3AC4A6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7A16F0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cs="宋体"/>
          <w:b/>
          <w:bCs/>
          <w:color w:val="auto"/>
          <w:sz w:val="28"/>
          <w:szCs w:val="28"/>
          <w:highlight w:val="none"/>
          <w:shd w:val="clear" w:color="auto" w:fill="auto"/>
          <w:lang w:val="en-US" w:eastAsia="zh-CN"/>
        </w:rPr>
        <w:t>2024化解运动场项目地勘测费、周转房项目设计费、运动场项目费欠款</w:t>
      </w:r>
    </w:p>
    <w:p w14:paraId="66C94FC7">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阜康市城关镇中心</w:t>
      </w:r>
      <w:r>
        <w:rPr>
          <w:rFonts w:hint="eastAsia" w:ascii="黑体" w:hAnsi="Times New Roman" w:eastAsia="黑体"/>
          <w:b w:val="0"/>
          <w:bCs/>
          <w:color w:val="auto"/>
          <w:sz w:val="30"/>
          <w:szCs w:val="30"/>
          <w:highlight w:val="none"/>
          <w:lang w:val="en-US" w:eastAsia="zh-CN"/>
        </w:rPr>
        <w:t>小学</w:t>
      </w:r>
    </w:p>
    <w:p w14:paraId="55FF2056">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413CE1BC">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马利邦</w:t>
      </w:r>
    </w:p>
    <w:p w14:paraId="3A2DA19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0171492D">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62139C1">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27E1A46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3A1C994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3D2CFC3">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48143EE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0FBEB34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szCs w:val="28"/>
              <w:highlight w:val="none"/>
              <w:lang w:val="en-US" w:eastAsia="zh-CN"/>
            </w:rPr>
            <w:fldChar w:fldCharType="end"/>
          </w:r>
        </w:p>
        <w:p w14:paraId="031A63F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szCs w:val="28"/>
              <w:highlight w:val="none"/>
              <w:lang w:val="en-US" w:eastAsia="zh-CN"/>
            </w:rPr>
            <w:fldChar w:fldCharType="end"/>
          </w:r>
        </w:p>
        <w:p w14:paraId="60D760F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EF0AC2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7225980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654F11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5339207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762F3FC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6958EA0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2D4DBF4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4DA98D1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7B470B2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1E66450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229E07C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7BEC49D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7D9D3AB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AE447D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2E10D1E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1227DF38">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B91446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24</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570AA0B">
          <w:pPr>
            <w:pStyle w:val="10"/>
            <w:tabs>
              <w:tab w:val="right" w:leader="dot" w:pos="8844"/>
            </w:tabs>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5</w:t>
          </w:r>
        </w:p>
        <w:p w14:paraId="22B07F52">
          <w:pPr>
            <w:pStyle w:val="10"/>
            <w:tabs>
              <w:tab w:val="right" w:leader="dot" w:pos="8844"/>
            </w:tabs>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0</w:t>
          </w:r>
        </w:p>
        <w:p w14:paraId="79406070">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D13FFE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lang w:val="en-US" w:eastAsia="zh-CN"/>
        </w:rPr>
      </w:pPr>
      <w:bookmarkStart w:id="1" w:name="_Toc22946"/>
      <w:bookmarkStart w:id="2" w:name="_Toc20432"/>
      <w:bookmarkStart w:id="3" w:name="_Toc1194"/>
      <w:bookmarkStart w:id="4" w:name="_Toc3663"/>
      <w:r>
        <w:rPr>
          <w:rFonts w:hint="eastAsia" w:cs="宋体"/>
          <w:b/>
          <w:bCs/>
          <w:color w:val="auto"/>
          <w:sz w:val="36"/>
          <w:szCs w:val="36"/>
          <w:highlight w:val="none"/>
          <w:shd w:val="clear" w:color="auto" w:fill="auto"/>
          <w:lang w:val="en-US" w:eastAsia="zh-CN"/>
        </w:rPr>
        <w:t>2024化解运动场项目地勘测费、周转房项目设计费、运动场项目费欠款</w:t>
      </w:r>
    </w:p>
    <w:p w14:paraId="18768E9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outlineLvl w:val="9"/>
        <w:rPr>
          <w:rFonts w:hint="eastAsia" w:ascii="宋体" w:hAnsi="宋体" w:eastAsia="宋体" w:cs="宋体"/>
          <w:b/>
          <w:bCs/>
          <w:color w:val="auto"/>
          <w:sz w:val="36"/>
          <w:szCs w:val="36"/>
          <w:highlight w:val="none"/>
          <w:shd w:val="clear" w:color="auto" w:fill="auto"/>
        </w:rPr>
      </w:pPr>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1"/>
      <w:bookmarkEnd w:id="2"/>
      <w:bookmarkEnd w:id="3"/>
      <w:bookmarkEnd w:id="4"/>
    </w:p>
    <w:p w14:paraId="2441A16A">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5" w:name="_Toc18485"/>
      <w:r>
        <w:rPr>
          <w:rFonts w:hint="eastAsia" w:ascii="黑体" w:hAnsi="黑体" w:eastAsia="黑体" w:cs="黑体"/>
          <w:b w:val="0"/>
          <w:bCs w:val="0"/>
          <w:color w:val="auto"/>
          <w:highlight w:val="none"/>
          <w:shd w:val="clear" w:color="auto" w:fill="auto"/>
        </w:rPr>
        <w:t>一、基本情况</w:t>
      </w:r>
      <w:bookmarkEnd w:id="5"/>
    </w:p>
    <w:p w14:paraId="3727F99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 w:name="_Toc23184"/>
      <w:r>
        <w:rPr>
          <w:rFonts w:hint="eastAsia" w:ascii="Times New Roman" w:hAnsi="Times New Roman" w:eastAsia="楷体_GB2312" w:cs="Times New Roman"/>
          <w:color w:val="auto"/>
          <w:kern w:val="28"/>
          <w:sz w:val="32"/>
          <w:highlight w:val="none"/>
          <w:lang w:val="en-US" w:eastAsia="zh-CN"/>
        </w:rPr>
        <w:t>（一）项目概况</w:t>
      </w:r>
      <w:bookmarkEnd w:id="6"/>
    </w:p>
    <w:p w14:paraId="5ACBD01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7" w:name="_Toc22346"/>
      <w:bookmarkStart w:id="8" w:name="_Toc29812"/>
      <w:bookmarkStart w:id="9" w:name="_Toc10645"/>
      <w:bookmarkStart w:id="10"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7"/>
      <w:bookmarkEnd w:id="8"/>
      <w:bookmarkEnd w:id="9"/>
      <w:bookmarkEnd w:id="10"/>
    </w:p>
    <w:p w14:paraId="75008E75">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我校根据</w:t>
      </w:r>
      <w:bookmarkStart w:id="11" w:name="OLE_LINK3"/>
      <w:r>
        <w:rPr>
          <w:rFonts w:hint="eastAsia" w:ascii="仿宋_GB2312" w:hAnsi="仿宋_GB2312" w:eastAsia="仿宋_GB2312" w:cs="仿宋_GB2312"/>
          <w:b w:val="0"/>
          <w:bCs w:val="0"/>
          <w:color w:val="auto"/>
          <w:kern w:val="2"/>
          <w:sz w:val="32"/>
          <w:szCs w:val="32"/>
          <w:highlight w:val="none"/>
          <w:lang w:val="en-US" w:eastAsia="zh-CN" w:bidi="ar-SA"/>
        </w:rPr>
        <w:t>阜发改投资[2016]225号实施建设运动场项目、阜发改投资[2014]173号实施教师周转房建设项目</w:t>
      </w:r>
      <w:bookmarkEnd w:id="11"/>
      <w:r>
        <w:rPr>
          <w:rFonts w:hint="eastAsia" w:ascii="仿宋_GB2312" w:hAnsi="仿宋_GB2312" w:eastAsia="仿宋_GB2312" w:cs="仿宋_GB2312"/>
          <w:b w:val="0"/>
          <w:bCs w:val="0"/>
          <w:color w:val="auto"/>
          <w:kern w:val="2"/>
          <w:sz w:val="32"/>
          <w:szCs w:val="32"/>
          <w:highlight w:val="none"/>
          <w:lang w:val="en-US" w:eastAsia="zh-CN" w:bidi="ar-SA"/>
        </w:rPr>
        <w:t>，为贯彻落实化解中小企业债务的精神，提升机关单位和政府形象，执行政府债务化解机制的要求，经过校党总支会研究决定实施阜康市城关镇中心小学JZSJ债务化解还款项目即：运动场项目地勘费、周转房项目设计费、运动场项目费3个还款项目。</w:t>
      </w:r>
    </w:p>
    <w:p w14:paraId="33EB8F87">
      <w:pPr>
        <w:pStyle w:val="4"/>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shd w:val="clear" w:color="auto" w:fill="auto"/>
        </w:rPr>
      </w:pPr>
      <w:bookmarkStart w:id="12" w:name="_Toc10730"/>
      <w:bookmarkStart w:id="13" w:name="_Toc1630"/>
      <w:bookmarkStart w:id="14" w:name="_Toc27343"/>
      <w:bookmarkStart w:id="15" w:name="_Toc1788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2"/>
      <w:bookmarkEnd w:id="13"/>
      <w:bookmarkEnd w:id="14"/>
      <w:bookmarkEnd w:id="15"/>
    </w:p>
    <w:p w14:paraId="70B3AC60">
      <w:pPr>
        <w:pStyle w:val="4"/>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bookmarkStart w:id="16" w:name="_Toc27245"/>
      <w:bookmarkStart w:id="17" w:name="_Toc16592"/>
      <w:bookmarkStart w:id="18" w:name="_Toc27409"/>
      <w:bookmarkStart w:id="19"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6"/>
      <w:bookmarkEnd w:id="17"/>
      <w:bookmarkEnd w:id="18"/>
      <w:bookmarkEnd w:id="19"/>
      <w:r>
        <w:rPr>
          <w:rFonts w:hint="eastAsia" w:cs="仿宋_GB2312"/>
          <w:b w:val="0"/>
          <w:bCs w:val="0"/>
          <w:color w:val="auto"/>
          <w:kern w:val="2"/>
          <w:sz w:val="32"/>
          <w:szCs w:val="32"/>
          <w:highlight w:val="none"/>
          <w:lang w:val="en-US" w:eastAsia="zh-CN" w:bidi="ar-SA"/>
        </w:rPr>
        <w:t>2024化解运动场项目地勘测费、周转房项目设计费、运动场项目费欠款</w:t>
      </w:r>
      <w:r>
        <w:rPr>
          <w:rFonts w:hint="eastAsia" w:ascii="仿宋_GB2312" w:hAnsi="仿宋_GB2312" w:eastAsia="仿宋_GB2312" w:cs="仿宋_GB2312"/>
          <w:b w:val="0"/>
          <w:bCs w:val="0"/>
          <w:color w:val="auto"/>
          <w:kern w:val="2"/>
          <w:sz w:val="32"/>
          <w:szCs w:val="32"/>
          <w:highlight w:val="none"/>
          <w:lang w:val="en-US" w:eastAsia="zh-CN" w:bidi="ar-SA"/>
        </w:rPr>
        <w:t>项目主要对运动场项目地勘费、周转房项目设计费</w:t>
      </w:r>
      <w:r>
        <w:rPr>
          <w:rFonts w:hint="eastAsia" w:cs="仿宋_GB2312"/>
          <w:b w:val="0"/>
          <w:bCs w:val="0"/>
          <w:color w:val="auto"/>
          <w:kern w:val="2"/>
          <w:sz w:val="32"/>
          <w:szCs w:val="32"/>
          <w:highlight w:val="none"/>
          <w:lang w:val="en-US" w:eastAsia="zh-CN" w:bidi="ar-SA"/>
        </w:rPr>
        <w:t>2个前期手续费的还款</w:t>
      </w:r>
      <w:r>
        <w:rPr>
          <w:rFonts w:hint="eastAsia" w:ascii="仿宋_GB2312" w:hAnsi="仿宋_GB2312" w:eastAsia="仿宋_GB2312" w:cs="仿宋_GB2312"/>
          <w:b w:val="0"/>
          <w:bCs w:val="0"/>
          <w:color w:val="auto"/>
          <w:kern w:val="2"/>
          <w:sz w:val="32"/>
          <w:szCs w:val="32"/>
          <w:highlight w:val="none"/>
          <w:lang w:val="en-US" w:eastAsia="zh-CN" w:bidi="ar-SA"/>
        </w:rPr>
        <w:t>；运动场项目</w:t>
      </w:r>
      <w:r>
        <w:rPr>
          <w:rFonts w:hint="eastAsia" w:cs="仿宋_GB2312"/>
          <w:b w:val="0"/>
          <w:bCs w:val="0"/>
          <w:color w:val="auto"/>
          <w:kern w:val="2"/>
          <w:sz w:val="32"/>
          <w:szCs w:val="32"/>
          <w:highlight w:val="none"/>
          <w:lang w:val="en-US" w:eastAsia="zh-CN" w:bidi="ar-SA"/>
        </w:rPr>
        <w:t>工程款的还款</w:t>
      </w:r>
      <w:r>
        <w:rPr>
          <w:rFonts w:hint="eastAsia" w:ascii="仿宋_GB2312" w:hAnsi="仿宋_GB2312" w:eastAsia="仿宋_GB2312" w:cs="仿宋_GB2312"/>
          <w:b w:val="0"/>
          <w:bCs w:val="0"/>
          <w:color w:val="auto"/>
          <w:kern w:val="2"/>
          <w:sz w:val="32"/>
          <w:szCs w:val="32"/>
          <w:highlight w:val="none"/>
          <w:lang w:val="en-US" w:eastAsia="zh-CN" w:bidi="ar-SA"/>
        </w:rPr>
        <w:t>。</w:t>
      </w:r>
    </w:p>
    <w:p w14:paraId="7B011C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w:t>
      </w:r>
      <w:r>
        <w:rPr>
          <w:rFonts w:hint="eastAsia" w:ascii="仿宋_GB2312" w:hAnsi="仿宋_GB2312" w:eastAsia="仿宋_GB2312" w:cs="仿宋_GB2312"/>
          <w:b w:val="0"/>
          <w:bCs w:val="0"/>
          <w:color w:val="auto"/>
          <w:kern w:val="2"/>
          <w:sz w:val="32"/>
          <w:szCs w:val="32"/>
          <w:highlight w:val="none"/>
          <w:lang w:val="en-US" w:eastAsia="zh-CN" w:bidi="ar-SA"/>
        </w:rPr>
        <w:t>自2024年10月30日《阜康市教育局2023年第十次党组（扩大）会会议纪要》批复，经阜康市城关镇中心小学党总支会议，确定了项目领导小组，明确了责任分工：组长为陈红民，副组长为马利邦，项目负责人为葛光辉,组员为沙塔尔、王梅、申亮、王飞，其中：马利邦负责监管工作，葛光辉负责项目档案资料，申亮、王飞负责资金拨付工作。</w:t>
      </w:r>
    </w:p>
    <w:p w14:paraId="520E670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0" w:name="_Toc569"/>
      <w:bookmarkStart w:id="21" w:name="_Toc1858"/>
      <w:bookmarkStart w:id="22" w:name="_Toc10240"/>
      <w:bookmarkStart w:id="23"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0"/>
      <w:bookmarkEnd w:id="21"/>
      <w:bookmarkEnd w:id="22"/>
      <w:bookmarkEnd w:id="23"/>
    </w:p>
    <w:p w14:paraId="4053A8A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4" w:name="_Toc23509"/>
      <w:bookmarkStart w:id="25" w:name="_Toc26369"/>
      <w:bookmarkStart w:id="26" w:name="_Toc694"/>
      <w:r>
        <w:rPr>
          <w:rFonts w:hint="eastAsia" w:ascii="仿宋_GB2312" w:hAnsi="仿宋_GB2312" w:eastAsia="仿宋_GB2312" w:cs="仿宋_GB2312"/>
          <w:color w:val="auto"/>
          <w:sz w:val="32"/>
          <w:szCs w:val="32"/>
          <w:highlight w:val="none"/>
          <w:lang w:val="en-US" w:eastAsia="zh-CN"/>
        </w:rPr>
        <w:t>（1）资金投入情况</w:t>
      </w:r>
      <w:bookmarkEnd w:id="24"/>
      <w:bookmarkEnd w:id="25"/>
      <w:bookmarkEnd w:id="26"/>
    </w:p>
    <w:p w14:paraId="42289A7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7" w:name="_Toc29190"/>
      <w:bookmarkStart w:id="28" w:name="_Toc9464"/>
      <w:bookmarkStart w:id="29" w:name="_Toc5573"/>
      <w:bookmarkStart w:id="30" w:name="_Toc1166"/>
      <w:bookmarkStart w:id="31" w:name="_Toc3409"/>
      <w:bookmarkStart w:id="32" w:name="_Toc28187"/>
      <w:r>
        <w:rPr>
          <w:rFonts w:hint="eastAsia" w:ascii="仿宋_GB2312" w:hAnsi="仿宋_GB2312" w:eastAsia="仿宋_GB2312" w:cs="仿宋_GB2312"/>
          <w:color w:val="auto"/>
          <w:sz w:val="32"/>
          <w:szCs w:val="32"/>
          <w:highlight w:val="none"/>
          <w:lang w:val="en-US" w:eastAsia="zh-CN"/>
        </w:rPr>
        <w:t>该项目年初预算数9.20万元，全年预算数230.01万元,该项目资金已全部落实到位，资金来源为财政拨款。</w:t>
      </w:r>
      <w:bookmarkEnd w:id="27"/>
      <w:bookmarkEnd w:id="28"/>
      <w:bookmarkEnd w:id="29"/>
    </w:p>
    <w:p w14:paraId="22D8B0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0"/>
      <w:bookmarkEnd w:id="31"/>
      <w:bookmarkEnd w:id="32"/>
    </w:p>
    <w:p w14:paraId="228204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33" w:name="_Toc11647"/>
      <w:bookmarkStart w:id="34" w:name="_Toc1430"/>
      <w:bookmarkStart w:id="35" w:name="_Toc29121"/>
      <w:r>
        <w:rPr>
          <w:rFonts w:hint="eastAsia" w:ascii="仿宋_GB2312" w:hAnsi="仿宋_GB2312" w:eastAsia="仿宋_GB2312" w:cs="仿宋_GB2312"/>
          <w:color w:val="auto"/>
          <w:sz w:val="32"/>
          <w:szCs w:val="32"/>
          <w:highlight w:val="none"/>
          <w:lang w:val="en-US" w:eastAsia="zh-CN"/>
        </w:rPr>
        <w:t>该项目年初预算数9.20万元，全年预算数230.01万元，，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全年执行数230.01万元，预算执行率为100%，主要用于：运动场项目地勘费、周转房项目设计费、运动场项目费3个项目还款</w:t>
      </w:r>
      <w:r>
        <w:rPr>
          <w:rFonts w:hint="eastAsia" w:ascii="仿宋_GB2312" w:hAnsi="仿宋_GB2312" w:eastAsia="仿宋_GB2312" w:cs="仿宋_GB2312"/>
          <w:b w:val="0"/>
          <w:bCs w:val="0"/>
          <w:color w:val="auto"/>
          <w:kern w:val="2"/>
          <w:sz w:val="32"/>
          <w:szCs w:val="32"/>
          <w:highlight w:val="none"/>
          <w:lang w:val="en-US" w:eastAsia="zh-CN" w:bidi="ar-SA"/>
        </w:rPr>
        <w:t>。</w:t>
      </w:r>
      <w:bookmarkEnd w:id="33"/>
      <w:bookmarkEnd w:id="34"/>
      <w:bookmarkEnd w:id="35"/>
    </w:p>
    <w:p w14:paraId="332BA32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6" w:name="_Toc9109"/>
      <w:r>
        <w:rPr>
          <w:rFonts w:hint="eastAsia" w:ascii="Times New Roman" w:hAnsi="Times New Roman" w:eastAsia="楷体_GB2312" w:cs="Times New Roman"/>
          <w:color w:val="auto"/>
          <w:kern w:val="28"/>
          <w:sz w:val="32"/>
          <w:highlight w:val="none"/>
          <w:lang w:val="en-US" w:eastAsia="zh-CN"/>
        </w:rPr>
        <w:t>（二）项目绩效目标</w:t>
      </w:r>
      <w:bookmarkEnd w:id="36"/>
    </w:p>
    <w:p w14:paraId="14FCBE2A">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7" w:name="_Toc2547"/>
      <w:bookmarkStart w:id="38" w:name="_Toc8528"/>
      <w:bookmarkStart w:id="39" w:name="_Toc14758"/>
      <w:bookmarkStart w:id="40"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7"/>
      <w:bookmarkEnd w:id="38"/>
      <w:bookmarkEnd w:id="39"/>
      <w:bookmarkEnd w:id="40"/>
    </w:p>
    <w:p w14:paraId="2C8B36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41" w:name="_Toc4007"/>
      <w:bookmarkStart w:id="42" w:name="_Toc8990"/>
      <w:bookmarkStart w:id="43" w:name="_Toc4487"/>
      <w:bookmarkStart w:id="44" w:name="_Toc3255"/>
      <w:r>
        <w:rPr>
          <w:rFonts w:hint="eastAsia" w:ascii="仿宋_GB2312" w:hAnsi="仿宋_GB2312" w:eastAsia="仿宋_GB2312" w:cs="仿宋_GB2312"/>
          <w:b w:val="0"/>
          <w:bCs w:val="0"/>
          <w:color w:val="auto"/>
          <w:kern w:val="2"/>
          <w:sz w:val="32"/>
          <w:szCs w:val="32"/>
          <w:highlight w:val="none"/>
          <w:lang w:val="en-US" w:eastAsia="zh-CN" w:bidi="ar-SA"/>
        </w:rPr>
        <w:t>实施小学义务教育，促进基础教育发展，积极探索教学督导工作的新思路新方法。我校2024年预计完成化解债务项目2个，化债项目涉及企业2个，资金使用合格率预计100%，资金支付及时率预计达到100%，运动场项目地勘费还款2万元，周转房项目设计费7.2万元，运动场项目费还款220.81万元，通过项目的实施，预期达到化解单位债务，提升单位和政府形象。</w:t>
      </w:r>
    </w:p>
    <w:p w14:paraId="2991ACA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1"/>
      <w:bookmarkEnd w:id="42"/>
      <w:bookmarkEnd w:id="43"/>
      <w:bookmarkEnd w:id="44"/>
    </w:p>
    <w:p w14:paraId="1804FC9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08B7048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（1）项目产出目标</w:t>
      </w:r>
    </w:p>
    <w:p w14:paraId="626A870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①数量指标</w:t>
      </w:r>
    </w:p>
    <w:p w14:paraId="2D3D89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“化解债务项目数量”指标，预期目标值为≤3个；</w:t>
      </w:r>
    </w:p>
    <w:p w14:paraId="497B39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“化债项目涉及企业”指标，预期目标值为≤3个；</w:t>
      </w:r>
    </w:p>
    <w:p w14:paraId="4A51C7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②质量指标</w:t>
      </w:r>
    </w:p>
    <w:p w14:paraId="109697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“资金使用合规率”指标，预期目标值为=100%；</w:t>
      </w:r>
    </w:p>
    <w:p w14:paraId="276F15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③时效指标</w:t>
      </w:r>
    </w:p>
    <w:p w14:paraId="211E9DA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“任务完成时间”指标，预期目标值为=2024年8月；</w:t>
      </w:r>
    </w:p>
    <w:p w14:paraId="6161F4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“资金支付及时率”指标，预期目标值为=100%；</w:t>
      </w:r>
    </w:p>
    <w:p w14:paraId="0C2053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成本指标</w:t>
      </w:r>
    </w:p>
    <w:p w14:paraId="290D7C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①经济成本指标</w:t>
      </w:r>
    </w:p>
    <w:p w14:paraId="270359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“运动场项目地勘费”指标，预期目标值为≤2万元；</w:t>
      </w:r>
    </w:p>
    <w:p w14:paraId="5A2804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“周转房项目设计费”指标，预期目标值为≤7.2万元；</w:t>
      </w:r>
    </w:p>
    <w:p w14:paraId="3E7F8D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“运动场项目费”指标，预期目标值为≤220.81万元；</w:t>
      </w:r>
    </w:p>
    <w:p w14:paraId="22A4ED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②社会成本指标</w:t>
      </w:r>
    </w:p>
    <w:p w14:paraId="20AF24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本项目不涉及社会成本指标。</w:t>
      </w:r>
    </w:p>
    <w:p w14:paraId="78EBD26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③生态环境成本指标</w:t>
      </w:r>
    </w:p>
    <w:p w14:paraId="665CE7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本项目不涉及生态环境成本指标。</w:t>
      </w:r>
    </w:p>
    <w:p w14:paraId="0326AD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（3）项目效益目标</w:t>
      </w:r>
    </w:p>
    <w:p w14:paraId="134E55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①经济效益指标</w:t>
      </w:r>
    </w:p>
    <w:p w14:paraId="366344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本项目不涉及经济效益指标。</w:t>
      </w:r>
    </w:p>
    <w:p w14:paraId="0DC38EB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②社会效益指标</w:t>
      </w:r>
    </w:p>
    <w:p w14:paraId="183FCC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“化解单位债务，提升单位和政府形象”指标，预期目标值为=100%；</w:t>
      </w:r>
    </w:p>
    <w:p w14:paraId="3769EA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“完善政府债务化解机制”指标，预期目标值为=100%；</w:t>
      </w:r>
    </w:p>
    <w:p w14:paraId="14756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③生态效益指标</w:t>
      </w:r>
    </w:p>
    <w:p w14:paraId="6EA762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本项目不涉及生态效益指标。</w:t>
      </w:r>
    </w:p>
    <w:p w14:paraId="2E4FB5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④可持续影响</w:t>
      </w:r>
    </w:p>
    <w:p w14:paraId="5F7E34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本项目不涉及可持续影响。</w:t>
      </w:r>
    </w:p>
    <w:p w14:paraId="477CDA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⑤满意度指标</w:t>
      </w:r>
    </w:p>
    <w:p w14:paraId="276648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本项目不涉及满意度指标。</w:t>
      </w:r>
    </w:p>
    <w:p w14:paraId="7D029687">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5" w:name="_Toc26567"/>
      <w:r>
        <w:rPr>
          <w:rFonts w:hint="eastAsia" w:ascii="宋体" w:hAnsi="宋体" w:eastAsia="宋体" w:cs="宋体"/>
          <w:b/>
          <w:bCs/>
          <w:color w:val="auto"/>
          <w:highlight w:val="none"/>
          <w:shd w:val="clear" w:color="auto" w:fill="auto"/>
        </w:rPr>
        <w:t>二、绩效评价工作开展情况</w:t>
      </w:r>
      <w:bookmarkEnd w:id="45"/>
    </w:p>
    <w:p w14:paraId="6D00E8B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6" w:name="_Toc21664"/>
      <w:bookmarkStart w:id="47" w:name="_Toc26632"/>
      <w:bookmarkStart w:id="48" w:name="_Toc480473081"/>
      <w:bookmarkStart w:id="49" w:name="_Toc5258"/>
      <w:bookmarkStart w:id="50" w:name="_Toc12868"/>
      <w:bookmarkStart w:id="51" w:name="_Toc22922"/>
      <w:bookmarkStart w:id="52" w:name="_Toc5462343"/>
      <w:bookmarkStart w:id="53" w:name="_Toc22169_WPSOffice_Level2"/>
      <w:bookmarkStart w:id="54" w:name="_Toc22839"/>
      <w:r>
        <w:rPr>
          <w:rFonts w:hint="eastAsia" w:ascii="Times New Roman" w:hAnsi="Times New Roman" w:eastAsia="楷体_GB2312" w:cs="Times New Roman"/>
          <w:color w:val="auto"/>
          <w:kern w:val="28"/>
          <w:sz w:val="32"/>
          <w:highlight w:val="none"/>
          <w:lang w:val="en-US" w:eastAsia="zh-CN"/>
        </w:rPr>
        <w:t>（一）绩效评价的目的</w:t>
      </w:r>
      <w:bookmarkEnd w:id="46"/>
      <w:bookmarkEnd w:id="47"/>
      <w:bookmarkEnd w:id="48"/>
      <w:bookmarkEnd w:id="49"/>
      <w:bookmarkEnd w:id="50"/>
      <w:bookmarkEnd w:id="51"/>
      <w:bookmarkEnd w:id="52"/>
      <w:bookmarkEnd w:id="53"/>
      <w:r>
        <w:rPr>
          <w:rFonts w:hint="eastAsia" w:ascii="Times New Roman" w:hAnsi="Times New Roman" w:eastAsia="楷体_GB2312" w:cs="Times New Roman"/>
          <w:color w:val="auto"/>
          <w:kern w:val="28"/>
          <w:sz w:val="32"/>
          <w:highlight w:val="none"/>
          <w:lang w:val="en-US" w:eastAsia="zh-CN"/>
        </w:rPr>
        <w:t>、对象和范围</w:t>
      </w:r>
      <w:bookmarkEnd w:id="54"/>
    </w:p>
    <w:p w14:paraId="720140A5">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5"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77277FD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7BFDFF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DDAACA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741BD8A">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3B68AA2">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0465E5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6" w:name="_Toc21770"/>
      <w:bookmarkStart w:id="57"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5"/>
      <w:bookmarkEnd w:id="56"/>
      <w:bookmarkEnd w:id="57"/>
    </w:p>
    <w:p w14:paraId="08A0F8C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bookmarkStart w:id="58" w:name="_Toc31970"/>
      <w:bookmarkStart w:id="59" w:name="_Toc30609"/>
      <w:bookmarkStart w:id="60" w:name="_Toc16346"/>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1D316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634238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39FECD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E3254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6C00D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2BC4F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2C981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389E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E1D2F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3B0DD7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DDBD8EA">
      <w:pPr>
        <w:pStyle w:val="4"/>
        <w:pageBreakBefore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AD60D0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58"/>
      <w:bookmarkEnd w:id="59"/>
      <w:bookmarkEnd w:id="60"/>
    </w:p>
    <w:p w14:paraId="5066BD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文件要求对2024年度我单位实施的：2024化解运动场项目地勘测费、周转房项目设计费、运动场项目费欠款项目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72F150E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阜康市城关镇中心小学</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正常运转率，改善教学环境，提供良好的学生成长条件，保障</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2024年1月5日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color w:val="auto"/>
          <w:sz w:val="32"/>
          <w:szCs w:val="32"/>
          <w:highlight w:val="none"/>
          <w:lang w:val="en-US" w:eastAsia="zh-CN"/>
        </w:rPr>
        <w:t>230.01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060F9498">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1" w:name="_Toc11666"/>
      <w:bookmarkStart w:id="62" w:name="_Toc21311"/>
      <w:r>
        <w:rPr>
          <w:rFonts w:hint="default" w:cs="仿宋_GB2312"/>
          <w:color w:val="auto"/>
          <w:sz w:val="32"/>
          <w:szCs w:val="32"/>
          <w:highlight w:val="none"/>
          <w:shd w:val="clear" w:color="auto" w:fill="auto"/>
          <w:lang w:val="en-US" w:eastAsia="zh-CN"/>
        </w:rPr>
        <w:t>4.绩效评价的范围</w:t>
      </w:r>
      <w:bookmarkEnd w:id="61"/>
      <w:bookmarkEnd w:id="62"/>
    </w:p>
    <w:p w14:paraId="6AF37ADB">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51CBA1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01DB5F8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6BED076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F25189B">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1A84A26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3" w:name="_Toc1286"/>
      <w:bookmarkStart w:id="64"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3"/>
      <w:bookmarkEnd w:id="64"/>
    </w:p>
    <w:p w14:paraId="6C344F28">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5" w:name="_Toc13694"/>
      <w:bookmarkStart w:id="66" w:name="_Toc5354"/>
      <w:bookmarkStart w:id="67"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5"/>
      <w:bookmarkEnd w:id="66"/>
      <w:bookmarkEnd w:id="67"/>
    </w:p>
    <w:p w14:paraId="4CDFBCC3">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2024化解运动场项目地勘测费、周转房项目设计费、运动场项目费欠款</w:t>
      </w:r>
      <w:r>
        <w:rPr>
          <w:rFonts w:hint="eastAsia" w:ascii="Times New Roman" w:hAnsi="Times New Roman" w:eastAsia="仿宋_GB2312" w:cs="Times New Roman"/>
          <w:color w:val="auto"/>
          <w:sz w:val="32"/>
          <w:szCs w:val="32"/>
          <w:highlight w:val="none"/>
          <w:lang w:val="en-US" w:eastAsia="zh-CN"/>
        </w:rPr>
        <w:t>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B08F6C5">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511101D">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2C80651C">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6BBC7FA9">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CAAB4FD">
      <w:pPr>
        <w:pageBreakBefore w:val="0"/>
        <w:kinsoku/>
        <w:wordWrap/>
        <w:overflowPunct/>
        <w:topLinePunct w:val="0"/>
        <w:autoSpaceDE/>
        <w:autoSpaceDN/>
        <w:bidi w:val="0"/>
        <w:adjustRightInd/>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0503065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8" w:name="_Toc419984722"/>
      <w:bookmarkStart w:id="69" w:name="_Toc428278230"/>
      <w:bookmarkStart w:id="70" w:name="_Toc26131"/>
      <w:bookmarkStart w:id="71" w:name="_Toc1913"/>
      <w:bookmarkStart w:id="72" w:name="_Toc24396"/>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8"/>
      <w:bookmarkEnd w:id="69"/>
      <w:bookmarkEnd w:id="70"/>
      <w:bookmarkEnd w:id="71"/>
      <w:bookmarkEnd w:id="72"/>
    </w:p>
    <w:p w14:paraId="2DAAF19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3"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5F9310D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4" w:name="OLE_LINK2"/>
      <w:r>
        <w:rPr>
          <w:rFonts w:hint="eastAsia" w:ascii="仿宋_GB2312" w:hAnsi="仿宋_GB2312" w:eastAsia="仿宋_GB2312" w:cs="仿宋_GB2312"/>
          <w:color w:val="auto"/>
          <w:spacing w:val="17"/>
          <w:sz w:val="32"/>
          <w:szCs w:val="32"/>
          <w:highlight w:val="none"/>
        </w:rPr>
        <w:t>（1）确定评价指标</w:t>
      </w:r>
    </w:p>
    <w:bookmarkEnd w:id="74"/>
    <w:p w14:paraId="7AFB2D0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DA0F46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6B8016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E9F3C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2136047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6602C2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615D19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454F08D">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5" w:name="_Toc30114"/>
      <w:bookmarkStart w:id="76"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3"/>
      <w:bookmarkEnd w:id="75"/>
      <w:bookmarkEnd w:id="76"/>
    </w:p>
    <w:p w14:paraId="3079D01F">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7"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059D6F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BE20CA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708" w:firstLineChars="200"/>
        <w:textAlignment w:val="auto"/>
        <w:rPr>
          <w:rFonts w:hint="eastAsia" w:ascii="仿宋_GB2312" w:hAnsi="仿宋_GB2312" w:eastAsia="仿宋_GB2312" w:cs="仿宋_GB2312"/>
          <w:color w:val="auto"/>
          <w:spacing w:val="17"/>
          <w:sz w:val="32"/>
          <w:szCs w:val="32"/>
          <w:highlight w:val="none"/>
          <w:lang w:val="en-US" w:eastAsia="zh-CN"/>
        </w:rPr>
      </w:pPr>
      <w:bookmarkStart w:id="78" w:name="_Toc6081"/>
      <w:bookmarkStart w:id="79" w:name="_Toc25651"/>
      <w:r>
        <w:rPr>
          <w:rFonts w:hint="eastAsia" w:ascii="仿宋_GB2312" w:hAnsi="仿宋_GB2312" w:eastAsia="仿宋_GB2312" w:cs="仿宋_GB2312"/>
          <w:color w:val="auto"/>
          <w:spacing w:val="17"/>
          <w:sz w:val="32"/>
          <w:szCs w:val="32"/>
          <w:highlight w:val="none"/>
          <w:lang w:val="en-US" w:eastAsia="zh-CN"/>
        </w:rPr>
        <w:t>成本效益分析法。是指将投入与产出、效益进行关联分析的方法。原因：通过该方法能在预算管理中，可优先支出效益较高的服务项目，避免资源浪费。</w:t>
      </w:r>
    </w:p>
    <w:p w14:paraId="7E9CE7D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708" w:firstLineChars="200"/>
        <w:textAlignment w:val="auto"/>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公众评判法。是指通过专家评估、公众问卷及抽样调查等方式进行评判的方法。原因：增强法制意识与社会教育意义，强化监督与透明度。</w:t>
      </w:r>
    </w:p>
    <w:p w14:paraId="3D31B85C">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7"/>
      <w:bookmarkEnd w:id="78"/>
      <w:bookmarkEnd w:id="79"/>
    </w:p>
    <w:p w14:paraId="66E93110">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80"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6A688D4F">
      <w:pPr>
        <w:pageBreakBefore w:val="0"/>
        <w:numPr>
          <w:ilvl w:val="0"/>
          <w:numId w:val="3"/>
        </w:numPr>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412DCB7A">
      <w:pPr>
        <w:pageBreakBefore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4EB90B0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80"/>
    </w:p>
    <w:p w14:paraId="4056D8E9">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1"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1"/>
    </w:p>
    <w:p w14:paraId="281E3D8A">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0C2478F0">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1CBF5CE7">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2"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2"/>
    </w:p>
    <w:p w14:paraId="259CC702">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2024化解运动场项目地勘测费、周转房项目设计费、运动场项目费欠款</w:t>
      </w:r>
      <w:r>
        <w:rPr>
          <w:rFonts w:hint="eastAsia" w:ascii="Times New Roman" w:hAnsi="Times New Roman" w:eastAsia="仿宋_GB2312" w:cs="Times New Roman"/>
          <w:color w:val="auto"/>
          <w:spacing w:val="17"/>
          <w:sz w:val="32"/>
          <w:szCs w:val="32"/>
          <w:highlight w:val="none"/>
          <w:lang w:val="en-US" w:eastAsia="zh-CN"/>
        </w:rPr>
        <w:t>项目实施内容、目标信息、预算信息以及其他的一些项目基本信息，有了初步了解，为制定绩效评价工作方案做好准备。</w:t>
      </w:r>
      <w:bookmarkEnd w:id="83"/>
    </w:p>
    <w:p w14:paraId="11F4DD8C">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4"/>
    </w:p>
    <w:p w14:paraId="24BCD09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5"/>
    </w:p>
    <w:p w14:paraId="3F4109BC">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6"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6"/>
    </w:p>
    <w:p w14:paraId="0D5EB80D">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7"/>
    </w:p>
    <w:p w14:paraId="6C0944D5">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8"/>
    </w:p>
    <w:p w14:paraId="59966A9E">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89"/>
    </w:p>
    <w:p w14:paraId="3FBD1C0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0"/>
    </w:p>
    <w:p w14:paraId="4BDB8FB2">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1"/>
    </w:p>
    <w:p w14:paraId="6501D5F1">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2"/>
    </w:p>
    <w:p w14:paraId="0DA230A5">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3"/>
    </w:p>
    <w:p w14:paraId="145DDA1F">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4"/>
    </w:p>
    <w:p w14:paraId="2A14D17A">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5"/>
    </w:p>
    <w:p w14:paraId="7C7AAD0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6"/>
    </w:p>
    <w:p w14:paraId="27889917">
      <w:pPr>
        <w:pageBreakBefore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7"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7"/>
    </w:p>
    <w:p w14:paraId="47F80B46">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8"/>
    </w:p>
    <w:p w14:paraId="4EDD200E">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99"/>
    </w:p>
    <w:p w14:paraId="2E3BF58E">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0"/>
    </w:p>
    <w:p w14:paraId="09125F39">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1"/>
    </w:p>
    <w:p w14:paraId="47FBD888">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2"/>
    </w:p>
    <w:p w14:paraId="788420B3">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3"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3"/>
    </w:p>
    <w:p w14:paraId="6FFDB94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4"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4"/>
    </w:p>
    <w:p w14:paraId="7501990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2024化解运动场项目地勘测费、周转房项目设计费、运动场项目费欠款</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1D2E70D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阜康市城关镇中心小学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80AA40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05" w:name="_Toc11863"/>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小学正常运转率、改善教学环境，提供良好的学生成长条件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56D8D9C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2024化解运动场项目地勘测费、周转房项目设计费、运动场项目费欠款项目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17C7737">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b/>
          <w:bCs/>
          <w:color w:val="auto"/>
          <w:kern w:val="28"/>
          <w:sz w:val="32"/>
          <w:szCs w:val="32"/>
          <w:highlight w:val="none"/>
          <w:lang w:val="en-US" w:eastAsia="zh-CN" w:bidi="ar-SA"/>
        </w:rPr>
        <w:t>（二）</w:t>
      </w:r>
      <w:r>
        <w:rPr>
          <w:rFonts w:hint="eastAsia" w:ascii="Times New Roman" w:hAnsi="Times New Roman" w:eastAsia="楷体_GB2312" w:cs="Times New Roman"/>
          <w:color w:val="auto"/>
          <w:kern w:val="28"/>
          <w:sz w:val="32"/>
          <w:highlight w:val="none"/>
          <w:lang w:val="en-US" w:eastAsia="zh-CN"/>
        </w:rPr>
        <w:t>相关评分表</w:t>
      </w:r>
      <w:bookmarkEnd w:id="105"/>
    </w:p>
    <w:p w14:paraId="287FDF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olor w:val="auto"/>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 xml:space="preserve">  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2024化解运动场项目地勘测费、周转房项目设计费、运动场项目费欠款项目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3664913D">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E7C2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：2024化解运动场项目地勘测费、周转房项目设计费、运动场项目费欠款项目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665CD22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D17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10D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220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B0A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E4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F00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7030980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EA6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65A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A83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8B2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w:t>
            </w:r>
            <w:r>
              <w:rPr>
                <w:rFonts w:hint="eastAsia" w:ascii="宋体" w:hAnsi="宋体" w:eastAsia="宋体" w:cs="宋体"/>
                <w:color w:val="auto"/>
                <w:kern w:val="0"/>
                <w:sz w:val="21"/>
                <w:szCs w:val="21"/>
                <w:highlight w:val="none"/>
                <w:shd w:val="clear" w:color="auto" w:fill="auto"/>
                <w:lang w:val="en-US" w:eastAsia="zh-CN"/>
              </w:rPr>
              <w:t>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33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w:t>
            </w:r>
            <w:r>
              <w:rPr>
                <w:rFonts w:hint="eastAsia" w:ascii="宋体" w:hAnsi="宋体" w:eastAsia="宋体" w:cs="宋体"/>
                <w:color w:val="auto"/>
                <w:kern w:val="0"/>
                <w:sz w:val="21"/>
                <w:szCs w:val="21"/>
                <w:highlight w:val="none"/>
                <w:shd w:val="clear" w:color="auto" w:fill="auto"/>
                <w:lang w:val="en-US" w:eastAsia="zh-CN"/>
              </w:rPr>
              <w:t>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00A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7F6B3AF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A9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E99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271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80B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EBB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F15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7D1ECA9E">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B0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F81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B24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079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7A5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58E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64F240E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6" w:name="_Toc14941"/>
      <w:r>
        <w:rPr>
          <w:rFonts w:hint="eastAsia" w:ascii="黑体" w:hAnsi="黑体" w:eastAsia="黑体" w:cs="黑体"/>
          <w:b w:val="0"/>
          <w:bCs w:val="0"/>
          <w:color w:val="auto"/>
          <w:highlight w:val="none"/>
          <w:shd w:val="clear" w:color="auto" w:fill="auto"/>
          <w:lang w:val="en-US" w:eastAsia="zh-CN"/>
        </w:rPr>
        <w:t>四、绩效评价指标分析</w:t>
      </w:r>
      <w:bookmarkEnd w:id="106"/>
    </w:p>
    <w:p w14:paraId="7B3C9728">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7" w:name="_Toc6759"/>
      <w:r>
        <w:rPr>
          <w:rFonts w:hint="eastAsia" w:ascii="Times New Roman" w:hAnsi="Times New Roman" w:eastAsia="楷体_GB2312" w:cs="Times New Roman"/>
          <w:color w:val="auto"/>
          <w:kern w:val="28"/>
          <w:sz w:val="32"/>
          <w:highlight w:val="none"/>
        </w:rPr>
        <w:t>（一）项目决策情况</w:t>
      </w:r>
      <w:bookmarkEnd w:id="107"/>
    </w:p>
    <w:p w14:paraId="61FF57F9">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63049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A67EB63">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0775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E4C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C87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876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204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B07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642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BE11530">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58AFE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87281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ED2B8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96019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24F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B9E4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6DB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DB6085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9515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CA204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475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AB2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70A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5AEC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FF4E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51EE4CA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E075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67CD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5F2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17D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8AF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48E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323A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7CC988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E6493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A825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B87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E29A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AB2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4F4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06D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5FE54E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0F7C4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F74EA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371A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B144C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651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D41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00B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6E1F89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C6B4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076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F93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829F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7B2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17B6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3EBB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CDEEC0F">
        <w:tblPrEx>
          <w:tblCellMar>
            <w:top w:w="0" w:type="dxa"/>
            <w:left w:w="0" w:type="dxa"/>
            <w:bottom w:w="0" w:type="dxa"/>
            <w:right w:w="0" w:type="dxa"/>
          </w:tblCellMar>
        </w:tblPrEx>
        <w:trPr>
          <w:trHeight w:val="472"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F539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54A3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EC5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BCE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67D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986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color w:val="auto"/>
                <w:highlight w:val="none"/>
              </w:rPr>
            </w:pPr>
            <w:r>
              <w:rPr>
                <w:rFonts w:hint="eastAsia" w:cs="宋体"/>
                <w:color w:val="auto"/>
                <w:kern w:val="0"/>
                <w:sz w:val="20"/>
                <w:szCs w:val="20"/>
                <w:highlight w:val="none"/>
                <w:shd w:val="clear" w:color="auto" w:fill="auto"/>
                <w:lang w:val="en-US" w:eastAsia="zh-CN"/>
              </w:rPr>
              <w:t>19</w:t>
            </w:r>
          </w:p>
        </w:tc>
      </w:tr>
    </w:tbl>
    <w:p w14:paraId="141E9985">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8" w:name="_Toc13522"/>
      <w:bookmarkStart w:id="109" w:name="_Toc28069"/>
      <w:r>
        <w:rPr>
          <w:rFonts w:hint="eastAsia" w:ascii="仿宋_GB2312" w:hAnsi="仿宋_GB2312" w:eastAsia="仿宋_GB2312" w:cs="仿宋_GB2312"/>
          <w:b/>
          <w:bCs/>
          <w:color w:val="auto"/>
          <w:sz w:val="32"/>
          <w:szCs w:val="32"/>
          <w:highlight w:val="none"/>
          <w:lang w:val="en-US" w:eastAsia="zh-CN"/>
        </w:rPr>
        <w:t>1.立项依据充分性</w:t>
      </w:r>
      <w:bookmarkEnd w:id="108"/>
      <w:bookmarkEnd w:id="109"/>
    </w:p>
    <w:p w14:paraId="76C70A9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阜康市人大常委会关于加强政府债务审查监督办法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阜康市项目工作领导小组会议仪事规则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相关政策</w:t>
      </w:r>
      <w:r>
        <w:rPr>
          <w:rFonts w:hint="eastAsia" w:ascii="仿宋_GB2312" w:hAnsi="仿宋_GB2312" w:eastAsia="仿宋_GB2312" w:cs="仿宋_GB2312"/>
          <w:color w:val="auto"/>
          <w:sz w:val="32"/>
          <w:szCs w:val="32"/>
          <w:highlight w:val="none"/>
          <w:lang w:eastAsia="zh-CN"/>
        </w:rPr>
        <w:t>；</w:t>
      </w:r>
    </w:p>
    <w:p w14:paraId="423B35C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②项目立项符合行业</w:t>
      </w:r>
      <w:r>
        <w:rPr>
          <w:rFonts w:hint="eastAsia" w:ascii="仿宋_GB2312" w:hAnsi="仿宋_GB2312" w:eastAsia="仿宋_GB2312" w:cs="仿宋_GB2312"/>
          <w:color w:val="auto"/>
          <w:sz w:val="32"/>
          <w:szCs w:val="32"/>
          <w:highlight w:val="none"/>
          <w:lang w:val="en-US" w:eastAsia="zh-CN"/>
        </w:rPr>
        <w:t>关于印发</w:t>
      </w:r>
      <w:r>
        <w:rPr>
          <w:rFonts w:hint="eastAsia" w:ascii="仿宋_GB2312" w:hAnsi="仿宋_GB2312" w:eastAsia="仿宋_GB2312" w:cs="仿宋_GB2312"/>
          <w:b w:val="0"/>
          <w:bCs w:val="0"/>
          <w:color w:val="auto"/>
          <w:kern w:val="2"/>
          <w:sz w:val="32"/>
          <w:szCs w:val="32"/>
          <w:highlight w:val="none"/>
          <w:lang w:val="en-US" w:eastAsia="zh-CN" w:bidi="ar-SA"/>
        </w:rPr>
        <w:t>《关于加强敌地方国有企业债务风险管控工作的指导意见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的通知（国资发财评规[2021]18号）政策要求</w:t>
      </w:r>
      <w:r>
        <w:rPr>
          <w:rFonts w:hint="eastAsia" w:ascii="仿宋_GB2312" w:hAnsi="仿宋_GB2312" w:eastAsia="仿宋_GB2312" w:cs="仿宋_GB2312"/>
          <w:color w:val="auto"/>
          <w:sz w:val="32"/>
          <w:szCs w:val="32"/>
          <w:highlight w:val="none"/>
          <w:lang w:eastAsia="zh-CN"/>
        </w:rPr>
        <w:t>；</w:t>
      </w:r>
    </w:p>
    <w:p w14:paraId="060C1D6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754D9D0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2F27B54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05B097B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1FA1142E">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0" w:name="_Toc21976"/>
      <w:bookmarkStart w:id="111" w:name="_Toc23240"/>
      <w:r>
        <w:rPr>
          <w:rFonts w:hint="eastAsia" w:ascii="仿宋_GB2312" w:hAnsi="仿宋_GB2312" w:eastAsia="仿宋_GB2312" w:cs="仿宋_GB2312"/>
          <w:b/>
          <w:bCs/>
          <w:color w:val="auto"/>
          <w:sz w:val="32"/>
          <w:szCs w:val="32"/>
          <w:highlight w:val="none"/>
          <w:lang w:val="en-US" w:eastAsia="zh-CN"/>
        </w:rPr>
        <w:t>2.立项程序规范性</w:t>
      </w:r>
      <w:bookmarkEnd w:id="110"/>
      <w:bookmarkEnd w:id="111"/>
    </w:p>
    <w:p w14:paraId="1C0E337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3885C3F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6C026EC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但未经过</w:t>
      </w:r>
      <w:r>
        <w:rPr>
          <w:rFonts w:hint="eastAsia" w:ascii="仿宋_GB2312" w:hAnsi="仿宋_GB2312" w:eastAsia="仿宋_GB2312" w:cs="仿宋_GB2312"/>
          <w:color w:val="auto"/>
          <w:sz w:val="32"/>
          <w:szCs w:val="32"/>
          <w:highlight w:val="none"/>
          <w:lang w:eastAsia="zh-CN"/>
        </w:rPr>
        <w:t>可行性研究、专家论证、风险评估、</w:t>
      </w:r>
      <w:r>
        <w:rPr>
          <w:rFonts w:hint="eastAsia" w:ascii="仿宋_GB2312" w:hAnsi="仿宋_GB2312" w:eastAsia="仿宋_GB2312" w:cs="仿宋_GB2312"/>
          <w:color w:val="auto"/>
          <w:sz w:val="32"/>
          <w:szCs w:val="32"/>
          <w:highlight w:val="none"/>
          <w:lang w:val="en-US" w:eastAsia="zh-CN"/>
        </w:rPr>
        <w:t>绩效评估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扣0.8分</w:t>
      </w:r>
      <w:r>
        <w:rPr>
          <w:rFonts w:hint="eastAsia" w:ascii="仿宋_GB2312" w:hAnsi="仿宋_GB2312" w:eastAsia="仿宋_GB2312" w:cs="仿宋_GB2312"/>
          <w:color w:val="auto"/>
          <w:sz w:val="32"/>
          <w:szCs w:val="32"/>
          <w:highlight w:val="none"/>
          <w:lang w:eastAsia="zh-CN"/>
        </w:rPr>
        <w:t>。</w:t>
      </w:r>
    </w:p>
    <w:p w14:paraId="399F95F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7278ADF1">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2" w:name="_Toc15382"/>
      <w:bookmarkStart w:id="113" w:name="_Toc23542"/>
      <w:r>
        <w:rPr>
          <w:rFonts w:hint="eastAsia" w:ascii="仿宋_GB2312" w:hAnsi="仿宋_GB2312" w:eastAsia="仿宋_GB2312" w:cs="仿宋_GB2312"/>
          <w:b/>
          <w:bCs/>
          <w:color w:val="auto"/>
          <w:sz w:val="32"/>
          <w:szCs w:val="32"/>
          <w:highlight w:val="none"/>
          <w:lang w:val="en-US" w:eastAsia="zh-CN"/>
        </w:rPr>
        <w:t>3.绩效目标合理性</w:t>
      </w:r>
      <w:bookmarkEnd w:id="112"/>
      <w:bookmarkEnd w:id="113"/>
    </w:p>
    <w:p w14:paraId="14FDF2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B6AC0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b w:val="0"/>
          <w:bCs w:val="0"/>
          <w:color w:val="auto"/>
          <w:kern w:val="2"/>
          <w:sz w:val="32"/>
          <w:szCs w:val="32"/>
          <w:highlight w:val="none"/>
          <w:lang w:val="en-US" w:eastAsia="zh-CN" w:bidi="ar-SA"/>
        </w:rPr>
        <w:t>为改善校园环境，对学校专项资金加强管理，专款专用。2024年计划完成3个项目实施，涉及企业数量3个，项目的实施有效提升改善全校师生员工的生活条件，</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37C7E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③该项目按照绩效目标完成数量指标、质量指标、时效指标、成本指标，完成了3个提升工程项目，涉及</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个企业，资金使用合规率、及时率均达到100%，项目支付比例达到100%，项目的实施均按时实施，达到了</w:t>
      </w:r>
      <w:r>
        <w:rPr>
          <w:rFonts w:hint="eastAsia" w:ascii="仿宋_GB2312" w:hAnsi="仿宋_GB2312" w:eastAsia="仿宋_GB2312" w:cs="仿宋_GB2312"/>
          <w:color w:val="auto"/>
          <w:sz w:val="32"/>
          <w:szCs w:val="32"/>
          <w:highlight w:val="none"/>
          <w:lang w:val="en-US" w:eastAsia="zh-CN"/>
        </w:rPr>
        <w:t>化解债务，提升单位和政府形象</w:t>
      </w:r>
      <w:r>
        <w:rPr>
          <w:rFonts w:hint="eastAsia" w:ascii="仿宋_GB2312" w:hAnsi="仿宋_GB2312" w:eastAsia="仿宋_GB2312" w:cs="仿宋_GB2312"/>
          <w:color w:val="auto"/>
          <w:sz w:val="32"/>
          <w:szCs w:val="32"/>
          <w:highlight w:val="none"/>
          <w:lang w:eastAsia="zh-CN"/>
        </w:rPr>
        <w:t>的目标，预期产出效益和效果符合正常的业绩水平。</w:t>
      </w:r>
    </w:p>
    <w:p w14:paraId="21EFA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230.01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2D5551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4E8786">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4" w:name="_Toc18198"/>
      <w:bookmarkStart w:id="115" w:name="_Toc10650"/>
      <w:r>
        <w:rPr>
          <w:rFonts w:hint="eastAsia" w:ascii="仿宋_GB2312" w:hAnsi="仿宋_GB2312" w:eastAsia="仿宋_GB2312" w:cs="仿宋_GB2312"/>
          <w:b/>
          <w:bCs/>
          <w:color w:val="auto"/>
          <w:sz w:val="32"/>
          <w:szCs w:val="32"/>
          <w:highlight w:val="none"/>
          <w:lang w:val="en-US" w:eastAsia="zh-CN"/>
        </w:rPr>
        <w:t>4.绩效指标明确性</w:t>
      </w:r>
      <w:bookmarkEnd w:id="114"/>
      <w:bookmarkEnd w:id="115"/>
    </w:p>
    <w:p w14:paraId="49435A0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其中三级指标共计10个</w:t>
      </w:r>
      <w:r>
        <w:rPr>
          <w:rFonts w:hint="eastAsia" w:ascii="仿宋_GB2312" w:hAnsi="仿宋_GB2312" w:eastAsia="仿宋_GB2312" w:cs="仿宋_GB2312"/>
          <w:color w:val="auto"/>
          <w:sz w:val="32"/>
          <w:szCs w:val="32"/>
          <w:highlight w:val="none"/>
          <w:lang w:eastAsia="zh-CN"/>
        </w:rPr>
        <w:t>；</w:t>
      </w:r>
    </w:p>
    <w:p w14:paraId="7E75EEF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量化率达到100%</w:t>
      </w:r>
      <w:r>
        <w:rPr>
          <w:rFonts w:hint="eastAsia" w:ascii="仿宋_GB2312" w:hAnsi="仿宋_GB2312" w:eastAsia="仿宋_GB2312" w:cs="仿宋_GB2312"/>
          <w:color w:val="auto"/>
          <w:sz w:val="32"/>
          <w:szCs w:val="32"/>
          <w:highlight w:val="none"/>
          <w:lang w:eastAsia="zh-CN"/>
        </w:rPr>
        <w:t>；</w:t>
      </w:r>
    </w:p>
    <w:p w14:paraId="6FE00C5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6C78EC7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1AFE0E9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91E23D4">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6" w:name="_Toc8296"/>
      <w:bookmarkStart w:id="117" w:name="_Toc19401"/>
      <w:r>
        <w:rPr>
          <w:rFonts w:hint="eastAsia" w:ascii="仿宋_GB2312" w:hAnsi="仿宋_GB2312" w:eastAsia="仿宋_GB2312" w:cs="仿宋_GB2312"/>
          <w:b/>
          <w:bCs/>
          <w:color w:val="auto"/>
          <w:sz w:val="32"/>
          <w:szCs w:val="32"/>
          <w:highlight w:val="none"/>
          <w:lang w:val="en-US" w:eastAsia="zh-CN"/>
        </w:rPr>
        <w:t>5.预算编制科学性</w:t>
      </w:r>
      <w:bookmarkEnd w:id="116"/>
      <w:bookmarkEnd w:id="117"/>
    </w:p>
    <w:p w14:paraId="3DA679B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C8F9F5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为改善校园环境，有效化解单位债务，提升单位和政府形象。</w:t>
      </w:r>
      <w:r>
        <w:rPr>
          <w:rFonts w:hint="eastAsia" w:ascii="仿宋_GB2312" w:hAnsi="仿宋_GB2312" w:eastAsia="仿宋_GB2312" w:cs="仿宋_GB2312"/>
          <w:color w:val="auto"/>
          <w:sz w:val="32"/>
          <w:szCs w:val="32"/>
          <w:highlight w:val="none"/>
          <w:lang w:eastAsia="zh-CN"/>
        </w:rPr>
        <w:t>项目实际内容</w:t>
      </w:r>
      <w:r>
        <w:rPr>
          <w:rFonts w:hint="eastAsia" w:ascii="仿宋_GB2312" w:hAnsi="仿宋_GB2312" w:eastAsia="仿宋_GB2312" w:cs="仿宋_GB2312"/>
          <w:b w:val="0"/>
          <w:bCs w:val="0"/>
          <w:color w:val="auto"/>
          <w:kern w:val="2"/>
          <w:sz w:val="32"/>
          <w:szCs w:val="32"/>
          <w:highlight w:val="none"/>
          <w:lang w:val="en-US" w:eastAsia="zh-CN" w:bidi="ar-SA"/>
        </w:rPr>
        <w:t>为改善校园环境，对学校专项资金加强管理，专款专用。提升单位和政府形象，与实际工作内容具有相关性</w:t>
      </w:r>
      <w:r>
        <w:rPr>
          <w:rFonts w:hint="eastAsia" w:ascii="仿宋_GB2312" w:hAnsi="仿宋_GB2312" w:eastAsia="仿宋_GB2312" w:cs="仿宋_GB2312"/>
          <w:color w:val="auto"/>
          <w:sz w:val="32"/>
          <w:szCs w:val="32"/>
          <w:highlight w:val="none"/>
          <w:lang w:eastAsia="zh-CN"/>
        </w:rPr>
        <w:t>，预算申请与项目内容匹配；</w:t>
      </w:r>
    </w:p>
    <w:p w14:paraId="1AC9E78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230.01万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运动场项目地勘费2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周转房项目设计费7.2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运动场项目费220.01</w:t>
      </w:r>
      <w:r>
        <w:rPr>
          <w:rFonts w:hint="eastAsia" w:ascii="仿宋_GB2312" w:hAnsi="仿宋_GB2312" w:eastAsia="仿宋_GB2312" w:cs="仿宋_GB2312"/>
          <w:color w:val="auto"/>
          <w:sz w:val="32"/>
          <w:szCs w:val="32"/>
          <w:highlight w:val="none"/>
          <w:lang w:eastAsia="zh-CN"/>
        </w:rPr>
        <w:t>万元。</w:t>
      </w:r>
    </w:p>
    <w:p w14:paraId="46EB576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2E05DC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C0C103F">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8" w:name="_Toc20556"/>
      <w:bookmarkStart w:id="119" w:name="_Toc697"/>
      <w:r>
        <w:rPr>
          <w:rFonts w:hint="eastAsia" w:ascii="仿宋_GB2312" w:hAnsi="仿宋_GB2312" w:eastAsia="仿宋_GB2312" w:cs="仿宋_GB2312"/>
          <w:b/>
          <w:bCs/>
          <w:color w:val="auto"/>
          <w:sz w:val="32"/>
          <w:szCs w:val="32"/>
          <w:highlight w:val="none"/>
          <w:lang w:val="en-US" w:eastAsia="zh-CN"/>
        </w:rPr>
        <w:t>6.资金分配合理性</w:t>
      </w:r>
      <w:bookmarkEnd w:id="118"/>
      <w:bookmarkEnd w:id="119"/>
    </w:p>
    <w:p w14:paraId="0FB9ABD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2024化解运动场项目地勘测费、周转房项目设计费、运动场项目费欠款</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22588AD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230.01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4604D0B7">
      <w:pPr>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107465C0">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0"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0"/>
    </w:p>
    <w:p w14:paraId="54D333C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F5BF2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253A97C">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410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48A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657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156F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FE93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035C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DC2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264EEDF">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227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297F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0520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BE97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A2D4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8941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17F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6BE86A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5A02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6B2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63C7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9E1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B767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261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9E7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BF419F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C0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48C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73C4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930C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4EA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1CA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8C93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91A93C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3B24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58E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F3D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E4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202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D6E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B3CB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BF7C1F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4324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907B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CBC0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3E1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6B2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6F1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BB6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63876FC">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A62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189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B4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ECF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A36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7DD92B1">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21" w:name="_Toc3886"/>
      <w:bookmarkStart w:id="122" w:name="_Toc28875"/>
      <w:bookmarkStart w:id="123" w:name="_Toc18691"/>
      <w:r>
        <w:rPr>
          <w:rFonts w:hint="eastAsia"/>
          <w:b/>
          <w:bCs/>
          <w:color w:val="auto"/>
          <w:highlight w:val="none"/>
          <w:lang w:val="en-US" w:eastAsia="zh-CN"/>
        </w:rPr>
        <w:t>1.资金到位率</w:t>
      </w:r>
      <w:bookmarkEnd w:id="121"/>
    </w:p>
    <w:p w14:paraId="0238AA7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项目预算资金为230.01万元，其中：财政安排资金230.01万元，其他资金0万元。</w:t>
      </w:r>
    </w:p>
    <w:p w14:paraId="76EB3A0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资金到位率=（230.01万元/230.01万元）×100%=100%</w:t>
      </w:r>
    </w:p>
    <w:p w14:paraId="3DEF84EC">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74C326E4">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24" w:name="_Toc9705"/>
      <w:r>
        <w:rPr>
          <w:rFonts w:hint="eastAsia"/>
          <w:b/>
          <w:bCs/>
          <w:color w:val="auto"/>
          <w:highlight w:val="none"/>
          <w:lang w:val="en-US" w:eastAsia="zh-CN"/>
        </w:rPr>
        <w:t>2.预算执行率</w:t>
      </w:r>
      <w:bookmarkEnd w:id="124"/>
    </w:p>
    <w:p w14:paraId="5BBC211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截止2024年12月31日，项目实际支出230.01万元。</w:t>
      </w:r>
    </w:p>
    <w:p w14:paraId="69E3202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预算执行率=（230.01万元/230.01万元）×100%=100%</w:t>
      </w:r>
    </w:p>
    <w:p w14:paraId="3701B9BF">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综上，该项指标满分4分，得分4分。</w:t>
      </w:r>
    </w:p>
    <w:p w14:paraId="4C6A4AFB">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3.资金使用合规性</w:t>
      </w:r>
      <w:bookmarkEnd w:id="122"/>
      <w:bookmarkEnd w:id="123"/>
    </w:p>
    <w:p w14:paraId="187B5DFE">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专项资金管理办法》；</w:t>
      </w:r>
    </w:p>
    <w:p w14:paraId="369BD4C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5941461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0CC66D2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299FC1FD">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31EE045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05C2F6D">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53EF82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0A2C54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11DD503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B87ABAF">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5" w:name="_Toc31684"/>
      <w:bookmarkStart w:id="126" w:name="_Toc13984"/>
      <w:r>
        <w:rPr>
          <w:rFonts w:hint="eastAsia" w:ascii="仿宋_GB2312" w:hAnsi="仿宋_GB2312" w:eastAsia="仿宋_GB2312" w:cs="仿宋_GB2312"/>
          <w:b/>
          <w:bCs/>
          <w:color w:val="auto"/>
          <w:sz w:val="32"/>
          <w:szCs w:val="32"/>
          <w:highlight w:val="none"/>
          <w:lang w:val="en-US" w:eastAsia="zh-CN"/>
        </w:rPr>
        <w:t>5.制度执行有效性</w:t>
      </w:r>
      <w:bookmarkEnd w:id="125"/>
      <w:bookmarkEnd w:id="126"/>
    </w:p>
    <w:p w14:paraId="1B90825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b w:val="0"/>
          <w:bCs w:val="0"/>
          <w:color w:val="auto"/>
          <w:kern w:val="2"/>
          <w:sz w:val="32"/>
          <w:szCs w:val="32"/>
          <w:highlight w:val="none"/>
          <w:lang w:val="en-US" w:eastAsia="zh-CN" w:bidi="ar-SA"/>
        </w:rPr>
        <w:t>阜康市</w:t>
      </w:r>
      <w:r>
        <w:rPr>
          <w:rFonts w:hint="eastAsia" w:ascii="仿宋_GB2312" w:hAnsi="仿宋_GB2312" w:eastAsia="仿宋_GB2312" w:cs="仿宋_GB2312"/>
          <w:color w:val="auto"/>
          <w:sz w:val="32"/>
          <w:szCs w:val="32"/>
          <w:highlight w:val="none"/>
          <w:lang w:val="en-US" w:eastAsia="zh-CN"/>
        </w:rPr>
        <w:t>城关镇中心</w:t>
      </w:r>
      <w:r>
        <w:rPr>
          <w:rFonts w:hint="eastAsia" w:ascii="仿宋_GB2312" w:hAnsi="仿宋_GB2312" w:eastAsia="仿宋_GB2312" w:cs="仿宋_GB2312"/>
          <w:b w:val="0"/>
          <w:bCs w:val="0"/>
          <w:color w:val="auto"/>
          <w:kern w:val="2"/>
          <w:sz w:val="32"/>
          <w:szCs w:val="32"/>
          <w:highlight w:val="none"/>
          <w:lang w:val="en-US" w:eastAsia="zh-CN" w:bidi="ar-SA"/>
        </w:rPr>
        <w:t>小学建设项目管理办法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kern w:val="2"/>
          <w:sz w:val="32"/>
          <w:szCs w:val="32"/>
          <w:highlight w:val="none"/>
          <w:lang w:val="en-US" w:eastAsia="zh-CN" w:bidi="ar-SA"/>
        </w:rPr>
        <w:t>阜康市</w:t>
      </w:r>
      <w:r>
        <w:rPr>
          <w:rFonts w:hint="eastAsia" w:ascii="仿宋_GB2312" w:hAnsi="仿宋_GB2312" w:eastAsia="仿宋_GB2312" w:cs="仿宋_GB2312"/>
          <w:color w:val="auto"/>
          <w:sz w:val="32"/>
          <w:szCs w:val="32"/>
          <w:highlight w:val="none"/>
          <w:lang w:val="en-US" w:eastAsia="zh-CN"/>
        </w:rPr>
        <w:t>城关镇中心</w:t>
      </w:r>
      <w:r>
        <w:rPr>
          <w:rFonts w:hint="eastAsia" w:ascii="仿宋_GB2312" w:hAnsi="仿宋_GB2312" w:eastAsia="仿宋_GB2312" w:cs="仿宋_GB2312"/>
          <w:b w:val="0"/>
          <w:bCs w:val="0"/>
          <w:color w:val="auto"/>
          <w:kern w:val="2"/>
          <w:sz w:val="32"/>
          <w:szCs w:val="32"/>
          <w:highlight w:val="none"/>
          <w:lang w:val="en-US" w:eastAsia="zh-CN" w:bidi="ar-SA"/>
        </w:rPr>
        <w:t>小学学收支业务管理办法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4AE26CB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该项目实施过程中存在调整事项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调整手写齐全</w:t>
      </w:r>
      <w:r>
        <w:rPr>
          <w:rFonts w:hint="eastAsia" w:ascii="仿宋_GB2312" w:hAnsi="仿宋_GB2312" w:eastAsia="仿宋_GB2312" w:cs="仿宋_GB2312"/>
          <w:color w:val="auto"/>
          <w:sz w:val="32"/>
          <w:szCs w:val="32"/>
          <w:highlight w:val="none"/>
          <w:lang w:eastAsia="zh-CN"/>
        </w:rPr>
        <w:t>。</w:t>
      </w:r>
    </w:p>
    <w:p w14:paraId="1051BE98">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63C473C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2024化解运动场项目地勘测费、周转房项目设计费、运动场项目费欠款</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陈红民</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马利邦</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葛光辉</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申亮</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2990953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4A7343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7" w:name="_Toc2441"/>
      <w:r>
        <w:rPr>
          <w:rFonts w:hint="eastAsia" w:ascii="Times New Roman" w:hAnsi="Times New Roman" w:eastAsia="楷体_GB2312" w:cs="Times New Roman"/>
          <w:color w:val="auto"/>
          <w:kern w:val="28"/>
          <w:sz w:val="32"/>
          <w:highlight w:val="none"/>
          <w:lang w:val="en-US" w:eastAsia="zh-CN"/>
        </w:rPr>
        <w:t>（三）项目产出情况</w:t>
      </w:r>
      <w:bookmarkEnd w:id="127"/>
    </w:p>
    <w:p w14:paraId="6D8F61A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92EAD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631" w:type="dxa"/>
        <w:tblInd w:w="-434" w:type="dxa"/>
        <w:shd w:val="clear" w:color="auto" w:fill="auto"/>
        <w:tblLayout w:type="fixed"/>
        <w:tblCellMar>
          <w:top w:w="0" w:type="dxa"/>
          <w:left w:w="0" w:type="dxa"/>
          <w:bottom w:w="0" w:type="dxa"/>
          <w:right w:w="0" w:type="dxa"/>
        </w:tblCellMar>
      </w:tblPr>
      <w:tblGrid>
        <w:gridCol w:w="693"/>
        <w:gridCol w:w="920"/>
        <w:gridCol w:w="2307"/>
        <w:gridCol w:w="1946"/>
        <w:gridCol w:w="600"/>
        <w:gridCol w:w="1680"/>
        <w:gridCol w:w="485"/>
      </w:tblGrid>
      <w:tr w14:paraId="3E0A950F">
        <w:tblPrEx>
          <w:shd w:val="clear" w:color="auto" w:fill="auto"/>
          <w:tblCellMar>
            <w:top w:w="0" w:type="dxa"/>
            <w:left w:w="0" w:type="dxa"/>
            <w:bottom w:w="0" w:type="dxa"/>
            <w:right w:w="0" w:type="dxa"/>
          </w:tblCellMar>
        </w:tblPrEx>
        <w:trPr>
          <w:trHeight w:val="75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F6F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524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62F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B3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527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BE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097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7A16E347">
        <w:tblPrEx>
          <w:tblCellMar>
            <w:top w:w="0" w:type="dxa"/>
            <w:left w:w="0" w:type="dxa"/>
            <w:bottom w:w="0" w:type="dxa"/>
            <w:right w:w="0" w:type="dxa"/>
          </w:tblCellMar>
        </w:tblPrEx>
        <w:trPr>
          <w:trHeight w:val="415" w:hRule="atLeast"/>
        </w:trPr>
        <w:tc>
          <w:tcPr>
            <w:tcW w:w="69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878B2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D437D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A89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化解债务项目数量</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6301C">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63F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C746B">
            <w:pPr>
              <w:keepNext w:val="0"/>
              <w:keepLines w:val="0"/>
              <w:pageBreakBefore w:val="0"/>
              <w:widowControl/>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r>
              <w:rPr>
                <w:rFonts w:hint="eastAsia" w:ascii="宋体" w:hAnsi="宋体" w:eastAsia="宋体" w:cs="宋体"/>
                <w:color w:val="auto"/>
                <w:kern w:val="0"/>
                <w:sz w:val="20"/>
                <w:szCs w:val="20"/>
                <w:highlight w:val="none"/>
                <w:shd w:val="clear" w:color="auto" w:fill="auto"/>
                <w:lang w:val="en-US" w:eastAsia="zh-CN"/>
              </w:rPr>
              <w:t>个</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738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111D67D6">
        <w:tblPrEx>
          <w:tblCellMar>
            <w:top w:w="0" w:type="dxa"/>
            <w:left w:w="0" w:type="dxa"/>
            <w:bottom w:w="0" w:type="dxa"/>
            <w:right w:w="0" w:type="dxa"/>
          </w:tblCellMar>
        </w:tblPrEx>
        <w:trPr>
          <w:trHeight w:val="415"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D686C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410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3C336">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化债项目涉及企业</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F84D2">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r>
              <w:rPr>
                <w:rFonts w:hint="eastAsia"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22D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0BDBF">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个</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5A7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8</w:t>
            </w:r>
          </w:p>
        </w:tc>
      </w:tr>
      <w:tr w14:paraId="54F3072E">
        <w:trPr>
          <w:trHeight w:val="39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D78F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3E05B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5FB1C">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资金使用合规率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2F704">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DE8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45A4">
            <w:pPr>
              <w:keepNext w:val="0"/>
              <w:keepLines w:val="0"/>
              <w:pageBreakBefore w:val="0"/>
              <w:widowControl/>
              <w:kinsoku/>
              <w:wordWrap/>
              <w:overflowPunct/>
              <w:topLinePunct w:val="0"/>
              <w:autoSpaceDE/>
              <w:autoSpaceDN/>
              <w:bidi w:val="0"/>
              <w:adjustRightInd/>
              <w:snapToGrid w:val="0"/>
              <w:spacing w:line="560" w:lineRule="exact"/>
              <w:ind w:firstLine="600" w:firstLineChars="300"/>
              <w:jc w:val="both"/>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AD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4</w:t>
            </w:r>
          </w:p>
        </w:tc>
      </w:tr>
      <w:tr w14:paraId="41063FEE">
        <w:tblPrEx>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ADD9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1E0D5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75C9A">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任务完成时间</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5ECAB">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=2024年8月</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B15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1D0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202</w:t>
            </w:r>
            <w:r>
              <w:rPr>
                <w:rFonts w:hint="eastAsia" w:cs="宋体"/>
                <w:i w:val="0"/>
                <w:iCs w:val="0"/>
                <w:color w:val="auto"/>
                <w:kern w:val="0"/>
                <w:sz w:val="20"/>
                <w:szCs w:val="20"/>
                <w:highlight w:val="none"/>
                <w:u w:val="none"/>
                <w:lang w:val="en-US" w:eastAsia="zh-CN" w:bidi="ar"/>
              </w:rPr>
              <w:t>4</w:t>
            </w:r>
            <w:r>
              <w:rPr>
                <w:rFonts w:hint="eastAsia" w:ascii="宋体" w:hAnsi="宋体" w:eastAsia="宋体" w:cs="宋体"/>
                <w:i w:val="0"/>
                <w:iCs w:val="0"/>
                <w:color w:val="auto"/>
                <w:kern w:val="0"/>
                <w:sz w:val="20"/>
                <w:szCs w:val="20"/>
                <w:highlight w:val="none"/>
                <w:u w:val="none"/>
                <w:lang w:val="en-US" w:eastAsia="zh-CN" w:bidi="ar"/>
              </w:rPr>
              <w:t>年</w:t>
            </w:r>
            <w:r>
              <w:rPr>
                <w:rFonts w:hint="eastAsia" w:cs="宋体"/>
                <w:i w:val="0"/>
                <w:iCs w:val="0"/>
                <w:color w:val="auto"/>
                <w:kern w:val="0"/>
                <w:sz w:val="20"/>
                <w:szCs w:val="20"/>
                <w:highlight w:val="none"/>
                <w:u w:val="none"/>
                <w:lang w:val="en-US" w:eastAsia="zh-CN" w:bidi="ar"/>
              </w:rPr>
              <w:t>8</w:t>
            </w:r>
            <w:r>
              <w:rPr>
                <w:rFonts w:hint="eastAsia" w:ascii="宋体" w:hAnsi="宋体" w:eastAsia="宋体" w:cs="宋体"/>
                <w:i w:val="0"/>
                <w:iCs w:val="0"/>
                <w:color w:val="auto"/>
                <w:kern w:val="0"/>
                <w:sz w:val="20"/>
                <w:szCs w:val="20"/>
                <w:highlight w:val="none"/>
                <w:u w:val="none"/>
                <w:lang w:val="en-US" w:eastAsia="zh-CN" w:bidi="ar"/>
              </w:rPr>
              <w:t>月</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1E1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6</w:t>
            </w:r>
          </w:p>
        </w:tc>
      </w:tr>
      <w:tr w14:paraId="69E6687C">
        <w:tblPrEx>
          <w:tblCellMar>
            <w:top w:w="0" w:type="dxa"/>
            <w:left w:w="0" w:type="dxa"/>
            <w:bottom w:w="0" w:type="dxa"/>
            <w:right w:w="0" w:type="dxa"/>
          </w:tblCellMar>
        </w:tblPrEx>
        <w:trPr>
          <w:trHeight w:val="41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D106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1AF94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AE6251E">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265F0">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FCE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5162F">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18C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3A871759">
        <w:tblPrEx>
          <w:tblCellMar>
            <w:top w:w="0" w:type="dxa"/>
            <w:left w:w="0" w:type="dxa"/>
            <w:bottom w:w="0" w:type="dxa"/>
            <w:right w:w="0" w:type="dxa"/>
          </w:tblCellMar>
        </w:tblPrEx>
        <w:trPr>
          <w:trHeight w:val="428" w:hRule="atLeast"/>
        </w:trPr>
        <w:tc>
          <w:tcPr>
            <w:tcW w:w="693"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3877C6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1227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30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8049D">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运动场项目地勘费</w:t>
            </w:r>
          </w:p>
        </w:tc>
        <w:tc>
          <w:tcPr>
            <w:tcW w:w="19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7C5779B">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&lt;=2万元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43BB">
            <w:pPr>
              <w:keepNext w:val="0"/>
              <w:keepLines w:val="0"/>
              <w:pageBreakBefore w:val="0"/>
              <w:widowControl/>
              <w:suppressLineNumbers w:val="0"/>
              <w:kinsoku/>
              <w:wordWrap/>
              <w:overflowPunct/>
              <w:topLinePunct w:val="0"/>
              <w:autoSpaceDE/>
              <w:autoSpaceDN/>
              <w:bidi w:val="0"/>
              <w:adjustRightInd/>
              <w:spacing w:line="560" w:lineRule="exact"/>
              <w:ind w:left="0" w:leftChars="0" w:firstLine="200" w:firstLineChars="100"/>
              <w:jc w:val="both"/>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9703">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71D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2</w:t>
            </w:r>
          </w:p>
        </w:tc>
      </w:tr>
      <w:tr w14:paraId="41CEC82B">
        <w:tblPrEx>
          <w:tblCellMar>
            <w:top w:w="0" w:type="dxa"/>
            <w:left w:w="0" w:type="dxa"/>
            <w:bottom w:w="0" w:type="dxa"/>
            <w:right w:w="0" w:type="dxa"/>
          </w:tblCellMar>
        </w:tblPrEx>
        <w:trPr>
          <w:trHeight w:val="545" w:hRule="atLeast"/>
        </w:trPr>
        <w:tc>
          <w:tcPr>
            <w:tcW w:w="693"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3FFD02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BEDC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243BD3">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周转房项目设计费</w:t>
            </w:r>
          </w:p>
        </w:tc>
        <w:tc>
          <w:tcPr>
            <w:tcW w:w="19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502D35">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&lt;=7.2万元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DED46">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2C5E7">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868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3</w:t>
            </w:r>
          </w:p>
        </w:tc>
      </w:tr>
      <w:tr w14:paraId="18BCFA99">
        <w:tblPrEx>
          <w:tblCellMar>
            <w:top w:w="0" w:type="dxa"/>
            <w:left w:w="0" w:type="dxa"/>
            <w:bottom w:w="0" w:type="dxa"/>
            <w:right w:w="0" w:type="dxa"/>
          </w:tblCellMar>
        </w:tblPrEx>
        <w:trPr>
          <w:trHeight w:val="428" w:hRule="atLeast"/>
        </w:trPr>
        <w:tc>
          <w:tcPr>
            <w:tcW w:w="693" w:type="dxa"/>
            <w:vMerge w:val="continue"/>
            <w:tcBorders>
              <w:left w:val="single" w:color="000000" w:sz="4" w:space="0"/>
              <w:right w:val="single" w:color="auto" w:sz="4" w:space="0"/>
            </w:tcBorders>
            <w:shd w:val="clear" w:color="auto" w:fill="auto"/>
            <w:tcMar>
              <w:top w:w="15" w:type="dxa"/>
              <w:left w:w="15" w:type="dxa"/>
              <w:right w:w="15" w:type="dxa"/>
            </w:tcMar>
            <w:vAlign w:val="center"/>
          </w:tcPr>
          <w:p w14:paraId="5D451B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0"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06C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30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82CA76">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运动场项目费</w:t>
            </w:r>
          </w:p>
        </w:tc>
        <w:tc>
          <w:tcPr>
            <w:tcW w:w="19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9591074">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&lt;=220.81万元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0A089">
            <w:pPr>
              <w:keepNext w:val="0"/>
              <w:keepLines w:val="0"/>
              <w:pageBreakBefore w:val="0"/>
              <w:widowControl/>
              <w:suppressLineNumbers w:val="0"/>
              <w:kinsoku/>
              <w:wordWrap/>
              <w:overflowPunct/>
              <w:topLinePunct w:val="0"/>
              <w:autoSpaceDE/>
              <w:autoSpaceDN/>
              <w:bidi w:val="0"/>
              <w:adjustRightInd/>
              <w:spacing w:line="560" w:lineRule="exact"/>
              <w:ind w:left="0" w:leftChars="0" w:firstLine="0"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auto"/>
                <w:kern w:val="0"/>
                <w:sz w:val="20"/>
                <w:szCs w:val="20"/>
                <w:highlight w:val="none"/>
                <w:u w:val="none"/>
                <w:lang w:val="en-US" w:eastAsia="zh-CN" w:bidi="ar"/>
              </w:rPr>
              <w:t>3</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D22B1">
            <w:pPr>
              <w:keepNext w:val="0"/>
              <w:keepLines w:val="0"/>
              <w:pageBreakBefore w:val="0"/>
              <w:widowControl/>
              <w:suppressLineNumbers w:val="0"/>
              <w:kinsoku/>
              <w:wordWrap/>
              <w:overflowPunct/>
              <w:topLinePunct w:val="0"/>
              <w:autoSpaceDE/>
              <w:autoSpaceDN/>
              <w:bidi w:val="0"/>
              <w:adjustRightInd/>
              <w:spacing w:line="560" w:lineRule="exact"/>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220.81万元</w:t>
            </w: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9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3</w:t>
            </w:r>
          </w:p>
        </w:tc>
      </w:tr>
      <w:tr w14:paraId="08565D3A">
        <w:tblPrEx>
          <w:tblCellMar>
            <w:top w:w="0" w:type="dxa"/>
            <w:left w:w="0" w:type="dxa"/>
            <w:bottom w:w="0" w:type="dxa"/>
            <w:right w:w="0" w:type="dxa"/>
          </w:tblCellMar>
        </w:tblPrEx>
        <w:trPr>
          <w:trHeight w:val="403" w:hRule="atLeast"/>
        </w:trPr>
        <w:tc>
          <w:tcPr>
            <w:tcW w:w="586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534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D9F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9B0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152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B37C66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28" w:name="_Toc26689"/>
      <w:bookmarkStart w:id="129" w:name="_Toc11067"/>
      <w:r>
        <w:rPr>
          <w:rFonts w:hint="eastAsia" w:ascii="仿宋_GB2312" w:hAnsi="仿宋_GB2312" w:eastAsia="仿宋_GB2312" w:cs="仿宋_GB2312"/>
          <w:b/>
          <w:bCs/>
          <w:color w:val="auto"/>
          <w:sz w:val="32"/>
          <w:szCs w:val="32"/>
          <w:highlight w:val="none"/>
          <w:lang w:val="en-US" w:eastAsia="zh-CN"/>
        </w:rPr>
        <w:t>1.数量指标完成情况</w:t>
      </w:r>
      <w:bookmarkEnd w:id="128"/>
      <w:bookmarkEnd w:id="129"/>
    </w:p>
    <w:p w14:paraId="27D7B1FD">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“化解债务项目数量”指标，预期目标值为≥3个个，实际完成为3个。</w:t>
      </w:r>
      <w:bookmarkStart w:id="130" w:name="OLE_LINK1"/>
      <w:r>
        <w:rPr>
          <w:rFonts w:hint="eastAsia" w:ascii="仿宋_GB2312" w:hAnsi="仿宋_GB2312" w:eastAsia="仿宋_GB2312" w:cs="仿宋_GB2312"/>
          <w:b w:val="0"/>
          <w:bCs w:val="0"/>
          <w:color w:val="auto"/>
          <w:kern w:val="2"/>
          <w:sz w:val="32"/>
          <w:szCs w:val="32"/>
          <w:highlight w:val="none"/>
          <w:lang w:val="en-US" w:eastAsia="zh-CN" w:bidi="ar-SA"/>
        </w:rPr>
        <w:t>实际完成率=（3个/3个）×100%=100%。</w:t>
      </w:r>
    </w:p>
    <w:bookmarkEnd w:id="130"/>
    <w:p w14:paraId="536D016E">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“化债项目涉及企业”指标，预期目标值为≥3个，实际完成为3个。实际完成率=（3个/3个）×100%=100%。</w:t>
      </w:r>
    </w:p>
    <w:p w14:paraId="4F2C741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7A8FAEED">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1" w:name="_Toc31739"/>
      <w:bookmarkStart w:id="132" w:name="_Toc14255"/>
      <w:r>
        <w:rPr>
          <w:rFonts w:hint="eastAsia" w:ascii="仿宋_GB2312" w:hAnsi="仿宋_GB2312" w:eastAsia="仿宋_GB2312" w:cs="仿宋_GB2312"/>
          <w:b/>
          <w:bCs/>
          <w:color w:val="auto"/>
          <w:sz w:val="32"/>
          <w:szCs w:val="32"/>
          <w:highlight w:val="none"/>
          <w:lang w:val="en-US" w:eastAsia="zh-CN"/>
        </w:rPr>
        <w:t>2.</w:t>
      </w:r>
      <w:bookmarkEnd w:id="131"/>
      <w:r>
        <w:rPr>
          <w:rFonts w:hint="eastAsia" w:ascii="仿宋_GB2312" w:hAnsi="仿宋_GB2312" w:eastAsia="仿宋_GB2312" w:cs="仿宋_GB2312"/>
          <w:b/>
          <w:bCs/>
          <w:color w:val="auto"/>
          <w:sz w:val="32"/>
          <w:szCs w:val="32"/>
          <w:highlight w:val="none"/>
          <w:lang w:val="en-US" w:eastAsia="zh-CN"/>
        </w:rPr>
        <w:t>质量指标完成情况</w:t>
      </w:r>
      <w:bookmarkEnd w:id="132"/>
    </w:p>
    <w:p w14:paraId="6A5827B9">
      <w:pPr>
        <w:pageBreakBefore w:val="0"/>
        <w:kinsoku/>
        <w:wordWrap/>
        <w:overflowPunct/>
        <w:topLinePunct w:val="0"/>
        <w:autoSpaceDE/>
        <w:autoSpaceDN/>
        <w:bidi w:val="0"/>
        <w:adjustRightInd/>
        <w:spacing w:line="560" w:lineRule="exact"/>
        <w:ind w:left="0" w:leftChars="0" w:firstLine="640" w:firstLineChars="200"/>
        <w:rPr>
          <w:rFonts w:hint="eastAsia"/>
          <w:color w:val="auto"/>
          <w:highlight w:val="none"/>
          <w:lang w:val="en-US" w:eastAsia="zh-CN"/>
        </w:rPr>
      </w:pPr>
      <w:bookmarkStart w:id="133" w:name="_Toc18307"/>
      <w:bookmarkStart w:id="134" w:name="_Toc28885"/>
      <w:r>
        <w:rPr>
          <w:rFonts w:hint="eastAsia" w:ascii="仿宋_GB2312" w:hAnsi="仿宋_GB2312" w:eastAsia="仿宋_GB2312" w:cs="仿宋_GB2312"/>
          <w:b w:val="0"/>
          <w:bCs w:val="0"/>
          <w:color w:val="auto"/>
          <w:kern w:val="2"/>
          <w:sz w:val="32"/>
          <w:szCs w:val="32"/>
          <w:highlight w:val="none"/>
          <w:lang w:val="en-US" w:eastAsia="zh-CN" w:bidi="ar-SA"/>
        </w:rPr>
        <w:t>“资金使用合规率”指标，预期目标值为=100%，实际完成为100%，</w:t>
      </w:r>
      <w:r>
        <w:rPr>
          <w:rFonts w:hint="eastAsia"/>
          <w:color w:val="auto"/>
          <w:highlight w:val="none"/>
          <w:lang w:val="en-US" w:eastAsia="zh-CN"/>
        </w:rPr>
        <w:t>实际完成率100%。</w:t>
      </w:r>
    </w:p>
    <w:p w14:paraId="0C0F6A66">
      <w:pPr>
        <w:pageBreakBefore w:val="0"/>
        <w:kinsoku/>
        <w:wordWrap/>
        <w:overflowPunct/>
        <w:topLinePunct w:val="0"/>
        <w:autoSpaceDE/>
        <w:autoSpaceDN/>
        <w:bidi w:val="0"/>
        <w:adjustRightInd/>
        <w:spacing w:line="560" w:lineRule="exact"/>
        <w:rPr>
          <w:rFonts w:hint="eastAsia"/>
          <w:b/>
          <w:bCs/>
          <w:color w:val="auto"/>
          <w:highlight w:val="none"/>
          <w:lang w:val="en-US" w:eastAsia="zh-CN"/>
        </w:rPr>
      </w:pPr>
      <w:r>
        <w:rPr>
          <w:rFonts w:hint="eastAsia"/>
          <w:b/>
          <w:bCs/>
          <w:color w:val="auto"/>
          <w:highlight w:val="none"/>
          <w:lang w:val="en-US" w:eastAsia="zh-CN"/>
        </w:rPr>
        <w:t>综上，该项指标满分4分，得分4分。</w:t>
      </w:r>
    </w:p>
    <w:p w14:paraId="089A7C5C">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bookmarkEnd w:id="133"/>
      <w:r>
        <w:rPr>
          <w:rFonts w:hint="eastAsia" w:ascii="仿宋_GB2312" w:hAnsi="仿宋_GB2312" w:eastAsia="仿宋_GB2312" w:cs="仿宋_GB2312"/>
          <w:b/>
          <w:bCs/>
          <w:color w:val="auto"/>
          <w:sz w:val="32"/>
          <w:szCs w:val="32"/>
          <w:highlight w:val="none"/>
          <w:lang w:val="en-US" w:eastAsia="zh-CN"/>
        </w:rPr>
        <w:t>时效指标完成情况</w:t>
      </w:r>
      <w:bookmarkEnd w:id="134"/>
    </w:p>
    <w:p w14:paraId="6D62273C">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135" w:name="_Toc32765"/>
      <w:bookmarkStart w:id="136" w:name="_Toc20607"/>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“任务完成时间”指标，预期目标值为=2024年8月，实际完成为2024年8月，实际完成率100%。</w:t>
      </w:r>
    </w:p>
    <w:p w14:paraId="24C28C9F">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（2）“资金支付及时率”指标，预期目标值为=100%，实际完成为100%，实际完成率100%。</w:t>
      </w:r>
    </w:p>
    <w:p w14:paraId="269C0AB0">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综上，该项指标满分12分，得分12分。</w:t>
      </w:r>
    </w:p>
    <w:p w14:paraId="5FE54C95">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4.项目</w:t>
      </w:r>
      <w:bookmarkEnd w:id="135"/>
      <w:r>
        <w:rPr>
          <w:rFonts w:hint="eastAsia" w:ascii="仿宋_GB2312" w:hAnsi="仿宋_GB2312" w:eastAsia="仿宋_GB2312" w:cs="仿宋_GB2312"/>
          <w:b/>
          <w:bCs/>
          <w:color w:val="auto"/>
          <w:sz w:val="32"/>
          <w:szCs w:val="32"/>
          <w:highlight w:val="none"/>
          <w:lang w:val="en-US" w:eastAsia="zh-CN"/>
        </w:rPr>
        <w:t>成本情况</w:t>
      </w:r>
      <w:bookmarkEnd w:id="136"/>
    </w:p>
    <w:p w14:paraId="650945D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60E61719">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“运动场项目地勘费”指标，预期目标值为≤2万元，实际完成为2万元。实际完成率=（2万元/2万元）×100%=100%。</w:t>
      </w:r>
    </w:p>
    <w:p w14:paraId="7D0B9705">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（2）“周转房项目设计费”指标，预期目标值为≤7.2万元，实际完成为7.2元。实际完成率=（7.2万元/7.2万元）×100%=100%。</w:t>
      </w:r>
    </w:p>
    <w:p w14:paraId="1C56E1C0">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（3）“运动场项目费”指标，预期目标值为≤220.81万元，实际完成为220.81万元。实际完成率=（220.81万元/220.81万元）×100%=100%。</w:t>
      </w:r>
    </w:p>
    <w:p w14:paraId="41B2CA89">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eastAsia="zh-CN"/>
        </w:rPr>
      </w:pPr>
      <w:r>
        <w:rPr>
          <w:rFonts w:hint="eastAsia"/>
          <w:b/>
          <w:bCs/>
          <w:color w:val="auto"/>
          <w:highlight w:val="none"/>
          <w:lang w:val="en-US" w:eastAsia="zh-CN"/>
        </w:rPr>
        <w:t>综上，该项指标满分8分，得分8分。</w:t>
      </w:r>
    </w:p>
    <w:p w14:paraId="753387D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7" w:name="_Toc19424"/>
      <w:r>
        <w:rPr>
          <w:rFonts w:hint="eastAsia" w:ascii="Times New Roman" w:hAnsi="Times New Roman" w:eastAsia="楷体_GB2312" w:cs="Times New Roman"/>
          <w:color w:val="auto"/>
          <w:kern w:val="28"/>
          <w:sz w:val="32"/>
          <w:highlight w:val="none"/>
          <w:lang w:val="en-US" w:eastAsia="zh-CN"/>
        </w:rPr>
        <w:t>（四）项目效益情况</w:t>
      </w:r>
      <w:bookmarkEnd w:id="137"/>
    </w:p>
    <w:p w14:paraId="00D33C8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D1E9EEF">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pPr w:leftFromText="180" w:rightFromText="180" w:vertAnchor="text" w:horzAnchor="page" w:tblpX="1783" w:tblpY="526"/>
        <w:tblOverlap w:val="never"/>
        <w:tblW w:w="8372" w:type="dxa"/>
        <w:tblInd w:w="0" w:type="dxa"/>
        <w:shd w:val="clear" w:color="auto" w:fill="auto"/>
        <w:tblLayout w:type="fixed"/>
        <w:tblCellMar>
          <w:top w:w="0" w:type="dxa"/>
          <w:left w:w="0" w:type="dxa"/>
          <w:bottom w:w="0" w:type="dxa"/>
          <w:right w:w="0" w:type="dxa"/>
        </w:tblCellMar>
      </w:tblPr>
      <w:tblGrid>
        <w:gridCol w:w="685"/>
        <w:gridCol w:w="1161"/>
        <w:gridCol w:w="3510"/>
        <w:gridCol w:w="668"/>
        <w:gridCol w:w="645"/>
        <w:gridCol w:w="1132"/>
        <w:gridCol w:w="571"/>
      </w:tblGrid>
      <w:tr w14:paraId="1E81D285">
        <w:tblPrEx>
          <w:tblCellMar>
            <w:top w:w="0" w:type="dxa"/>
            <w:left w:w="0" w:type="dxa"/>
            <w:bottom w:w="0" w:type="dxa"/>
            <w:right w:w="0" w:type="dxa"/>
          </w:tblCellMar>
        </w:tblPrEx>
        <w:trPr>
          <w:trHeight w:val="816" w:hRule="atLeast"/>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A9BED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5DA0BC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16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E5FF8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3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6E5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866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82DE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DF0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3DA0C1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723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0CA09E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5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8CB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33E208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29AAD6E">
        <w:tblPrEx>
          <w:tblCellMar>
            <w:top w:w="0" w:type="dxa"/>
            <w:left w:w="0" w:type="dxa"/>
            <w:bottom w:w="0" w:type="dxa"/>
            <w:right w:w="0" w:type="dxa"/>
          </w:tblCellMar>
        </w:tblPrEx>
        <w:trPr>
          <w:trHeight w:val="436" w:hRule="atLeast"/>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05D840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161"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2360C9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351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1209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化解债务，提升单位和政府形象</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E41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4C4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F4860">
            <w:pPr>
              <w:keepNext w:val="0"/>
              <w:keepLines w:val="0"/>
              <w:pageBreakBefore w:val="0"/>
              <w:widowControl/>
              <w:suppressLineNumbers w:val="0"/>
              <w:kinsoku/>
              <w:wordWrap/>
              <w:overflowPunct/>
              <w:topLinePunct w:val="0"/>
              <w:autoSpaceDE/>
              <w:autoSpaceDN/>
              <w:bidi w:val="0"/>
              <w:adjustRightInd/>
              <w:spacing w:line="560" w:lineRule="exact"/>
              <w:ind w:left="0" w:leftChars="0" w:firstLine="220" w:firstLineChars="100"/>
              <w:jc w:val="left"/>
              <w:textAlignment w:val="center"/>
              <w:rPr>
                <w:rFonts w:hint="default" w:ascii="宋体" w:hAnsi="宋体" w:eastAsia="宋体" w:cs="宋体"/>
                <w:i w:val="0"/>
                <w:iCs w:val="0"/>
                <w:color w:val="auto"/>
                <w:kern w:val="2"/>
                <w:sz w:val="36"/>
                <w:szCs w:val="36"/>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100%</w:t>
            </w:r>
          </w:p>
        </w:tc>
        <w:tc>
          <w:tcPr>
            <w:tcW w:w="5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C80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AC7C4EC">
        <w:tblPrEx>
          <w:tblCellMar>
            <w:top w:w="0" w:type="dxa"/>
            <w:left w:w="0" w:type="dxa"/>
            <w:bottom w:w="0" w:type="dxa"/>
            <w:right w:w="0" w:type="dxa"/>
          </w:tblCellMar>
        </w:tblPrEx>
        <w:trPr>
          <w:trHeight w:val="436" w:hRule="atLeast"/>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0C931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61"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30E9B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351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59887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完善政府债务化解机制</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10B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8F5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840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2"/>
                <w:szCs w:val="22"/>
                <w:highlight w:val="none"/>
                <w:u w:val="none"/>
                <w:lang w:val="en-US" w:eastAsia="zh-CN" w:bidi="ar"/>
              </w:rPr>
              <w:t>100%</w:t>
            </w:r>
          </w:p>
        </w:tc>
        <w:tc>
          <w:tcPr>
            <w:tcW w:w="5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6B2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5A2D524">
        <w:tblPrEx>
          <w:tblCellMar>
            <w:top w:w="0" w:type="dxa"/>
            <w:left w:w="0" w:type="dxa"/>
            <w:bottom w:w="0" w:type="dxa"/>
            <w:right w:w="0" w:type="dxa"/>
          </w:tblCellMar>
        </w:tblPrEx>
        <w:trPr>
          <w:trHeight w:val="436" w:hRule="atLeast"/>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ED786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61"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325BC8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w:t>
            </w:r>
            <w:r>
              <w:rPr>
                <w:rFonts w:hint="eastAsia" w:ascii="宋体" w:hAnsi="宋体" w:eastAsia="宋体" w:cs="宋体"/>
                <w:color w:val="auto"/>
                <w:kern w:val="0"/>
                <w:sz w:val="20"/>
                <w:szCs w:val="20"/>
                <w:highlight w:val="none"/>
                <w:shd w:val="clear" w:color="auto" w:fill="auto"/>
                <w:lang w:val="en-US" w:eastAsia="zh-CN"/>
              </w:rPr>
              <w:t>指标</w:t>
            </w:r>
          </w:p>
        </w:tc>
        <w:tc>
          <w:tcPr>
            <w:tcW w:w="351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BE465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企业满意度</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075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1B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51F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BA7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ADA5E7F">
        <w:tblPrEx>
          <w:tblCellMar>
            <w:top w:w="0" w:type="dxa"/>
            <w:left w:w="0" w:type="dxa"/>
            <w:bottom w:w="0" w:type="dxa"/>
            <w:right w:w="0" w:type="dxa"/>
          </w:tblCellMar>
        </w:tblPrEx>
        <w:trPr>
          <w:trHeight w:val="469" w:hRule="atLeast"/>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4B5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E3B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FA0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62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D33D8D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8" w:name="_Toc5170"/>
      <w:bookmarkStart w:id="139" w:name="_Toc8010"/>
      <w:r>
        <w:rPr>
          <w:rFonts w:hint="eastAsia" w:ascii="仿宋_GB2312" w:hAnsi="仿宋_GB2312" w:eastAsia="仿宋_GB2312" w:cs="仿宋_GB2312"/>
          <w:b/>
          <w:bCs/>
          <w:color w:val="auto"/>
          <w:sz w:val="32"/>
          <w:szCs w:val="32"/>
          <w:highlight w:val="none"/>
          <w:lang w:val="en-US" w:eastAsia="zh-CN"/>
        </w:rPr>
        <w:t>1</w:t>
      </w:r>
      <w:bookmarkEnd w:id="138"/>
      <w:bookmarkEnd w:id="139"/>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32A264C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“化解债务，提升单位和政府形象”指标，预期目标值为=100%，实际完成为100%。通过项目的实施，提升单位和政府形象。</w:t>
      </w:r>
    </w:p>
    <w:p w14:paraId="574164B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（2）“完善政府债务化解机制”指标，预期目标值为=100%，实际完成为100%。通过项目的实施，完善政府债务化解机制。</w:t>
      </w:r>
    </w:p>
    <w:p w14:paraId="330868C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0E484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218B675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“企业满意度”指标，预期目标值为≥95%，实际完成为95%。</w:t>
      </w:r>
    </w:p>
    <w:p w14:paraId="5336EB8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BF7872C">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54F68D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68299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2024化解运动场项目地勘测费、周转房项目设计费、运动场项目费欠款项目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230.01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230.01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5CCDEBC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阜康市城关镇中心小学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阜康市城关镇中心小学单位</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02CE0E3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0893542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bookmarkStart w:id="148" w:name="_Toc333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15110ED0">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323760DE">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8"/>
    </w:p>
    <w:p w14:paraId="2F11E2DA">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9" w:name="_Toc20454"/>
      <w:bookmarkStart w:id="150" w:name="_Toc3948"/>
      <w:bookmarkStart w:id="151" w:name="_Toc14256"/>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18967D0B">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w:t>
      </w:r>
      <w:bookmarkEnd w:id="149"/>
      <w:bookmarkEnd w:id="150"/>
    </w:p>
    <w:p w14:paraId="2E8C2FA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p>
    <w:p w14:paraId="7E088EB4">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ascii="仿宋_GB2312" w:hAnsi="仿宋_GB2312" w:eastAsia="仿宋_GB2312" w:cs="仿宋_GB2312"/>
          <w:color w:val="auto"/>
          <w:sz w:val="32"/>
          <w:szCs w:val="32"/>
          <w:highlight w:val="none"/>
          <w:lang w:val="en-US" w:eastAsia="zh-CN"/>
        </w:rPr>
        <w:t>无其他需要说明的问</w:t>
      </w:r>
    </w:p>
    <w:bookmarkEnd w:id="151"/>
    <w:p w14:paraId="6D38030B">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2"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047"/>
        <w:gridCol w:w="1372"/>
        <w:gridCol w:w="1291"/>
        <w:gridCol w:w="1047"/>
        <w:gridCol w:w="1209"/>
        <w:gridCol w:w="885"/>
        <w:gridCol w:w="885"/>
        <w:gridCol w:w="885"/>
        <w:gridCol w:w="885"/>
        <w:gridCol w:w="1128"/>
      </w:tblGrid>
      <w:tr w14:paraId="7C6FB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D73B90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EACF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86F66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A16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35782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175D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2024化解运动场项目地勘测费、周转房项目设计费、运动场项目费欠款</w:t>
            </w:r>
          </w:p>
        </w:tc>
      </w:tr>
      <w:tr w14:paraId="6B9A0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E0C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8B3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92B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462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阜康市城关镇中心小学</w:t>
            </w:r>
          </w:p>
        </w:tc>
      </w:tr>
      <w:tr w14:paraId="4C95E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80F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5883C">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C3C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2F7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9C8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CA6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726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0EA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510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5CD6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629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E5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F1B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B9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ACF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78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E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79A67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DF968">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668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A5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CA5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DE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AC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3D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3A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BA8C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76CB1">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9B5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4DB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38F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88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98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D63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66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058C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F27B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2E79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0997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1695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20A59">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0A8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小学义务教育，促进基础教育发展，积极探索教学督导工作的新思路新方法。我校2024年预计完成化解债务项目2个，化债项目涉及企业2个，资金使用合格率预计100%，资金支付及时率预计达到100%，运动场项目地勘费还款2.00万元，周转房项目设计费7.20万元，运动场项目费还款220.81万元，通过项目的实施，预期达到化解单位债务，提升单位和政府形象。</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D39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到12月31日，实施小学义务教育，促进基础教育发展，积极探索教学督导工作的新思路新方法。我校2024年完成化解债务项目3个，化债项目涉及企业3个，资金使用合格率100%，资金支付及时率达到100%，运动场项目地勘测费还款2.00万元，周转房项目设计费7.20万元，运动场项目费还款220.81万元，通过项目的实施，达到化解单位债务，提升单位和政府形象的效益。</w:t>
            </w:r>
          </w:p>
        </w:tc>
      </w:tr>
      <w:tr w14:paraId="79E5E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1083E0">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840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A0E1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855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6BB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555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3A0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805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C64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80B3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F51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D5AD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2EF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F0DC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2188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49F7C">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221D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8E21D">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ACC1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AD8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958A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B08E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C0EC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0C7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5C35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FD0CD">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877E1">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93BCC">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27037">
            <w:pPr>
              <w:jc w:val="center"/>
              <w:rPr>
                <w:rFonts w:hint="eastAsia" w:ascii="宋体" w:hAnsi="宋体" w:eastAsia="宋体" w:cs="宋体"/>
                <w:b/>
                <w:bCs/>
                <w:i w:val="0"/>
                <w:iCs w:val="0"/>
                <w:color w:val="000000"/>
                <w:sz w:val="18"/>
                <w:szCs w:val="18"/>
                <w:u w:val="none"/>
              </w:rPr>
            </w:pPr>
          </w:p>
        </w:tc>
      </w:tr>
      <w:tr w14:paraId="7C9A3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D14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92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C42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8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3B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80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C5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DF0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32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93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62D7B">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8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28A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54536">
            <w:pPr>
              <w:jc w:val="center"/>
              <w:rPr>
                <w:rFonts w:hint="eastAsia" w:ascii="宋体" w:hAnsi="宋体" w:eastAsia="宋体" w:cs="宋体"/>
                <w:i w:val="0"/>
                <w:iCs w:val="0"/>
                <w:color w:val="000000"/>
                <w:sz w:val="18"/>
                <w:szCs w:val="18"/>
                <w:u w:val="none"/>
              </w:rPr>
            </w:pPr>
          </w:p>
        </w:tc>
      </w:tr>
      <w:tr w14:paraId="0E07A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D14C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55B2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B1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21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化债项目涉及企业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60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6C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35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247E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18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80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0A92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10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5A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7D6A">
            <w:pPr>
              <w:jc w:val="center"/>
              <w:rPr>
                <w:rFonts w:hint="eastAsia" w:ascii="宋体" w:hAnsi="宋体" w:eastAsia="宋体" w:cs="宋体"/>
                <w:i w:val="0"/>
                <w:iCs w:val="0"/>
                <w:color w:val="000000"/>
                <w:sz w:val="18"/>
                <w:szCs w:val="18"/>
                <w:u w:val="none"/>
              </w:rPr>
            </w:pPr>
          </w:p>
        </w:tc>
      </w:tr>
      <w:tr w14:paraId="706D1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CA8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DAE8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04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FB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C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6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ED6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A6F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BB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05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EF74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B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D1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88AA">
            <w:pPr>
              <w:jc w:val="center"/>
              <w:rPr>
                <w:rFonts w:hint="eastAsia" w:ascii="宋体" w:hAnsi="宋体" w:eastAsia="宋体" w:cs="宋体"/>
                <w:i w:val="0"/>
                <w:iCs w:val="0"/>
                <w:color w:val="000000"/>
                <w:sz w:val="18"/>
                <w:szCs w:val="18"/>
                <w:u w:val="none"/>
              </w:rPr>
            </w:pPr>
          </w:p>
        </w:tc>
      </w:tr>
      <w:tr w14:paraId="0B963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1064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3795B">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32C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25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3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3D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3E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34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A0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40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55DF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76A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44B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D5CB">
            <w:pPr>
              <w:jc w:val="center"/>
              <w:rPr>
                <w:rFonts w:hint="eastAsia" w:ascii="宋体" w:hAnsi="宋体" w:eastAsia="宋体" w:cs="宋体"/>
                <w:i w:val="0"/>
                <w:iCs w:val="0"/>
                <w:color w:val="000000"/>
                <w:sz w:val="18"/>
                <w:szCs w:val="18"/>
                <w:u w:val="none"/>
              </w:rPr>
            </w:pPr>
          </w:p>
        </w:tc>
      </w:tr>
      <w:tr w14:paraId="02B8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8BDC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24EA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7F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AE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FB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12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EE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8C0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DF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87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9AD5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C6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14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77BDD">
            <w:pPr>
              <w:jc w:val="center"/>
              <w:rPr>
                <w:rFonts w:hint="eastAsia" w:ascii="宋体" w:hAnsi="宋体" w:eastAsia="宋体" w:cs="宋体"/>
                <w:i w:val="0"/>
                <w:iCs w:val="0"/>
                <w:color w:val="000000"/>
                <w:sz w:val="18"/>
                <w:szCs w:val="18"/>
                <w:u w:val="none"/>
              </w:rPr>
            </w:pPr>
          </w:p>
        </w:tc>
      </w:tr>
      <w:tr w14:paraId="41CA4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02CA5">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14E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2B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35D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运动场项目地勘费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1F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81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A8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80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92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1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B2D2B">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3F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21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8B543">
            <w:pPr>
              <w:jc w:val="center"/>
              <w:rPr>
                <w:rFonts w:hint="eastAsia" w:ascii="宋体" w:hAnsi="宋体" w:eastAsia="宋体" w:cs="宋体"/>
                <w:i w:val="0"/>
                <w:iCs w:val="0"/>
                <w:color w:val="000000"/>
                <w:sz w:val="18"/>
                <w:szCs w:val="18"/>
                <w:u w:val="none"/>
              </w:rPr>
            </w:pPr>
          </w:p>
        </w:tc>
      </w:tr>
      <w:tr w14:paraId="7881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2C83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67C3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FD5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85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周转房项目设计费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78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2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&lt;=7.20万元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D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EBA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93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AD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7AB6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66F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854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3143">
            <w:pPr>
              <w:jc w:val="center"/>
              <w:rPr>
                <w:rFonts w:hint="eastAsia" w:ascii="宋体" w:hAnsi="宋体" w:eastAsia="宋体" w:cs="宋体"/>
                <w:i w:val="0"/>
                <w:iCs w:val="0"/>
                <w:color w:val="000000"/>
                <w:sz w:val="18"/>
                <w:szCs w:val="18"/>
                <w:u w:val="none"/>
              </w:rPr>
            </w:pPr>
          </w:p>
        </w:tc>
      </w:tr>
      <w:tr w14:paraId="316A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43DF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4476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83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E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运动场项目费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E3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0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&gt;=220.81万元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5A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=220.81万元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7B3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B8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D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2526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54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47B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DB146">
            <w:pPr>
              <w:jc w:val="center"/>
              <w:rPr>
                <w:rFonts w:hint="eastAsia" w:ascii="宋体" w:hAnsi="宋体" w:eastAsia="宋体" w:cs="宋体"/>
                <w:i w:val="0"/>
                <w:iCs w:val="0"/>
                <w:color w:val="000000"/>
                <w:sz w:val="18"/>
                <w:szCs w:val="18"/>
                <w:u w:val="none"/>
              </w:rPr>
            </w:pPr>
          </w:p>
        </w:tc>
      </w:tr>
      <w:tr w14:paraId="4C44D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23B4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2F22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57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0F57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AC0D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D0AF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D423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EF9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2A1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EFF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BEF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16499">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0DF38">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1F7A">
            <w:pPr>
              <w:jc w:val="center"/>
              <w:rPr>
                <w:rFonts w:hint="eastAsia" w:ascii="宋体" w:hAnsi="宋体" w:eastAsia="宋体" w:cs="宋体"/>
                <w:i w:val="0"/>
                <w:iCs w:val="0"/>
                <w:color w:val="000000"/>
                <w:sz w:val="18"/>
                <w:szCs w:val="18"/>
                <w:u w:val="none"/>
              </w:rPr>
            </w:pPr>
          </w:p>
        </w:tc>
      </w:tr>
      <w:tr w14:paraId="293A8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AC82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205D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3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9BD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ACFB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8668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32A4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86CA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124D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ABDF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1A77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AF9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35B9C">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08204">
            <w:pPr>
              <w:jc w:val="center"/>
              <w:rPr>
                <w:rFonts w:hint="eastAsia" w:ascii="宋体" w:hAnsi="宋体" w:eastAsia="宋体" w:cs="宋体"/>
                <w:i w:val="0"/>
                <w:iCs w:val="0"/>
                <w:color w:val="000000"/>
                <w:sz w:val="18"/>
                <w:szCs w:val="18"/>
                <w:u w:val="none"/>
              </w:rPr>
            </w:pPr>
          </w:p>
        </w:tc>
      </w:tr>
      <w:tr w14:paraId="40CDA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2100E">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6E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9C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8E1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71B7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0E46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299A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FF7A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995B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0AB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2BA9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8C34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C7905">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754ED">
            <w:pPr>
              <w:jc w:val="center"/>
              <w:rPr>
                <w:rFonts w:hint="eastAsia" w:ascii="宋体" w:hAnsi="宋体" w:eastAsia="宋体" w:cs="宋体"/>
                <w:i w:val="0"/>
                <w:iCs w:val="0"/>
                <w:color w:val="000000"/>
                <w:sz w:val="18"/>
                <w:szCs w:val="18"/>
                <w:u w:val="none"/>
              </w:rPr>
            </w:pPr>
          </w:p>
        </w:tc>
      </w:tr>
      <w:tr w14:paraId="5A9D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0F3A2">
            <w:pPr>
              <w:jc w:val="center"/>
              <w:rPr>
                <w:rFonts w:hint="eastAsia" w:ascii="宋体" w:hAnsi="宋体" w:eastAsia="宋体" w:cs="宋体"/>
                <w:b/>
                <w:bCs/>
                <w:i w:val="0"/>
                <w:iCs w:val="0"/>
                <w:color w:val="000000"/>
                <w:sz w:val="18"/>
                <w:szCs w:val="18"/>
                <w:u w:val="none"/>
              </w:rPr>
            </w:pPr>
            <w:bookmarkStart w:id="154" w:name="_GoBack" w:colFirst="7" w:colLast="7"/>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FA92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7B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920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92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B2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9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2B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F8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C7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618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19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7F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81683">
            <w:pPr>
              <w:jc w:val="center"/>
              <w:rPr>
                <w:rFonts w:hint="eastAsia" w:ascii="宋体" w:hAnsi="宋体" w:eastAsia="宋体" w:cs="宋体"/>
                <w:i w:val="0"/>
                <w:iCs w:val="0"/>
                <w:color w:val="000000"/>
                <w:sz w:val="18"/>
                <w:szCs w:val="18"/>
                <w:u w:val="none"/>
              </w:rPr>
            </w:pPr>
          </w:p>
        </w:tc>
      </w:tr>
      <w:tr w14:paraId="5A05D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9107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26B7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19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A4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0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5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81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357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FF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2C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DABF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7C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E4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89D48">
            <w:pPr>
              <w:jc w:val="center"/>
              <w:rPr>
                <w:rFonts w:hint="eastAsia" w:ascii="宋体" w:hAnsi="宋体" w:eastAsia="宋体" w:cs="宋体"/>
                <w:i w:val="0"/>
                <w:iCs w:val="0"/>
                <w:color w:val="000000"/>
                <w:sz w:val="18"/>
                <w:szCs w:val="18"/>
                <w:u w:val="none"/>
              </w:rPr>
            </w:pPr>
          </w:p>
        </w:tc>
      </w:tr>
      <w:bookmarkEnd w:id="154"/>
      <w:tr w14:paraId="65A1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A3C4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DEB1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3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99D0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77B6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E8F1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732D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82EE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9B2E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89AC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70D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19A0">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5A720">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03CD">
            <w:pPr>
              <w:jc w:val="center"/>
              <w:rPr>
                <w:rFonts w:hint="eastAsia" w:ascii="宋体" w:hAnsi="宋体" w:eastAsia="宋体" w:cs="宋体"/>
                <w:i w:val="0"/>
                <w:iCs w:val="0"/>
                <w:color w:val="000000"/>
                <w:sz w:val="18"/>
                <w:szCs w:val="18"/>
                <w:u w:val="none"/>
              </w:rPr>
            </w:pPr>
          </w:p>
        </w:tc>
      </w:tr>
      <w:tr w14:paraId="6F8B0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25DD4">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2CB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8C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B072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F284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C628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FF2A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ED86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6DB3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1978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8D60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916AA">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7F3D">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B3C0B">
            <w:pPr>
              <w:jc w:val="center"/>
              <w:rPr>
                <w:rFonts w:hint="eastAsia" w:ascii="宋体" w:hAnsi="宋体" w:eastAsia="宋体" w:cs="宋体"/>
                <w:i w:val="0"/>
                <w:iCs w:val="0"/>
                <w:color w:val="000000"/>
                <w:sz w:val="18"/>
                <w:szCs w:val="18"/>
                <w:u w:val="none"/>
              </w:rPr>
            </w:pPr>
          </w:p>
        </w:tc>
      </w:tr>
      <w:tr w14:paraId="093D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4868F7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0B5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21F85047">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B196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960A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CE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6DF62">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9D19">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0B07">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903C">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698AC">
            <w:pPr>
              <w:rPr>
                <w:rFonts w:hint="eastAsia" w:ascii="宋体" w:hAnsi="宋体" w:eastAsia="宋体" w:cs="宋体"/>
                <w:i w:val="0"/>
                <w:iCs w:val="0"/>
                <w:color w:val="000000"/>
                <w:sz w:val="18"/>
                <w:szCs w:val="18"/>
                <w:u w:val="none"/>
              </w:rPr>
            </w:pPr>
          </w:p>
        </w:tc>
      </w:tr>
    </w:tbl>
    <w:p w14:paraId="67D21616">
      <w:pPr>
        <w:ind w:left="0" w:leftChars="0" w:firstLine="0" w:firstLineChars="0"/>
        <w:rPr>
          <w:color w:val="auto"/>
          <w:highlight w:val="none"/>
        </w:rPr>
      </w:pPr>
      <w:r>
        <w:rPr>
          <w:color w:val="auto"/>
          <w:highlight w:val="none"/>
        </w:rPr>
        <w:br w:type="page"/>
      </w:r>
    </w:p>
    <w:p w14:paraId="5822AE3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3"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3"/>
    </w:p>
    <w:tbl>
      <w:tblPr>
        <w:tblStyle w:val="16"/>
        <w:tblW w:w="1405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8"/>
        <w:gridCol w:w="734"/>
        <w:gridCol w:w="679"/>
        <w:gridCol w:w="2310"/>
        <w:gridCol w:w="7898"/>
        <w:gridCol w:w="792"/>
        <w:gridCol w:w="776"/>
      </w:tblGrid>
      <w:tr w14:paraId="3DB61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6" w:hRule="atLeast"/>
          <w:tblHeader/>
          <w:jc w:val="center"/>
        </w:trPr>
        <w:tc>
          <w:tcPr>
            <w:tcW w:w="868" w:type="dxa"/>
            <w:shd w:val="clear" w:color="auto" w:fill="auto"/>
            <w:noWrap w:val="0"/>
            <w:vAlign w:val="center"/>
          </w:tcPr>
          <w:p w14:paraId="17EE7A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34" w:type="dxa"/>
            <w:shd w:val="clear" w:color="auto" w:fill="auto"/>
            <w:noWrap w:val="0"/>
            <w:vAlign w:val="center"/>
          </w:tcPr>
          <w:p w14:paraId="175F2F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679" w:type="dxa"/>
            <w:shd w:val="clear" w:color="auto" w:fill="auto"/>
            <w:noWrap w:val="0"/>
            <w:vAlign w:val="center"/>
          </w:tcPr>
          <w:p w14:paraId="01ACC26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310" w:type="dxa"/>
            <w:shd w:val="clear" w:color="auto" w:fill="auto"/>
            <w:noWrap w:val="0"/>
            <w:vAlign w:val="center"/>
          </w:tcPr>
          <w:p w14:paraId="5DEA4B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98" w:type="dxa"/>
            <w:shd w:val="clear" w:color="auto" w:fill="auto"/>
            <w:noWrap w:val="0"/>
            <w:vAlign w:val="center"/>
          </w:tcPr>
          <w:p w14:paraId="267710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92" w:type="dxa"/>
            <w:shd w:val="clear" w:color="auto" w:fill="auto"/>
            <w:noWrap w:val="0"/>
            <w:vAlign w:val="center"/>
          </w:tcPr>
          <w:p w14:paraId="12F1FC0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76" w:type="dxa"/>
            <w:shd w:val="clear" w:color="auto" w:fill="auto"/>
            <w:noWrap w:val="0"/>
            <w:vAlign w:val="center"/>
          </w:tcPr>
          <w:p w14:paraId="2ED9DD1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BA85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08" w:hRule="atLeast"/>
          <w:jc w:val="center"/>
        </w:trPr>
        <w:tc>
          <w:tcPr>
            <w:tcW w:w="868" w:type="dxa"/>
            <w:vMerge w:val="restart"/>
            <w:shd w:val="clear" w:color="auto" w:fill="auto"/>
            <w:noWrap w:val="0"/>
            <w:vAlign w:val="center"/>
          </w:tcPr>
          <w:p w14:paraId="3FDC56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444594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4D139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34" w:type="dxa"/>
            <w:vMerge w:val="restart"/>
            <w:shd w:val="clear" w:color="auto" w:fill="auto"/>
            <w:noWrap w:val="0"/>
            <w:vAlign w:val="center"/>
          </w:tcPr>
          <w:p w14:paraId="0BDACE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679" w:type="dxa"/>
            <w:shd w:val="clear" w:color="auto" w:fill="auto"/>
            <w:noWrap w:val="0"/>
            <w:vAlign w:val="center"/>
          </w:tcPr>
          <w:p w14:paraId="163A4A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558AE0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310" w:type="dxa"/>
            <w:shd w:val="clear" w:color="auto" w:fill="auto"/>
            <w:noWrap w:val="0"/>
            <w:vAlign w:val="center"/>
          </w:tcPr>
          <w:p w14:paraId="765BB9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98" w:type="dxa"/>
            <w:shd w:val="clear" w:color="auto" w:fill="auto"/>
            <w:noWrap w:val="0"/>
            <w:vAlign w:val="center"/>
          </w:tcPr>
          <w:p w14:paraId="058EE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BB603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567D19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F78E67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026EAC7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4F2F25B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92" w:type="dxa"/>
            <w:shd w:val="clear" w:color="auto" w:fill="auto"/>
            <w:noWrap w:val="0"/>
            <w:vAlign w:val="center"/>
          </w:tcPr>
          <w:p w14:paraId="78EA3E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76" w:type="dxa"/>
            <w:shd w:val="clear" w:color="auto" w:fill="auto"/>
            <w:noWrap w:val="0"/>
            <w:vAlign w:val="center"/>
          </w:tcPr>
          <w:p w14:paraId="7BCFCA8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1EC8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continue"/>
            <w:shd w:val="clear" w:color="auto" w:fill="auto"/>
            <w:noWrap w:val="0"/>
            <w:vAlign w:val="center"/>
          </w:tcPr>
          <w:p w14:paraId="66C4866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197AF0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9" w:type="dxa"/>
            <w:shd w:val="clear" w:color="auto" w:fill="auto"/>
            <w:noWrap w:val="0"/>
            <w:vAlign w:val="center"/>
          </w:tcPr>
          <w:p w14:paraId="2B3C39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325C55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310" w:type="dxa"/>
            <w:shd w:val="clear" w:color="auto" w:fill="auto"/>
            <w:noWrap w:val="0"/>
            <w:vAlign w:val="center"/>
          </w:tcPr>
          <w:p w14:paraId="58F5BCF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98" w:type="dxa"/>
            <w:shd w:val="clear" w:color="auto" w:fill="auto"/>
            <w:noWrap w:val="0"/>
            <w:vAlign w:val="center"/>
          </w:tcPr>
          <w:p w14:paraId="637CEA7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D01F4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7A908E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116EF71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92" w:type="dxa"/>
            <w:shd w:val="clear" w:color="auto" w:fill="auto"/>
            <w:noWrap w:val="0"/>
            <w:vAlign w:val="center"/>
          </w:tcPr>
          <w:p w14:paraId="5E42B7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76" w:type="dxa"/>
            <w:shd w:val="clear" w:color="auto" w:fill="auto"/>
            <w:noWrap w:val="0"/>
            <w:vAlign w:val="center"/>
          </w:tcPr>
          <w:p w14:paraId="0CE43DE9">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63E28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continue"/>
            <w:shd w:val="clear" w:color="auto" w:fill="auto"/>
            <w:noWrap w:val="0"/>
            <w:vAlign w:val="center"/>
          </w:tcPr>
          <w:p w14:paraId="5F7287C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shd w:val="clear" w:color="auto" w:fill="auto"/>
            <w:noWrap w:val="0"/>
            <w:vAlign w:val="center"/>
          </w:tcPr>
          <w:p w14:paraId="328013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679" w:type="dxa"/>
            <w:shd w:val="clear" w:color="auto" w:fill="auto"/>
            <w:noWrap w:val="0"/>
            <w:vAlign w:val="center"/>
          </w:tcPr>
          <w:p w14:paraId="54D152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159E3E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310" w:type="dxa"/>
            <w:shd w:val="clear" w:color="auto" w:fill="auto"/>
            <w:noWrap w:val="0"/>
            <w:vAlign w:val="center"/>
          </w:tcPr>
          <w:p w14:paraId="7E345F5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98" w:type="dxa"/>
            <w:shd w:val="clear" w:color="auto" w:fill="auto"/>
            <w:noWrap w:val="0"/>
            <w:vAlign w:val="center"/>
          </w:tcPr>
          <w:p w14:paraId="364F49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BC63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41AA39D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2427DA4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3E0957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3974015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92" w:type="dxa"/>
            <w:shd w:val="clear" w:color="auto" w:fill="auto"/>
            <w:noWrap w:val="0"/>
            <w:vAlign w:val="center"/>
          </w:tcPr>
          <w:p w14:paraId="1B3443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76" w:type="dxa"/>
            <w:shd w:val="clear" w:color="auto" w:fill="auto"/>
            <w:noWrap w:val="0"/>
            <w:vAlign w:val="center"/>
          </w:tcPr>
          <w:p w14:paraId="747DA14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0340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08" w:hRule="atLeast"/>
          <w:jc w:val="center"/>
        </w:trPr>
        <w:tc>
          <w:tcPr>
            <w:tcW w:w="868" w:type="dxa"/>
            <w:vMerge w:val="restart"/>
            <w:shd w:val="clear" w:color="auto" w:fill="auto"/>
            <w:noWrap w:val="0"/>
            <w:vAlign w:val="center"/>
          </w:tcPr>
          <w:p w14:paraId="2FF777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34" w:type="dxa"/>
            <w:shd w:val="clear" w:color="auto" w:fill="auto"/>
            <w:noWrap w:val="0"/>
            <w:vAlign w:val="center"/>
          </w:tcPr>
          <w:p w14:paraId="7A2310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679" w:type="dxa"/>
            <w:shd w:val="clear" w:color="auto" w:fill="auto"/>
            <w:noWrap w:val="0"/>
            <w:vAlign w:val="center"/>
          </w:tcPr>
          <w:p w14:paraId="0CF475B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380192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310" w:type="dxa"/>
            <w:shd w:val="clear" w:color="auto" w:fill="auto"/>
            <w:noWrap w:val="0"/>
            <w:vAlign w:val="center"/>
          </w:tcPr>
          <w:p w14:paraId="0D92F0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98" w:type="dxa"/>
            <w:shd w:val="clear" w:color="auto" w:fill="auto"/>
            <w:noWrap w:val="0"/>
            <w:vAlign w:val="center"/>
          </w:tcPr>
          <w:p w14:paraId="686E8C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7700D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53B690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71E0F9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3753D8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92" w:type="dxa"/>
            <w:shd w:val="clear" w:color="auto" w:fill="auto"/>
            <w:noWrap w:val="0"/>
            <w:vAlign w:val="center"/>
          </w:tcPr>
          <w:p w14:paraId="7DF794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76" w:type="dxa"/>
            <w:shd w:val="clear" w:color="auto" w:fill="auto"/>
            <w:noWrap w:val="0"/>
            <w:vAlign w:val="center"/>
          </w:tcPr>
          <w:p w14:paraId="7EE587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41A7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06" w:hRule="atLeast"/>
          <w:jc w:val="center"/>
        </w:trPr>
        <w:tc>
          <w:tcPr>
            <w:tcW w:w="868" w:type="dxa"/>
            <w:vMerge w:val="continue"/>
            <w:shd w:val="clear" w:color="auto" w:fill="auto"/>
            <w:noWrap w:val="0"/>
            <w:vAlign w:val="center"/>
          </w:tcPr>
          <w:p w14:paraId="41C2864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restart"/>
            <w:shd w:val="clear" w:color="auto" w:fill="auto"/>
            <w:noWrap w:val="0"/>
            <w:vAlign w:val="center"/>
          </w:tcPr>
          <w:p w14:paraId="3094FE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3366E0E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9" w:type="dxa"/>
            <w:shd w:val="clear" w:color="auto" w:fill="auto"/>
            <w:noWrap w:val="0"/>
            <w:vAlign w:val="center"/>
          </w:tcPr>
          <w:p w14:paraId="4DFDDC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21D44A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310" w:type="dxa"/>
            <w:shd w:val="clear" w:color="auto" w:fill="auto"/>
            <w:noWrap w:val="0"/>
            <w:vAlign w:val="center"/>
          </w:tcPr>
          <w:p w14:paraId="732483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98" w:type="dxa"/>
            <w:shd w:val="clear" w:color="auto" w:fill="auto"/>
            <w:noWrap w:val="0"/>
            <w:vAlign w:val="center"/>
          </w:tcPr>
          <w:p w14:paraId="7D6415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1E29B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DB32A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8C35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D0904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92" w:type="dxa"/>
            <w:shd w:val="clear" w:color="auto" w:fill="auto"/>
            <w:noWrap w:val="0"/>
            <w:vAlign w:val="center"/>
          </w:tcPr>
          <w:p w14:paraId="248649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76" w:type="dxa"/>
            <w:shd w:val="clear" w:color="auto" w:fill="auto"/>
            <w:noWrap w:val="0"/>
            <w:vAlign w:val="center"/>
          </w:tcPr>
          <w:p w14:paraId="26D665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FA0F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5" w:hRule="atLeast"/>
          <w:jc w:val="center"/>
        </w:trPr>
        <w:tc>
          <w:tcPr>
            <w:tcW w:w="868" w:type="dxa"/>
            <w:vMerge w:val="continue"/>
            <w:shd w:val="clear" w:color="auto" w:fill="auto"/>
            <w:noWrap w:val="0"/>
            <w:vAlign w:val="center"/>
          </w:tcPr>
          <w:p w14:paraId="0714D4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33C55A3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9" w:type="dxa"/>
            <w:shd w:val="clear" w:color="auto" w:fill="auto"/>
            <w:noWrap w:val="0"/>
            <w:vAlign w:val="center"/>
          </w:tcPr>
          <w:p w14:paraId="519FEE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7CCE5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310" w:type="dxa"/>
            <w:shd w:val="clear" w:color="auto" w:fill="auto"/>
            <w:noWrap w:val="0"/>
            <w:vAlign w:val="center"/>
          </w:tcPr>
          <w:p w14:paraId="74E2F87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98" w:type="dxa"/>
            <w:shd w:val="clear" w:color="auto" w:fill="auto"/>
            <w:noWrap w:val="0"/>
            <w:vAlign w:val="center"/>
          </w:tcPr>
          <w:p w14:paraId="07D8F3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FAF7E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655E8A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92" w:type="dxa"/>
            <w:shd w:val="clear" w:color="auto" w:fill="auto"/>
            <w:noWrap w:val="0"/>
            <w:vAlign w:val="center"/>
          </w:tcPr>
          <w:p w14:paraId="24331B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76" w:type="dxa"/>
            <w:shd w:val="clear" w:color="auto" w:fill="auto"/>
            <w:noWrap w:val="0"/>
            <w:vAlign w:val="center"/>
          </w:tcPr>
          <w:p w14:paraId="093557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74664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0" w:hRule="atLeast"/>
          <w:jc w:val="center"/>
        </w:trPr>
        <w:tc>
          <w:tcPr>
            <w:tcW w:w="868" w:type="dxa"/>
            <w:vMerge w:val="restart"/>
            <w:shd w:val="clear" w:color="auto" w:fill="auto"/>
            <w:noWrap w:val="0"/>
            <w:vAlign w:val="center"/>
          </w:tcPr>
          <w:p w14:paraId="61B8FC4F">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34" w:type="dxa"/>
            <w:vMerge w:val="restart"/>
            <w:shd w:val="clear" w:color="auto" w:fill="auto"/>
            <w:noWrap w:val="0"/>
            <w:vAlign w:val="center"/>
          </w:tcPr>
          <w:p w14:paraId="060089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9" w:type="dxa"/>
            <w:shd w:val="clear" w:color="auto" w:fill="auto"/>
            <w:noWrap w:val="0"/>
            <w:vAlign w:val="center"/>
          </w:tcPr>
          <w:p w14:paraId="08E458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310" w:type="dxa"/>
            <w:shd w:val="clear" w:color="auto" w:fill="auto"/>
            <w:noWrap w:val="0"/>
            <w:vAlign w:val="center"/>
          </w:tcPr>
          <w:p w14:paraId="605907F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98" w:type="dxa"/>
            <w:shd w:val="clear" w:color="auto" w:fill="auto"/>
            <w:noWrap w:val="0"/>
            <w:vAlign w:val="center"/>
          </w:tcPr>
          <w:p w14:paraId="40D240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0E7A6D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2BB722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D4355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92" w:type="dxa"/>
            <w:shd w:val="clear" w:color="auto" w:fill="auto"/>
            <w:noWrap w:val="0"/>
            <w:vAlign w:val="center"/>
          </w:tcPr>
          <w:p w14:paraId="47EAF1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76" w:type="dxa"/>
            <w:shd w:val="clear" w:color="auto" w:fill="auto"/>
            <w:noWrap w:val="0"/>
            <w:vAlign w:val="center"/>
          </w:tcPr>
          <w:p w14:paraId="47E36B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51D0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55" w:hRule="atLeast"/>
          <w:jc w:val="center"/>
        </w:trPr>
        <w:tc>
          <w:tcPr>
            <w:tcW w:w="868" w:type="dxa"/>
            <w:vMerge w:val="continue"/>
            <w:shd w:val="clear" w:color="auto" w:fill="auto"/>
            <w:noWrap w:val="0"/>
            <w:vAlign w:val="center"/>
          </w:tcPr>
          <w:p w14:paraId="698A103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7C131E3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9" w:type="dxa"/>
            <w:shd w:val="clear" w:color="auto" w:fill="auto"/>
            <w:noWrap w:val="0"/>
            <w:vAlign w:val="center"/>
          </w:tcPr>
          <w:p w14:paraId="7135EB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310" w:type="dxa"/>
            <w:shd w:val="clear" w:color="auto" w:fill="auto"/>
            <w:noWrap w:val="0"/>
            <w:vAlign w:val="center"/>
          </w:tcPr>
          <w:p w14:paraId="53995E9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98" w:type="dxa"/>
            <w:shd w:val="clear" w:color="auto" w:fill="auto"/>
            <w:noWrap w:val="0"/>
            <w:vAlign w:val="center"/>
          </w:tcPr>
          <w:p w14:paraId="1C4847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178A890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92" w:type="dxa"/>
            <w:shd w:val="clear" w:color="auto" w:fill="auto"/>
            <w:noWrap w:val="0"/>
            <w:vAlign w:val="center"/>
          </w:tcPr>
          <w:p w14:paraId="7C7704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76" w:type="dxa"/>
            <w:shd w:val="clear" w:color="auto" w:fill="auto"/>
            <w:noWrap w:val="0"/>
            <w:vAlign w:val="center"/>
          </w:tcPr>
          <w:p w14:paraId="7802BA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8725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9" w:hRule="atLeast"/>
          <w:jc w:val="center"/>
        </w:trPr>
        <w:tc>
          <w:tcPr>
            <w:tcW w:w="868" w:type="dxa"/>
            <w:vMerge w:val="restart"/>
            <w:shd w:val="clear" w:color="auto" w:fill="auto"/>
            <w:noWrap w:val="0"/>
            <w:vAlign w:val="center"/>
          </w:tcPr>
          <w:p w14:paraId="70F33F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2D3D5AC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34" w:type="dxa"/>
            <w:shd w:val="clear" w:color="auto" w:fill="auto"/>
            <w:noWrap w:val="0"/>
            <w:vAlign w:val="center"/>
          </w:tcPr>
          <w:p w14:paraId="0D355D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679" w:type="dxa"/>
            <w:shd w:val="clear" w:color="auto" w:fill="auto"/>
            <w:noWrap w:val="0"/>
            <w:vAlign w:val="center"/>
          </w:tcPr>
          <w:p w14:paraId="4845898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558FF5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310" w:type="dxa"/>
            <w:shd w:val="clear" w:color="auto" w:fill="auto"/>
            <w:noWrap w:val="0"/>
            <w:vAlign w:val="center"/>
          </w:tcPr>
          <w:p w14:paraId="6CCAE89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98" w:type="dxa"/>
            <w:shd w:val="clear" w:color="auto" w:fill="auto"/>
            <w:noWrap w:val="0"/>
            <w:vAlign w:val="center"/>
          </w:tcPr>
          <w:p w14:paraId="5D73A0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52A93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0E7219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095151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34CCAB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92" w:type="dxa"/>
            <w:shd w:val="clear" w:color="auto" w:fill="auto"/>
            <w:noWrap w:val="0"/>
            <w:vAlign w:val="center"/>
          </w:tcPr>
          <w:p w14:paraId="33244B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76" w:type="dxa"/>
            <w:shd w:val="clear" w:color="auto" w:fill="auto"/>
            <w:noWrap w:val="0"/>
            <w:vAlign w:val="center"/>
          </w:tcPr>
          <w:p w14:paraId="58A10E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E2CC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08" w:hRule="atLeast"/>
          <w:jc w:val="center"/>
        </w:trPr>
        <w:tc>
          <w:tcPr>
            <w:tcW w:w="868" w:type="dxa"/>
            <w:vMerge w:val="continue"/>
            <w:shd w:val="clear" w:color="auto" w:fill="auto"/>
            <w:noWrap w:val="0"/>
            <w:vAlign w:val="center"/>
          </w:tcPr>
          <w:p w14:paraId="3B906B9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shd w:val="clear" w:color="auto" w:fill="auto"/>
            <w:noWrap w:val="0"/>
            <w:vAlign w:val="center"/>
          </w:tcPr>
          <w:p w14:paraId="440463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0C93EEF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679" w:type="dxa"/>
            <w:shd w:val="clear" w:color="auto" w:fill="auto"/>
            <w:noWrap w:val="0"/>
            <w:vAlign w:val="center"/>
          </w:tcPr>
          <w:p w14:paraId="376522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AA253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310" w:type="dxa"/>
            <w:shd w:val="clear" w:color="auto" w:fill="auto"/>
            <w:noWrap w:val="0"/>
            <w:vAlign w:val="center"/>
          </w:tcPr>
          <w:p w14:paraId="477A5D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98" w:type="dxa"/>
            <w:shd w:val="clear" w:color="auto" w:fill="auto"/>
            <w:noWrap w:val="0"/>
            <w:vAlign w:val="center"/>
          </w:tcPr>
          <w:p w14:paraId="2C7C05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3184C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0A4517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92" w:type="dxa"/>
            <w:shd w:val="clear" w:color="auto" w:fill="auto"/>
            <w:noWrap w:val="0"/>
            <w:vAlign w:val="center"/>
          </w:tcPr>
          <w:p w14:paraId="6555BD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76" w:type="dxa"/>
            <w:shd w:val="clear" w:color="auto" w:fill="auto"/>
            <w:noWrap w:val="0"/>
            <w:vAlign w:val="center"/>
          </w:tcPr>
          <w:p w14:paraId="6AA00F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A5C3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55" w:hRule="atLeast"/>
          <w:jc w:val="center"/>
        </w:trPr>
        <w:tc>
          <w:tcPr>
            <w:tcW w:w="868" w:type="dxa"/>
            <w:shd w:val="clear" w:color="auto" w:fill="auto"/>
            <w:noWrap w:val="0"/>
            <w:vAlign w:val="center"/>
          </w:tcPr>
          <w:p w14:paraId="1F0C3BF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34" w:type="dxa"/>
            <w:shd w:val="clear" w:color="auto" w:fill="auto"/>
            <w:noWrap w:val="0"/>
            <w:vAlign w:val="center"/>
          </w:tcPr>
          <w:p w14:paraId="344CCF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9" w:type="dxa"/>
            <w:shd w:val="clear" w:color="auto" w:fill="auto"/>
            <w:noWrap w:val="0"/>
            <w:vAlign w:val="center"/>
          </w:tcPr>
          <w:p w14:paraId="410BC15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1C1970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rPr>
              <w:t>有效性</w:t>
            </w:r>
          </w:p>
        </w:tc>
        <w:tc>
          <w:tcPr>
            <w:tcW w:w="2310" w:type="dxa"/>
            <w:shd w:val="clear" w:color="auto" w:fill="auto"/>
            <w:noWrap w:val="0"/>
            <w:vAlign w:val="center"/>
          </w:tcPr>
          <w:p w14:paraId="146AE1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98" w:type="dxa"/>
            <w:shd w:val="clear" w:color="auto" w:fill="auto"/>
            <w:noWrap w:val="0"/>
            <w:vAlign w:val="center"/>
          </w:tcPr>
          <w:p w14:paraId="093E204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A1645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06EDA2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7D424A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4730B5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000000"/>
                <w:kern w:val="0"/>
                <w:sz w:val="22"/>
                <w:szCs w:val="22"/>
              </w:rPr>
              <w:t>④项目实施的人员条件、场地设备、信息支撑等是否落实到位。</w:t>
            </w:r>
          </w:p>
        </w:tc>
        <w:tc>
          <w:tcPr>
            <w:tcW w:w="792" w:type="dxa"/>
            <w:shd w:val="clear" w:color="auto" w:fill="auto"/>
            <w:noWrap w:val="0"/>
            <w:vAlign w:val="center"/>
          </w:tcPr>
          <w:p w14:paraId="436C94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76" w:type="dxa"/>
            <w:shd w:val="clear" w:color="auto" w:fill="auto"/>
            <w:noWrap w:val="0"/>
            <w:vAlign w:val="center"/>
          </w:tcPr>
          <w:p w14:paraId="6B48B0A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val="en-US" w:eastAsia="zh-CN"/>
              </w:rPr>
            </w:pPr>
          </w:p>
          <w:p w14:paraId="5DCDAF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p w14:paraId="39EE2AE4">
            <w:pPr>
              <w:bidi w:val="0"/>
              <w:ind w:firstLine="440" w:firstLineChars="200"/>
              <w:jc w:val="center"/>
              <w:rPr>
                <w:rFonts w:hint="eastAsia" w:cs="宋体"/>
                <w:color w:val="auto"/>
                <w:kern w:val="0"/>
                <w:sz w:val="22"/>
                <w:szCs w:val="22"/>
                <w:highlight w:val="none"/>
                <w:lang w:val="en-US" w:eastAsia="zh-CN"/>
              </w:rPr>
            </w:pPr>
          </w:p>
        </w:tc>
      </w:tr>
      <w:tr w14:paraId="30C96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55" w:hRule="atLeast"/>
          <w:jc w:val="center"/>
        </w:trPr>
        <w:tc>
          <w:tcPr>
            <w:tcW w:w="868" w:type="dxa"/>
            <w:shd w:val="clear" w:color="auto" w:fill="auto"/>
            <w:noWrap w:val="0"/>
            <w:vAlign w:val="center"/>
          </w:tcPr>
          <w:p w14:paraId="7CA9CE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34" w:type="dxa"/>
            <w:shd w:val="clear" w:color="auto" w:fill="auto"/>
            <w:noWrap w:val="0"/>
            <w:vAlign w:val="center"/>
          </w:tcPr>
          <w:p w14:paraId="353ED3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9" w:type="dxa"/>
            <w:shd w:val="clear" w:color="auto" w:fill="auto"/>
            <w:noWrap w:val="0"/>
            <w:vAlign w:val="center"/>
          </w:tcPr>
          <w:p w14:paraId="3721BE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提升工程项目数量</w:t>
            </w:r>
          </w:p>
        </w:tc>
        <w:tc>
          <w:tcPr>
            <w:tcW w:w="2310" w:type="dxa"/>
            <w:shd w:val="clear" w:color="auto" w:fill="auto"/>
            <w:noWrap w:val="0"/>
            <w:vAlign w:val="center"/>
          </w:tcPr>
          <w:p w14:paraId="6D4B90E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98" w:type="dxa"/>
            <w:shd w:val="clear" w:color="auto" w:fill="auto"/>
            <w:noWrap w:val="0"/>
            <w:vAlign w:val="center"/>
          </w:tcPr>
          <w:p w14:paraId="1C060D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6E7927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7B835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92" w:type="dxa"/>
            <w:shd w:val="clear" w:color="auto" w:fill="auto"/>
            <w:noWrap w:val="0"/>
            <w:vAlign w:val="center"/>
          </w:tcPr>
          <w:p w14:paraId="3D41C7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76" w:type="dxa"/>
            <w:shd w:val="clear" w:color="auto" w:fill="auto"/>
            <w:noWrap w:val="0"/>
            <w:vAlign w:val="center"/>
          </w:tcPr>
          <w:p w14:paraId="5860A9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576F6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55" w:hRule="atLeast"/>
          <w:jc w:val="center"/>
        </w:trPr>
        <w:tc>
          <w:tcPr>
            <w:tcW w:w="868" w:type="dxa"/>
            <w:shd w:val="clear" w:color="auto" w:fill="auto"/>
            <w:noWrap w:val="0"/>
            <w:vAlign w:val="center"/>
          </w:tcPr>
          <w:p w14:paraId="62360DB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34" w:type="dxa"/>
            <w:shd w:val="clear" w:color="auto" w:fill="auto"/>
            <w:noWrap w:val="0"/>
            <w:vAlign w:val="center"/>
          </w:tcPr>
          <w:p w14:paraId="6DB54A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679" w:type="dxa"/>
            <w:shd w:val="clear" w:color="auto" w:fill="auto"/>
            <w:noWrap w:val="0"/>
            <w:vAlign w:val="center"/>
          </w:tcPr>
          <w:p w14:paraId="69185A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项目涉及企业数量</w:t>
            </w:r>
          </w:p>
        </w:tc>
        <w:tc>
          <w:tcPr>
            <w:tcW w:w="2310" w:type="dxa"/>
            <w:shd w:val="clear" w:color="auto" w:fill="auto"/>
            <w:noWrap w:val="0"/>
            <w:vAlign w:val="center"/>
          </w:tcPr>
          <w:p w14:paraId="3E1555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98" w:type="dxa"/>
            <w:shd w:val="clear" w:color="auto" w:fill="auto"/>
            <w:noWrap w:val="0"/>
            <w:vAlign w:val="center"/>
          </w:tcPr>
          <w:p w14:paraId="00BA6E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FA9A9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A146A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92" w:type="dxa"/>
            <w:shd w:val="clear" w:color="auto" w:fill="auto"/>
            <w:noWrap w:val="0"/>
            <w:vAlign w:val="center"/>
          </w:tcPr>
          <w:p w14:paraId="7836C8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76" w:type="dxa"/>
            <w:shd w:val="clear" w:color="auto" w:fill="auto"/>
            <w:noWrap w:val="0"/>
            <w:vAlign w:val="center"/>
          </w:tcPr>
          <w:p w14:paraId="400CFD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4B405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restart"/>
            <w:shd w:val="clear" w:color="auto" w:fill="auto"/>
            <w:noWrap w:val="0"/>
            <w:vAlign w:val="center"/>
          </w:tcPr>
          <w:p w14:paraId="094852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34" w:type="dxa"/>
            <w:shd w:val="clear" w:color="auto" w:fill="auto"/>
            <w:noWrap w:val="0"/>
            <w:vAlign w:val="center"/>
          </w:tcPr>
          <w:p w14:paraId="1167C1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679" w:type="dxa"/>
            <w:shd w:val="clear" w:color="auto" w:fill="auto"/>
            <w:noWrap w:val="0"/>
            <w:vAlign w:val="center"/>
          </w:tcPr>
          <w:p w14:paraId="590EF1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资金使用合规率</w:t>
            </w:r>
          </w:p>
        </w:tc>
        <w:tc>
          <w:tcPr>
            <w:tcW w:w="2310" w:type="dxa"/>
            <w:shd w:val="clear" w:color="auto" w:fill="auto"/>
            <w:noWrap w:val="0"/>
            <w:vAlign w:val="center"/>
          </w:tcPr>
          <w:p w14:paraId="6478A5E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98" w:type="dxa"/>
            <w:shd w:val="clear" w:color="auto" w:fill="auto"/>
            <w:noWrap w:val="0"/>
            <w:vAlign w:val="center"/>
          </w:tcPr>
          <w:p w14:paraId="4CE5CA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20268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92" w:type="dxa"/>
            <w:shd w:val="clear" w:color="auto" w:fill="auto"/>
            <w:noWrap w:val="0"/>
            <w:vAlign w:val="center"/>
          </w:tcPr>
          <w:p w14:paraId="4FAC9F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c>
          <w:tcPr>
            <w:tcW w:w="776" w:type="dxa"/>
            <w:shd w:val="clear" w:color="auto" w:fill="auto"/>
            <w:noWrap w:val="0"/>
            <w:vAlign w:val="center"/>
          </w:tcPr>
          <w:p w14:paraId="425F44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4C1A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continue"/>
            <w:shd w:val="clear" w:color="auto" w:fill="auto"/>
            <w:noWrap w:val="0"/>
            <w:vAlign w:val="center"/>
          </w:tcPr>
          <w:p w14:paraId="5E1FB18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shd w:val="clear" w:color="auto" w:fill="auto"/>
            <w:noWrap w:val="0"/>
            <w:vAlign w:val="center"/>
          </w:tcPr>
          <w:p w14:paraId="747804A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679" w:type="dxa"/>
            <w:shd w:val="clear" w:color="auto" w:fill="auto"/>
            <w:noWrap w:val="0"/>
            <w:vAlign w:val="center"/>
          </w:tcPr>
          <w:p w14:paraId="5005F8F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任务完成时间</w:t>
            </w:r>
          </w:p>
        </w:tc>
        <w:tc>
          <w:tcPr>
            <w:tcW w:w="2310" w:type="dxa"/>
            <w:shd w:val="clear" w:color="auto" w:fill="auto"/>
            <w:noWrap w:val="0"/>
            <w:vAlign w:val="center"/>
          </w:tcPr>
          <w:p w14:paraId="03634A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98" w:type="dxa"/>
            <w:shd w:val="clear" w:color="auto" w:fill="auto"/>
            <w:noWrap w:val="0"/>
            <w:vAlign w:val="center"/>
          </w:tcPr>
          <w:p w14:paraId="466B6F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29D8AD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92" w:type="dxa"/>
            <w:shd w:val="clear" w:color="auto" w:fill="auto"/>
            <w:noWrap w:val="0"/>
            <w:vAlign w:val="center"/>
          </w:tcPr>
          <w:p w14:paraId="1AF37CF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76" w:type="dxa"/>
            <w:shd w:val="clear" w:color="auto" w:fill="auto"/>
            <w:noWrap w:val="0"/>
            <w:vAlign w:val="center"/>
          </w:tcPr>
          <w:p w14:paraId="67CC96C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0988F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continue"/>
            <w:shd w:val="clear" w:color="auto" w:fill="auto"/>
            <w:noWrap w:val="0"/>
            <w:vAlign w:val="center"/>
          </w:tcPr>
          <w:p w14:paraId="41AB4E5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shd w:val="clear" w:color="auto" w:fill="auto"/>
            <w:noWrap w:val="0"/>
            <w:vAlign w:val="center"/>
          </w:tcPr>
          <w:p w14:paraId="6361216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679" w:type="dxa"/>
            <w:shd w:val="clear" w:color="auto" w:fill="auto"/>
            <w:noWrap w:val="0"/>
            <w:vAlign w:val="center"/>
          </w:tcPr>
          <w:p w14:paraId="37F383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2310" w:type="dxa"/>
            <w:shd w:val="clear" w:color="auto" w:fill="auto"/>
            <w:noWrap w:val="0"/>
            <w:vAlign w:val="center"/>
          </w:tcPr>
          <w:p w14:paraId="52BC7B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98" w:type="dxa"/>
            <w:shd w:val="clear" w:color="auto" w:fill="auto"/>
            <w:noWrap w:val="0"/>
            <w:vAlign w:val="center"/>
          </w:tcPr>
          <w:p w14:paraId="65BFD6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604B2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92" w:type="dxa"/>
            <w:shd w:val="clear" w:color="auto" w:fill="auto"/>
            <w:noWrap w:val="0"/>
            <w:vAlign w:val="center"/>
          </w:tcPr>
          <w:p w14:paraId="3A1A6228">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76" w:type="dxa"/>
            <w:shd w:val="clear" w:color="auto" w:fill="auto"/>
            <w:noWrap w:val="0"/>
            <w:vAlign w:val="center"/>
          </w:tcPr>
          <w:p w14:paraId="054D604D">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1CBD7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5" w:hRule="atLeast"/>
          <w:jc w:val="center"/>
        </w:trPr>
        <w:tc>
          <w:tcPr>
            <w:tcW w:w="868" w:type="dxa"/>
            <w:vMerge w:val="continue"/>
            <w:shd w:val="clear" w:color="auto" w:fill="auto"/>
            <w:noWrap w:val="0"/>
            <w:vAlign w:val="center"/>
          </w:tcPr>
          <w:p w14:paraId="33E4DA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restart"/>
            <w:shd w:val="clear" w:color="auto" w:fill="auto"/>
            <w:noWrap w:val="0"/>
            <w:vAlign w:val="center"/>
          </w:tcPr>
          <w:p w14:paraId="19D0754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679" w:type="dxa"/>
            <w:shd w:val="clear" w:color="auto" w:fill="auto"/>
            <w:noWrap w:val="0"/>
            <w:vAlign w:val="center"/>
          </w:tcPr>
          <w:p w14:paraId="6AF6F4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运动场项目地勘费</w:t>
            </w:r>
          </w:p>
        </w:tc>
        <w:tc>
          <w:tcPr>
            <w:tcW w:w="2310" w:type="dxa"/>
            <w:shd w:val="clear" w:color="auto" w:fill="auto"/>
            <w:noWrap w:val="0"/>
            <w:vAlign w:val="center"/>
          </w:tcPr>
          <w:p w14:paraId="4060A9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98" w:type="dxa"/>
            <w:shd w:val="clear" w:color="auto" w:fill="auto"/>
            <w:noWrap w:val="0"/>
            <w:vAlign w:val="center"/>
          </w:tcPr>
          <w:p w14:paraId="626C5E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73A867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2B06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245EB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92" w:type="dxa"/>
            <w:shd w:val="clear" w:color="auto" w:fill="auto"/>
            <w:noWrap w:val="0"/>
            <w:vAlign w:val="center"/>
          </w:tcPr>
          <w:p w14:paraId="76673F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76" w:type="dxa"/>
            <w:shd w:val="clear" w:color="auto" w:fill="auto"/>
            <w:noWrap w:val="0"/>
            <w:vAlign w:val="center"/>
          </w:tcPr>
          <w:p w14:paraId="15C925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CEAC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5" w:hRule="atLeast"/>
          <w:jc w:val="center"/>
        </w:trPr>
        <w:tc>
          <w:tcPr>
            <w:tcW w:w="868" w:type="dxa"/>
            <w:vMerge w:val="continue"/>
            <w:shd w:val="clear" w:color="auto" w:fill="auto"/>
            <w:noWrap w:val="0"/>
            <w:vAlign w:val="center"/>
          </w:tcPr>
          <w:p w14:paraId="54B81D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66557A5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679" w:type="dxa"/>
            <w:shd w:val="clear" w:color="auto" w:fill="auto"/>
            <w:noWrap w:val="0"/>
            <w:vAlign w:val="center"/>
          </w:tcPr>
          <w:p w14:paraId="6921A9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周转房项目设计费</w:t>
            </w:r>
          </w:p>
        </w:tc>
        <w:tc>
          <w:tcPr>
            <w:tcW w:w="2310" w:type="dxa"/>
            <w:shd w:val="clear" w:color="auto" w:fill="auto"/>
            <w:noWrap w:val="0"/>
            <w:vAlign w:val="center"/>
          </w:tcPr>
          <w:p w14:paraId="37063D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98" w:type="dxa"/>
            <w:shd w:val="clear" w:color="auto" w:fill="auto"/>
            <w:noWrap w:val="0"/>
            <w:vAlign w:val="center"/>
          </w:tcPr>
          <w:p w14:paraId="2C60AB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12072D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DD8FB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C45ED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92" w:type="dxa"/>
            <w:shd w:val="clear" w:color="auto" w:fill="auto"/>
            <w:noWrap w:val="0"/>
            <w:vAlign w:val="center"/>
          </w:tcPr>
          <w:p w14:paraId="09164B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76" w:type="dxa"/>
            <w:shd w:val="clear" w:color="auto" w:fill="auto"/>
            <w:noWrap w:val="0"/>
            <w:vAlign w:val="center"/>
          </w:tcPr>
          <w:p w14:paraId="73FAEB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153E3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5" w:hRule="atLeast"/>
          <w:jc w:val="center"/>
        </w:trPr>
        <w:tc>
          <w:tcPr>
            <w:tcW w:w="868" w:type="dxa"/>
            <w:vMerge w:val="continue"/>
            <w:shd w:val="clear" w:color="auto" w:fill="auto"/>
            <w:noWrap w:val="0"/>
            <w:vAlign w:val="center"/>
          </w:tcPr>
          <w:p w14:paraId="139153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2DD17A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9" w:type="dxa"/>
            <w:shd w:val="clear" w:color="auto" w:fill="auto"/>
            <w:noWrap w:val="0"/>
            <w:vAlign w:val="center"/>
          </w:tcPr>
          <w:p w14:paraId="44FC6A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0"/>
                <w:szCs w:val="20"/>
                <w:highlight w:val="none"/>
                <w:u w:val="none"/>
                <w:lang w:val="en-US" w:eastAsia="zh-CN" w:bidi="ar"/>
              </w:rPr>
              <w:t>运动场项目费</w:t>
            </w:r>
          </w:p>
        </w:tc>
        <w:tc>
          <w:tcPr>
            <w:tcW w:w="2310" w:type="dxa"/>
            <w:shd w:val="clear" w:color="auto" w:fill="auto"/>
            <w:noWrap w:val="0"/>
            <w:vAlign w:val="center"/>
          </w:tcPr>
          <w:p w14:paraId="7112E4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98" w:type="dxa"/>
            <w:shd w:val="clear" w:color="auto" w:fill="auto"/>
            <w:noWrap w:val="0"/>
            <w:vAlign w:val="center"/>
          </w:tcPr>
          <w:p w14:paraId="35C8EB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F5744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BE67E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BC3B9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92" w:type="dxa"/>
            <w:shd w:val="clear" w:color="auto" w:fill="auto"/>
            <w:noWrap w:val="0"/>
            <w:vAlign w:val="center"/>
          </w:tcPr>
          <w:p w14:paraId="7CE3D7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76" w:type="dxa"/>
            <w:shd w:val="clear" w:color="auto" w:fill="auto"/>
            <w:noWrap w:val="0"/>
            <w:vAlign w:val="center"/>
          </w:tcPr>
          <w:p w14:paraId="54F399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7E33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03" w:hRule="atLeast"/>
          <w:jc w:val="center"/>
        </w:trPr>
        <w:tc>
          <w:tcPr>
            <w:tcW w:w="868" w:type="dxa"/>
            <w:vMerge w:val="restart"/>
            <w:shd w:val="clear" w:color="auto" w:fill="auto"/>
            <w:noWrap w:val="0"/>
            <w:vAlign w:val="center"/>
          </w:tcPr>
          <w:p w14:paraId="39D99A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34" w:type="dxa"/>
            <w:vMerge w:val="restart"/>
            <w:shd w:val="clear" w:color="auto" w:fill="auto"/>
            <w:noWrap w:val="0"/>
            <w:vAlign w:val="center"/>
          </w:tcPr>
          <w:p w14:paraId="4BC6E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679" w:type="dxa"/>
            <w:shd w:val="clear" w:color="auto" w:fill="auto"/>
            <w:noWrap w:val="0"/>
            <w:vAlign w:val="center"/>
          </w:tcPr>
          <w:p w14:paraId="2E11CA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i w:val="0"/>
                <w:iCs w:val="0"/>
                <w:color w:val="auto"/>
                <w:kern w:val="0"/>
                <w:sz w:val="22"/>
                <w:szCs w:val="22"/>
                <w:highlight w:val="none"/>
                <w:u w:val="none"/>
                <w:lang w:val="en-US" w:eastAsia="zh-CN" w:bidi="ar"/>
              </w:rPr>
              <w:t>化解债务，提升单位和政府形象</w:t>
            </w:r>
          </w:p>
        </w:tc>
        <w:tc>
          <w:tcPr>
            <w:tcW w:w="2310" w:type="dxa"/>
            <w:shd w:val="clear" w:color="auto" w:fill="auto"/>
            <w:noWrap w:val="0"/>
            <w:vAlign w:val="center"/>
          </w:tcPr>
          <w:p w14:paraId="7EB986E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98" w:type="dxa"/>
            <w:shd w:val="clear" w:color="auto" w:fill="auto"/>
            <w:noWrap w:val="0"/>
            <w:vAlign w:val="center"/>
          </w:tcPr>
          <w:p w14:paraId="496F51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92" w:type="dxa"/>
            <w:shd w:val="clear" w:color="auto" w:fill="auto"/>
            <w:noWrap w:val="0"/>
            <w:vAlign w:val="center"/>
          </w:tcPr>
          <w:p w14:paraId="25704AE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76" w:type="dxa"/>
            <w:shd w:val="clear" w:color="auto" w:fill="auto"/>
            <w:noWrap w:val="0"/>
            <w:vAlign w:val="center"/>
          </w:tcPr>
          <w:p w14:paraId="1D1C73F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768EF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0" w:hRule="atLeast"/>
          <w:jc w:val="center"/>
        </w:trPr>
        <w:tc>
          <w:tcPr>
            <w:tcW w:w="868" w:type="dxa"/>
            <w:vMerge w:val="continue"/>
            <w:shd w:val="clear" w:color="auto" w:fill="auto"/>
            <w:noWrap w:val="0"/>
            <w:vAlign w:val="center"/>
          </w:tcPr>
          <w:p w14:paraId="054C11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487E09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9" w:type="dxa"/>
            <w:shd w:val="clear" w:color="auto" w:fill="auto"/>
            <w:noWrap w:val="0"/>
            <w:vAlign w:val="center"/>
          </w:tcPr>
          <w:p w14:paraId="7D8EFD52">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i w:val="0"/>
                <w:iCs w:val="0"/>
                <w:color w:val="auto"/>
                <w:kern w:val="0"/>
                <w:sz w:val="22"/>
                <w:szCs w:val="22"/>
                <w:highlight w:val="none"/>
                <w:u w:val="none"/>
                <w:lang w:val="en-US" w:eastAsia="zh-CN" w:bidi="ar"/>
              </w:rPr>
              <w:t>完善政府债务化解机制</w:t>
            </w:r>
          </w:p>
        </w:tc>
        <w:tc>
          <w:tcPr>
            <w:tcW w:w="2310" w:type="dxa"/>
            <w:shd w:val="clear" w:color="auto" w:fill="auto"/>
            <w:noWrap w:val="0"/>
            <w:vAlign w:val="center"/>
          </w:tcPr>
          <w:p w14:paraId="1CAB04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98" w:type="dxa"/>
            <w:shd w:val="clear" w:color="auto" w:fill="auto"/>
            <w:noWrap w:val="0"/>
            <w:vAlign w:val="center"/>
          </w:tcPr>
          <w:p w14:paraId="70972D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92" w:type="dxa"/>
            <w:shd w:val="clear" w:color="auto" w:fill="auto"/>
            <w:noWrap w:val="0"/>
            <w:vAlign w:val="center"/>
          </w:tcPr>
          <w:p w14:paraId="2A6DAE34">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76" w:type="dxa"/>
            <w:shd w:val="clear" w:color="auto" w:fill="auto"/>
            <w:noWrap w:val="0"/>
            <w:vAlign w:val="center"/>
          </w:tcPr>
          <w:p w14:paraId="0DE0977C">
            <w:pPr>
              <w:pageBreakBefore w:val="0"/>
              <w:widowControl/>
              <w:kinsoku/>
              <w:wordWrap/>
              <w:overflowPunct/>
              <w:topLinePunct w:val="0"/>
              <w:autoSpaceDE/>
              <w:autoSpaceDN/>
              <w:bidi w:val="0"/>
              <w:spacing w:line="240" w:lineRule="auto"/>
              <w:ind w:firstLine="0" w:firstLineChars="0"/>
              <w:textAlignment w:val="auto"/>
              <w:rPr>
                <w:rFonts w:hint="default"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5C4FC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4" w:hRule="atLeast"/>
          <w:jc w:val="center"/>
        </w:trPr>
        <w:tc>
          <w:tcPr>
            <w:tcW w:w="868" w:type="dxa"/>
            <w:vMerge w:val="continue"/>
            <w:shd w:val="clear" w:color="auto" w:fill="auto"/>
            <w:noWrap w:val="0"/>
            <w:vAlign w:val="center"/>
          </w:tcPr>
          <w:p w14:paraId="6F51BA4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34" w:type="dxa"/>
            <w:vMerge w:val="continue"/>
            <w:shd w:val="clear" w:color="auto" w:fill="auto"/>
            <w:noWrap w:val="0"/>
            <w:vAlign w:val="center"/>
          </w:tcPr>
          <w:p w14:paraId="4C1987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679" w:type="dxa"/>
            <w:shd w:val="clear" w:color="auto" w:fill="auto"/>
            <w:noWrap w:val="0"/>
            <w:vAlign w:val="center"/>
          </w:tcPr>
          <w:p w14:paraId="3FD44A0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企业满意度</w:t>
            </w:r>
          </w:p>
        </w:tc>
        <w:tc>
          <w:tcPr>
            <w:tcW w:w="2310" w:type="dxa"/>
            <w:shd w:val="clear" w:color="auto" w:fill="auto"/>
            <w:noWrap w:val="0"/>
            <w:vAlign w:val="center"/>
          </w:tcPr>
          <w:p w14:paraId="1DEA3A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98" w:type="dxa"/>
            <w:shd w:val="clear" w:color="auto" w:fill="auto"/>
            <w:noWrap w:val="0"/>
            <w:vAlign w:val="center"/>
          </w:tcPr>
          <w:p w14:paraId="2B1795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92" w:type="dxa"/>
            <w:shd w:val="clear" w:color="auto" w:fill="auto"/>
            <w:noWrap w:val="0"/>
            <w:vAlign w:val="center"/>
          </w:tcPr>
          <w:p w14:paraId="531A707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76" w:type="dxa"/>
            <w:shd w:val="clear" w:color="auto" w:fill="auto"/>
            <w:noWrap w:val="0"/>
            <w:vAlign w:val="center"/>
          </w:tcPr>
          <w:p w14:paraId="0F7E13F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68F6B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6" w:hRule="atLeast"/>
          <w:jc w:val="center"/>
        </w:trPr>
        <w:tc>
          <w:tcPr>
            <w:tcW w:w="4591" w:type="dxa"/>
            <w:gridSpan w:val="4"/>
            <w:shd w:val="clear" w:color="auto" w:fill="auto"/>
            <w:noWrap w:val="0"/>
            <w:vAlign w:val="center"/>
          </w:tcPr>
          <w:p w14:paraId="3BD47C6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98" w:type="dxa"/>
            <w:shd w:val="clear" w:color="auto" w:fill="auto"/>
            <w:noWrap w:val="0"/>
            <w:vAlign w:val="center"/>
          </w:tcPr>
          <w:p w14:paraId="0AA916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92" w:type="dxa"/>
            <w:shd w:val="clear" w:color="auto" w:fill="auto"/>
            <w:noWrap w:val="0"/>
            <w:vAlign w:val="center"/>
          </w:tcPr>
          <w:p w14:paraId="0530669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76" w:type="dxa"/>
            <w:shd w:val="clear" w:color="auto" w:fill="auto"/>
            <w:noWrap w:val="0"/>
            <w:vAlign w:val="center"/>
          </w:tcPr>
          <w:p w14:paraId="3E2452B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2BB10F3B">
      <w:pPr>
        <w:keepNext w:val="0"/>
        <w:keepLines w:val="0"/>
        <w:pageBreakBefore w:val="0"/>
        <w:widowControl w:val="0"/>
        <w:kinsoku/>
        <w:wordWrap/>
        <w:overflowPunct/>
        <w:topLinePunct w:val="0"/>
        <w:autoSpaceDE/>
        <w:autoSpaceDN/>
        <w:bidi w:val="0"/>
        <w:adjustRightInd/>
        <w:snapToGrid/>
        <w:spacing w:line="20" w:lineRule="exact"/>
        <w:ind w:left="0" w:leftChars="0" w:firstLine="0" w:firstLineChars="0"/>
        <w:textAlignment w:val="auto"/>
        <w:rPr>
          <w:rFonts w:hint="default"/>
          <w:lang w:val="en-US" w:eastAsia="zh-CN"/>
        </w:rPr>
      </w:pPr>
    </w:p>
    <w:sectPr>
      <w:footerReference r:id="rId6" w:type="default"/>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A3CE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43238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432386">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6BAB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C45AE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C45AE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111FD67"/>
    <w:multiLevelType w:val="singleLevel"/>
    <w:tmpl w:val="7111FD67"/>
    <w:lvl w:ilvl="0" w:tentative="0">
      <w:start w:val="1"/>
      <w:numFmt w:val="decimal"/>
      <w:suff w:val="nothing"/>
      <w:lvlText w:val="（%1）"/>
      <w:lvlJc w:val="left"/>
    </w:lvl>
  </w:abstractNum>
  <w:abstractNum w:abstractNumId="2">
    <w:nsid w:val="78D0DE69"/>
    <w:multiLevelType w:val="singleLevel"/>
    <w:tmpl w:val="78D0DE69"/>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ZjY5MTYwYmVkZGEzM2IzN2YyNmRlOWY3NjZjYzEifQ=="/>
    <w:docVar w:name="KSO_WPS_MARK_KEY" w:val="234cf04b-df38-4713-9200-f37643b8a14c"/>
  </w:docVars>
  <w:rsids>
    <w:rsidRoot w:val="68291A1A"/>
    <w:rsid w:val="007D6A04"/>
    <w:rsid w:val="00E23C81"/>
    <w:rsid w:val="01253350"/>
    <w:rsid w:val="01282E62"/>
    <w:rsid w:val="014029CF"/>
    <w:rsid w:val="01470C4C"/>
    <w:rsid w:val="018A3AE5"/>
    <w:rsid w:val="02200440"/>
    <w:rsid w:val="02284B43"/>
    <w:rsid w:val="02B015E2"/>
    <w:rsid w:val="02DC08FA"/>
    <w:rsid w:val="033B569D"/>
    <w:rsid w:val="03460E4A"/>
    <w:rsid w:val="036A1510"/>
    <w:rsid w:val="039C3BA0"/>
    <w:rsid w:val="03A845BB"/>
    <w:rsid w:val="03B45AD1"/>
    <w:rsid w:val="03CE7CF1"/>
    <w:rsid w:val="04D12EE4"/>
    <w:rsid w:val="04D63993"/>
    <w:rsid w:val="05ED6B33"/>
    <w:rsid w:val="060A0CEB"/>
    <w:rsid w:val="07890F4F"/>
    <w:rsid w:val="07B76CEE"/>
    <w:rsid w:val="0802440D"/>
    <w:rsid w:val="08892439"/>
    <w:rsid w:val="08EB30F3"/>
    <w:rsid w:val="09237408"/>
    <w:rsid w:val="09781BD6"/>
    <w:rsid w:val="09F359DF"/>
    <w:rsid w:val="0A4A3E4A"/>
    <w:rsid w:val="0A575E65"/>
    <w:rsid w:val="0A6C3DC0"/>
    <w:rsid w:val="0ACA0AB6"/>
    <w:rsid w:val="0B5331D2"/>
    <w:rsid w:val="0C032502"/>
    <w:rsid w:val="0C27698C"/>
    <w:rsid w:val="0D4452F3"/>
    <w:rsid w:val="0DDE4FD5"/>
    <w:rsid w:val="0F5E5042"/>
    <w:rsid w:val="0FE95707"/>
    <w:rsid w:val="10510571"/>
    <w:rsid w:val="10787A20"/>
    <w:rsid w:val="108672DE"/>
    <w:rsid w:val="10EC685A"/>
    <w:rsid w:val="11210E9B"/>
    <w:rsid w:val="11FA6155"/>
    <w:rsid w:val="12CF0947"/>
    <w:rsid w:val="12F1313F"/>
    <w:rsid w:val="136C678E"/>
    <w:rsid w:val="13EB2FF5"/>
    <w:rsid w:val="14ED4CAC"/>
    <w:rsid w:val="14EF6414"/>
    <w:rsid w:val="15A46B04"/>
    <w:rsid w:val="15BA0541"/>
    <w:rsid w:val="161E152F"/>
    <w:rsid w:val="165825BC"/>
    <w:rsid w:val="16BC5D73"/>
    <w:rsid w:val="17687E8E"/>
    <w:rsid w:val="176F36D7"/>
    <w:rsid w:val="1795226D"/>
    <w:rsid w:val="180C3C84"/>
    <w:rsid w:val="18456B1E"/>
    <w:rsid w:val="186D1CFF"/>
    <w:rsid w:val="194A3DBD"/>
    <w:rsid w:val="1ACD254F"/>
    <w:rsid w:val="1C1171C5"/>
    <w:rsid w:val="1D265138"/>
    <w:rsid w:val="1D7B6BCA"/>
    <w:rsid w:val="1DA41A79"/>
    <w:rsid w:val="1DF53469"/>
    <w:rsid w:val="1E1F03A0"/>
    <w:rsid w:val="1E2F24F2"/>
    <w:rsid w:val="1E58492F"/>
    <w:rsid w:val="1E5B6757"/>
    <w:rsid w:val="1ED10AC6"/>
    <w:rsid w:val="1F89225F"/>
    <w:rsid w:val="1F900A1F"/>
    <w:rsid w:val="1FC0575D"/>
    <w:rsid w:val="1FE65F6B"/>
    <w:rsid w:val="203C052E"/>
    <w:rsid w:val="206132C7"/>
    <w:rsid w:val="21301109"/>
    <w:rsid w:val="21B00C1D"/>
    <w:rsid w:val="23031BEB"/>
    <w:rsid w:val="235F22BC"/>
    <w:rsid w:val="23917691"/>
    <w:rsid w:val="23A10440"/>
    <w:rsid w:val="23E91A4C"/>
    <w:rsid w:val="241850A9"/>
    <w:rsid w:val="244D65B8"/>
    <w:rsid w:val="245E1E24"/>
    <w:rsid w:val="24F75153"/>
    <w:rsid w:val="25A96C95"/>
    <w:rsid w:val="25AD5E5D"/>
    <w:rsid w:val="27103A72"/>
    <w:rsid w:val="2732478D"/>
    <w:rsid w:val="273D1E2C"/>
    <w:rsid w:val="27661469"/>
    <w:rsid w:val="27900EAD"/>
    <w:rsid w:val="279B538A"/>
    <w:rsid w:val="27A10B30"/>
    <w:rsid w:val="281C73D1"/>
    <w:rsid w:val="286F545C"/>
    <w:rsid w:val="28FB716E"/>
    <w:rsid w:val="29314FBC"/>
    <w:rsid w:val="294E2E9F"/>
    <w:rsid w:val="299407E6"/>
    <w:rsid w:val="2AA2081A"/>
    <w:rsid w:val="2AD437A4"/>
    <w:rsid w:val="2B6470BA"/>
    <w:rsid w:val="2BDD033E"/>
    <w:rsid w:val="2C024B86"/>
    <w:rsid w:val="2C664DBD"/>
    <w:rsid w:val="2C8C652D"/>
    <w:rsid w:val="2C927671"/>
    <w:rsid w:val="2CC6306F"/>
    <w:rsid w:val="2D6F009D"/>
    <w:rsid w:val="2D7C5CD6"/>
    <w:rsid w:val="2D7F5386"/>
    <w:rsid w:val="2DF256AE"/>
    <w:rsid w:val="2E483E7E"/>
    <w:rsid w:val="2E690493"/>
    <w:rsid w:val="2E975A79"/>
    <w:rsid w:val="2E9854BD"/>
    <w:rsid w:val="2ED962F9"/>
    <w:rsid w:val="2F0D407F"/>
    <w:rsid w:val="2F454B19"/>
    <w:rsid w:val="2FCF48F1"/>
    <w:rsid w:val="310224D9"/>
    <w:rsid w:val="314C6450"/>
    <w:rsid w:val="31B11537"/>
    <w:rsid w:val="31B4621C"/>
    <w:rsid w:val="31E3230A"/>
    <w:rsid w:val="32231A2F"/>
    <w:rsid w:val="330957E0"/>
    <w:rsid w:val="33356F64"/>
    <w:rsid w:val="335032EF"/>
    <w:rsid w:val="33944516"/>
    <w:rsid w:val="34B62907"/>
    <w:rsid w:val="35240E7A"/>
    <w:rsid w:val="35AC657F"/>
    <w:rsid w:val="35B53FBD"/>
    <w:rsid w:val="36BD137C"/>
    <w:rsid w:val="36C7542D"/>
    <w:rsid w:val="36E92171"/>
    <w:rsid w:val="38053EDF"/>
    <w:rsid w:val="380812A4"/>
    <w:rsid w:val="3837515E"/>
    <w:rsid w:val="383C2774"/>
    <w:rsid w:val="385D37E7"/>
    <w:rsid w:val="387471FA"/>
    <w:rsid w:val="38782EDD"/>
    <w:rsid w:val="388C68E9"/>
    <w:rsid w:val="38D72C07"/>
    <w:rsid w:val="3A196567"/>
    <w:rsid w:val="3A9D210E"/>
    <w:rsid w:val="3B1249ED"/>
    <w:rsid w:val="3B42664A"/>
    <w:rsid w:val="3BE33439"/>
    <w:rsid w:val="3C0B7252"/>
    <w:rsid w:val="3C4F3695"/>
    <w:rsid w:val="3CAD1E92"/>
    <w:rsid w:val="3D836A4E"/>
    <w:rsid w:val="3DAA1AD5"/>
    <w:rsid w:val="3E2E0090"/>
    <w:rsid w:val="3EA37E97"/>
    <w:rsid w:val="3FBE0BC5"/>
    <w:rsid w:val="401974E6"/>
    <w:rsid w:val="4048103A"/>
    <w:rsid w:val="406D5BC1"/>
    <w:rsid w:val="40736643"/>
    <w:rsid w:val="40D24A7A"/>
    <w:rsid w:val="4131676A"/>
    <w:rsid w:val="41B810BD"/>
    <w:rsid w:val="422454D0"/>
    <w:rsid w:val="42621029"/>
    <w:rsid w:val="42E67ABD"/>
    <w:rsid w:val="42F67713"/>
    <w:rsid w:val="435241E2"/>
    <w:rsid w:val="43975C51"/>
    <w:rsid w:val="439E3FA7"/>
    <w:rsid w:val="44615B35"/>
    <w:rsid w:val="447F5B89"/>
    <w:rsid w:val="44B32266"/>
    <w:rsid w:val="44FC64F4"/>
    <w:rsid w:val="45E71F71"/>
    <w:rsid w:val="467F4585"/>
    <w:rsid w:val="46C317EB"/>
    <w:rsid w:val="46FF3324"/>
    <w:rsid w:val="470628CB"/>
    <w:rsid w:val="4729480B"/>
    <w:rsid w:val="47555BD4"/>
    <w:rsid w:val="478B4C81"/>
    <w:rsid w:val="47BC2DB1"/>
    <w:rsid w:val="47E96399"/>
    <w:rsid w:val="47F76025"/>
    <w:rsid w:val="48532D0C"/>
    <w:rsid w:val="486E33F5"/>
    <w:rsid w:val="48E12B50"/>
    <w:rsid w:val="496B231B"/>
    <w:rsid w:val="499441BE"/>
    <w:rsid w:val="499A6C1C"/>
    <w:rsid w:val="4A195607"/>
    <w:rsid w:val="4A2138F0"/>
    <w:rsid w:val="4A2538C0"/>
    <w:rsid w:val="4A5139F8"/>
    <w:rsid w:val="4A583887"/>
    <w:rsid w:val="4ADE344E"/>
    <w:rsid w:val="4B591B3F"/>
    <w:rsid w:val="4B6573C5"/>
    <w:rsid w:val="4B9F6E02"/>
    <w:rsid w:val="4C89637B"/>
    <w:rsid w:val="4D481D4B"/>
    <w:rsid w:val="4D654866"/>
    <w:rsid w:val="4DA7365D"/>
    <w:rsid w:val="4E091525"/>
    <w:rsid w:val="4E3F78BF"/>
    <w:rsid w:val="4E6E48A8"/>
    <w:rsid w:val="4EEC036B"/>
    <w:rsid w:val="4F714FA1"/>
    <w:rsid w:val="501D2673"/>
    <w:rsid w:val="50C80BF1"/>
    <w:rsid w:val="51852833"/>
    <w:rsid w:val="51F6498A"/>
    <w:rsid w:val="529E25C1"/>
    <w:rsid w:val="52F11AC8"/>
    <w:rsid w:val="534F49D9"/>
    <w:rsid w:val="53555F0F"/>
    <w:rsid w:val="535D23D5"/>
    <w:rsid w:val="537036FD"/>
    <w:rsid w:val="54EA61D0"/>
    <w:rsid w:val="55825812"/>
    <w:rsid w:val="55D632FD"/>
    <w:rsid w:val="565076BF"/>
    <w:rsid w:val="56F4341A"/>
    <w:rsid w:val="57104150"/>
    <w:rsid w:val="575A7321"/>
    <w:rsid w:val="5805272B"/>
    <w:rsid w:val="580C3AB9"/>
    <w:rsid w:val="583C7AE0"/>
    <w:rsid w:val="586C1E9A"/>
    <w:rsid w:val="586E0800"/>
    <w:rsid w:val="59216F96"/>
    <w:rsid w:val="598C4145"/>
    <w:rsid w:val="59957D1B"/>
    <w:rsid w:val="59967104"/>
    <w:rsid w:val="59D4294E"/>
    <w:rsid w:val="5A956868"/>
    <w:rsid w:val="5B634312"/>
    <w:rsid w:val="5B9D2CCD"/>
    <w:rsid w:val="5B9E71EA"/>
    <w:rsid w:val="5C3E620B"/>
    <w:rsid w:val="5C8E7AAF"/>
    <w:rsid w:val="5E226FBC"/>
    <w:rsid w:val="5F0B4ACB"/>
    <w:rsid w:val="5F48187B"/>
    <w:rsid w:val="5F812873"/>
    <w:rsid w:val="5FE72BD2"/>
    <w:rsid w:val="60120613"/>
    <w:rsid w:val="60D82F1B"/>
    <w:rsid w:val="6151078F"/>
    <w:rsid w:val="616C7BC9"/>
    <w:rsid w:val="618D5292"/>
    <w:rsid w:val="61AC5243"/>
    <w:rsid w:val="622E78FA"/>
    <w:rsid w:val="62735A38"/>
    <w:rsid w:val="62D376AD"/>
    <w:rsid w:val="63327986"/>
    <w:rsid w:val="63343F70"/>
    <w:rsid w:val="63E1404C"/>
    <w:rsid w:val="64296E1C"/>
    <w:rsid w:val="64386FCC"/>
    <w:rsid w:val="649E64A2"/>
    <w:rsid w:val="64DF6B47"/>
    <w:rsid w:val="64F57F6F"/>
    <w:rsid w:val="6598698C"/>
    <w:rsid w:val="65A2780B"/>
    <w:rsid w:val="65D025CA"/>
    <w:rsid w:val="65E5270A"/>
    <w:rsid w:val="66004A06"/>
    <w:rsid w:val="663D3C54"/>
    <w:rsid w:val="66466454"/>
    <w:rsid w:val="665A025A"/>
    <w:rsid w:val="667A6962"/>
    <w:rsid w:val="66862C89"/>
    <w:rsid w:val="66BB486D"/>
    <w:rsid w:val="66F13A8D"/>
    <w:rsid w:val="67394C7D"/>
    <w:rsid w:val="67A23AF2"/>
    <w:rsid w:val="68126B38"/>
    <w:rsid w:val="68291A1A"/>
    <w:rsid w:val="68352BB8"/>
    <w:rsid w:val="68B42894"/>
    <w:rsid w:val="691327EB"/>
    <w:rsid w:val="691B1594"/>
    <w:rsid w:val="693A016B"/>
    <w:rsid w:val="697F686E"/>
    <w:rsid w:val="69892AB6"/>
    <w:rsid w:val="6A17429C"/>
    <w:rsid w:val="6A567EA3"/>
    <w:rsid w:val="6A6B2ADD"/>
    <w:rsid w:val="6B4B4368"/>
    <w:rsid w:val="6B79100E"/>
    <w:rsid w:val="6C844C00"/>
    <w:rsid w:val="6E10212C"/>
    <w:rsid w:val="6E43561A"/>
    <w:rsid w:val="6E557973"/>
    <w:rsid w:val="6E62222D"/>
    <w:rsid w:val="6E9568DB"/>
    <w:rsid w:val="6F0D6C22"/>
    <w:rsid w:val="6F47657F"/>
    <w:rsid w:val="6FAF23D9"/>
    <w:rsid w:val="70635CF6"/>
    <w:rsid w:val="70670707"/>
    <w:rsid w:val="70CE7AE2"/>
    <w:rsid w:val="720E3691"/>
    <w:rsid w:val="7249173A"/>
    <w:rsid w:val="724E244C"/>
    <w:rsid w:val="72DA6946"/>
    <w:rsid w:val="72E43AD2"/>
    <w:rsid w:val="732764B3"/>
    <w:rsid w:val="736B49E9"/>
    <w:rsid w:val="73D8384A"/>
    <w:rsid w:val="74000AE8"/>
    <w:rsid w:val="74026044"/>
    <w:rsid w:val="74325A77"/>
    <w:rsid w:val="7473539A"/>
    <w:rsid w:val="74746410"/>
    <w:rsid w:val="755C1B17"/>
    <w:rsid w:val="75636AE9"/>
    <w:rsid w:val="75C8506C"/>
    <w:rsid w:val="75E5007C"/>
    <w:rsid w:val="77636B63"/>
    <w:rsid w:val="77813724"/>
    <w:rsid w:val="77861774"/>
    <w:rsid w:val="78AC6ACD"/>
    <w:rsid w:val="78F31435"/>
    <w:rsid w:val="79300B45"/>
    <w:rsid w:val="794D3E18"/>
    <w:rsid w:val="79B821B5"/>
    <w:rsid w:val="79F3729A"/>
    <w:rsid w:val="7A880722"/>
    <w:rsid w:val="7AB96207"/>
    <w:rsid w:val="7ABE6120"/>
    <w:rsid w:val="7ACB0498"/>
    <w:rsid w:val="7AED0B4D"/>
    <w:rsid w:val="7C1E4487"/>
    <w:rsid w:val="7C215E02"/>
    <w:rsid w:val="7C4B4B71"/>
    <w:rsid w:val="7CF23764"/>
    <w:rsid w:val="7CF33A3C"/>
    <w:rsid w:val="7D851A94"/>
    <w:rsid w:val="7E10462E"/>
    <w:rsid w:val="7E154BC6"/>
    <w:rsid w:val="7E797F74"/>
    <w:rsid w:val="7EB75C7D"/>
    <w:rsid w:val="7F0D3AEF"/>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10755</Words>
  <Characters>11420</Characters>
  <Lines>0</Lines>
  <Paragraphs>0</Paragraphs>
  <TotalTime>1</TotalTime>
  <ScaleCrop>false</ScaleCrop>
  <LinksUpToDate>false</LinksUpToDate>
  <CharactersWithSpaces>11493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