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FE292">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2C242C09">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3FACA0">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EDCA9F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29123"/>
      <w:bookmarkStart w:id="2" w:name="_Toc1949"/>
      <w:bookmarkStart w:id="3" w:name="_Toc15679"/>
      <w:r>
        <w:rPr>
          <w:rFonts w:hint="eastAsia" w:cs="宋体"/>
          <w:b/>
          <w:bCs/>
          <w:color w:val="auto"/>
          <w:sz w:val="40"/>
          <w:szCs w:val="40"/>
          <w:highlight w:val="none"/>
          <w:shd w:val="clear" w:color="auto" w:fill="auto"/>
          <w:lang w:val="en-US" w:eastAsia="zh-CN"/>
        </w:rPr>
        <w:t>2024年选聘教师工资补助经费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p>
    <w:p w14:paraId="5DE717D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绩效评价报告</w:t>
      </w:r>
      <w:bookmarkEnd w:id="0"/>
      <w:bookmarkEnd w:id="1"/>
      <w:bookmarkEnd w:id="2"/>
      <w:bookmarkEnd w:id="3"/>
    </w:p>
    <w:p w14:paraId="17F294B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533662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7A221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1E376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AB89D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EEE1B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C6EC353">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7CB5D59E">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项目名称：2024年选聘教师工资补助经费</w:t>
      </w:r>
    </w:p>
    <w:p w14:paraId="0D52FF75">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阜康市晋新幼儿园</w:t>
      </w:r>
    </w:p>
    <w:p w14:paraId="1C1963D9">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阜康市教育局</w:t>
      </w:r>
    </w:p>
    <w:p w14:paraId="3DC3D78A">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w:t>
      </w:r>
      <w:r>
        <w:rPr>
          <w:rFonts w:hint="eastAsia" w:ascii="黑体" w:hAnsi="Times New Roman" w:eastAsia="黑体"/>
          <w:b w:val="0"/>
          <w:bCs/>
          <w:color w:val="auto"/>
          <w:sz w:val="30"/>
          <w:szCs w:val="30"/>
          <w:highlight w:val="none"/>
          <w:lang w:val="en-US" w:eastAsia="zh-CN"/>
        </w:rPr>
        <w:t>责人：王梦迪</w:t>
      </w:r>
    </w:p>
    <w:p w14:paraId="43945D39">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4B0D8AF8">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08EAF2BC">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1BFE716B">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29479345">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55DEC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F3D18D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4DE5892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2901D88D">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61D7CA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9A9CDD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76B826B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76260BE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6CA2F2D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22D6BCE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39CEE1E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2777F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7660478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6009863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024C5F2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432FE04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798BD08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1CE2DE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5E3A973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702F263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D360CD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39DE69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E9EF95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85D65E4">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003234D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OLE_LINK3"/>
      <w:bookmarkStart w:id="5" w:name="_Toc1194"/>
      <w:bookmarkStart w:id="6" w:name="_Toc20432"/>
      <w:bookmarkStart w:id="7" w:name="_Toc3663"/>
      <w:bookmarkStart w:id="8" w:name="_Toc22946"/>
      <w:r>
        <w:rPr>
          <w:rFonts w:hint="eastAsia" w:cs="宋体"/>
          <w:b/>
          <w:bCs/>
          <w:color w:val="auto"/>
          <w:sz w:val="36"/>
          <w:szCs w:val="36"/>
          <w:highlight w:val="none"/>
          <w:shd w:val="clear" w:color="auto" w:fill="auto"/>
          <w:lang w:val="en-US" w:eastAsia="zh-CN"/>
        </w:rPr>
        <w:t>2024年选聘教师工资补助经费</w:t>
      </w:r>
      <w:r>
        <w:rPr>
          <w:rFonts w:hint="eastAsia" w:ascii="宋体" w:hAnsi="宋体" w:eastAsia="宋体" w:cs="宋体"/>
          <w:b/>
          <w:bCs/>
          <w:color w:val="auto"/>
          <w:sz w:val="36"/>
          <w:szCs w:val="36"/>
          <w:highlight w:val="none"/>
          <w:shd w:val="clear" w:color="auto" w:fill="auto"/>
          <w:lang w:val="en-US" w:eastAsia="zh-CN"/>
        </w:rPr>
        <w:t>项目</w:t>
      </w:r>
      <w:bookmarkEnd w:id="4"/>
      <w:r>
        <w:rPr>
          <w:rFonts w:hint="eastAsia" w:ascii="宋体" w:hAnsi="宋体" w:eastAsia="宋体" w:cs="宋体"/>
          <w:b/>
          <w:bCs/>
          <w:color w:val="auto"/>
          <w:sz w:val="36"/>
          <w:szCs w:val="36"/>
          <w:highlight w:val="none"/>
          <w:shd w:val="clear" w:color="auto" w:fill="auto"/>
        </w:rPr>
        <w:t>支出</w:t>
      </w:r>
    </w:p>
    <w:p w14:paraId="698DD06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绩效评价报告</w:t>
      </w:r>
      <w:bookmarkEnd w:id="5"/>
      <w:bookmarkEnd w:id="6"/>
      <w:bookmarkEnd w:id="7"/>
      <w:bookmarkEnd w:id="8"/>
    </w:p>
    <w:p w14:paraId="2099D5AA">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9" w:name="_Toc18485"/>
      <w:r>
        <w:rPr>
          <w:rFonts w:hint="eastAsia" w:ascii="黑体" w:hAnsi="黑体" w:eastAsia="黑体" w:cs="黑体"/>
          <w:b w:val="0"/>
          <w:bCs w:val="0"/>
          <w:color w:val="auto"/>
          <w:highlight w:val="none"/>
          <w:shd w:val="clear" w:color="auto" w:fill="auto"/>
        </w:rPr>
        <w:t>一、基本情况</w:t>
      </w:r>
      <w:bookmarkEnd w:id="9"/>
    </w:p>
    <w:p w14:paraId="27727ED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 w:name="_Toc23184"/>
      <w:r>
        <w:rPr>
          <w:rFonts w:hint="eastAsia" w:ascii="Times New Roman" w:hAnsi="Times New Roman" w:eastAsia="楷体_GB2312" w:cs="Times New Roman"/>
          <w:color w:val="auto"/>
          <w:kern w:val="28"/>
          <w:sz w:val="32"/>
          <w:highlight w:val="none"/>
          <w:lang w:val="en-US" w:eastAsia="zh-CN"/>
        </w:rPr>
        <w:t>（一）项目概况</w:t>
      </w:r>
      <w:bookmarkEnd w:id="10"/>
    </w:p>
    <w:p w14:paraId="3244FEA8">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1" w:name="_Toc29812"/>
      <w:bookmarkStart w:id="12" w:name="_Toc5043"/>
      <w:bookmarkStart w:id="13" w:name="_Toc10645"/>
      <w:bookmarkStart w:id="14" w:name="_Toc2234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1"/>
      <w:bookmarkEnd w:id="12"/>
      <w:bookmarkEnd w:id="13"/>
      <w:bookmarkEnd w:id="14"/>
    </w:p>
    <w:p w14:paraId="504DDBC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为响应国家推行教育优质均衡发展要求，解决城乡、区域师资配置不均问题政策要求通过科学补充和优化师资队伍，为教育提高质量发展提供人力保障。</w:t>
      </w:r>
    </w:p>
    <w:p w14:paraId="0C9ED03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5" w:name="_Toc1630"/>
      <w:bookmarkStart w:id="16" w:name="_Toc17880"/>
      <w:bookmarkStart w:id="17" w:name="_Toc10730"/>
      <w:bookmarkStart w:id="18" w:name="_Toc27343"/>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5"/>
      <w:bookmarkEnd w:id="16"/>
      <w:bookmarkEnd w:id="17"/>
      <w:bookmarkEnd w:id="18"/>
    </w:p>
    <w:p w14:paraId="614B6B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SA"/>
        </w:rPr>
      </w:pPr>
      <w:bookmarkStart w:id="19" w:name="_Toc16592"/>
      <w:bookmarkStart w:id="20" w:name="_Toc27245"/>
      <w:bookmarkStart w:id="21" w:name="_Toc27409"/>
      <w:bookmarkStart w:id="22" w:name="_Toc21898"/>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9"/>
      <w:bookmarkEnd w:id="20"/>
      <w:bookmarkEnd w:id="21"/>
      <w:bookmarkEnd w:id="22"/>
      <w:r>
        <w:rPr>
          <w:rFonts w:hint="eastAsia" w:ascii="仿宋_GB2312" w:hAnsi="仿宋_GB2312" w:eastAsia="仿宋_GB2312" w:cs="仿宋_GB2312"/>
          <w:b w:val="0"/>
          <w:bCs/>
          <w:color w:val="auto"/>
          <w:kern w:val="2"/>
          <w:sz w:val="32"/>
          <w:szCs w:val="32"/>
          <w:highlight w:val="none"/>
          <w:shd w:val="clear" w:color="auto" w:fill="auto"/>
          <w:lang w:val="en-US" w:eastAsia="zh-CN" w:bidi="ar-SA"/>
        </w:rPr>
        <w:t>全年按时支付选聘教师31人12次工资补助经费，每人每年5.62万元。</w:t>
      </w:r>
    </w:p>
    <w:p w14:paraId="6745E2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阜康市财政局关于2024根据年部门预算的批复文件，经财经领导小组会议，确定了项目领导小组，明确了责任分工：组长为焦敏书记，副组长为张亚琴园长，项目负责人为李泽晶,组员为何海珍、石煜煊，其中：何海珍负责监管工作，石煜煊负责项目档案资料，高云霞负责资金拨付工作。</w:t>
      </w:r>
    </w:p>
    <w:p w14:paraId="4468A5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3" w:name="OLE_LINK37"/>
      <w:bookmarkStart w:id="24" w:name="_Toc23509"/>
      <w:bookmarkStart w:id="25" w:name="_Toc26369"/>
      <w:bookmarkStart w:id="26" w:name="_Toc694"/>
      <w:r>
        <w:rPr>
          <w:rFonts w:hint="eastAsia" w:ascii="仿宋_GB2312" w:hAnsi="仿宋_GB2312" w:eastAsia="仿宋_GB2312" w:cs="仿宋_GB2312"/>
          <w:color w:val="auto"/>
          <w:sz w:val="32"/>
          <w:szCs w:val="32"/>
          <w:highlight w:val="none"/>
          <w:shd w:val="clear" w:color="auto" w:fill="auto"/>
          <w:lang w:val="en-US" w:eastAsia="zh-CN"/>
        </w:rPr>
        <w:t>截至2024年12月31日，本项目按每人每年5.62万元的标准完成29名选聘教师12次的工资发放，共支付173.24万元。</w:t>
      </w:r>
    </w:p>
    <w:bookmarkEnd w:id="23"/>
    <w:p w14:paraId="1C88624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（1）资金投入情况</w:t>
      </w:r>
      <w:bookmarkEnd w:id="24"/>
      <w:bookmarkEnd w:id="25"/>
      <w:bookmarkEnd w:id="26"/>
    </w:p>
    <w:p w14:paraId="14A6A12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yellow"/>
          <w:lang w:val="en-US" w:eastAsia="zh-CN"/>
        </w:rPr>
      </w:pPr>
      <w:bookmarkStart w:id="27" w:name="_Toc9464"/>
      <w:bookmarkStart w:id="28" w:name="_Toc5573"/>
      <w:bookmarkStart w:id="29" w:name="_Toc29190"/>
      <w:r>
        <w:rPr>
          <w:rFonts w:hint="eastAsia" w:ascii="仿宋_GB2312" w:hAnsi="仿宋_GB2312" w:eastAsia="仿宋_GB2312" w:cs="仿宋_GB2312"/>
          <w:color w:val="auto"/>
          <w:sz w:val="32"/>
          <w:szCs w:val="32"/>
          <w:highlight w:val="none"/>
          <w:lang w:val="en-US" w:eastAsia="zh-CN"/>
        </w:rPr>
        <w:t>该项目年初预算数</w:t>
      </w:r>
      <w:bookmarkStart w:id="30" w:name="OLE_LINK2"/>
      <w:r>
        <w:rPr>
          <w:rFonts w:hint="eastAsia" w:ascii="仿宋_GB2312" w:hAnsi="仿宋_GB2312" w:eastAsia="仿宋_GB2312" w:cs="仿宋_GB2312"/>
          <w:color w:val="auto"/>
          <w:sz w:val="32"/>
          <w:szCs w:val="32"/>
          <w:highlight w:val="none"/>
          <w:lang w:val="en-US" w:eastAsia="zh-CN"/>
        </w:rPr>
        <w:t>174.28</w:t>
      </w:r>
      <w:bookmarkEnd w:id="30"/>
      <w:r>
        <w:rPr>
          <w:rFonts w:hint="eastAsia" w:ascii="仿宋_GB2312" w:hAnsi="仿宋_GB2312" w:eastAsia="仿宋_GB2312" w:cs="仿宋_GB2312"/>
          <w:color w:val="auto"/>
          <w:sz w:val="32"/>
          <w:szCs w:val="32"/>
          <w:highlight w:val="none"/>
          <w:lang w:val="en-US" w:eastAsia="zh-CN"/>
        </w:rPr>
        <w:t>万元，全年预算数174.28万元，该项目资金已全部落实到位，资金来源为财政拨款。</w:t>
      </w:r>
      <w:bookmarkEnd w:id="27"/>
      <w:bookmarkEnd w:id="28"/>
      <w:bookmarkEnd w:id="29"/>
    </w:p>
    <w:p w14:paraId="1357A0E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1" w:name="_Toc3409"/>
      <w:bookmarkStart w:id="32" w:name="_Toc28187"/>
      <w:bookmarkStart w:id="33" w:name="_Toc1166"/>
      <w:r>
        <w:rPr>
          <w:rFonts w:hint="eastAsia" w:ascii="仿宋_GB2312" w:hAnsi="仿宋_GB2312" w:eastAsia="仿宋_GB2312" w:cs="仿宋_GB2312"/>
          <w:color w:val="auto"/>
          <w:sz w:val="32"/>
          <w:szCs w:val="32"/>
          <w:highlight w:val="none"/>
          <w:lang w:val="en-US" w:eastAsia="zh-CN"/>
        </w:rPr>
        <w:t>（2）资金使用情况</w:t>
      </w:r>
      <w:bookmarkEnd w:id="31"/>
      <w:bookmarkEnd w:id="32"/>
      <w:bookmarkEnd w:id="33"/>
    </w:p>
    <w:p w14:paraId="25C9CF7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4" w:name="_Toc29121"/>
      <w:bookmarkStart w:id="35" w:name="_Toc1430"/>
      <w:bookmarkStart w:id="36" w:name="_Toc11647"/>
      <w:r>
        <w:rPr>
          <w:rFonts w:hint="eastAsia" w:ascii="仿宋_GB2312" w:hAnsi="仿宋_GB2312" w:eastAsia="仿宋_GB2312" w:cs="仿宋_GB2312"/>
          <w:color w:val="auto"/>
          <w:sz w:val="32"/>
          <w:szCs w:val="32"/>
          <w:highlight w:val="none"/>
          <w:lang w:val="en-US" w:eastAsia="zh-CN"/>
        </w:rPr>
        <w:t>该项目年初预算数174.28万元，全年预算数174.28万元，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全年执行数173.24万元，预算执行率为99.40%，主要用于：支付选聘教师工资社保。</w:t>
      </w:r>
      <w:bookmarkEnd w:id="34"/>
      <w:bookmarkEnd w:id="35"/>
      <w:bookmarkEnd w:id="36"/>
    </w:p>
    <w:p w14:paraId="00668AEA">
      <w:pPr>
        <w:pStyle w:val="14"/>
        <w:keepNext w:val="0"/>
        <w:keepLines w:val="0"/>
        <w:pageBreakBefore w:val="0"/>
        <w:widowControl/>
        <w:numPr>
          <w:ilvl w:val="0"/>
          <w:numId w:val="1"/>
        </w:numPr>
        <w:kinsoku/>
        <w:wordWrap/>
        <w:overflowPunct/>
        <w:topLinePunct w:val="0"/>
        <w:autoSpaceDE/>
        <w:autoSpaceDN/>
        <w:bidi w:val="0"/>
        <w:adjustRightInd/>
        <w:snapToGrid/>
        <w:spacing w:before="0" w:beforeLines="-2147483648" w:after="0" w:afterLines="-2147483648" w:line="400" w:lineRule="exact"/>
        <w:ind w:firstLine="643" w:firstLineChars="200"/>
        <w:jc w:val="both"/>
        <w:textAlignment w:val="auto"/>
        <w:rPr>
          <w:rFonts w:hint="eastAsia"/>
          <w:color w:val="auto"/>
          <w:highlight w:val="none"/>
          <w:lang w:val="en-US" w:eastAsia="zh-CN"/>
        </w:rPr>
      </w:pPr>
      <w:bookmarkStart w:id="37" w:name="_Toc9109"/>
      <w:r>
        <w:rPr>
          <w:rFonts w:hint="eastAsia" w:ascii="Times New Roman" w:hAnsi="Times New Roman" w:eastAsia="楷体_GB2312" w:cs="Times New Roman"/>
          <w:color w:val="auto"/>
          <w:kern w:val="28"/>
          <w:sz w:val="32"/>
          <w:highlight w:val="none"/>
          <w:lang w:val="en-US" w:eastAsia="zh-CN"/>
        </w:rPr>
        <w:t>项目绩效目标</w:t>
      </w:r>
      <w:bookmarkEnd w:id="37"/>
    </w:p>
    <w:p w14:paraId="5A24FDB2">
      <w:pPr>
        <w:pStyle w:val="5"/>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8" w:name="_Toc14758"/>
      <w:bookmarkStart w:id="39" w:name="_Toc10047"/>
      <w:bookmarkStart w:id="40" w:name="_Toc8528"/>
      <w:bookmarkStart w:id="41" w:name="_Toc25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8"/>
      <w:bookmarkEnd w:id="39"/>
      <w:bookmarkEnd w:id="40"/>
      <w:bookmarkEnd w:id="41"/>
    </w:p>
    <w:p w14:paraId="47A578DF">
      <w:pPr>
        <w:pStyle w:val="5"/>
        <w:keepNext/>
        <w:keepLines/>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2024年选聘教师工资补助经费项目绩效总体目标为：</w:t>
      </w:r>
      <w:bookmarkStart w:id="42" w:name="_Toc8990"/>
      <w:bookmarkStart w:id="43" w:name="_Toc4487"/>
      <w:bookmarkStart w:id="44" w:name="_Toc4007"/>
      <w:bookmarkStart w:id="45" w:name="_Toc3255"/>
      <w:r>
        <w:rPr>
          <w:rFonts w:hint="eastAsia" w:ascii="仿宋_GB2312" w:hAnsi="仿宋_GB2312" w:eastAsia="仿宋_GB2312" w:cs="仿宋_GB2312"/>
          <w:b w:val="0"/>
          <w:bCs/>
          <w:color w:val="auto"/>
          <w:kern w:val="2"/>
          <w:sz w:val="32"/>
          <w:szCs w:val="32"/>
          <w:highlight w:val="none"/>
          <w:shd w:val="clear" w:color="auto" w:fill="auto"/>
          <w:lang w:val="en-US" w:eastAsia="zh-CN" w:bidi="ar-SA"/>
        </w:rPr>
        <w:t>保障2024年幼儿园正常运转，维持幼儿园正常教学秩序。计划全年按时支付选聘教师31人12次工资补助经费，每人每年5.62万元。通过按时发放选聘教师工资，保障教师的正常工资待遇，提高教师的归属感，减少教师队伍人员流失，有效改善教学环境，提供良好的幼儿成长条件，达到幼儿园正常运转的目的。</w:t>
      </w:r>
    </w:p>
    <w:p w14:paraId="1D73E30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2"/>
      <w:bookmarkEnd w:id="43"/>
      <w:bookmarkEnd w:id="44"/>
      <w:bookmarkEnd w:id="45"/>
    </w:p>
    <w:p w14:paraId="658DB75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1A4C8EB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w:t>
      </w:r>
      <w:r>
        <w:rPr>
          <w:rFonts w:hint="eastAsia" w:ascii="仿宋_GB2312" w:hAnsi="仿宋_GB2312" w:eastAsia="仿宋_GB2312" w:cs="仿宋_GB2312"/>
          <w:bCs/>
          <w:color w:val="auto"/>
          <w:sz w:val="32"/>
          <w:szCs w:val="32"/>
          <w:highlight w:val="none"/>
          <w:shd w:val="clear" w:color="auto" w:fill="auto"/>
          <w:lang w:eastAsia="zh-CN"/>
        </w:rPr>
        <w:t>）项目产出</w:t>
      </w:r>
      <w:r>
        <w:rPr>
          <w:rFonts w:hint="eastAsia" w:ascii="仿宋_GB2312" w:hAnsi="仿宋_GB2312" w:eastAsia="仿宋_GB2312" w:cs="仿宋_GB2312"/>
          <w:bCs/>
          <w:color w:val="auto"/>
          <w:sz w:val="32"/>
          <w:szCs w:val="32"/>
          <w:highlight w:val="none"/>
          <w:shd w:val="clear" w:color="auto" w:fill="auto"/>
          <w:lang w:val="en-US" w:eastAsia="zh-CN"/>
        </w:rPr>
        <w:t>目标</w:t>
      </w:r>
    </w:p>
    <w:p w14:paraId="3BA3239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bookmarkStart w:id="46" w:name="OLE_LINK5"/>
      <w:r>
        <w:rPr>
          <w:rFonts w:hint="eastAsia" w:ascii="仿宋_GB2312" w:hAnsi="仿宋_GB2312" w:eastAsia="仿宋_GB2312" w:cs="仿宋_GB2312"/>
          <w:bCs/>
          <w:color w:val="auto"/>
          <w:sz w:val="32"/>
          <w:szCs w:val="32"/>
          <w:highlight w:val="none"/>
          <w:shd w:val="clear" w:color="auto" w:fill="auto"/>
          <w:lang w:val="en-US" w:eastAsia="zh-CN"/>
        </w:rPr>
        <w:t>①</w:t>
      </w:r>
      <w:bookmarkEnd w:id="46"/>
      <w:r>
        <w:rPr>
          <w:rFonts w:hint="eastAsia" w:ascii="仿宋_GB2312" w:hAnsi="仿宋_GB2312" w:eastAsia="仿宋_GB2312" w:cs="仿宋_GB2312"/>
          <w:bCs/>
          <w:color w:val="auto"/>
          <w:sz w:val="32"/>
          <w:szCs w:val="32"/>
          <w:highlight w:val="none"/>
          <w:shd w:val="clear" w:color="auto" w:fill="auto"/>
          <w:lang w:val="en-US" w:eastAsia="zh-CN"/>
        </w:rPr>
        <w:t>数量指标</w:t>
      </w:r>
    </w:p>
    <w:p w14:paraId="7DECF41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“选聘教师人数”</w:t>
      </w:r>
      <w:r>
        <w:rPr>
          <w:rFonts w:hint="eastAsia" w:ascii="仿宋_GB2312" w:hAnsi="仿宋_GB2312" w:eastAsia="仿宋_GB2312" w:cs="仿宋_GB2312"/>
          <w:bCs/>
          <w:color w:val="auto"/>
          <w:sz w:val="32"/>
          <w:szCs w:val="32"/>
          <w:highlight w:val="none"/>
          <w:shd w:val="clear" w:color="auto" w:fill="auto"/>
          <w:lang w:val="en-US" w:eastAsia="zh-CN"/>
        </w:rPr>
        <w:t>指标，预期目标值为≧31人；</w:t>
      </w:r>
    </w:p>
    <w:p w14:paraId="493425B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②质量指标</w:t>
      </w:r>
    </w:p>
    <w:p w14:paraId="6061881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bookmarkStart w:id="47" w:name="OLE_LINK4"/>
      <w:r>
        <w:rPr>
          <w:rFonts w:hint="eastAsia" w:ascii="仿宋_GB2312" w:hAnsi="仿宋_GB2312" w:eastAsia="仿宋_GB2312" w:cs="仿宋_GB2312"/>
          <w:bCs/>
          <w:color w:val="auto"/>
          <w:sz w:val="32"/>
          <w:szCs w:val="32"/>
          <w:highlight w:val="none"/>
          <w:shd w:val="clear" w:color="auto" w:fill="auto"/>
          <w:lang w:eastAsia="zh-CN"/>
        </w:rPr>
        <w:t>“工资支付次数”</w:t>
      </w:r>
      <w:r>
        <w:rPr>
          <w:rFonts w:hint="eastAsia" w:ascii="仿宋_GB2312" w:hAnsi="仿宋_GB2312" w:eastAsia="仿宋_GB2312" w:cs="仿宋_GB2312"/>
          <w:bCs/>
          <w:color w:val="auto"/>
          <w:sz w:val="32"/>
          <w:szCs w:val="32"/>
          <w:highlight w:val="none"/>
          <w:shd w:val="clear" w:color="auto" w:fill="auto"/>
          <w:lang w:val="en-US" w:eastAsia="zh-CN"/>
        </w:rPr>
        <w:t>指标，预期目标值为=12次；</w:t>
      </w:r>
      <w:bookmarkEnd w:id="47"/>
    </w:p>
    <w:p w14:paraId="7BCD67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“人员经费享受比例”</w:t>
      </w:r>
      <w:r>
        <w:rPr>
          <w:rFonts w:hint="eastAsia" w:ascii="仿宋_GB2312" w:hAnsi="仿宋_GB2312" w:eastAsia="仿宋_GB2312" w:cs="仿宋_GB2312"/>
          <w:bCs/>
          <w:color w:val="auto"/>
          <w:sz w:val="32"/>
          <w:szCs w:val="32"/>
          <w:highlight w:val="none"/>
          <w:shd w:val="clear" w:color="auto" w:fill="auto"/>
          <w:lang w:val="en-US" w:eastAsia="zh-CN"/>
        </w:rPr>
        <w:t>指标，预期目标值为=100%；</w:t>
      </w:r>
    </w:p>
    <w:p w14:paraId="3EC99F4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③时效指标</w:t>
      </w:r>
    </w:p>
    <w:p w14:paraId="19C08256">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“选聘教师工资发放时间”指标，预期目标值为=1次/月；</w:t>
      </w:r>
    </w:p>
    <w:p w14:paraId="2842E929">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（2）成本指标</w:t>
      </w:r>
    </w:p>
    <w:p w14:paraId="6482D9A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“人员经费标准”</w:t>
      </w:r>
      <w:r>
        <w:rPr>
          <w:rFonts w:hint="eastAsia" w:ascii="仿宋_GB2312" w:hAnsi="仿宋_GB2312" w:eastAsia="仿宋_GB2312" w:cs="仿宋_GB2312"/>
          <w:bCs/>
          <w:color w:val="auto"/>
          <w:sz w:val="32"/>
          <w:szCs w:val="32"/>
          <w:highlight w:val="none"/>
          <w:shd w:val="clear" w:color="auto" w:fill="auto"/>
          <w:lang w:val="en-US" w:eastAsia="zh-CN"/>
        </w:rPr>
        <w:t>指标，预期目标值为=5.62万元/人/学年；</w:t>
      </w:r>
    </w:p>
    <w:p w14:paraId="6DF3E76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3</w:t>
      </w:r>
      <w:r>
        <w:rPr>
          <w:rFonts w:hint="eastAsia" w:ascii="仿宋_GB2312" w:hAnsi="仿宋_GB2312" w:eastAsia="仿宋_GB2312" w:cs="仿宋_GB2312"/>
          <w:bCs/>
          <w:color w:val="auto"/>
          <w:sz w:val="32"/>
          <w:szCs w:val="32"/>
          <w:highlight w:val="none"/>
          <w:shd w:val="clear" w:color="auto" w:fill="auto"/>
          <w:lang w:eastAsia="zh-CN"/>
        </w:rPr>
        <w:t>）项目效益</w:t>
      </w:r>
      <w:r>
        <w:rPr>
          <w:rFonts w:hint="eastAsia" w:ascii="仿宋_GB2312" w:hAnsi="仿宋_GB2312" w:eastAsia="仿宋_GB2312" w:cs="仿宋_GB2312"/>
          <w:bCs/>
          <w:color w:val="auto"/>
          <w:sz w:val="32"/>
          <w:szCs w:val="32"/>
          <w:highlight w:val="none"/>
          <w:shd w:val="clear" w:color="auto" w:fill="auto"/>
          <w:lang w:val="en-US" w:eastAsia="zh-CN"/>
        </w:rPr>
        <w:t>目标</w:t>
      </w:r>
    </w:p>
    <w:p w14:paraId="741422B5">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①经济效益指标</w:t>
      </w:r>
    </w:p>
    <w:p w14:paraId="3DE5EF0F">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本项目不涉及经济效益指标。</w:t>
      </w:r>
    </w:p>
    <w:p w14:paraId="2C492E5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default" w:ascii="仿宋_GB2312" w:hAnsi="仿宋_GB2312" w:eastAsia="仿宋_GB2312" w:cs="仿宋_GB2312"/>
          <w:bCs/>
          <w:color w:val="auto"/>
          <w:sz w:val="32"/>
          <w:szCs w:val="32"/>
          <w:highlight w:val="none"/>
          <w:shd w:val="clear" w:color="auto" w:fill="auto"/>
          <w:lang w:val="en-US" w:eastAsia="zh-CN"/>
        </w:rPr>
        <w:t>②</w:t>
      </w:r>
      <w:r>
        <w:rPr>
          <w:rFonts w:hint="eastAsia" w:ascii="仿宋_GB2312" w:hAnsi="仿宋_GB2312" w:eastAsia="仿宋_GB2312" w:cs="仿宋_GB2312"/>
          <w:bCs/>
          <w:color w:val="auto"/>
          <w:sz w:val="32"/>
          <w:szCs w:val="32"/>
          <w:highlight w:val="none"/>
          <w:shd w:val="clear" w:color="auto" w:fill="auto"/>
          <w:lang w:val="en-US" w:eastAsia="zh-CN"/>
        </w:rPr>
        <w:t>社会效益指标</w:t>
      </w:r>
    </w:p>
    <w:p w14:paraId="0592578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“幼儿园正常运转率”</w:t>
      </w:r>
      <w:r>
        <w:rPr>
          <w:rFonts w:hint="eastAsia" w:ascii="仿宋_GB2312" w:hAnsi="仿宋_GB2312" w:eastAsia="仿宋_GB2312" w:cs="仿宋_GB2312"/>
          <w:bCs/>
          <w:color w:val="auto"/>
          <w:sz w:val="32"/>
          <w:szCs w:val="32"/>
          <w:highlight w:val="none"/>
          <w:shd w:val="clear" w:color="auto" w:fill="auto"/>
          <w:lang w:val="en-US" w:eastAsia="zh-CN"/>
        </w:rPr>
        <w:t>指标，</w:t>
      </w:r>
      <w:bookmarkStart w:id="48" w:name="OLE_LINK6"/>
      <w:r>
        <w:rPr>
          <w:rFonts w:hint="eastAsia" w:ascii="仿宋_GB2312" w:hAnsi="仿宋_GB2312" w:eastAsia="仿宋_GB2312" w:cs="仿宋_GB2312"/>
          <w:bCs/>
          <w:color w:val="auto"/>
          <w:sz w:val="32"/>
          <w:szCs w:val="32"/>
          <w:highlight w:val="none"/>
          <w:shd w:val="clear" w:color="auto" w:fill="auto"/>
          <w:lang w:val="en-US" w:eastAsia="zh-CN"/>
        </w:rPr>
        <w:t>预期目标值为</w:t>
      </w:r>
      <w:bookmarkEnd w:id="48"/>
      <w:r>
        <w:rPr>
          <w:rFonts w:hint="eastAsia" w:ascii="仿宋_GB2312" w:hAnsi="仿宋_GB2312" w:eastAsia="仿宋_GB2312" w:cs="仿宋_GB2312"/>
          <w:bCs/>
          <w:color w:val="auto"/>
          <w:sz w:val="32"/>
          <w:szCs w:val="32"/>
          <w:highlight w:val="none"/>
          <w:shd w:val="clear" w:color="auto" w:fill="auto"/>
          <w:lang w:val="en-US" w:eastAsia="zh-CN"/>
        </w:rPr>
        <w:t>=100%；</w:t>
      </w:r>
    </w:p>
    <w:p w14:paraId="70D9EA6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“改善教学环境，提供良好的学生成长条件”指标预期目标值为改善。</w:t>
      </w:r>
    </w:p>
    <w:p w14:paraId="7B7B063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default" w:ascii="仿宋_GB2312" w:hAnsi="仿宋_GB2312" w:eastAsia="仿宋_GB2312" w:cs="仿宋_GB2312"/>
          <w:bCs/>
          <w:color w:val="auto"/>
          <w:sz w:val="32"/>
          <w:szCs w:val="32"/>
          <w:highlight w:val="none"/>
          <w:shd w:val="clear" w:color="auto" w:fill="auto"/>
          <w:lang w:val="en-US" w:eastAsia="zh-CN"/>
        </w:rPr>
        <w:t>③</w:t>
      </w:r>
      <w:r>
        <w:rPr>
          <w:rFonts w:hint="eastAsia" w:ascii="仿宋_GB2312" w:hAnsi="仿宋_GB2312" w:eastAsia="仿宋_GB2312" w:cs="仿宋_GB2312"/>
          <w:bCs/>
          <w:color w:val="auto"/>
          <w:sz w:val="32"/>
          <w:szCs w:val="32"/>
          <w:highlight w:val="none"/>
          <w:shd w:val="clear" w:color="auto" w:fill="auto"/>
          <w:lang w:val="en-US" w:eastAsia="zh-CN"/>
        </w:rPr>
        <w:t>生态效益指标</w:t>
      </w:r>
    </w:p>
    <w:p w14:paraId="5399C26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本项目不涉及生态效益指标。</w:t>
      </w:r>
    </w:p>
    <w:p w14:paraId="0DAA5A5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④可持续影响指标</w:t>
      </w:r>
    </w:p>
    <w:p w14:paraId="122C7325">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本项目不涉及可持续影响指标.</w:t>
      </w:r>
    </w:p>
    <w:p w14:paraId="72501173">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⑤满意度指标</w:t>
      </w:r>
    </w:p>
    <w:p w14:paraId="1B4F8F19">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本项目不涉及满意度指标。</w:t>
      </w:r>
    </w:p>
    <w:p w14:paraId="4619BD30">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9" w:name="_Toc26567"/>
      <w:r>
        <w:rPr>
          <w:rFonts w:hint="eastAsia" w:ascii="宋体" w:hAnsi="宋体" w:eastAsia="宋体" w:cs="宋体"/>
          <w:b/>
          <w:bCs/>
          <w:color w:val="auto"/>
          <w:highlight w:val="none"/>
          <w:shd w:val="clear" w:color="auto" w:fill="auto"/>
        </w:rPr>
        <w:t>二、绩效评价工作开展情况</w:t>
      </w:r>
      <w:bookmarkEnd w:id="49"/>
    </w:p>
    <w:p w14:paraId="00B343E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50" w:name="_Toc26632"/>
      <w:bookmarkStart w:id="51" w:name="_Toc480473081"/>
      <w:bookmarkStart w:id="52" w:name="_Toc5462343"/>
      <w:bookmarkStart w:id="53" w:name="_Toc22169_WPSOffice_Level2"/>
      <w:bookmarkStart w:id="54" w:name="_Toc21664"/>
      <w:bookmarkStart w:id="55" w:name="_Toc12868"/>
      <w:bookmarkStart w:id="56" w:name="_Toc22922"/>
      <w:bookmarkStart w:id="57" w:name="_Toc5258"/>
      <w:bookmarkStart w:id="58" w:name="_Toc22839"/>
      <w:r>
        <w:rPr>
          <w:rFonts w:hint="eastAsia" w:ascii="Times New Roman" w:hAnsi="Times New Roman" w:eastAsia="楷体_GB2312" w:cs="Times New Roman"/>
          <w:color w:val="auto"/>
          <w:kern w:val="28"/>
          <w:sz w:val="32"/>
          <w:highlight w:val="none"/>
          <w:lang w:val="en-US" w:eastAsia="zh-CN"/>
        </w:rPr>
        <w:t>（一）绩效评价的目的</w:t>
      </w:r>
      <w:bookmarkEnd w:id="50"/>
      <w:bookmarkEnd w:id="51"/>
      <w:bookmarkEnd w:id="52"/>
      <w:bookmarkEnd w:id="53"/>
      <w:bookmarkEnd w:id="54"/>
      <w:bookmarkEnd w:id="55"/>
      <w:bookmarkEnd w:id="56"/>
      <w:bookmarkEnd w:id="57"/>
      <w:r>
        <w:rPr>
          <w:rFonts w:hint="eastAsia" w:ascii="Times New Roman" w:hAnsi="Times New Roman" w:eastAsia="楷体_GB2312" w:cs="Times New Roman"/>
          <w:color w:val="auto"/>
          <w:kern w:val="28"/>
          <w:sz w:val="32"/>
          <w:highlight w:val="none"/>
          <w:lang w:val="en-US" w:eastAsia="zh-CN"/>
        </w:rPr>
        <w:t>、对象和范围</w:t>
      </w:r>
      <w:bookmarkEnd w:id="58"/>
    </w:p>
    <w:p w14:paraId="11F028D8">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9"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67BA2B2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4A289F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2F3F995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4C695D2">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D12DE74">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7F078FF">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0" w:name="_Toc417"/>
      <w:bookmarkStart w:id="61"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9"/>
      <w:bookmarkEnd w:id="60"/>
      <w:bookmarkEnd w:id="61"/>
    </w:p>
    <w:p w14:paraId="10A6A52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6461DA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2" w:name="_Toc30609"/>
      <w:r>
        <w:rPr>
          <w:rFonts w:hint="default" w:ascii="Times New Roman" w:hAnsi="Times New Roman" w:eastAsia="仿宋_GB2312" w:cs="Times New Roman"/>
          <w:color w:val="auto"/>
          <w:sz w:val="32"/>
          <w:szCs w:val="32"/>
          <w:highlight w:val="none"/>
        </w:rPr>
        <w:t>（1）评估项目实施效果</w:t>
      </w:r>
    </w:p>
    <w:p w14:paraId="7F5F24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3F1F8D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0B5C63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F3A17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38EE7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3ACA3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7DE9A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8750D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4F3933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38DC9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47106AD">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3" w:name="_Toc31970"/>
      <w:bookmarkStart w:id="64"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2"/>
      <w:bookmarkEnd w:id="63"/>
      <w:bookmarkEnd w:id="64"/>
    </w:p>
    <w:p w14:paraId="0948AD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bookmarkStart w:id="65" w:name="OLE_LINK7"/>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65"/>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1EA91ED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阜康市晋新幼儿园</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保障2024年幼儿园正常运转，维持幼儿园正常教学秩序。计划全年按时支付选聘教师31人12次工资补助经费，每人每年5.62万元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174.28</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3CAD14A2">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6" w:name="_Toc21311"/>
      <w:bookmarkStart w:id="67" w:name="_Toc11666"/>
      <w:r>
        <w:rPr>
          <w:rFonts w:hint="default" w:cs="仿宋_GB2312"/>
          <w:color w:val="auto"/>
          <w:sz w:val="32"/>
          <w:szCs w:val="32"/>
          <w:highlight w:val="none"/>
          <w:shd w:val="clear" w:color="auto" w:fill="auto"/>
          <w:lang w:val="en-US" w:eastAsia="zh-CN"/>
        </w:rPr>
        <w:t>4.绩效评价的范围</w:t>
      </w:r>
      <w:bookmarkEnd w:id="66"/>
      <w:bookmarkEnd w:id="67"/>
    </w:p>
    <w:p w14:paraId="25AC41C8">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520A7C1">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4578800">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C1C9FC1">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3FEEB780">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w:t>
      </w:r>
      <w:r>
        <w:rPr>
          <w:rFonts w:hint="eastAsia" w:ascii="仿宋_GB2312" w:hAnsi="仿宋_GB2312" w:eastAsia="仿宋_GB2312" w:cs="仿宋_GB2312"/>
          <w:b w:val="0"/>
          <w:bCs w:val="0"/>
          <w:color w:val="auto"/>
          <w:sz w:val="32"/>
          <w:szCs w:val="32"/>
          <w:highlight w:val="none"/>
          <w:lang w:val="en-US" w:eastAsia="zh-CN"/>
        </w:rPr>
        <w:t>效益</w:t>
      </w:r>
      <w:r>
        <w:rPr>
          <w:rFonts w:hint="eastAsia" w:ascii="仿宋_GB2312" w:hAnsi="仿宋_GB2312" w:eastAsia="仿宋_GB2312" w:cs="仿宋_GB2312"/>
          <w:b w:val="0"/>
          <w:bCs w:val="0"/>
          <w:color w:val="auto"/>
          <w:sz w:val="32"/>
          <w:szCs w:val="32"/>
          <w:highlight w:val="none"/>
        </w:rPr>
        <w:t>方面的综合影响。</w:t>
      </w:r>
    </w:p>
    <w:p w14:paraId="0E536EA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8" w:name="_Toc29785"/>
      <w:bookmarkStart w:id="69"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8"/>
      <w:bookmarkEnd w:id="69"/>
    </w:p>
    <w:p w14:paraId="5E94F356">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70" w:name="_Toc13694"/>
      <w:bookmarkStart w:id="71" w:name="_Toc24506"/>
      <w:bookmarkStart w:id="72"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70"/>
      <w:bookmarkEnd w:id="71"/>
      <w:bookmarkEnd w:id="72"/>
    </w:p>
    <w:p w14:paraId="78493298">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bookmarkStart w:id="73" w:name="OLE_LINK10"/>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73"/>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33FBC9C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0FFFBCD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3F279062">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3685CA9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52CB47F8">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6B46A360">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4" w:name="_Toc428278230"/>
      <w:bookmarkStart w:id="75" w:name="_Toc1913"/>
      <w:bookmarkStart w:id="76" w:name="_Toc419984722"/>
      <w:bookmarkStart w:id="77" w:name="_Toc26131"/>
      <w:bookmarkStart w:id="78" w:name="_Toc24396"/>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4"/>
      <w:bookmarkEnd w:id="75"/>
      <w:bookmarkEnd w:id="76"/>
      <w:bookmarkEnd w:id="77"/>
      <w:bookmarkEnd w:id="78"/>
    </w:p>
    <w:p w14:paraId="1EA275F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9"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9D27D1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0AFC492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29A021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083A3DC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01D825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2981591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9C34D8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6529B6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0271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0" w:name="_Toc5690"/>
      <w:bookmarkStart w:id="81"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9"/>
      <w:bookmarkEnd w:id="80"/>
      <w:bookmarkEnd w:id="81"/>
    </w:p>
    <w:p w14:paraId="1E5B8C1C">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2"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2E7290E1">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B88ED65">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成本效益分析法在选聘教师工资补助项目中的应用，不仅是经济决策的工具，更是实现教育公平，提升教师队伍质量的关键方法。</w:t>
      </w:r>
    </w:p>
    <w:p w14:paraId="6263CB97">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val="en-US" w:eastAsia="zh-CN"/>
        </w:rPr>
        <w:t>比较法的应用，本质上是通过“对标”与“反馈”机制，推动选聘教师工资补助项目从“粗放投入”撞向“精准施策”，最终实现教育资源的科学配置和教师队伍的高质量发展。</w:t>
      </w:r>
    </w:p>
    <w:p w14:paraId="66797E77">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3" w:name="_Toc6081"/>
      <w:bookmarkStart w:id="84"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82"/>
      <w:bookmarkEnd w:id="83"/>
      <w:bookmarkEnd w:id="84"/>
    </w:p>
    <w:p w14:paraId="2984529C">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val="en-US" w:eastAsia="zh-CN"/>
        </w:rPr>
        <w:t>和</w:t>
      </w:r>
      <w:r>
        <w:rPr>
          <w:rFonts w:hint="default" w:ascii="Times New Roman" w:hAnsi="Times New Roman" w:eastAsia="仿宋_GB2312" w:cs="Times New Roman"/>
          <w:color w:val="auto"/>
          <w:spacing w:val="17"/>
          <w:sz w:val="32"/>
          <w:szCs w:val="32"/>
          <w:highlight w:val="none"/>
        </w:rPr>
        <w:t>历史标准</w:t>
      </w:r>
    </w:p>
    <w:p w14:paraId="16E3314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bookmarkStart w:id="85" w:name="OLE_LINK8"/>
      <w:r>
        <w:rPr>
          <w:rFonts w:hint="default" w:ascii="Times New Roman" w:hAnsi="Times New Roman" w:eastAsia="仿宋_GB2312" w:cs="Times New Roman"/>
          <w:color w:val="auto"/>
          <w:spacing w:val="17"/>
          <w:sz w:val="32"/>
          <w:szCs w:val="32"/>
          <w:highlight w:val="none"/>
        </w:rPr>
        <w:t>计划标准</w:t>
      </w:r>
      <w:bookmarkEnd w:id="85"/>
      <w:r>
        <w:rPr>
          <w:rFonts w:hint="default" w:ascii="Times New Roman" w:hAnsi="Times New Roman" w:eastAsia="仿宋_GB2312" w:cs="Times New Roman"/>
          <w:color w:val="auto"/>
          <w:spacing w:val="17"/>
          <w:sz w:val="32"/>
          <w:szCs w:val="32"/>
          <w:highlight w:val="none"/>
        </w:rPr>
        <w:t>。指以预先制定的目标、计划、预算、定额等作为评价标准。</w:t>
      </w:r>
    </w:p>
    <w:p w14:paraId="1648698A">
      <w:pPr>
        <w:spacing w:line="560" w:lineRule="exact"/>
        <w:rPr>
          <w:rFonts w:hint="default" w:ascii="Times New Roman" w:hAnsi="Times New Roman" w:eastAsia="仿宋_GB2312" w:cs="Times New Roman"/>
          <w:color w:val="auto"/>
          <w:spacing w:val="17"/>
          <w:sz w:val="32"/>
          <w:szCs w:val="32"/>
          <w:highlight w:val="none"/>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eastAsia" w:ascii="Times New Roman" w:hAnsi="Times New Roman" w:eastAsia="仿宋_GB2312" w:cs="Times New Roman"/>
          <w:color w:val="auto"/>
          <w:spacing w:val="17"/>
          <w:sz w:val="32"/>
          <w:szCs w:val="32"/>
          <w:highlight w:val="none"/>
          <w:lang w:eastAsia="zh-CN"/>
        </w:rPr>
        <w:t>）</w:t>
      </w:r>
      <w:bookmarkStart w:id="86" w:name="OLE_LINK9"/>
      <w:r>
        <w:rPr>
          <w:rFonts w:hint="default" w:ascii="Times New Roman" w:hAnsi="Times New Roman" w:eastAsia="仿宋_GB2312" w:cs="Times New Roman"/>
          <w:color w:val="auto"/>
          <w:spacing w:val="17"/>
          <w:sz w:val="32"/>
          <w:szCs w:val="32"/>
          <w:highlight w:val="none"/>
        </w:rPr>
        <w:t>历史标准</w:t>
      </w:r>
      <w:bookmarkEnd w:id="86"/>
      <w:r>
        <w:rPr>
          <w:rFonts w:hint="default" w:ascii="Times New Roman" w:hAnsi="Times New Roman" w:eastAsia="仿宋_GB2312" w:cs="Times New Roman"/>
          <w:color w:val="auto"/>
          <w:spacing w:val="17"/>
          <w:sz w:val="32"/>
          <w:szCs w:val="32"/>
          <w:highlight w:val="none"/>
        </w:rPr>
        <w:t>。指参照历史数据制定的评价标准，为体现绩效改进的原则，在可实现的条件下应当确定相对较高的评价标准。</w:t>
      </w:r>
    </w:p>
    <w:p w14:paraId="37354B1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7" w:name="_Toc21435"/>
      <w:r>
        <w:rPr>
          <w:rFonts w:hint="eastAsia" w:ascii="Times New Roman" w:hAnsi="Times New Roman" w:eastAsia="楷体_GB2312" w:cs="Times New Roman"/>
          <w:color w:val="auto"/>
          <w:kern w:val="28"/>
          <w:sz w:val="32"/>
          <w:highlight w:val="none"/>
          <w:lang w:val="en-US" w:eastAsia="zh-CN"/>
        </w:rPr>
        <w:t>（三）绩效评价工作过程</w:t>
      </w:r>
      <w:bookmarkEnd w:id="87"/>
    </w:p>
    <w:p w14:paraId="65B2F7B7">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8"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8"/>
    </w:p>
    <w:p w14:paraId="6B60A06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59D8B0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23971C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9"/>
    </w:p>
    <w:p w14:paraId="1F34D94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90"/>
    </w:p>
    <w:p w14:paraId="5A8D11A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91"/>
    </w:p>
    <w:p w14:paraId="19159C6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92"/>
    </w:p>
    <w:p w14:paraId="152B88DF">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93"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93"/>
    </w:p>
    <w:p w14:paraId="59F5427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94"/>
    </w:p>
    <w:p w14:paraId="4F9156F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5"/>
    </w:p>
    <w:p w14:paraId="1C1C5CA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6"/>
    </w:p>
    <w:p w14:paraId="2F89CE2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7"/>
    </w:p>
    <w:p w14:paraId="6EC1DB2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8"/>
    </w:p>
    <w:p w14:paraId="3E280B2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9"/>
    </w:p>
    <w:p w14:paraId="43C20C1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100"/>
    </w:p>
    <w:p w14:paraId="0B790E5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101"/>
    </w:p>
    <w:p w14:paraId="02D7573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102"/>
    </w:p>
    <w:p w14:paraId="4AEA227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3"/>
    </w:p>
    <w:p w14:paraId="57833E17">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104"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04"/>
    </w:p>
    <w:p w14:paraId="17916B4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5"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5"/>
    </w:p>
    <w:p w14:paraId="0A29B52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6"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6"/>
    </w:p>
    <w:p w14:paraId="42DD03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7"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7"/>
    </w:p>
    <w:p w14:paraId="2264EF0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8"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8"/>
    </w:p>
    <w:p w14:paraId="14D7C82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9"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9"/>
    </w:p>
    <w:p w14:paraId="2E84EC10">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10"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10"/>
    </w:p>
    <w:p w14:paraId="1B43113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1"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11"/>
    </w:p>
    <w:p w14:paraId="5D6E407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33C6B91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bookmarkStart w:id="112" w:name="OLE_LINK11"/>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112"/>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21382B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幼儿园正常运转率、改善教学环境，提供良好的学生成长条件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C142773">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bookmarkStart w:id="113" w:name="OLE_LINK13"/>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113"/>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3ABA1AF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4" w:name="_Toc11863"/>
      <w:r>
        <w:rPr>
          <w:rFonts w:hint="eastAsia" w:ascii="Times New Roman" w:hAnsi="Times New Roman" w:eastAsia="楷体_GB2312" w:cs="Times New Roman"/>
          <w:color w:val="auto"/>
          <w:kern w:val="28"/>
          <w:sz w:val="32"/>
          <w:highlight w:val="none"/>
          <w:lang w:val="en-US" w:eastAsia="zh-CN"/>
        </w:rPr>
        <w:t>（二）相关评分表</w:t>
      </w:r>
      <w:bookmarkEnd w:id="114"/>
    </w:p>
    <w:p w14:paraId="030BD208">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99.79</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19.98</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99.9</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38.71</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96.78</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270E9FA2">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008E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bookmarkStart w:id="115" w:name="OLE_LINK15"/>
            <w:r>
              <w:rPr>
                <w:rFonts w:hint="eastAsia" w:ascii="宋体" w:hAnsi="宋体" w:eastAsia="宋体" w:cs="宋体"/>
                <w:b/>
                <w:bCs/>
                <w:color w:val="auto"/>
                <w:kern w:val="0"/>
                <w:sz w:val="28"/>
                <w:szCs w:val="28"/>
                <w:highlight w:val="none"/>
                <w:shd w:val="clear" w:color="auto" w:fill="auto"/>
                <w:lang w:val="en-US" w:eastAsia="zh-CN"/>
              </w:rPr>
              <w:t>2024年选聘教师工资补助经费项目</w:t>
            </w:r>
            <w:bookmarkEnd w:id="115"/>
            <w:r>
              <w:rPr>
                <w:rFonts w:hint="eastAsia" w:ascii="宋体" w:hAnsi="宋体" w:eastAsia="宋体" w:cs="宋体"/>
                <w:b/>
                <w:bCs/>
                <w:color w:val="auto"/>
                <w:kern w:val="0"/>
                <w:sz w:val="28"/>
                <w:szCs w:val="28"/>
                <w:highlight w:val="none"/>
                <w:shd w:val="clear" w:color="auto" w:fill="auto"/>
                <w:lang w:val="en-US" w:eastAsia="zh-CN"/>
              </w:rPr>
              <w:t>得分表</w:t>
            </w:r>
          </w:p>
        </w:tc>
      </w:tr>
      <w:tr w14:paraId="1E13BFB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B78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312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D7A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C66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DF3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09F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055A9175">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C3C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23E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54E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462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91B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070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2784EF6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A52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F24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615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19.98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962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38.71</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2DD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B05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97.69</w:t>
            </w:r>
          </w:p>
        </w:tc>
      </w:tr>
      <w:tr w14:paraId="45AAC5C2">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77A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CFD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866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99.9</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C08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96.78</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4D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257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97.69</w:t>
            </w:r>
            <w:r>
              <w:rPr>
                <w:rFonts w:hint="eastAsia" w:ascii="宋体" w:hAnsi="宋体" w:eastAsia="宋体" w:cs="宋体"/>
                <w:color w:val="auto"/>
                <w:kern w:val="0"/>
                <w:sz w:val="21"/>
                <w:szCs w:val="21"/>
                <w:highlight w:val="none"/>
                <w:shd w:val="clear" w:color="auto" w:fill="auto"/>
                <w:lang w:val="en-US" w:eastAsia="zh-CN"/>
              </w:rPr>
              <w:t>%</w:t>
            </w:r>
          </w:p>
        </w:tc>
      </w:tr>
    </w:tbl>
    <w:p w14:paraId="71EEF4C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16" w:name="_Toc14941"/>
      <w:r>
        <w:rPr>
          <w:rFonts w:hint="eastAsia" w:ascii="黑体" w:hAnsi="黑体" w:eastAsia="黑体" w:cs="黑体"/>
          <w:b w:val="0"/>
          <w:bCs w:val="0"/>
          <w:color w:val="auto"/>
          <w:highlight w:val="none"/>
          <w:shd w:val="clear" w:color="auto" w:fill="auto"/>
          <w:lang w:val="en-US" w:eastAsia="zh-CN"/>
        </w:rPr>
        <w:t>四、绩效评价指标分析</w:t>
      </w:r>
      <w:bookmarkEnd w:id="116"/>
    </w:p>
    <w:p w14:paraId="281E1906">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17" w:name="_Toc6759"/>
      <w:r>
        <w:rPr>
          <w:rFonts w:hint="eastAsia" w:ascii="Times New Roman" w:hAnsi="Times New Roman" w:eastAsia="楷体_GB2312" w:cs="Times New Roman"/>
          <w:color w:val="auto"/>
          <w:kern w:val="28"/>
          <w:sz w:val="32"/>
          <w:highlight w:val="none"/>
        </w:rPr>
        <w:t>（一）项目决策情况</w:t>
      </w:r>
      <w:bookmarkEnd w:id="117"/>
    </w:p>
    <w:p w14:paraId="09D92106">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5E73A1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7666DDA1">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EF48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EC1E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57D2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C67A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F09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8A7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0385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2A691F9">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AEE72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2546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97B45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3235A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72C8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FDD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21E6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6DD893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91D3D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0E9D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CFA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501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15F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733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C464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286F0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8F5C7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5608E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C62B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E4DF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109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919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122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022FAC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CFE45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91E9F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AB4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463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885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7829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9F99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B46DED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37001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3432F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9B6B6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56EEF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D3CE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2719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1ACE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F3EE25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3B94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797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4D5A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2F60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4D4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BC31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EC8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78502C1">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2314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98D8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134B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D67D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968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32B52F7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8" w:name="_Toc28069"/>
      <w:bookmarkStart w:id="119" w:name="_Toc13522"/>
      <w:r>
        <w:rPr>
          <w:rFonts w:hint="eastAsia" w:ascii="仿宋_GB2312" w:hAnsi="仿宋_GB2312" w:eastAsia="仿宋_GB2312" w:cs="仿宋_GB2312"/>
          <w:b/>
          <w:bCs/>
          <w:color w:val="auto"/>
          <w:sz w:val="32"/>
          <w:szCs w:val="32"/>
          <w:highlight w:val="none"/>
          <w:lang w:val="en-US" w:eastAsia="zh-CN"/>
        </w:rPr>
        <w:t>1.立项依据充分性</w:t>
      </w:r>
      <w:bookmarkEnd w:id="118"/>
      <w:bookmarkEnd w:id="119"/>
    </w:p>
    <w:p w14:paraId="1DF34A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2024年阜康市本级财政预算经阜康市第七届人民代表大会第四次会议审议通过的阜财预字[2024]7号文件阜康市财政局关于2024年部门预算的批复</w:t>
      </w:r>
      <w:r>
        <w:rPr>
          <w:rFonts w:hint="eastAsia" w:ascii="仿宋_GB2312" w:hAnsi="仿宋_GB2312" w:eastAsia="仿宋_GB2312" w:cs="仿宋_GB2312"/>
          <w:color w:val="auto"/>
          <w:sz w:val="32"/>
          <w:szCs w:val="32"/>
          <w:highlight w:val="none"/>
          <w:lang w:eastAsia="zh-CN"/>
        </w:rPr>
        <w:t>；</w:t>
      </w:r>
    </w:p>
    <w:p w14:paraId="4A10E0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国家层面的：教育现代化，乡村振兴</w:t>
      </w:r>
    </w:p>
    <w:p w14:paraId="3A5D2404">
      <w:pPr>
        <w:pageBreakBefore w:val="0"/>
        <w:kinsoku/>
        <w:wordWrap/>
        <w:overflowPunct/>
        <w:topLinePunct w:val="0"/>
        <w:autoSpaceDE/>
        <w:autoSpaceDN/>
        <w:bidi w:val="0"/>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、民族团结；教育专项：学前教育普惠发展教师队伍建设；地方实践：新疆教育“十四五”规划、双语教育推进</w:t>
      </w:r>
      <w:r>
        <w:rPr>
          <w:rFonts w:hint="eastAsia" w:ascii="仿宋_GB2312" w:hAnsi="仿宋_GB2312" w:eastAsia="仿宋_GB2312" w:cs="仿宋_GB2312"/>
          <w:color w:val="auto"/>
          <w:sz w:val="32"/>
          <w:szCs w:val="32"/>
          <w:highlight w:val="none"/>
          <w:lang w:eastAsia="zh-CN"/>
        </w:rPr>
        <w:t>政策要求；</w:t>
      </w:r>
    </w:p>
    <w:p w14:paraId="0CBF2B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③项目立项与宣传贯彻党和国家的教育方针、教育政策、教育法律法规、贯彻执行上级教育行政部门的各项规章制度的部门职责范围相符，属于部门履职所需；</w:t>
      </w:r>
    </w:p>
    <w:p w14:paraId="7E2CC5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461D4B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13718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F2DD69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0" w:name="_Toc21976"/>
      <w:bookmarkStart w:id="121" w:name="_Toc23240"/>
      <w:r>
        <w:rPr>
          <w:rFonts w:hint="eastAsia" w:ascii="仿宋_GB2312" w:hAnsi="仿宋_GB2312" w:eastAsia="仿宋_GB2312" w:cs="仿宋_GB2312"/>
          <w:b/>
          <w:bCs/>
          <w:color w:val="auto"/>
          <w:sz w:val="32"/>
          <w:szCs w:val="32"/>
          <w:highlight w:val="none"/>
          <w:lang w:val="en-US" w:eastAsia="zh-CN"/>
        </w:rPr>
        <w:t>2.立项程序规范性</w:t>
      </w:r>
      <w:bookmarkEnd w:id="120"/>
      <w:bookmarkEnd w:id="121"/>
    </w:p>
    <w:p w14:paraId="246F93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0F3517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B354EE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事前没有经过可行性研究、专家决策、事前绩效评估等。</w:t>
      </w:r>
    </w:p>
    <w:p w14:paraId="30C5E3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70569997">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15382"/>
      <w:bookmarkStart w:id="123" w:name="_Toc23542"/>
      <w:r>
        <w:rPr>
          <w:rFonts w:hint="eastAsia" w:ascii="仿宋_GB2312" w:hAnsi="仿宋_GB2312" w:eastAsia="仿宋_GB2312" w:cs="仿宋_GB2312"/>
          <w:b/>
          <w:bCs/>
          <w:color w:val="auto"/>
          <w:sz w:val="32"/>
          <w:szCs w:val="32"/>
          <w:highlight w:val="none"/>
          <w:lang w:val="en-US" w:eastAsia="zh-CN"/>
        </w:rPr>
        <w:t>3.绩效目标合理性</w:t>
      </w:r>
      <w:bookmarkEnd w:id="122"/>
      <w:bookmarkEnd w:id="123"/>
    </w:p>
    <w:p w14:paraId="2ABAC9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31773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bookmarkStart w:id="124" w:name="OLE_LINK12"/>
      <w:r>
        <w:rPr>
          <w:rFonts w:hint="eastAsia" w:ascii="仿宋_GB2312" w:hAnsi="仿宋_GB2312" w:eastAsia="仿宋_GB2312" w:cs="仿宋_GB2312"/>
          <w:color w:val="auto"/>
          <w:sz w:val="32"/>
          <w:szCs w:val="32"/>
          <w:highlight w:val="none"/>
          <w:lang w:eastAsia="zh-CN"/>
        </w:rPr>
        <w:t>按每人每年5.62万元的标准完成29名选聘教师12次的工资发放。</w:t>
      </w:r>
      <w:bookmarkEnd w:id="124"/>
      <w:r>
        <w:rPr>
          <w:rFonts w:hint="eastAsia" w:ascii="仿宋_GB2312" w:hAnsi="仿宋_GB2312" w:eastAsia="仿宋_GB2312" w:cs="仿宋_GB2312"/>
          <w:color w:val="auto"/>
          <w:sz w:val="32"/>
          <w:szCs w:val="32"/>
          <w:highlight w:val="none"/>
          <w:lang w:eastAsia="zh-CN"/>
        </w:rPr>
        <w:t>绩效目标与实际工作内容一致，两者具有相关性。</w:t>
      </w:r>
    </w:p>
    <w:p w14:paraId="02EF03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③该项目按照绩效目标完成数量指标、质量指标、时效指标、成本指标，完成了维持幼儿园正常运转，有效改善教学环境，提供良好的学生成长条件，达到</w:t>
      </w:r>
      <w:r>
        <w:rPr>
          <w:rFonts w:hint="eastAsia" w:ascii="仿宋_GB2312" w:hAnsi="仿宋_GB2312" w:eastAsia="仿宋_GB2312" w:cs="仿宋_GB2312"/>
          <w:color w:val="auto"/>
          <w:sz w:val="32"/>
          <w:szCs w:val="32"/>
          <w:highlight w:val="none"/>
          <w:lang w:val="en-US" w:eastAsia="zh-CN"/>
        </w:rPr>
        <w:t>社会</w:t>
      </w:r>
      <w:r>
        <w:rPr>
          <w:rFonts w:hint="eastAsia" w:ascii="仿宋_GB2312" w:hAnsi="仿宋_GB2312" w:eastAsia="仿宋_GB2312" w:cs="仿宋_GB2312"/>
          <w:color w:val="auto"/>
          <w:sz w:val="32"/>
          <w:szCs w:val="32"/>
          <w:highlight w:val="none"/>
          <w:lang w:eastAsia="zh-CN"/>
        </w:rPr>
        <w:t>效益，预期产出效益和效果是符合正常的业绩水平。</w:t>
      </w:r>
    </w:p>
    <w:p w14:paraId="5ED3A6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174.28</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50D1CA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161CE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5" w:name="_Toc18198"/>
      <w:bookmarkStart w:id="126" w:name="_Toc10650"/>
      <w:r>
        <w:rPr>
          <w:rFonts w:hint="eastAsia" w:ascii="仿宋_GB2312" w:hAnsi="仿宋_GB2312" w:eastAsia="仿宋_GB2312" w:cs="仿宋_GB2312"/>
          <w:b/>
          <w:bCs/>
          <w:color w:val="auto"/>
          <w:sz w:val="32"/>
          <w:szCs w:val="32"/>
          <w:highlight w:val="none"/>
          <w:lang w:val="en-US" w:eastAsia="zh-CN"/>
        </w:rPr>
        <w:t>4.绩效指标明确性</w:t>
      </w:r>
      <w:bookmarkEnd w:id="125"/>
      <w:bookmarkEnd w:id="126"/>
    </w:p>
    <w:p w14:paraId="593989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146ECDC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量化率达到85.71%</w:t>
      </w:r>
      <w:r>
        <w:rPr>
          <w:rFonts w:hint="eastAsia" w:ascii="仿宋_GB2312" w:hAnsi="仿宋_GB2312" w:eastAsia="仿宋_GB2312" w:cs="仿宋_GB2312"/>
          <w:color w:val="auto"/>
          <w:sz w:val="32"/>
          <w:szCs w:val="32"/>
          <w:highlight w:val="none"/>
          <w:lang w:eastAsia="zh-CN"/>
        </w:rPr>
        <w:t>；</w:t>
      </w:r>
    </w:p>
    <w:p w14:paraId="5D62E5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572463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6FBA60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26540A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7" w:name="_Toc8296"/>
      <w:bookmarkStart w:id="128" w:name="_Toc19401"/>
      <w:r>
        <w:rPr>
          <w:rFonts w:hint="eastAsia" w:ascii="仿宋_GB2312" w:hAnsi="仿宋_GB2312" w:eastAsia="仿宋_GB2312" w:cs="仿宋_GB2312"/>
          <w:b/>
          <w:bCs/>
          <w:color w:val="auto"/>
          <w:sz w:val="32"/>
          <w:szCs w:val="32"/>
          <w:highlight w:val="none"/>
          <w:lang w:val="en-US" w:eastAsia="zh-CN"/>
        </w:rPr>
        <w:t>5.预算编制科学性</w:t>
      </w:r>
      <w:bookmarkEnd w:id="127"/>
      <w:bookmarkEnd w:id="128"/>
    </w:p>
    <w:p w14:paraId="5664C9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664168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预算申请内容为按每人每年5.62万元的标准完成</w:t>
      </w:r>
      <w:r>
        <w:rPr>
          <w:rFonts w:hint="eastAsia" w:ascii="仿宋_GB2312" w:hAnsi="仿宋_GB2312" w:eastAsia="仿宋_GB2312" w:cs="仿宋_GB2312"/>
          <w:color w:val="auto"/>
          <w:sz w:val="32"/>
          <w:szCs w:val="32"/>
          <w:highlight w:val="none"/>
          <w:lang w:val="en-US" w:eastAsia="zh-CN"/>
        </w:rPr>
        <w:t>31</w:t>
      </w:r>
      <w:r>
        <w:rPr>
          <w:rFonts w:hint="eastAsia" w:ascii="仿宋_GB2312" w:hAnsi="仿宋_GB2312" w:eastAsia="仿宋_GB2312" w:cs="仿宋_GB2312"/>
          <w:color w:val="auto"/>
          <w:sz w:val="32"/>
          <w:szCs w:val="32"/>
          <w:highlight w:val="none"/>
          <w:lang w:eastAsia="zh-CN"/>
        </w:rPr>
        <w:t>名选聘教师12次的工资发放，共支付</w:t>
      </w:r>
      <w:r>
        <w:rPr>
          <w:rFonts w:hint="eastAsia" w:ascii="仿宋_GB2312" w:hAnsi="仿宋_GB2312" w:eastAsia="仿宋_GB2312" w:cs="仿宋_GB2312"/>
          <w:color w:val="auto"/>
          <w:sz w:val="32"/>
          <w:szCs w:val="32"/>
          <w:highlight w:val="none"/>
          <w:lang w:val="en-US" w:eastAsia="zh-CN"/>
        </w:rPr>
        <w:t>178.28</w:t>
      </w:r>
      <w:r>
        <w:rPr>
          <w:rFonts w:hint="eastAsia" w:ascii="仿宋_GB2312" w:hAnsi="仿宋_GB2312" w:eastAsia="仿宋_GB2312" w:cs="仿宋_GB2312"/>
          <w:color w:val="auto"/>
          <w:sz w:val="32"/>
          <w:szCs w:val="32"/>
          <w:highlight w:val="none"/>
          <w:lang w:eastAsia="zh-CN"/>
        </w:rPr>
        <w:t>万元。项目实际内容为按每人每年5.62万元的标准完成29名选聘教师12次的工资发放，共支付173.24万元。预算申请与项目内容匹配；</w:t>
      </w:r>
    </w:p>
    <w:p w14:paraId="6CB95E1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174.28万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选聘教师工资</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174.28</w:t>
      </w:r>
      <w:r>
        <w:rPr>
          <w:rFonts w:hint="eastAsia" w:ascii="仿宋_GB2312" w:hAnsi="仿宋_GB2312" w:eastAsia="仿宋_GB2312" w:cs="仿宋_GB2312"/>
          <w:color w:val="auto"/>
          <w:sz w:val="32"/>
          <w:szCs w:val="32"/>
          <w:highlight w:val="none"/>
          <w:lang w:eastAsia="zh-CN"/>
        </w:rPr>
        <w:t>万元。</w:t>
      </w:r>
    </w:p>
    <w:p w14:paraId="07430CA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093687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5FC9E0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9" w:name="_Toc20556"/>
      <w:bookmarkStart w:id="130" w:name="_Toc697"/>
      <w:r>
        <w:rPr>
          <w:rFonts w:hint="eastAsia" w:ascii="仿宋_GB2312" w:hAnsi="仿宋_GB2312" w:eastAsia="仿宋_GB2312" w:cs="仿宋_GB2312"/>
          <w:b/>
          <w:bCs/>
          <w:color w:val="auto"/>
          <w:sz w:val="32"/>
          <w:szCs w:val="32"/>
          <w:highlight w:val="none"/>
          <w:lang w:val="en-US" w:eastAsia="zh-CN"/>
        </w:rPr>
        <w:t>6.资金分配合理性</w:t>
      </w:r>
      <w:bookmarkEnd w:id="129"/>
      <w:bookmarkEnd w:id="130"/>
    </w:p>
    <w:p w14:paraId="17CA52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030D5E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174.28</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584A0DEC">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1DCE663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3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31"/>
    </w:p>
    <w:p w14:paraId="4413EF70">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19.98</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284CC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09BD4A2">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67C8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9FD4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6C81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55B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7131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C539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DA4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D2F9334">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44D1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123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57E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B13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C4A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146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62CF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A79805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20FD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79D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88A1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0E62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0D6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245A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C81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3.98</w:t>
            </w:r>
          </w:p>
        </w:tc>
      </w:tr>
      <w:tr w14:paraId="4D1031D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A07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A94A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882D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454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CD0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5156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DBB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9CBA3E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6B9D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798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7030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86D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213B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0BF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97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065B9E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09D4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1CEB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C67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932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BCCD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696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2A88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9E6E781">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1B71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43A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4A1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E69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E22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19.98</w:t>
            </w:r>
          </w:p>
        </w:tc>
      </w:tr>
    </w:tbl>
    <w:p w14:paraId="5D9F954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2" w:name="_Toc3886"/>
      <w:bookmarkStart w:id="133" w:name="_Toc20449"/>
      <w:r>
        <w:rPr>
          <w:rFonts w:hint="eastAsia" w:ascii="仿宋_GB2312" w:hAnsi="仿宋_GB2312" w:eastAsia="仿宋_GB2312" w:cs="仿宋_GB2312"/>
          <w:b/>
          <w:bCs/>
          <w:color w:val="auto"/>
          <w:sz w:val="32"/>
          <w:szCs w:val="32"/>
          <w:highlight w:val="none"/>
          <w:lang w:val="en-US" w:eastAsia="zh-CN"/>
        </w:rPr>
        <w:t>1.资金到位率</w:t>
      </w:r>
      <w:bookmarkEnd w:id="132"/>
      <w:bookmarkEnd w:id="133"/>
    </w:p>
    <w:p w14:paraId="4F8C72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174.28</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174.28</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48B96E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174.28</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174.28</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=100%</w:t>
      </w:r>
    </w:p>
    <w:p w14:paraId="423ADF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2421C9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4" w:name="_Toc9705"/>
      <w:bookmarkStart w:id="135" w:name="_Toc17709"/>
      <w:r>
        <w:rPr>
          <w:rFonts w:hint="eastAsia" w:ascii="仿宋_GB2312" w:hAnsi="仿宋_GB2312" w:eastAsia="仿宋_GB2312" w:cs="仿宋_GB2312"/>
          <w:b/>
          <w:bCs/>
          <w:color w:val="auto"/>
          <w:sz w:val="32"/>
          <w:szCs w:val="32"/>
          <w:highlight w:val="none"/>
          <w:lang w:val="en-US" w:eastAsia="zh-CN"/>
        </w:rPr>
        <w:t>2.预算执行率</w:t>
      </w:r>
      <w:bookmarkEnd w:id="134"/>
      <w:bookmarkEnd w:id="135"/>
    </w:p>
    <w:p w14:paraId="0A64B8C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173.24</w:t>
      </w:r>
      <w:r>
        <w:rPr>
          <w:rFonts w:hint="eastAsia" w:ascii="仿宋_GB2312" w:hAnsi="仿宋_GB2312" w:eastAsia="仿宋_GB2312" w:cs="仿宋_GB2312"/>
          <w:color w:val="auto"/>
          <w:sz w:val="32"/>
          <w:szCs w:val="32"/>
          <w:highlight w:val="none"/>
          <w:lang w:val="en-US" w:eastAsia="zh-CN"/>
        </w:rPr>
        <w:t>万元。</w:t>
      </w:r>
    </w:p>
    <w:p w14:paraId="33F4E5A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173.24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174.28</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=99.4%</w:t>
      </w:r>
    </w:p>
    <w:p w14:paraId="068296F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综上，该项指标满分4分，得分3.98分。</w:t>
      </w:r>
    </w:p>
    <w:p w14:paraId="6EEE480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6" w:name="_Toc28875"/>
      <w:bookmarkStart w:id="137" w:name="_Toc18691"/>
      <w:r>
        <w:rPr>
          <w:rFonts w:hint="eastAsia" w:ascii="仿宋_GB2312" w:hAnsi="仿宋_GB2312" w:eastAsia="仿宋_GB2312" w:cs="仿宋_GB2312"/>
          <w:b/>
          <w:bCs/>
          <w:color w:val="auto"/>
          <w:sz w:val="32"/>
          <w:szCs w:val="32"/>
          <w:highlight w:val="none"/>
          <w:lang w:val="en-US" w:eastAsia="zh-CN"/>
        </w:rPr>
        <w:t>3.资金使用合规性</w:t>
      </w:r>
      <w:bookmarkEnd w:id="136"/>
      <w:bookmarkEnd w:id="137"/>
    </w:p>
    <w:p w14:paraId="0D30FD9A">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bookmarkStart w:id="138" w:name="OLE_LINK14"/>
      <w:r>
        <w:rPr>
          <w:rFonts w:hint="eastAsia" w:ascii="仿宋_GB2312" w:hAnsi="仿宋_GB2312" w:eastAsia="仿宋_GB2312" w:cs="仿宋_GB2312"/>
          <w:color w:val="auto"/>
          <w:sz w:val="32"/>
          <w:szCs w:val="32"/>
          <w:highlight w:val="none"/>
          <w:lang w:val="en-US" w:eastAsia="zh-CN"/>
        </w:rPr>
        <w:t>阜康市晋新幼儿园</w:t>
      </w:r>
      <w:bookmarkEnd w:id="138"/>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lang w:eastAsia="zh-CN"/>
        </w:rPr>
        <w:t>专项资金管理办法》；</w:t>
      </w:r>
    </w:p>
    <w:p w14:paraId="1FD1A8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01CA79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691280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12813D2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44FE98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831F12E">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2BCD2B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20CDEE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33AA919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E4BDE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39" w:name="_Toc13984"/>
      <w:bookmarkStart w:id="140" w:name="_Toc31684"/>
      <w:r>
        <w:rPr>
          <w:rFonts w:hint="eastAsia" w:ascii="仿宋_GB2312" w:hAnsi="仿宋_GB2312" w:eastAsia="仿宋_GB2312" w:cs="仿宋_GB2312"/>
          <w:b/>
          <w:bCs/>
          <w:color w:val="auto"/>
          <w:sz w:val="32"/>
          <w:szCs w:val="32"/>
          <w:highlight w:val="none"/>
          <w:lang w:val="en-US" w:eastAsia="zh-CN"/>
        </w:rPr>
        <w:t>5.制度执行有效性</w:t>
      </w:r>
      <w:bookmarkEnd w:id="139"/>
      <w:bookmarkEnd w:id="140"/>
    </w:p>
    <w:p w14:paraId="73802C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阜康市晋新幼儿园政府</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2F155B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项目存在调整，调整手续是否齐全</w:t>
      </w:r>
      <w:r>
        <w:rPr>
          <w:rFonts w:hint="eastAsia" w:ascii="仿宋_GB2312" w:hAnsi="仿宋_GB2312" w:eastAsia="仿宋_GB2312" w:cs="仿宋_GB2312"/>
          <w:color w:val="auto"/>
          <w:sz w:val="32"/>
          <w:szCs w:val="32"/>
          <w:highlight w:val="none"/>
          <w:lang w:eastAsia="zh-CN"/>
        </w:rPr>
        <w:t>。</w:t>
      </w:r>
    </w:p>
    <w:p w14:paraId="522D2A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该项目实施过程中不存在调整事项</w:t>
      </w:r>
    </w:p>
    <w:p w14:paraId="05D577A1">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319E39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工作领导小组，由</w:t>
      </w:r>
      <w:r>
        <w:rPr>
          <w:rFonts w:hint="eastAsia" w:ascii="仿宋_GB2312" w:hAnsi="仿宋_GB2312" w:eastAsia="仿宋_GB2312" w:cs="仿宋_GB2312"/>
          <w:color w:val="auto"/>
          <w:sz w:val="32"/>
          <w:szCs w:val="32"/>
          <w:highlight w:val="none"/>
          <w:lang w:val="en-US" w:eastAsia="zh-CN"/>
        </w:rPr>
        <w:t>焦敏</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张亚琴</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何海珍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石煜煊、常利和高云霞</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428C72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4AF349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41" w:name="_Toc2441"/>
      <w:r>
        <w:rPr>
          <w:rFonts w:hint="eastAsia" w:ascii="Times New Roman" w:hAnsi="Times New Roman" w:eastAsia="楷体_GB2312" w:cs="Times New Roman"/>
          <w:color w:val="auto"/>
          <w:kern w:val="28"/>
          <w:sz w:val="32"/>
          <w:highlight w:val="none"/>
          <w:lang w:val="en-US" w:eastAsia="zh-CN"/>
        </w:rPr>
        <w:t>（三）项目产出情况</w:t>
      </w:r>
      <w:bookmarkEnd w:id="141"/>
    </w:p>
    <w:p w14:paraId="4B5F0288">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38.71</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574ED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78BB8848">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F4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DA1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DAF5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9D4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04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AF8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A46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0A82E170">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F89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0F3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72FF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2" w:name="OLE_LINK17"/>
            <w:r>
              <w:rPr>
                <w:rFonts w:hint="eastAsia" w:ascii="宋体" w:hAnsi="宋体" w:eastAsia="宋体" w:cs="宋体"/>
                <w:color w:val="auto"/>
                <w:kern w:val="0"/>
                <w:sz w:val="20"/>
                <w:szCs w:val="20"/>
                <w:highlight w:val="none"/>
                <w:shd w:val="clear" w:color="auto" w:fill="auto"/>
                <w:lang w:val="en-US" w:eastAsia="zh-CN"/>
              </w:rPr>
              <w:t>选聘教师人数</w:t>
            </w:r>
            <w:bookmarkEnd w:id="142"/>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8FAF1">
            <w:pPr>
              <w:keepNext w:val="0"/>
              <w:keepLines w:val="0"/>
              <w:pageBreakBefore w:val="0"/>
              <w:widowControl/>
              <w:tabs>
                <w:tab w:val="left" w:pos="489"/>
              </w:tabs>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bookmarkStart w:id="143" w:name="OLE_LINK18"/>
            <w:r>
              <w:rPr>
                <w:rFonts w:hint="eastAsia" w:cs="宋体"/>
                <w:color w:val="auto"/>
                <w:kern w:val="0"/>
                <w:sz w:val="20"/>
                <w:szCs w:val="20"/>
                <w:highlight w:val="none"/>
                <w:shd w:val="clear" w:color="auto" w:fill="auto"/>
                <w:lang w:val="en-US" w:eastAsia="zh-CN"/>
              </w:rPr>
              <w:t>≧31人</w:t>
            </w:r>
            <w:bookmarkEnd w:id="143"/>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433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63F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29人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124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6.71</w:t>
            </w:r>
          </w:p>
        </w:tc>
      </w:tr>
      <w:tr w14:paraId="066E2A1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0EF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25CCB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30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4" w:name="OLE_LINK19"/>
            <w:r>
              <w:rPr>
                <w:rFonts w:hint="eastAsia" w:ascii="宋体" w:hAnsi="宋体" w:eastAsia="宋体" w:cs="宋体"/>
                <w:color w:val="auto"/>
                <w:kern w:val="0"/>
                <w:sz w:val="20"/>
                <w:szCs w:val="20"/>
                <w:highlight w:val="none"/>
                <w:shd w:val="clear" w:color="auto" w:fill="auto"/>
                <w:lang w:val="en-US" w:eastAsia="zh-CN"/>
              </w:rPr>
              <w:t>工资支付次数</w:t>
            </w:r>
            <w:bookmarkEnd w:id="144"/>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26D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5" w:name="OLE_LINK20"/>
            <w:r>
              <w:rPr>
                <w:rFonts w:hint="eastAsia" w:ascii="宋体" w:hAnsi="宋体" w:eastAsia="宋体" w:cs="宋体"/>
                <w:color w:val="auto"/>
                <w:kern w:val="0"/>
                <w:sz w:val="20"/>
                <w:szCs w:val="20"/>
                <w:highlight w:val="none"/>
                <w:shd w:val="clear" w:color="auto" w:fill="auto"/>
                <w:lang w:val="en-US" w:eastAsia="zh-CN"/>
              </w:rPr>
              <w:t>=12次</w:t>
            </w:r>
            <w:bookmarkEnd w:id="145"/>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E5D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6A6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EAD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r>
      <w:tr w14:paraId="0226115C">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044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F27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090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6" w:name="OLE_LINK22"/>
            <w:r>
              <w:rPr>
                <w:rFonts w:hint="eastAsia" w:ascii="宋体" w:hAnsi="宋体" w:eastAsia="宋体" w:cs="宋体"/>
                <w:color w:val="auto"/>
                <w:kern w:val="0"/>
                <w:sz w:val="20"/>
                <w:szCs w:val="20"/>
                <w:highlight w:val="none"/>
                <w:shd w:val="clear" w:color="auto" w:fill="auto"/>
                <w:lang w:val="en-US" w:eastAsia="zh-CN"/>
              </w:rPr>
              <w:t>人员经费享受比例</w:t>
            </w:r>
            <w:bookmarkEnd w:id="146"/>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342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7" w:name="OLE_LINK23"/>
            <w:r>
              <w:rPr>
                <w:rFonts w:hint="eastAsia" w:ascii="宋体" w:hAnsi="宋体" w:eastAsia="宋体" w:cs="宋体"/>
                <w:color w:val="auto"/>
                <w:kern w:val="0"/>
                <w:sz w:val="20"/>
                <w:szCs w:val="20"/>
                <w:highlight w:val="none"/>
                <w:shd w:val="clear" w:color="auto" w:fill="auto"/>
                <w:lang w:val="en-US" w:eastAsia="zh-CN"/>
              </w:rPr>
              <w:t>=100%</w:t>
            </w:r>
            <w:bookmarkEnd w:id="147"/>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E94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C9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38D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3AF9CE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1EF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000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E04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选聘教师工资发放时间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3DA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115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305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1次/月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19C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5C1CC85C">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69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053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4E5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48A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bookmarkStart w:id="148" w:name="OLE_LINK16"/>
            <w:r>
              <w:rPr>
                <w:rFonts w:hint="eastAsia" w:ascii="宋体" w:hAnsi="宋体" w:eastAsia="宋体" w:cs="宋体"/>
                <w:color w:val="auto"/>
                <w:kern w:val="0"/>
                <w:sz w:val="20"/>
                <w:szCs w:val="20"/>
                <w:highlight w:val="none"/>
                <w:shd w:val="clear" w:color="auto" w:fill="auto"/>
                <w:lang w:val="en-US" w:eastAsia="zh-CN"/>
              </w:rPr>
              <w:t>5.62万元/人/学年</w:t>
            </w:r>
            <w:bookmarkEnd w:id="148"/>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57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5C74">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5.62万元/人/学年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ABF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6BAB9671">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658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A0D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642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B5A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38.71</w:t>
            </w:r>
          </w:p>
        </w:tc>
      </w:tr>
    </w:tbl>
    <w:p w14:paraId="4ADD95B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49" w:name="_Toc11067"/>
      <w:bookmarkStart w:id="150" w:name="_Toc26689"/>
      <w:r>
        <w:rPr>
          <w:rFonts w:hint="eastAsia" w:ascii="仿宋_GB2312" w:hAnsi="仿宋_GB2312" w:eastAsia="仿宋_GB2312" w:cs="仿宋_GB2312"/>
          <w:b/>
          <w:bCs/>
          <w:color w:val="auto"/>
          <w:sz w:val="32"/>
          <w:szCs w:val="32"/>
          <w:highlight w:val="none"/>
          <w:lang w:val="en-US" w:eastAsia="zh-CN"/>
        </w:rPr>
        <w:t>1.数量指标完成情况</w:t>
      </w:r>
      <w:bookmarkEnd w:id="149"/>
      <w:bookmarkEnd w:id="150"/>
    </w:p>
    <w:p w14:paraId="3DE0C9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指标，预期目标值为≧31人，实际完成为29人。实际完成率=（29/31）×100%=93.55%，</w:t>
      </w:r>
      <w:r>
        <w:rPr>
          <w:rFonts w:hint="eastAsia" w:ascii="仿宋_GB2312" w:hAnsi="仿宋_GB2312" w:eastAsia="仿宋_GB2312" w:cs="仿宋_GB2312"/>
          <w:color w:val="auto"/>
          <w:sz w:val="32"/>
          <w:szCs w:val="32"/>
          <w:highlight w:val="none"/>
          <w:lang w:eastAsia="zh-CN"/>
        </w:rPr>
        <w:t>偏差原因：减少两名选聘教师，改进措施：按时发放选聘教师工资，保障教师的正常工资待遇，提高教师的归属感，减少教师队伍人员流失。</w:t>
      </w:r>
      <w:r>
        <w:rPr>
          <w:rFonts w:hint="eastAsia" w:ascii="仿宋_GB2312" w:hAnsi="仿宋_GB2312" w:eastAsia="仿宋_GB2312" w:cs="仿宋_GB2312"/>
          <w:color w:val="auto"/>
          <w:sz w:val="32"/>
          <w:szCs w:val="32"/>
          <w:highlight w:val="none"/>
          <w:lang w:val="en-US" w:eastAsia="zh-CN"/>
        </w:rPr>
        <w:t>。</w:t>
      </w:r>
    </w:p>
    <w:p w14:paraId="2759D1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综上，该项指标满分8分，得分6.71分。</w:t>
      </w:r>
    </w:p>
    <w:p w14:paraId="3182879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1" w:name="_Toc31739"/>
      <w:bookmarkStart w:id="152" w:name="_Toc14255"/>
      <w:r>
        <w:rPr>
          <w:rFonts w:hint="eastAsia" w:ascii="仿宋_GB2312" w:hAnsi="仿宋_GB2312" w:eastAsia="仿宋_GB2312" w:cs="仿宋_GB2312"/>
          <w:b/>
          <w:bCs/>
          <w:color w:val="auto"/>
          <w:sz w:val="32"/>
          <w:szCs w:val="32"/>
          <w:highlight w:val="none"/>
          <w:lang w:val="en-US" w:eastAsia="zh-CN"/>
        </w:rPr>
        <w:t>2.</w:t>
      </w:r>
      <w:bookmarkEnd w:id="151"/>
      <w:r>
        <w:rPr>
          <w:rFonts w:hint="eastAsia" w:ascii="仿宋_GB2312" w:hAnsi="仿宋_GB2312" w:eastAsia="仿宋_GB2312" w:cs="仿宋_GB2312"/>
          <w:b/>
          <w:bCs/>
          <w:color w:val="auto"/>
          <w:sz w:val="32"/>
          <w:szCs w:val="32"/>
          <w:highlight w:val="none"/>
          <w:lang w:val="en-US" w:eastAsia="zh-CN"/>
        </w:rPr>
        <w:t>质量指标完成情况</w:t>
      </w:r>
      <w:bookmarkEnd w:id="152"/>
    </w:p>
    <w:p w14:paraId="26A36B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bookmarkStart w:id="153" w:name="OLE_LINK21"/>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指标，预期目标值为=12次，实际完成为12次。实际完成率100%，无偏差。</w:t>
      </w:r>
    </w:p>
    <w:bookmarkEnd w:id="153"/>
    <w:p w14:paraId="032037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指标，预期目标值为=100%，实际完成为100%。实际完成率100%，无偏差。</w:t>
      </w:r>
    </w:p>
    <w:p w14:paraId="6515E90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综上，该项指标满分16分，得分16分。</w:t>
      </w:r>
    </w:p>
    <w:p w14:paraId="38274FF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4" w:name="_Toc18307"/>
      <w:bookmarkStart w:id="155" w:name="_Toc28885"/>
      <w:r>
        <w:rPr>
          <w:rFonts w:hint="eastAsia" w:ascii="仿宋_GB2312" w:hAnsi="仿宋_GB2312" w:eastAsia="仿宋_GB2312" w:cs="仿宋_GB2312"/>
          <w:b/>
          <w:bCs/>
          <w:color w:val="auto"/>
          <w:sz w:val="32"/>
          <w:szCs w:val="32"/>
          <w:highlight w:val="none"/>
          <w:lang w:val="en-US" w:eastAsia="zh-CN"/>
        </w:rPr>
        <w:t>3.</w:t>
      </w:r>
      <w:bookmarkEnd w:id="154"/>
      <w:r>
        <w:rPr>
          <w:rFonts w:hint="eastAsia" w:ascii="仿宋_GB2312" w:hAnsi="仿宋_GB2312" w:eastAsia="仿宋_GB2312" w:cs="仿宋_GB2312"/>
          <w:b/>
          <w:bCs/>
          <w:color w:val="auto"/>
          <w:sz w:val="32"/>
          <w:szCs w:val="32"/>
          <w:highlight w:val="none"/>
          <w:lang w:val="en-US" w:eastAsia="zh-CN"/>
        </w:rPr>
        <w:t>时效指标完成情况</w:t>
      </w:r>
      <w:bookmarkEnd w:id="155"/>
    </w:p>
    <w:p w14:paraId="51E77A3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“选聘教师工资发放时间”</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指标，预期目标值为=1次/月，实际完成为1次/月。实际完成率100%，无偏差。</w:t>
      </w:r>
    </w:p>
    <w:p w14:paraId="103A9E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450DB2D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6" w:name="_Toc32765"/>
      <w:bookmarkStart w:id="157" w:name="_Toc20607"/>
      <w:r>
        <w:rPr>
          <w:rFonts w:hint="eastAsia" w:ascii="仿宋_GB2312" w:hAnsi="仿宋_GB2312" w:eastAsia="仿宋_GB2312" w:cs="仿宋_GB2312"/>
          <w:b/>
          <w:bCs/>
          <w:color w:val="auto"/>
          <w:sz w:val="32"/>
          <w:szCs w:val="32"/>
          <w:highlight w:val="none"/>
          <w:lang w:val="en-US" w:eastAsia="zh-CN"/>
        </w:rPr>
        <w:t>4.项目</w:t>
      </w:r>
      <w:bookmarkEnd w:id="156"/>
      <w:r>
        <w:rPr>
          <w:rFonts w:hint="eastAsia" w:ascii="仿宋_GB2312" w:hAnsi="仿宋_GB2312" w:eastAsia="仿宋_GB2312" w:cs="仿宋_GB2312"/>
          <w:b/>
          <w:bCs/>
          <w:color w:val="auto"/>
          <w:sz w:val="32"/>
          <w:szCs w:val="32"/>
          <w:highlight w:val="none"/>
          <w:lang w:val="en-US" w:eastAsia="zh-CN"/>
        </w:rPr>
        <w:t>成本情况</w:t>
      </w:r>
      <w:bookmarkEnd w:id="157"/>
    </w:p>
    <w:p w14:paraId="47AE44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11491519">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指标，预期目标值为=5.62万元/人/学年，实际完成为5.62万元/人/学年。实际完成率=（5.62/5.62）×100%=100%，无偏差。</w:t>
      </w:r>
    </w:p>
    <w:p w14:paraId="2B1C1F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260BB7B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58" w:name="_Toc19424"/>
      <w:r>
        <w:rPr>
          <w:rFonts w:hint="eastAsia" w:ascii="Times New Roman" w:hAnsi="Times New Roman" w:eastAsia="楷体_GB2312" w:cs="Times New Roman"/>
          <w:color w:val="auto"/>
          <w:kern w:val="28"/>
          <w:sz w:val="32"/>
          <w:highlight w:val="none"/>
          <w:lang w:val="en-US" w:eastAsia="zh-CN"/>
        </w:rPr>
        <w:t>（四）项目效益情况</w:t>
      </w:r>
      <w:bookmarkEnd w:id="158"/>
    </w:p>
    <w:p w14:paraId="7F4DA00B">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90710D4">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D161185">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09C85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3D99B6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14606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5BE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8A9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0951A0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609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1774D9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698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1B050A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D7D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0407DD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57D819B">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69AA13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12F27E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80606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9" w:name="OLE_LINK24"/>
            <w:r>
              <w:rPr>
                <w:rFonts w:hint="default" w:ascii="宋体" w:hAnsi="宋体" w:eastAsia="宋体" w:cs="宋体"/>
                <w:color w:val="auto"/>
                <w:kern w:val="0"/>
                <w:sz w:val="20"/>
                <w:szCs w:val="20"/>
                <w:highlight w:val="none"/>
                <w:shd w:val="clear" w:color="auto" w:fill="auto"/>
                <w:lang w:val="en-US" w:eastAsia="zh-CN"/>
              </w:rPr>
              <w:t>幼儿园正常运转率</w:t>
            </w:r>
            <w:bookmarkEnd w:id="159"/>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944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FB2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4F5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3B9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2139B1A">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0F261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43048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2DAD0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0" w:name="OLE_LINK27"/>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bookmarkEnd w:id="160"/>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274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61" w:name="OLE_LINK30"/>
            <w:r>
              <w:rPr>
                <w:rFonts w:hint="eastAsia" w:cs="宋体"/>
                <w:color w:val="auto"/>
                <w:kern w:val="0"/>
                <w:sz w:val="20"/>
                <w:szCs w:val="20"/>
                <w:highlight w:val="none"/>
                <w:shd w:val="clear" w:color="auto" w:fill="auto"/>
                <w:lang w:val="en-US" w:eastAsia="zh-CN"/>
              </w:rPr>
              <w:t>改善</w:t>
            </w:r>
            <w:bookmarkEnd w:id="161"/>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072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2BE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2" w:name="OLE_LINK31"/>
            <w:r>
              <w:rPr>
                <w:rFonts w:hint="eastAsia" w:ascii="宋体" w:hAnsi="宋体" w:eastAsia="宋体" w:cs="宋体"/>
                <w:color w:val="auto"/>
                <w:kern w:val="0"/>
                <w:sz w:val="20"/>
                <w:szCs w:val="20"/>
                <w:highlight w:val="none"/>
                <w:shd w:val="clear" w:color="auto" w:fill="auto"/>
                <w:lang w:val="en-US" w:eastAsia="zh-CN"/>
              </w:rPr>
              <w:t>达到预期指标</w:t>
            </w:r>
            <w:bookmarkEnd w:id="162"/>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316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C9A913C">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D34C1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A92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4B0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63" w:name="OLE_LINK36"/>
            <w:bookmarkStart w:id="164" w:name="OLE_LINK32"/>
            <w:r>
              <w:rPr>
                <w:rFonts w:hint="eastAsia" w:cs="宋体"/>
                <w:color w:val="auto"/>
                <w:kern w:val="0"/>
                <w:sz w:val="20"/>
                <w:szCs w:val="20"/>
                <w:highlight w:val="none"/>
                <w:shd w:val="clear" w:color="auto" w:fill="auto"/>
                <w:lang w:val="en-US" w:eastAsia="zh-CN"/>
              </w:rPr>
              <w:t>选聘教师的</w:t>
            </w:r>
            <w:bookmarkEnd w:id="163"/>
            <w:r>
              <w:rPr>
                <w:rFonts w:hint="eastAsia" w:cs="宋体"/>
                <w:color w:val="auto"/>
                <w:kern w:val="0"/>
                <w:sz w:val="20"/>
                <w:szCs w:val="20"/>
                <w:highlight w:val="none"/>
                <w:shd w:val="clear" w:color="auto" w:fill="auto"/>
                <w:lang w:val="en-US" w:eastAsia="zh-CN"/>
              </w:rPr>
              <w:t>满意度</w:t>
            </w:r>
            <w:bookmarkEnd w:id="164"/>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8DA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F37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7D7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A3C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1475E8D5">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77A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9C4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904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B3E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DE5990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65" w:name="_Toc27006"/>
      <w:bookmarkStart w:id="166" w:name="_Toc29606"/>
      <w:r>
        <w:rPr>
          <w:rFonts w:hint="eastAsia" w:ascii="仿宋_GB2312" w:hAnsi="仿宋_GB2312" w:eastAsia="仿宋_GB2312" w:cs="仿宋_GB2312"/>
          <w:b/>
          <w:bCs/>
          <w:color w:val="auto"/>
          <w:sz w:val="32"/>
          <w:szCs w:val="32"/>
          <w:highlight w:val="none"/>
          <w:lang w:val="en-US" w:eastAsia="zh-CN"/>
        </w:rPr>
        <w:t>2.社会效益指标</w:t>
      </w:r>
      <w:bookmarkEnd w:id="165"/>
      <w:r>
        <w:rPr>
          <w:rFonts w:hint="eastAsia" w:ascii="仿宋_GB2312" w:hAnsi="仿宋_GB2312" w:eastAsia="仿宋_GB2312" w:cs="仿宋_GB2312"/>
          <w:b/>
          <w:bCs/>
          <w:color w:val="auto"/>
          <w:sz w:val="32"/>
          <w:szCs w:val="32"/>
          <w:highlight w:val="none"/>
          <w:lang w:val="en-US" w:eastAsia="zh-CN"/>
        </w:rPr>
        <w:t>完成情况</w:t>
      </w:r>
      <w:bookmarkEnd w:id="166"/>
    </w:p>
    <w:p w14:paraId="3E29F12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bookmarkStart w:id="167" w:name="OLE_LINK29"/>
      <w:bookmarkStart w:id="168" w:name="OLE_LINK26"/>
      <w:r>
        <w:rPr>
          <w:rFonts w:hint="eastAsia" w:ascii="仿宋_GB2312" w:hAnsi="仿宋_GB2312" w:eastAsia="仿宋_GB2312" w:cs="仿宋_GB2312"/>
          <w:color w:val="auto"/>
          <w:sz w:val="32"/>
          <w:szCs w:val="32"/>
          <w:highlight w:val="none"/>
          <w:lang w:eastAsia="zh-CN"/>
        </w:rPr>
        <w:t>“</w:t>
      </w:r>
      <w:bookmarkEnd w:id="167"/>
      <w:bookmarkStart w:id="169" w:name="OLE_LINK28"/>
      <w:r>
        <w:rPr>
          <w:rFonts w:hint="eastAsia" w:ascii="仿宋_GB2312" w:hAnsi="仿宋_GB2312" w:eastAsia="仿宋_GB2312" w:cs="仿宋_GB2312"/>
          <w:color w:val="auto"/>
          <w:sz w:val="32"/>
          <w:szCs w:val="32"/>
          <w:highlight w:val="none"/>
          <w:lang w:val="en-US" w:eastAsia="zh-CN"/>
        </w:rPr>
        <w:t>幼儿园正常运转率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bookmarkStart w:id="170" w:name="OLE_LINK25"/>
      <w:r>
        <w:rPr>
          <w:rFonts w:hint="eastAsia" w:ascii="仿宋_GB2312" w:hAnsi="仿宋_GB2312" w:eastAsia="仿宋_GB2312" w:cs="仿宋_GB2312"/>
          <w:color w:val="auto"/>
          <w:sz w:val="32"/>
          <w:szCs w:val="32"/>
          <w:highlight w:val="none"/>
          <w:lang w:val="en-US" w:eastAsia="zh-CN"/>
        </w:rPr>
        <w:t>100%</w:t>
      </w:r>
      <w:bookmarkEnd w:id="170"/>
      <w:r>
        <w:rPr>
          <w:rFonts w:hint="eastAsia" w:ascii="仿宋_GB2312" w:hAnsi="仿宋_GB2312" w:eastAsia="仿宋_GB2312" w:cs="仿宋_GB2312"/>
          <w:color w:val="auto"/>
          <w:sz w:val="32"/>
          <w:szCs w:val="32"/>
          <w:highlight w:val="none"/>
          <w:lang w:val="en-US" w:eastAsia="zh-CN"/>
        </w:rPr>
        <w:t>，实际完成为100%。</w:t>
      </w:r>
    </w:p>
    <w:bookmarkEnd w:id="168"/>
    <w:bookmarkEnd w:id="169"/>
    <w:p w14:paraId="3C9969A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通过项目的实施，达到维持幼儿园正常运转，保障教师的正常工资待遇，提高教师的归属感，减少教师队伍人员流失。</w:t>
      </w:r>
    </w:p>
    <w:p w14:paraId="515110A1">
      <w:pPr>
        <w:pageBreakBefore w:val="0"/>
        <w:numPr>
          <w:ilvl w:val="0"/>
          <w:numId w:val="0"/>
        </w:numPr>
        <w:kinsoku/>
        <w:wordWrap/>
        <w:overflowPunct/>
        <w:topLinePunct w:val="0"/>
        <w:autoSpaceDE/>
        <w:autoSpaceDN/>
        <w:bidi w:val="0"/>
        <w:spacing w:line="560" w:lineRule="exact"/>
        <w:ind w:left="0" w:leftChars="0" w:firstLine="560" w:firstLineChars="200"/>
        <w:textAlignment w:val="auto"/>
        <w:rPr>
          <w:rFonts w:hint="eastAsia"/>
          <w:color w:val="auto"/>
          <w:highlight w:val="none"/>
          <w:lang w:val="en-US" w:eastAsia="zh-CN"/>
        </w:rPr>
      </w:pPr>
      <w:r>
        <w:rPr>
          <w:rFonts w:hint="eastAsia" w:ascii="宋体" w:hAnsi="宋体" w:eastAsia="宋体" w:cs="宋体"/>
          <w:color w:val="auto"/>
          <w:kern w:val="2"/>
          <w:sz w:val="28"/>
          <w:szCs w:val="28"/>
          <w:lang w:val="en-US" w:eastAsia="zh-CN" w:bidi="ar-SA"/>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p w14:paraId="7BE56E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通过项目的实施，有效改善教学环境，提供良好的学生成长条件。</w:t>
      </w:r>
    </w:p>
    <w:p w14:paraId="756F26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01D85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71"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71"/>
    </w:p>
    <w:p w14:paraId="4B0B3A3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选聘教师的满意度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p>
    <w:p w14:paraId="0AB6317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105B3267">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2"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72"/>
    </w:p>
    <w:p w14:paraId="2322CFC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73" w:name="_Toc15449"/>
      <w:bookmarkStart w:id="174" w:name="_Toc28290"/>
      <w:bookmarkStart w:id="175"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73"/>
    </w:p>
    <w:p w14:paraId="778E13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174.28</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173.24</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99.4</w:t>
      </w:r>
      <w:r>
        <w:rPr>
          <w:rFonts w:hint="eastAsia" w:ascii="仿宋_GB2312" w:hAnsi="仿宋_GB2312" w:eastAsia="仿宋_GB2312" w:cs="仿宋_GB2312"/>
          <w:color w:val="auto"/>
          <w:sz w:val="32"/>
          <w:szCs w:val="32"/>
          <w:highlight w:val="none"/>
          <w:lang w:eastAsia="zh-CN"/>
        </w:rPr>
        <w:t>%。</w:t>
      </w:r>
    </w:p>
    <w:p w14:paraId="1B2DC17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阜康市晋新幼儿园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74"/>
    <w:bookmarkEnd w:id="175"/>
    <w:p w14:paraId="694A401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76"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76"/>
    </w:p>
    <w:p w14:paraId="1F251DA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1.提前规划预算，预留弹性资金以应对人员变动和政策调整。加强预算执行监控，定期核对实际发放与预算的差异，及时调整 。 </w:t>
      </w:r>
    </w:p>
    <w:p w14:paraId="348166D9">
      <w:pPr>
        <w:pageBreakBefore w:val="0"/>
        <w:kinsoku/>
        <w:wordWrap/>
        <w:overflowPunct/>
        <w:topLinePunct w:val="0"/>
        <w:autoSpaceDE/>
        <w:autoSpaceDN/>
        <w:bidi w:val="0"/>
        <w:spacing w:line="560" w:lineRule="exact"/>
        <w:ind w:left="0" w:leftChars="0" w:firstLine="640" w:firstLineChars="200"/>
        <w:jc w:val="left"/>
        <w:textAlignment w:val="auto"/>
        <w:rPr>
          <w:rFonts w:hint="default"/>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2.决策前充分征求自聘教师意见，使薪资补助政策更贴合实际需求。</w:t>
      </w:r>
    </w:p>
    <w:p w14:paraId="245F5AF4">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7"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77"/>
    </w:p>
    <w:p w14:paraId="6DD1292B">
      <w:pPr>
        <w:pageBreakBefore w:val="0"/>
        <w:kinsoku/>
        <w:wordWrap/>
        <w:overflowPunct/>
        <w:topLinePunct w:val="0"/>
        <w:autoSpaceDE/>
        <w:autoSpaceDN/>
        <w:bidi w:val="0"/>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方面，加强对预算的监督管理，同时加强预算资金管理的执行力度，完善预算资金的监督体系，要加强各部门之间的联系，使各部门共同参与财政预算资金监督管理，强化单位财政资金的跟踪监察，对资金的申报、拨付及使用情况进行监管。</w:t>
      </w:r>
    </w:p>
    <w:p w14:paraId="0B14FD86">
      <w:pPr>
        <w:pageBreakBefore w:val="0"/>
        <w:kinsoku/>
        <w:wordWrap/>
        <w:overflowPunct/>
        <w:topLinePunct w:val="0"/>
        <w:autoSpaceDE/>
        <w:autoSpaceDN/>
        <w:bidi w:val="0"/>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2.在费用报账支付时，按照预算规定的费用项目和用途进行资金使用审核、列报支付、财务核算，杜绝超支现象的发生。</w:t>
      </w:r>
    </w:p>
    <w:p w14:paraId="248C69C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8"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78"/>
    </w:p>
    <w:p w14:paraId="4A07960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3ABFB6B0">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6C85C474">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79" w:name="_Toc11349"/>
      <w:bookmarkStart w:id="180"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79"/>
      <w:bookmarkEnd w:id="180"/>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217"/>
        <w:gridCol w:w="1135"/>
        <w:gridCol w:w="1135"/>
        <w:gridCol w:w="1217"/>
        <w:gridCol w:w="1135"/>
        <w:gridCol w:w="890"/>
        <w:gridCol w:w="1053"/>
        <w:gridCol w:w="890"/>
        <w:gridCol w:w="890"/>
        <w:gridCol w:w="1053"/>
      </w:tblGrid>
      <w:tr w14:paraId="639EA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373B6C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3AE1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7A737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20A56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7DD99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7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5C10C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30DAE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213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8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664D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FB7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0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C641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阜康市晋新幼儿园</w:t>
            </w:r>
          </w:p>
        </w:tc>
      </w:tr>
      <w:tr w14:paraId="7D318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2FC5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32049">
            <w:pPr>
              <w:jc w:val="center"/>
              <w:rPr>
                <w:rFonts w:hint="eastAsia" w:ascii="宋体" w:hAnsi="宋体" w:eastAsia="宋体" w:cs="宋体"/>
                <w:b/>
                <w:bCs/>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15F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8922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061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A15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8771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E51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021E0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B6A54">
            <w:pPr>
              <w:jc w:val="center"/>
              <w:rPr>
                <w:rFonts w:hint="eastAsia" w:ascii="宋体" w:hAnsi="宋体" w:eastAsia="宋体" w:cs="宋体"/>
                <w:b/>
                <w:bCs/>
                <w:i w:val="0"/>
                <w:iCs w:val="0"/>
                <w:color w:val="000000"/>
                <w:sz w:val="18"/>
                <w:szCs w:val="18"/>
                <w:u w:val="none"/>
              </w:rPr>
            </w:pPr>
          </w:p>
        </w:tc>
        <w:tc>
          <w:tcPr>
            <w:tcW w:w="8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020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585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174.28</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437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174.28</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07B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173.24</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2B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812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99.40%</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568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9.94</w:t>
            </w:r>
          </w:p>
        </w:tc>
      </w:tr>
      <w:tr w14:paraId="49511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2A32F">
            <w:pPr>
              <w:jc w:val="center"/>
              <w:rPr>
                <w:rFonts w:hint="eastAsia" w:ascii="宋体" w:hAnsi="宋体" w:eastAsia="宋体" w:cs="宋体"/>
                <w:b/>
                <w:bCs/>
                <w:i w:val="0"/>
                <w:iCs w:val="0"/>
                <w:color w:val="000000"/>
                <w:sz w:val="18"/>
                <w:szCs w:val="18"/>
                <w:u w:val="none"/>
              </w:rPr>
            </w:pPr>
          </w:p>
        </w:tc>
        <w:tc>
          <w:tcPr>
            <w:tcW w:w="8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A58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E3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174.28</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6D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174.28</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B83C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173.24</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28A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9C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96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6E76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29838">
            <w:pPr>
              <w:jc w:val="center"/>
              <w:rPr>
                <w:rFonts w:hint="eastAsia" w:ascii="宋体" w:hAnsi="宋体" w:eastAsia="宋体" w:cs="宋体"/>
                <w:b/>
                <w:bCs/>
                <w:i w:val="0"/>
                <w:iCs w:val="0"/>
                <w:color w:val="000000"/>
                <w:sz w:val="18"/>
                <w:szCs w:val="18"/>
                <w:u w:val="none"/>
              </w:rPr>
            </w:pPr>
          </w:p>
        </w:tc>
        <w:tc>
          <w:tcPr>
            <w:tcW w:w="8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9F2B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B1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C1C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185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AB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E8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EB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2AA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F90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0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E9BA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72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2EE7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7D42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0E8BA">
            <w:pPr>
              <w:jc w:val="center"/>
              <w:rPr>
                <w:rFonts w:hint="eastAsia" w:ascii="宋体" w:hAnsi="宋体" w:eastAsia="宋体" w:cs="宋体"/>
                <w:b/>
                <w:bCs/>
                <w:i w:val="0"/>
                <w:iCs w:val="0"/>
                <w:color w:val="000000"/>
                <w:sz w:val="18"/>
                <w:szCs w:val="18"/>
                <w:u w:val="none"/>
              </w:rPr>
            </w:pPr>
          </w:p>
        </w:tc>
        <w:tc>
          <w:tcPr>
            <w:tcW w:w="20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1D24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2024年幼儿园正常运转，维持幼儿园正常教学秩序。计划全年按时支付选聘教师31人12次工资补助经费，每人每年5.62万元。通过按时发放选聘教师工资，保障教师的正常工资待遇，提高教师的归属感，减少教师队伍人员流失，有效改善教学环境，提供良好的幼儿成长条件，达到幼儿园正常运转的目的。</w:t>
            </w:r>
          </w:p>
        </w:tc>
        <w:tc>
          <w:tcPr>
            <w:tcW w:w="272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60D5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按每人每年5.62万元的标准完成29名选聘教师12次的工资发放，共支付173.24万元。人员经费享受比例达到了100%，项目实施达到维持幼儿园正常运转，有效改善教学环境，提供良好的学生成长条件。</w:t>
            </w:r>
          </w:p>
        </w:tc>
      </w:tr>
      <w:tr w14:paraId="1B2ED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050DF">
            <w:pPr>
              <w:jc w:val="center"/>
              <w:rPr>
                <w:rFonts w:hint="eastAsia" w:ascii="宋体" w:hAnsi="宋体" w:eastAsia="宋体" w:cs="宋体"/>
                <w:i w:val="0"/>
                <w:iCs w:val="0"/>
                <w:color w:val="000000"/>
                <w:sz w:val="18"/>
                <w:szCs w:val="18"/>
                <w:u w:val="none"/>
              </w:rPr>
            </w:pPr>
          </w:p>
        </w:tc>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F46E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0D6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AC0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36D1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B83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BFB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9B03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AEC1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F0E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A0D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1B66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F3B4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6CCB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1F38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AFB6A">
            <w:pPr>
              <w:jc w:val="center"/>
              <w:rPr>
                <w:rFonts w:hint="eastAsia" w:ascii="宋体" w:hAnsi="宋体" w:eastAsia="宋体" w:cs="宋体"/>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A0220">
            <w:pPr>
              <w:jc w:val="center"/>
              <w:rPr>
                <w:rFonts w:hint="eastAsia" w:ascii="宋体" w:hAnsi="宋体" w:eastAsia="宋体" w:cs="宋体"/>
                <w:b/>
                <w:bCs/>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0FBAD">
            <w:pPr>
              <w:jc w:val="center"/>
              <w:rPr>
                <w:rFonts w:hint="eastAsia" w:ascii="宋体" w:hAnsi="宋体" w:eastAsia="宋体" w:cs="宋体"/>
                <w:b/>
                <w:bCs/>
                <w:i w:val="0"/>
                <w:iCs w:val="0"/>
                <w:color w:val="000000"/>
                <w:sz w:val="18"/>
                <w:szCs w:val="18"/>
                <w:u w:val="none"/>
              </w:rPr>
            </w:pP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1D0D0">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D8E1A">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1602B">
            <w:pPr>
              <w:jc w:val="center"/>
              <w:rPr>
                <w:rFonts w:hint="eastAsia" w:ascii="宋体" w:hAnsi="宋体" w:eastAsia="宋体" w:cs="宋体"/>
                <w:b/>
                <w:bCs/>
                <w:i w:val="0"/>
                <w:iCs w:val="0"/>
                <w:color w:val="000000"/>
                <w:sz w:val="18"/>
                <w:szCs w:val="18"/>
                <w:u w:val="none"/>
              </w:rPr>
            </w:pPr>
          </w:p>
        </w:tc>
        <w:tc>
          <w:tcPr>
            <w:tcW w:w="3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203E3">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1CB2B">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08FAD">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52668">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8C007">
            <w:pPr>
              <w:jc w:val="center"/>
              <w:rPr>
                <w:rFonts w:hint="eastAsia" w:ascii="宋体" w:hAnsi="宋体" w:eastAsia="宋体" w:cs="宋体"/>
                <w:b/>
                <w:bCs/>
                <w:i w:val="0"/>
                <w:iCs w:val="0"/>
                <w:color w:val="000000"/>
                <w:sz w:val="18"/>
                <w:szCs w:val="18"/>
                <w:u w:val="none"/>
              </w:rPr>
            </w:pPr>
          </w:p>
        </w:tc>
        <w:tc>
          <w:tcPr>
            <w:tcW w:w="4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AC9A9">
            <w:pPr>
              <w:jc w:val="center"/>
              <w:rPr>
                <w:rFonts w:hint="eastAsia" w:ascii="宋体" w:hAnsi="宋体" w:eastAsia="宋体" w:cs="宋体"/>
                <w:b/>
                <w:bCs/>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BB1D9">
            <w:pPr>
              <w:jc w:val="center"/>
              <w:rPr>
                <w:rFonts w:hint="eastAsia" w:ascii="宋体" w:hAnsi="宋体" w:eastAsia="宋体" w:cs="宋体"/>
                <w:b/>
                <w:bCs/>
                <w:i w:val="0"/>
                <w:iCs w:val="0"/>
                <w:color w:val="000000"/>
                <w:sz w:val="18"/>
                <w:szCs w:val="18"/>
                <w:u w:val="none"/>
              </w:rPr>
            </w:pPr>
          </w:p>
        </w:tc>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44631">
            <w:pPr>
              <w:jc w:val="center"/>
              <w:rPr>
                <w:rFonts w:hint="eastAsia" w:ascii="宋体" w:hAnsi="宋体" w:eastAsia="宋体" w:cs="宋体"/>
                <w:b/>
                <w:bCs/>
                <w:i w:val="0"/>
                <w:iCs w:val="0"/>
                <w:color w:val="000000"/>
                <w:sz w:val="18"/>
                <w:szCs w:val="18"/>
                <w:u w:val="none"/>
              </w:rPr>
            </w:pPr>
          </w:p>
        </w:tc>
      </w:tr>
      <w:tr w14:paraId="4DA3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33F4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1A9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79C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F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43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F2B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&gt;=31人</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348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74D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99.40%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E2C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E4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7B9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15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052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70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2024年有辞职人员</w:t>
            </w:r>
          </w:p>
        </w:tc>
      </w:tr>
      <w:tr w14:paraId="03921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00A1B">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A4DD3">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DC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300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工资支付次数</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C04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6D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&gt;=12次</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C0E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767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7C5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FE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774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CF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90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8CCD5">
            <w:pPr>
              <w:jc w:val="center"/>
              <w:rPr>
                <w:rFonts w:hint="eastAsia" w:ascii="宋体" w:hAnsi="宋体" w:eastAsia="宋体" w:cs="宋体"/>
                <w:i w:val="0"/>
                <w:iCs w:val="0"/>
                <w:color w:val="000000"/>
                <w:sz w:val="18"/>
                <w:szCs w:val="18"/>
                <w:u w:val="none"/>
              </w:rPr>
            </w:pPr>
          </w:p>
        </w:tc>
      </w:tr>
      <w:tr w14:paraId="68E7D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27091">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FC009">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93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80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3B6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D3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6F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ED9F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A1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FF4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E8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7C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F3A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53906">
            <w:pPr>
              <w:jc w:val="center"/>
              <w:rPr>
                <w:rFonts w:hint="eastAsia" w:ascii="宋体" w:hAnsi="宋体" w:eastAsia="宋体" w:cs="宋体"/>
                <w:i w:val="0"/>
                <w:iCs w:val="0"/>
                <w:color w:val="000000"/>
                <w:sz w:val="18"/>
                <w:szCs w:val="18"/>
                <w:u w:val="none"/>
              </w:rPr>
            </w:pPr>
          </w:p>
        </w:tc>
      </w:tr>
      <w:tr w14:paraId="650A0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2BB49">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E792A">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3AE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28C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F0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32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A9C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641D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2B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F3E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4C0CC">
            <w:pPr>
              <w:jc w:val="center"/>
              <w:rPr>
                <w:rFonts w:hint="eastAsia" w:ascii="宋体" w:hAnsi="宋体" w:eastAsia="宋体" w:cs="宋体"/>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2B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61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BE7AF">
            <w:pPr>
              <w:jc w:val="center"/>
              <w:rPr>
                <w:rFonts w:hint="eastAsia" w:ascii="宋体" w:hAnsi="宋体" w:eastAsia="宋体" w:cs="宋体"/>
                <w:i w:val="0"/>
                <w:iCs w:val="0"/>
                <w:color w:val="000000"/>
                <w:sz w:val="18"/>
                <w:szCs w:val="18"/>
                <w:u w:val="none"/>
              </w:rPr>
            </w:pPr>
          </w:p>
        </w:tc>
      </w:tr>
      <w:tr w14:paraId="32C34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8131B">
            <w:pPr>
              <w:jc w:val="center"/>
              <w:rPr>
                <w:rFonts w:hint="eastAsia" w:ascii="宋体" w:hAnsi="宋体" w:eastAsia="宋体" w:cs="宋体"/>
                <w:b/>
                <w:bCs/>
                <w:i w:val="0"/>
                <w:iCs w:val="0"/>
                <w:color w:val="000000"/>
                <w:sz w:val="18"/>
                <w:szCs w:val="18"/>
                <w:u w:val="none"/>
              </w:rPr>
            </w:pPr>
          </w:p>
        </w:tc>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A1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C34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BA0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84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B3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1E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D002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757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396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BC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5.48万元/人/学年</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70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2EA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53C0F">
            <w:pPr>
              <w:jc w:val="center"/>
              <w:rPr>
                <w:rFonts w:hint="eastAsia" w:ascii="宋体" w:hAnsi="宋体" w:eastAsia="宋体" w:cs="宋体"/>
                <w:i w:val="0"/>
                <w:iCs w:val="0"/>
                <w:color w:val="000000"/>
                <w:sz w:val="18"/>
                <w:szCs w:val="18"/>
                <w:u w:val="none"/>
              </w:rPr>
            </w:pPr>
          </w:p>
        </w:tc>
      </w:tr>
      <w:tr w14:paraId="2CC59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7508E">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D156C">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3D9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9C4CE">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61B91">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BD957">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D22A7">
            <w:pPr>
              <w:jc w:val="center"/>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ED36">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DBB0F">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4BB5">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065B7">
            <w:pPr>
              <w:jc w:val="center"/>
              <w:rPr>
                <w:rFonts w:hint="eastAsia" w:ascii="宋体" w:hAnsi="宋体" w:eastAsia="宋体" w:cs="宋体"/>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ABFC3">
            <w:pPr>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6CCBB">
            <w:pPr>
              <w:jc w:val="center"/>
              <w:rPr>
                <w:rFonts w:hint="eastAsia" w:ascii="宋体" w:hAnsi="宋体" w:eastAsia="宋体" w:cs="宋体"/>
                <w:i w:val="0"/>
                <w:iCs w:val="0"/>
                <w:color w:val="000000"/>
                <w:sz w:val="18"/>
                <w:szCs w:val="18"/>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A4448">
            <w:pPr>
              <w:jc w:val="center"/>
              <w:rPr>
                <w:rFonts w:hint="eastAsia" w:ascii="宋体" w:hAnsi="宋体" w:eastAsia="宋体" w:cs="宋体"/>
                <w:i w:val="0"/>
                <w:iCs w:val="0"/>
                <w:color w:val="000000"/>
                <w:sz w:val="18"/>
                <w:szCs w:val="18"/>
                <w:u w:val="none"/>
              </w:rPr>
            </w:pPr>
          </w:p>
        </w:tc>
      </w:tr>
      <w:tr w14:paraId="5E5B5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2F902">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3D94B">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8B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9B470">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57A50">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B1DDB">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B2351">
            <w:pPr>
              <w:jc w:val="center"/>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1B6D">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B3451">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46D2">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26B8B">
            <w:pPr>
              <w:jc w:val="center"/>
              <w:rPr>
                <w:rFonts w:hint="eastAsia" w:ascii="宋体" w:hAnsi="宋体" w:eastAsia="宋体" w:cs="宋体"/>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348CE">
            <w:pPr>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A12A8">
            <w:pPr>
              <w:jc w:val="center"/>
              <w:rPr>
                <w:rFonts w:hint="eastAsia" w:ascii="宋体" w:hAnsi="宋体" w:eastAsia="宋体" w:cs="宋体"/>
                <w:i w:val="0"/>
                <w:iCs w:val="0"/>
                <w:color w:val="000000"/>
                <w:sz w:val="18"/>
                <w:szCs w:val="18"/>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2BAD5">
            <w:pPr>
              <w:jc w:val="center"/>
              <w:rPr>
                <w:rFonts w:hint="eastAsia" w:ascii="宋体" w:hAnsi="宋体" w:eastAsia="宋体" w:cs="宋体"/>
                <w:i w:val="0"/>
                <w:iCs w:val="0"/>
                <w:color w:val="000000"/>
                <w:sz w:val="18"/>
                <w:szCs w:val="18"/>
                <w:u w:val="none"/>
              </w:rPr>
            </w:pPr>
          </w:p>
        </w:tc>
      </w:tr>
      <w:tr w14:paraId="24747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265D4">
            <w:pPr>
              <w:jc w:val="center"/>
              <w:rPr>
                <w:rFonts w:hint="eastAsia" w:ascii="宋体" w:hAnsi="宋体" w:eastAsia="宋体" w:cs="宋体"/>
                <w:b/>
                <w:bCs/>
                <w:i w:val="0"/>
                <w:iCs w:val="0"/>
                <w:color w:val="000000"/>
                <w:sz w:val="18"/>
                <w:szCs w:val="18"/>
                <w:u w:val="none"/>
              </w:rPr>
            </w:pPr>
          </w:p>
        </w:tc>
        <w:tc>
          <w:tcPr>
            <w:tcW w:w="2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04A0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25C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93C06">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6DBDE">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F36F2">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30BEB">
            <w:pPr>
              <w:jc w:val="center"/>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2BF9">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A66C5">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9EB2F">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D8DB7">
            <w:pPr>
              <w:jc w:val="center"/>
              <w:rPr>
                <w:rFonts w:hint="eastAsia" w:ascii="宋体" w:hAnsi="宋体" w:eastAsia="宋体" w:cs="宋体"/>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62FE5">
            <w:pPr>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178CB">
            <w:pPr>
              <w:jc w:val="center"/>
              <w:rPr>
                <w:rFonts w:hint="eastAsia" w:ascii="宋体" w:hAnsi="宋体" w:eastAsia="宋体" w:cs="宋体"/>
                <w:i w:val="0"/>
                <w:iCs w:val="0"/>
                <w:color w:val="000000"/>
                <w:sz w:val="18"/>
                <w:szCs w:val="18"/>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34813">
            <w:pPr>
              <w:jc w:val="center"/>
              <w:rPr>
                <w:rFonts w:hint="eastAsia" w:ascii="宋体" w:hAnsi="宋体" w:eastAsia="宋体" w:cs="宋体"/>
                <w:i w:val="0"/>
                <w:iCs w:val="0"/>
                <w:color w:val="000000"/>
                <w:sz w:val="18"/>
                <w:szCs w:val="18"/>
                <w:u w:val="none"/>
              </w:rPr>
            </w:pPr>
          </w:p>
        </w:tc>
      </w:tr>
      <w:tr w14:paraId="44449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5B308">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22701">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CC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7A6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24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3A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DF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13EC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AA7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DAB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67443">
            <w:pPr>
              <w:jc w:val="center"/>
              <w:rPr>
                <w:rFonts w:hint="eastAsia" w:ascii="宋体" w:hAnsi="宋体" w:eastAsia="宋体" w:cs="宋体"/>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66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398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284D0">
            <w:pPr>
              <w:jc w:val="center"/>
              <w:rPr>
                <w:rFonts w:hint="eastAsia" w:ascii="宋体" w:hAnsi="宋体" w:eastAsia="宋体" w:cs="宋体"/>
                <w:i w:val="0"/>
                <w:iCs w:val="0"/>
                <w:color w:val="000000"/>
                <w:sz w:val="18"/>
                <w:szCs w:val="18"/>
                <w:u w:val="none"/>
              </w:rPr>
            </w:pPr>
          </w:p>
        </w:tc>
      </w:tr>
      <w:tr w14:paraId="115F8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15BA1">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72EC6">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9C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F6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CA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AA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BC5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5E7B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05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9F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8F7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BB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5C6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1CB4">
            <w:pPr>
              <w:jc w:val="center"/>
              <w:rPr>
                <w:rFonts w:hint="eastAsia" w:ascii="宋体" w:hAnsi="宋体" w:eastAsia="宋体" w:cs="宋体"/>
                <w:i w:val="0"/>
                <w:iCs w:val="0"/>
                <w:color w:val="000000"/>
                <w:sz w:val="18"/>
                <w:szCs w:val="18"/>
                <w:u w:val="none"/>
              </w:rPr>
            </w:pPr>
          </w:p>
        </w:tc>
      </w:tr>
      <w:tr w14:paraId="32D7D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FF3A7">
            <w:pPr>
              <w:jc w:val="center"/>
              <w:rPr>
                <w:rFonts w:hint="eastAsia" w:ascii="宋体" w:hAnsi="宋体" w:eastAsia="宋体" w:cs="宋体"/>
                <w:b/>
                <w:bCs/>
                <w:i w:val="0"/>
                <w:iCs w:val="0"/>
                <w:color w:val="000000"/>
                <w:sz w:val="18"/>
                <w:szCs w:val="18"/>
                <w:u w:val="none"/>
              </w:rPr>
            </w:pPr>
          </w:p>
        </w:tc>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1FBD6">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73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CBA2C">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7F821">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1F5AF">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64647">
            <w:pPr>
              <w:jc w:val="center"/>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DD4D">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CB95A">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570C6">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F67C5">
            <w:pPr>
              <w:jc w:val="center"/>
              <w:rPr>
                <w:rFonts w:hint="eastAsia" w:ascii="宋体" w:hAnsi="宋体" w:eastAsia="宋体" w:cs="宋体"/>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9220D">
            <w:pPr>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E2FA">
            <w:pPr>
              <w:jc w:val="center"/>
              <w:rPr>
                <w:rFonts w:hint="eastAsia" w:ascii="宋体" w:hAnsi="宋体" w:eastAsia="宋体" w:cs="宋体"/>
                <w:i w:val="0"/>
                <w:iCs w:val="0"/>
                <w:color w:val="000000"/>
                <w:sz w:val="18"/>
                <w:szCs w:val="18"/>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F2525">
            <w:pPr>
              <w:jc w:val="center"/>
              <w:rPr>
                <w:rFonts w:hint="eastAsia" w:ascii="宋体" w:hAnsi="宋体" w:eastAsia="宋体" w:cs="宋体"/>
                <w:i w:val="0"/>
                <w:iCs w:val="0"/>
                <w:color w:val="000000"/>
                <w:sz w:val="18"/>
                <w:szCs w:val="18"/>
                <w:u w:val="none"/>
              </w:rPr>
            </w:pPr>
          </w:p>
        </w:tc>
      </w:tr>
      <w:tr w14:paraId="74596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C2E69">
            <w:pPr>
              <w:jc w:val="center"/>
              <w:rPr>
                <w:rFonts w:hint="eastAsia" w:ascii="宋体" w:hAnsi="宋体" w:eastAsia="宋体" w:cs="宋体"/>
                <w:b/>
                <w:bCs/>
                <w:i w:val="0"/>
                <w:iCs w:val="0"/>
                <w:color w:val="000000"/>
                <w:sz w:val="18"/>
                <w:szCs w:val="18"/>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14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516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AE662">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DA30B">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357C7">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8865">
            <w:pPr>
              <w:jc w:val="center"/>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4B94">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6E159">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08EAC">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5298A">
            <w:pPr>
              <w:jc w:val="center"/>
              <w:rPr>
                <w:rFonts w:hint="eastAsia" w:ascii="宋体" w:hAnsi="宋体" w:eastAsia="宋体" w:cs="宋体"/>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D76D7">
            <w:pPr>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244BF">
            <w:pPr>
              <w:jc w:val="center"/>
              <w:rPr>
                <w:rFonts w:hint="eastAsia" w:ascii="宋体" w:hAnsi="宋体" w:eastAsia="宋体" w:cs="宋体"/>
                <w:i w:val="0"/>
                <w:iCs w:val="0"/>
                <w:color w:val="000000"/>
                <w:sz w:val="18"/>
                <w:szCs w:val="18"/>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EE374">
            <w:pPr>
              <w:jc w:val="center"/>
              <w:rPr>
                <w:rFonts w:hint="eastAsia" w:ascii="宋体" w:hAnsi="宋体" w:eastAsia="宋体" w:cs="宋体"/>
                <w:i w:val="0"/>
                <w:iCs w:val="0"/>
                <w:color w:val="000000"/>
                <w:sz w:val="18"/>
                <w:szCs w:val="18"/>
                <w:u w:val="none"/>
              </w:rPr>
            </w:pPr>
          </w:p>
        </w:tc>
      </w:tr>
      <w:tr w14:paraId="380EA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53" w:type="pct"/>
            <w:gridSpan w:val="4"/>
            <w:tcBorders>
              <w:top w:val="single" w:color="000000" w:sz="4" w:space="0"/>
              <w:left w:val="single" w:color="000000" w:sz="4" w:space="0"/>
              <w:bottom w:val="single" w:color="000000" w:sz="4" w:space="0"/>
              <w:right w:val="nil"/>
            </w:tcBorders>
            <w:shd w:val="clear" w:color="auto" w:fill="auto"/>
            <w:vAlign w:val="center"/>
          </w:tcPr>
          <w:p w14:paraId="341BF3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AB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1" w:type="pct"/>
            <w:tcBorders>
              <w:top w:val="single" w:color="000000" w:sz="4" w:space="0"/>
              <w:left w:val="nil"/>
              <w:bottom w:val="single" w:color="000000" w:sz="4" w:space="0"/>
              <w:right w:val="single" w:color="000000" w:sz="4" w:space="0"/>
            </w:tcBorders>
            <w:shd w:val="clear" w:color="auto" w:fill="auto"/>
            <w:vAlign w:val="center"/>
          </w:tcPr>
          <w:p w14:paraId="2438CD44">
            <w:pPr>
              <w:rPr>
                <w:rFonts w:hint="eastAsia" w:ascii="宋体" w:hAnsi="宋体" w:eastAsia="宋体" w:cs="宋体"/>
                <w:b/>
                <w:bCs/>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F95D1">
            <w:pPr>
              <w:jc w:val="center"/>
              <w:rPr>
                <w:rFonts w:hint="eastAsia" w:ascii="宋体" w:hAnsi="宋体" w:eastAsia="宋体" w:cs="宋体"/>
                <w:i w:val="0"/>
                <w:iCs w:val="0"/>
                <w:color w:val="000000"/>
                <w:sz w:val="18"/>
                <w:szCs w:val="18"/>
                <w:u w:val="none"/>
              </w:rPr>
            </w:pPr>
            <w:bookmarkStart w:id="185" w:name="_GoBack"/>
            <w:bookmarkEnd w:id="185"/>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6C656">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B9F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99.79分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5B8C3">
            <w:pP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7F177">
            <w:pPr>
              <w:rPr>
                <w:rFonts w:hint="eastAsia" w:ascii="宋体" w:hAnsi="宋体" w:eastAsia="宋体" w:cs="宋体"/>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1E834">
            <w:pP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D39D3">
            <w:pPr>
              <w:rPr>
                <w:rFonts w:hint="eastAsia" w:ascii="宋体" w:hAnsi="宋体" w:eastAsia="宋体" w:cs="宋体"/>
                <w:i w:val="0"/>
                <w:iCs w:val="0"/>
                <w:color w:val="000000"/>
                <w:sz w:val="18"/>
                <w:szCs w:val="18"/>
                <w:u w:val="none"/>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08E45">
            <w:pPr>
              <w:rPr>
                <w:rFonts w:hint="eastAsia" w:ascii="宋体" w:hAnsi="宋体" w:eastAsia="宋体" w:cs="宋体"/>
                <w:i w:val="0"/>
                <w:iCs w:val="0"/>
                <w:color w:val="000000"/>
                <w:sz w:val="18"/>
                <w:szCs w:val="18"/>
                <w:u w:val="none"/>
              </w:rPr>
            </w:pPr>
          </w:p>
        </w:tc>
      </w:tr>
    </w:tbl>
    <w:p w14:paraId="14AF9686">
      <w:pPr>
        <w:ind w:left="0" w:leftChars="0" w:firstLine="0" w:firstLineChars="0"/>
      </w:pPr>
      <w:r>
        <w:br w:type="page"/>
      </w:r>
    </w:p>
    <w:p w14:paraId="778E808F">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81" w:name="_Toc15067"/>
      <w:bookmarkStart w:id="182"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81"/>
      <w:bookmarkEnd w:id="182"/>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20969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09527E6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77AC52B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4F11E99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34DA17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0E9FBA2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020D6FD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7C172F5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1C1CF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4C3F24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53BF3AC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A8D879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83B25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7581994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10277F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440788F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4F983A5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E52578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2B6BDB8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5BC49E6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51F0A36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5A85DBF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3C08B9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D5912C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79A5E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47E4C1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EB206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69F3F4E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104229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327B37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042ED9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F5B016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7465DD9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06A8FF6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1B5551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F9233D">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7C394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A0DAC2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0CCE593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2FF97B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7A435A3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D6177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C5FD09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16F0B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691D2DC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510A64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1693C32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6630FC5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50427F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6DC16A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2D85F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71DD40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232008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1C31F1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1F1BA1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6FFFE6E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325A0C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1D29F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153185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27F151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0BD36F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45A64D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C3859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3015D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02BBA51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A4B0B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792309F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4AF6E1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2457A1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0893BC6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334328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0E048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2FA0D8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2B7884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3998B1A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ED3AE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664970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3AAA6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7BC2F7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63BB5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5C09C65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33BEFC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77C103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690CD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87EF5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65F7BD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1CEE9F8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A7B1B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7758A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5C52A2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5413354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6049F9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4F9A38B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787B95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1BB725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4D8A08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4C18680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B66A0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DA651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C530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832FBD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0CE4E8D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0E2E21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14F22E0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0D5951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36C6EB4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55A867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9113A0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941A9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FC5809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8A584D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7DC3A1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29CF75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695528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1F803BE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632296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34121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42F389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15B501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7E6E52B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9829D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070675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3.98</w:t>
            </w:r>
          </w:p>
        </w:tc>
      </w:tr>
      <w:tr w14:paraId="63B9D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81A1C0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741CCC4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4A0497A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37BD9AC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6B04CF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F5011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0DF072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03E50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698263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22B0D9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9C8DA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25F0D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740A21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474D2E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1EEB70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438DAA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3BBECF3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AC354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7F0DCF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56C288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67B7AA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7496B9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798BEF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EC69D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ACD6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0" w:hRule="atLeast"/>
          <w:jc w:val="center"/>
        </w:trPr>
        <w:tc>
          <w:tcPr>
            <w:tcW w:w="861" w:type="dxa"/>
            <w:shd w:val="clear" w:color="auto" w:fill="auto"/>
            <w:noWrap w:val="0"/>
            <w:vAlign w:val="center"/>
          </w:tcPr>
          <w:p w14:paraId="41C455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0D7E657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3465B28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选聘教师人数</w:t>
            </w:r>
          </w:p>
        </w:tc>
        <w:tc>
          <w:tcPr>
            <w:tcW w:w="2141" w:type="dxa"/>
            <w:shd w:val="clear" w:color="auto" w:fill="auto"/>
            <w:noWrap w:val="0"/>
            <w:vAlign w:val="center"/>
          </w:tcPr>
          <w:p w14:paraId="41A86B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4045A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0B28AA7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628373E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655579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5251061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8"/>
                <w:szCs w:val="28"/>
                <w:highlight w:val="none"/>
                <w:lang w:val="en-US" w:eastAsia="zh-CN"/>
              </w:rPr>
            </w:pPr>
            <w:r>
              <w:rPr>
                <w:rFonts w:hint="eastAsia" w:cs="宋体"/>
                <w:color w:val="000000"/>
                <w:kern w:val="0"/>
                <w:sz w:val="22"/>
                <w:szCs w:val="22"/>
                <w:highlight w:val="none"/>
                <w:lang w:val="en-US" w:eastAsia="zh-CN"/>
              </w:rPr>
              <w:t>6.71</w:t>
            </w:r>
          </w:p>
        </w:tc>
      </w:tr>
      <w:tr w14:paraId="04330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94" w:hRule="atLeast"/>
          <w:jc w:val="center"/>
        </w:trPr>
        <w:tc>
          <w:tcPr>
            <w:tcW w:w="861" w:type="dxa"/>
            <w:vMerge w:val="restart"/>
            <w:shd w:val="clear" w:color="auto" w:fill="auto"/>
            <w:noWrap w:val="0"/>
            <w:vAlign w:val="center"/>
          </w:tcPr>
          <w:p w14:paraId="72A85B4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bookmarkStart w:id="183" w:name="OLE_LINK34" w:colFirst="3" w:colLast="4"/>
            <w:r>
              <w:rPr>
                <w:rFonts w:hint="eastAsia" w:ascii="宋体" w:hAnsi="宋体" w:eastAsia="宋体" w:cs="宋体"/>
                <w:color w:val="000000"/>
                <w:kern w:val="0"/>
                <w:sz w:val="22"/>
                <w:szCs w:val="22"/>
                <w:highlight w:val="none"/>
              </w:rPr>
              <w:t>产出</w:t>
            </w:r>
          </w:p>
          <w:p w14:paraId="64F93C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14:paraId="1271742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625A3FE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工资支付次数</w:t>
            </w:r>
          </w:p>
        </w:tc>
        <w:tc>
          <w:tcPr>
            <w:tcW w:w="2141" w:type="dxa"/>
            <w:shd w:val="clear" w:color="auto" w:fill="auto"/>
            <w:noWrap w:val="0"/>
            <w:vAlign w:val="center"/>
          </w:tcPr>
          <w:p w14:paraId="393C26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FBDDF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2EBCBA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7ABB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w:t>
            </w:r>
          </w:p>
        </w:tc>
        <w:tc>
          <w:tcPr>
            <w:tcW w:w="769" w:type="dxa"/>
            <w:shd w:val="clear" w:color="auto" w:fill="auto"/>
            <w:noWrap w:val="0"/>
            <w:vAlign w:val="center"/>
          </w:tcPr>
          <w:p w14:paraId="704DFAC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w:t>
            </w:r>
          </w:p>
        </w:tc>
      </w:tr>
      <w:bookmarkEnd w:id="183"/>
      <w:tr w14:paraId="381AD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43" w:hRule="atLeast"/>
          <w:jc w:val="center"/>
        </w:trPr>
        <w:tc>
          <w:tcPr>
            <w:tcW w:w="861" w:type="dxa"/>
            <w:vMerge w:val="continue"/>
            <w:shd w:val="clear" w:color="auto" w:fill="auto"/>
            <w:noWrap w:val="0"/>
            <w:vAlign w:val="center"/>
          </w:tcPr>
          <w:p w14:paraId="58AA3BD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44E72A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34708FC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人员经费享受比例</w:t>
            </w:r>
          </w:p>
        </w:tc>
        <w:tc>
          <w:tcPr>
            <w:tcW w:w="2141" w:type="dxa"/>
            <w:shd w:val="clear" w:color="auto" w:fill="auto"/>
            <w:noWrap w:val="0"/>
            <w:vAlign w:val="center"/>
          </w:tcPr>
          <w:p w14:paraId="794F52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51A562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4EDCFD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85A8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c>
          <w:tcPr>
            <w:tcW w:w="769" w:type="dxa"/>
            <w:shd w:val="clear" w:color="auto" w:fill="auto"/>
            <w:noWrap w:val="0"/>
            <w:vAlign w:val="center"/>
          </w:tcPr>
          <w:p w14:paraId="3226D5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r>
      <w:tr w14:paraId="21F2C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80" w:hRule="atLeast"/>
          <w:jc w:val="center"/>
        </w:trPr>
        <w:tc>
          <w:tcPr>
            <w:tcW w:w="861" w:type="dxa"/>
            <w:vMerge w:val="continue"/>
            <w:shd w:val="clear" w:color="auto" w:fill="auto"/>
            <w:noWrap w:val="0"/>
            <w:vAlign w:val="center"/>
          </w:tcPr>
          <w:p w14:paraId="0D9EF9F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63974E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3F37E93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选聘教师工资发放时间</w:t>
            </w:r>
          </w:p>
        </w:tc>
        <w:tc>
          <w:tcPr>
            <w:tcW w:w="2141" w:type="dxa"/>
            <w:shd w:val="clear" w:color="auto" w:fill="auto"/>
            <w:noWrap w:val="0"/>
            <w:vAlign w:val="center"/>
          </w:tcPr>
          <w:p w14:paraId="4E904E3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1307DA6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019D75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4749E8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30363D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14:paraId="42569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11C7F7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1C4165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A3F0A5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人员经费标准</w:t>
            </w:r>
          </w:p>
        </w:tc>
        <w:tc>
          <w:tcPr>
            <w:tcW w:w="2141" w:type="dxa"/>
            <w:shd w:val="clear" w:color="auto" w:fill="auto"/>
            <w:noWrap w:val="0"/>
            <w:vAlign w:val="center"/>
          </w:tcPr>
          <w:p w14:paraId="6971B11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1C06C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34EA98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025A84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5B0FCD9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0C5C2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5CADD1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14:paraId="30D7E9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25C297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bookmarkStart w:id="184" w:name="OLE_LINK35" w:colFirst="3" w:colLast="4"/>
            <w:r>
              <w:rPr>
                <w:rFonts w:hint="eastAsia" w:cs="宋体"/>
                <w:color w:val="000000"/>
                <w:kern w:val="0"/>
                <w:sz w:val="22"/>
                <w:szCs w:val="22"/>
                <w:highlight w:val="none"/>
                <w:lang w:val="en-US" w:eastAsia="zh-CN"/>
              </w:rPr>
              <w:t>效益</w:t>
            </w:r>
          </w:p>
        </w:tc>
        <w:tc>
          <w:tcPr>
            <w:tcW w:w="727" w:type="dxa"/>
            <w:vMerge w:val="restart"/>
            <w:shd w:val="clear" w:color="auto" w:fill="auto"/>
            <w:noWrap w:val="0"/>
            <w:vAlign w:val="center"/>
          </w:tcPr>
          <w:p w14:paraId="5BF3C5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7F3EF359">
            <w:pPr>
              <w:pageBreakBefore w:val="0"/>
              <w:widowControl/>
              <w:kinsoku/>
              <w:wordWrap/>
              <w:overflowPunct/>
              <w:topLinePunct w:val="0"/>
              <w:autoSpaceDE/>
              <w:autoSpaceDN/>
              <w:bidi w:val="0"/>
              <w:spacing w:line="240" w:lineRule="auto"/>
              <w:ind w:firstLine="0" w:firstLineChars="0"/>
              <w:jc w:val="both"/>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幼儿园正常运转率</w:t>
            </w:r>
          </w:p>
        </w:tc>
        <w:tc>
          <w:tcPr>
            <w:tcW w:w="2141" w:type="dxa"/>
            <w:shd w:val="clear" w:color="auto" w:fill="auto"/>
            <w:noWrap w:val="0"/>
            <w:vAlign w:val="center"/>
          </w:tcPr>
          <w:p w14:paraId="5240043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46F6BF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125A2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2BA49E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bookmarkEnd w:id="184"/>
      <w:tr w14:paraId="03228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377723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621ECE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1C4EACAC">
            <w:pPr>
              <w:pageBreakBefore w:val="0"/>
              <w:widowControl/>
              <w:kinsoku/>
              <w:wordWrap/>
              <w:overflowPunct/>
              <w:topLinePunct w:val="0"/>
              <w:autoSpaceDE/>
              <w:autoSpaceDN/>
              <w:bidi w:val="0"/>
              <w:spacing w:line="240" w:lineRule="auto"/>
              <w:ind w:firstLine="0" w:firstLineChars="0"/>
              <w:jc w:val="both"/>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改善教学环境，提供良好的学生成长条件</w:t>
            </w:r>
          </w:p>
        </w:tc>
        <w:tc>
          <w:tcPr>
            <w:tcW w:w="2141" w:type="dxa"/>
            <w:shd w:val="clear" w:color="auto" w:fill="auto"/>
            <w:noWrap w:val="0"/>
            <w:vAlign w:val="center"/>
          </w:tcPr>
          <w:p w14:paraId="6E25772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332BC6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3C83A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61D9346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1F65E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2BDC21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合计</w:t>
            </w:r>
          </w:p>
        </w:tc>
        <w:tc>
          <w:tcPr>
            <w:tcW w:w="727" w:type="dxa"/>
            <w:vMerge w:val="restart"/>
            <w:shd w:val="clear" w:color="auto" w:fill="auto"/>
            <w:noWrap w:val="0"/>
            <w:vAlign w:val="center"/>
          </w:tcPr>
          <w:p w14:paraId="0AE8133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419844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选聘教师的满意度</w:t>
            </w:r>
          </w:p>
        </w:tc>
        <w:tc>
          <w:tcPr>
            <w:tcW w:w="2141" w:type="dxa"/>
            <w:shd w:val="clear" w:color="auto" w:fill="auto"/>
            <w:noWrap w:val="0"/>
            <w:vAlign w:val="center"/>
          </w:tcPr>
          <w:p w14:paraId="5F0E762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647C8FB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EEE679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6D74C25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7EE81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33F0F4B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47D02F3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67EA5A3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2141" w:type="dxa"/>
            <w:shd w:val="clear" w:color="auto" w:fill="auto"/>
            <w:noWrap w:val="0"/>
            <w:vAlign w:val="center"/>
          </w:tcPr>
          <w:p w14:paraId="37026D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21" w:type="dxa"/>
            <w:shd w:val="clear" w:color="auto" w:fill="auto"/>
            <w:noWrap w:val="0"/>
            <w:vAlign w:val="center"/>
          </w:tcPr>
          <w:p w14:paraId="481412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7E37587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7A4F198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97.69</w:t>
            </w:r>
          </w:p>
        </w:tc>
      </w:tr>
    </w:tbl>
    <w:p w14:paraId="27172FD6">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sz w:val="30"/>
          <w:szCs w:val="24"/>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242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8C57B4">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8C57B4">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469E4DCD"/>
    <w:multiLevelType w:val="singleLevel"/>
    <w:tmpl w:val="469E4DC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3E1FD0"/>
    <w:rsid w:val="007D6A04"/>
    <w:rsid w:val="00E23C81"/>
    <w:rsid w:val="01253350"/>
    <w:rsid w:val="01282E62"/>
    <w:rsid w:val="014029CF"/>
    <w:rsid w:val="01470C4C"/>
    <w:rsid w:val="017242F0"/>
    <w:rsid w:val="01824CBD"/>
    <w:rsid w:val="01C566ED"/>
    <w:rsid w:val="02200440"/>
    <w:rsid w:val="02284B43"/>
    <w:rsid w:val="025B2F29"/>
    <w:rsid w:val="02766006"/>
    <w:rsid w:val="02B015E2"/>
    <w:rsid w:val="02DC08FA"/>
    <w:rsid w:val="02E53782"/>
    <w:rsid w:val="033B569D"/>
    <w:rsid w:val="039C3BA0"/>
    <w:rsid w:val="03A845BB"/>
    <w:rsid w:val="03B45AD1"/>
    <w:rsid w:val="03FB77C9"/>
    <w:rsid w:val="041868D8"/>
    <w:rsid w:val="04D12EE4"/>
    <w:rsid w:val="04D63993"/>
    <w:rsid w:val="07890F4F"/>
    <w:rsid w:val="08892439"/>
    <w:rsid w:val="08EB30F3"/>
    <w:rsid w:val="08FA23DF"/>
    <w:rsid w:val="09237408"/>
    <w:rsid w:val="09781BD6"/>
    <w:rsid w:val="09F359DF"/>
    <w:rsid w:val="0A034C8E"/>
    <w:rsid w:val="0A575E65"/>
    <w:rsid w:val="0ACA0AB6"/>
    <w:rsid w:val="0C032502"/>
    <w:rsid w:val="0C27698C"/>
    <w:rsid w:val="0CC07533"/>
    <w:rsid w:val="0D4452F3"/>
    <w:rsid w:val="0E9E5306"/>
    <w:rsid w:val="0F5E5042"/>
    <w:rsid w:val="0FE95707"/>
    <w:rsid w:val="10510571"/>
    <w:rsid w:val="10787A20"/>
    <w:rsid w:val="108672DE"/>
    <w:rsid w:val="10CA2F37"/>
    <w:rsid w:val="10EC685A"/>
    <w:rsid w:val="11FA6155"/>
    <w:rsid w:val="122F67F7"/>
    <w:rsid w:val="12CF0947"/>
    <w:rsid w:val="12F1313F"/>
    <w:rsid w:val="134B2593"/>
    <w:rsid w:val="136C678E"/>
    <w:rsid w:val="138D06CA"/>
    <w:rsid w:val="13EB2FF5"/>
    <w:rsid w:val="14624EBB"/>
    <w:rsid w:val="14ED4CAC"/>
    <w:rsid w:val="15A46B04"/>
    <w:rsid w:val="165825BC"/>
    <w:rsid w:val="16A448E1"/>
    <w:rsid w:val="16BC5D73"/>
    <w:rsid w:val="16D652CE"/>
    <w:rsid w:val="16E83C83"/>
    <w:rsid w:val="176F36D7"/>
    <w:rsid w:val="1795226D"/>
    <w:rsid w:val="18456B1E"/>
    <w:rsid w:val="1A834387"/>
    <w:rsid w:val="1BD23C9F"/>
    <w:rsid w:val="1C1171C5"/>
    <w:rsid w:val="1C4B6393"/>
    <w:rsid w:val="1D265138"/>
    <w:rsid w:val="1D7B6BCA"/>
    <w:rsid w:val="1DA41A79"/>
    <w:rsid w:val="1DF53469"/>
    <w:rsid w:val="1E2F24F2"/>
    <w:rsid w:val="1E58492F"/>
    <w:rsid w:val="1E5B6757"/>
    <w:rsid w:val="1ED10AC6"/>
    <w:rsid w:val="1EF07490"/>
    <w:rsid w:val="1F89225F"/>
    <w:rsid w:val="1F900A1F"/>
    <w:rsid w:val="1FC0575D"/>
    <w:rsid w:val="206132C7"/>
    <w:rsid w:val="20FC2B42"/>
    <w:rsid w:val="21B00C1D"/>
    <w:rsid w:val="22EA6293"/>
    <w:rsid w:val="23031BEB"/>
    <w:rsid w:val="23917691"/>
    <w:rsid w:val="244D65B8"/>
    <w:rsid w:val="245E1E24"/>
    <w:rsid w:val="259438AC"/>
    <w:rsid w:val="25AD5E5D"/>
    <w:rsid w:val="26851C27"/>
    <w:rsid w:val="26EE76EF"/>
    <w:rsid w:val="2732478D"/>
    <w:rsid w:val="27661469"/>
    <w:rsid w:val="27900EAD"/>
    <w:rsid w:val="279B538A"/>
    <w:rsid w:val="281456F7"/>
    <w:rsid w:val="286F545C"/>
    <w:rsid w:val="28AF51B8"/>
    <w:rsid w:val="29314FBC"/>
    <w:rsid w:val="2AA2081A"/>
    <w:rsid w:val="2B4E5EB7"/>
    <w:rsid w:val="2C024B86"/>
    <w:rsid w:val="2C927671"/>
    <w:rsid w:val="2CC6306F"/>
    <w:rsid w:val="2D7C5CD6"/>
    <w:rsid w:val="2E483E7E"/>
    <w:rsid w:val="2E690493"/>
    <w:rsid w:val="2E9854BD"/>
    <w:rsid w:val="2F0D407F"/>
    <w:rsid w:val="2F454B19"/>
    <w:rsid w:val="2F8E7567"/>
    <w:rsid w:val="310224D9"/>
    <w:rsid w:val="31B4621C"/>
    <w:rsid w:val="31E3230A"/>
    <w:rsid w:val="330957E0"/>
    <w:rsid w:val="33356F64"/>
    <w:rsid w:val="33944516"/>
    <w:rsid w:val="33A146B4"/>
    <w:rsid w:val="34B62907"/>
    <w:rsid w:val="34E42C3D"/>
    <w:rsid w:val="34F353FF"/>
    <w:rsid w:val="366E72DB"/>
    <w:rsid w:val="36BD137C"/>
    <w:rsid w:val="37C8161F"/>
    <w:rsid w:val="38053EDF"/>
    <w:rsid w:val="380812A4"/>
    <w:rsid w:val="385D37E7"/>
    <w:rsid w:val="38782EDD"/>
    <w:rsid w:val="3A6A77A9"/>
    <w:rsid w:val="3B42664A"/>
    <w:rsid w:val="3CAD1E92"/>
    <w:rsid w:val="3D252755"/>
    <w:rsid w:val="3D3C079A"/>
    <w:rsid w:val="3D836A4E"/>
    <w:rsid w:val="3EA37E97"/>
    <w:rsid w:val="3FBE0BC5"/>
    <w:rsid w:val="4048103A"/>
    <w:rsid w:val="40736643"/>
    <w:rsid w:val="40884347"/>
    <w:rsid w:val="40D24A7A"/>
    <w:rsid w:val="423757C0"/>
    <w:rsid w:val="42621029"/>
    <w:rsid w:val="42914EDC"/>
    <w:rsid w:val="435241E2"/>
    <w:rsid w:val="438E1430"/>
    <w:rsid w:val="43975C51"/>
    <w:rsid w:val="439E3FA7"/>
    <w:rsid w:val="441E4C3C"/>
    <w:rsid w:val="44B24DAD"/>
    <w:rsid w:val="44B32266"/>
    <w:rsid w:val="44FC64F4"/>
    <w:rsid w:val="462E51DB"/>
    <w:rsid w:val="467F4585"/>
    <w:rsid w:val="469429B6"/>
    <w:rsid w:val="470628CB"/>
    <w:rsid w:val="4729480B"/>
    <w:rsid w:val="47555BD4"/>
    <w:rsid w:val="47BC2DB1"/>
    <w:rsid w:val="47E96399"/>
    <w:rsid w:val="47F76025"/>
    <w:rsid w:val="486E33F5"/>
    <w:rsid w:val="48E12B50"/>
    <w:rsid w:val="499441BE"/>
    <w:rsid w:val="499A6C1C"/>
    <w:rsid w:val="4A195607"/>
    <w:rsid w:val="4A2138F0"/>
    <w:rsid w:val="4A583887"/>
    <w:rsid w:val="4AB35768"/>
    <w:rsid w:val="4ADF6967"/>
    <w:rsid w:val="4AE16D3E"/>
    <w:rsid w:val="4AE9678B"/>
    <w:rsid w:val="4B6C0C0B"/>
    <w:rsid w:val="4B9F6E02"/>
    <w:rsid w:val="4C89637B"/>
    <w:rsid w:val="4D8029C2"/>
    <w:rsid w:val="4E6E48A8"/>
    <w:rsid w:val="4EC92211"/>
    <w:rsid w:val="4EEC036B"/>
    <w:rsid w:val="4F714FA1"/>
    <w:rsid w:val="501D2673"/>
    <w:rsid w:val="50C80BF1"/>
    <w:rsid w:val="50D566A9"/>
    <w:rsid w:val="50F003DE"/>
    <w:rsid w:val="511067DA"/>
    <w:rsid w:val="51852833"/>
    <w:rsid w:val="52F11AC8"/>
    <w:rsid w:val="534F49D9"/>
    <w:rsid w:val="53555F0F"/>
    <w:rsid w:val="535A6A23"/>
    <w:rsid w:val="535D23D5"/>
    <w:rsid w:val="543A464B"/>
    <w:rsid w:val="56F4341A"/>
    <w:rsid w:val="575A7321"/>
    <w:rsid w:val="580C3AB9"/>
    <w:rsid w:val="583C7AE0"/>
    <w:rsid w:val="586C1E9A"/>
    <w:rsid w:val="586E0800"/>
    <w:rsid w:val="59216F96"/>
    <w:rsid w:val="598C4145"/>
    <w:rsid w:val="598D4B7D"/>
    <w:rsid w:val="59957D1B"/>
    <w:rsid w:val="59D4294E"/>
    <w:rsid w:val="5A293D93"/>
    <w:rsid w:val="5A3957E9"/>
    <w:rsid w:val="5B634312"/>
    <w:rsid w:val="5B9D2CCD"/>
    <w:rsid w:val="5B9E71EA"/>
    <w:rsid w:val="5C9F3FFC"/>
    <w:rsid w:val="5CFE52F7"/>
    <w:rsid w:val="5D826197"/>
    <w:rsid w:val="5E226FBC"/>
    <w:rsid w:val="5F316516"/>
    <w:rsid w:val="5F3C686D"/>
    <w:rsid w:val="5FE72BD2"/>
    <w:rsid w:val="60120613"/>
    <w:rsid w:val="601A77CA"/>
    <w:rsid w:val="603D1A42"/>
    <w:rsid w:val="60F80BBB"/>
    <w:rsid w:val="618D5292"/>
    <w:rsid w:val="61F7642E"/>
    <w:rsid w:val="622E78FA"/>
    <w:rsid w:val="62677DBE"/>
    <w:rsid w:val="63141A74"/>
    <w:rsid w:val="63343F70"/>
    <w:rsid w:val="63CA746C"/>
    <w:rsid w:val="64220DE3"/>
    <w:rsid w:val="64296E1C"/>
    <w:rsid w:val="64386FCC"/>
    <w:rsid w:val="649E64A2"/>
    <w:rsid w:val="64B628F0"/>
    <w:rsid w:val="65DE4CE7"/>
    <w:rsid w:val="65E5270A"/>
    <w:rsid w:val="65EA4391"/>
    <w:rsid w:val="663D3C54"/>
    <w:rsid w:val="667A6962"/>
    <w:rsid w:val="66862C89"/>
    <w:rsid w:val="66BB486D"/>
    <w:rsid w:val="67284BA3"/>
    <w:rsid w:val="67394C7D"/>
    <w:rsid w:val="68126B38"/>
    <w:rsid w:val="68291A1A"/>
    <w:rsid w:val="68352BB8"/>
    <w:rsid w:val="6897771F"/>
    <w:rsid w:val="68F0365C"/>
    <w:rsid w:val="68F83855"/>
    <w:rsid w:val="691327EB"/>
    <w:rsid w:val="691B1594"/>
    <w:rsid w:val="692B6F3D"/>
    <w:rsid w:val="693A016B"/>
    <w:rsid w:val="69E25A36"/>
    <w:rsid w:val="6A17429C"/>
    <w:rsid w:val="6A567EA3"/>
    <w:rsid w:val="6B4B4368"/>
    <w:rsid w:val="6B79100E"/>
    <w:rsid w:val="6C844C00"/>
    <w:rsid w:val="6D9C441A"/>
    <w:rsid w:val="6DE03AFB"/>
    <w:rsid w:val="6E10212C"/>
    <w:rsid w:val="6E43561A"/>
    <w:rsid w:val="6E557973"/>
    <w:rsid w:val="6E9568DB"/>
    <w:rsid w:val="6F0D6C22"/>
    <w:rsid w:val="6F47657F"/>
    <w:rsid w:val="6FAF23D9"/>
    <w:rsid w:val="70635CF6"/>
    <w:rsid w:val="70670707"/>
    <w:rsid w:val="706B101D"/>
    <w:rsid w:val="717D13F3"/>
    <w:rsid w:val="720E3691"/>
    <w:rsid w:val="72257EFF"/>
    <w:rsid w:val="7249173A"/>
    <w:rsid w:val="724E244C"/>
    <w:rsid w:val="72DA6946"/>
    <w:rsid w:val="732764B3"/>
    <w:rsid w:val="733C70BE"/>
    <w:rsid w:val="73422B9D"/>
    <w:rsid w:val="73852C46"/>
    <w:rsid w:val="73D95114"/>
    <w:rsid w:val="74026044"/>
    <w:rsid w:val="74325A77"/>
    <w:rsid w:val="74746410"/>
    <w:rsid w:val="75067F2F"/>
    <w:rsid w:val="75C8506C"/>
    <w:rsid w:val="75E5007C"/>
    <w:rsid w:val="767D7105"/>
    <w:rsid w:val="769711BB"/>
    <w:rsid w:val="77636B63"/>
    <w:rsid w:val="77813724"/>
    <w:rsid w:val="77861774"/>
    <w:rsid w:val="77B74C9A"/>
    <w:rsid w:val="78AA1FAA"/>
    <w:rsid w:val="78F31435"/>
    <w:rsid w:val="79300B45"/>
    <w:rsid w:val="794D3E18"/>
    <w:rsid w:val="797A55B3"/>
    <w:rsid w:val="79F3729A"/>
    <w:rsid w:val="7A154A43"/>
    <w:rsid w:val="7A6B5534"/>
    <w:rsid w:val="7A880722"/>
    <w:rsid w:val="7ABE6120"/>
    <w:rsid w:val="7ACB0498"/>
    <w:rsid w:val="7AED0B4D"/>
    <w:rsid w:val="7B431321"/>
    <w:rsid w:val="7BEE28FC"/>
    <w:rsid w:val="7C1E4487"/>
    <w:rsid w:val="7C215E02"/>
    <w:rsid w:val="7C5F0A9A"/>
    <w:rsid w:val="7CF23764"/>
    <w:rsid w:val="7D851A94"/>
    <w:rsid w:val="7E797F74"/>
    <w:rsid w:val="7E7E1842"/>
    <w:rsid w:val="7E907CF0"/>
    <w:rsid w:val="7F924011"/>
    <w:rsid w:val="7FAD755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10280</Words>
  <Characters>10919</Characters>
  <Lines>0</Lines>
  <Paragraphs>0</Paragraphs>
  <TotalTime>0</TotalTime>
  <ScaleCrop>false</ScaleCrop>
  <LinksUpToDate>false</LinksUpToDate>
  <CharactersWithSpaces>10992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2025-10-23T07:02:01Z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