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06A9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A058E6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5EF796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DFDFE6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bookmarkStart w:id="0" w:name="_Toc1949"/>
      <w:bookmarkStart w:id="1" w:name="_Toc15679"/>
      <w:bookmarkStart w:id="2" w:name="_Toc25575"/>
      <w:bookmarkStart w:id="3" w:name="_Toc29123"/>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2023年昌吉州中小学校园环境改造提升工程专项资金项目支出绩效评价报告</w:t>
      </w:r>
      <w:bookmarkEnd w:id="0"/>
      <w:bookmarkEnd w:id="1"/>
      <w:bookmarkEnd w:id="2"/>
      <w:bookmarkEnd w:id="3"/>
    </w:p>
    <w:p w14:paraId="0B3D5F72">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49C46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D3257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8AE7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5DE39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87D9E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01E4EA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3CD8AAD">
      <w:pPr>
        <w:spacing w:line="360" w:lineRule="auto"/>
        <w:ind w:firstLine="0" w:firstLineChars="0"/>
        <w:jc w:val="left"/>
        <w:rPr>
          <w:rFonts w:ascii="黑体" w:hAnsi="Times New Roman" w:eastAsia="黑体"/>
          <w:b w:val="0"/>
          <w:bCs/>
          <w:color w:val="000000" w:themeColor="text1"/>
          <w:sz w:val="30"/>
          <w:szCs w:val="30"/>
          <w:highlight w:val="none"/>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项目名称：</w:t>
      </w:r>
      <w:bookmarkStart w:id="4" w:name="OLE_LINK1"/>
      <w:r>
        <w:rPr>
          <w:rFonts w:hint="eastAsia" w:ascii="黑体" w:hAnsi="Times New Roman" w:eastAsia="黑体"/>
          <w:b w:val="0"/>
          <w:bCs/>
          <w:color w:val="000000" w:themeColor="text1"/>
          <w:sz w:val="30"/>
          <w:szCs w:val="30"/>
          <w:highlight w:val="none"/>
          <w14:textFill>
            <w14:solidFill>
              <w14:schemeClr w14:val="tx1"/>
            </w14:solidFill>
          </w14:textFill>
        </w:rPr>
        <w:t>2023年昌吉州中小学校园环境改造提升工程专项资金</w:t>
      </w:r>
      <w:bookmarkEnd w:id="4"/>
    </w:p>
    <w:p w14:paraId="258582FA">
      <w:pPr>
        <w:spacing w:line="360" w:lineRule="auto"/>
        <w:ind w:firstLine="0" w:firstLineChars="0"/>
        <w:jc w:val="left"/>
        <w:rPr>
          <w:rFonts w:hint="eastAsia" w:ascii="黑体" w:hAnsi="Times New Roman" w:eastAsia="黑体"/>
          <w:b w:val="0"/>
          <w:bCs/>
          <w:color w:val="000000" w:themeColor="text1"/>
          <w:sz w:val="30"/>
          <w:szCs w:val="30"/>
          <w:highlight w:val="none"/>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实施单位：阜康市第一中学</w:t>
      </w:r>
    </w:p>
    <w:p w14:paraId="23B7C4D1">
      <w:pPr>
        <w:spacing w:line="360" w:lineRule="auto"/>
        <w:ind w:firstLine="0" w:firstLineChars="0"/>
        <w:jc w:val="left"/>
        <w:rPr>
          <w:rFonts w:hint="default" w:ascii="黑体" w:hAnsi="Times New Roman" w:eastAsia="黑体"/>
          <w:b w:val="0"/>
          <w:bCs/>
          <w:color w:val="000000" w:themeColor="text1"/>
          <w:sz w:val="30"/>
          <w:szCs w:val="30"/>
          <w:highlight w:val="none"/>
          <w:lang w:val="en-US" w:eastAsia="zh-CN"/>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主管部门：</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阜康市教育局</w:t>
      </w:r>
    </w:p>
    <w:p w14:paraId="379B5E75">
      <w:pPr>
        <w:spacing w:line="360" w:lineRule="auto"/>
        <w:ind w:firstLine="0" w:firstLineChars="0"/>
        <w:jc w:val="left"/>
        <w:rPr>
          <w:rFonts w:hint="default" w:ascii="黑体" w:hAnsi="Times New Roman" w:eastAsia="黑体"/>
          <w:b w:val="0"/>
          <w:bCs/>
          <w:color w:val="000000" w:themeColor="text1"/>
          <w:sz w:val="30"/>
          <w:szCs w:val="30"/>
          <w:highlight w:val="none"/>
          <w:lang w:val="en-US" w:eastAsia="zh-CN"/>
          <w14:textFill>
            <w14:solidFill>
              <w14:schemeClr w14:val="tx1"/>
            </w14:solidFill>
          </w14:textFill>
        </w:rPr>
      </w:pPr>
      <w:r>
        <w:rPr>
          <w:rFonts w:hint="eastAsia" w:ascii="黑体" w:hAnsi="Times New Roman" w:eastAsia="黑体"/>
          <w:b w:val="0"/>
          <w:bCs/>
          <w:color w:val="000000" w:themeColor="text1"/>
          <w:sz w:val="30"/>
          <w:szCs w:val="30"/>
          <w:highlight w:val="none"/>
          <w:lang w:eastAsia="zh-CN"/>
          <w14:textFill>
            <w14:solidFill>
              <w14:schemeClr w14:val="tx1"/>
            </w14:solidFill>
          </w14:textFill>
        </w:rPr>
        <w:t>项目负责人：</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郑建生</w:t>
      </w:r>
    </w:p>
    <w:p w14:paraId="79541B25">
      <w:pPr>
        <w:spacing w:line="360" w:lineRule="auto"/>
        <w:ind w:firstLine="0" w:firstLineChars="0"/>
        <w:jc w:val="left"/>
        <w:rPr>
          <w:rFonts w:hint="default"/>
          <w:b w:val="0"/>
          <w:bCs/>
          <w:color w:val="000000" w:themeColor="text1"/>
          <w:highlight w:val="none"/>
          <w:lang w:val="en-US" w:eastAsia="zh-CN"/>
          <w14:textFill>
            <w14:solidFill>
              <w14:schemeClr w14:val="tx1"/>
            </w14:solidFill>
          </w14:textFill>
        </w:rPr>
      </w:pPr>
      <w:r>
        <w:rPr>
          <w:rFonts w:hint="eastAsia" w:ascii="黑体" w:hAnsi="Times New Roman" w:eastAsia="黑体"/>
          <w:b w:val="0"/>
          <w:bCs/>
          <w:color w:val="000000" w:themeColor="text1"/>
          <w:sz w:val="30"/>
          <w:szCs w:val="30"/>
          <w:highlight w:val="none"/>
          <w:lang w:eastAsia="zh-CN"/>
          <w14:textFill>
            <w14:solidFill>
              <w14:schemeClr w14:val="tx1"/>
            </w14:solidFill>
          </w14:textFill>
        </w:rPr>
        <w:t>填报时间：</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2025年3月31日</w:t>
      </w:r>
    </w:p>
    <w:p w14:paraId="7D2A3EF0">
      <w:pPr>
        <w:pStyle w:val="16"/>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62F7E829">
      <w:pPr>
        <w:pageBreakBefore w:val="0"/>
        <w:kinsoku/>
        <w:wordWrap/>
        <w:overflowPunct/>
        <w:topLinePunct w:val="0"/>
        <w:autoSpaceDE/>
        <w:autoSpaceDN/>
        <w:bidi w:val="0"/>
        <w:spacing w:line="56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br w:type="page"/>
      </w:r>
    </w:p>
    <w:p w14:paraId="15CF5339">
      <w:pPr>
        <w:pageBreakBefore w:val="0"/>
        <w:kinsoku/>
        <w:wordWrap/>
        <w:overflowPunct/>
        <w:topLinePunct w:val="0"/>
        <w:autoSpaceDE/>
        <w:autoSpaceDN/>
        <w:bidi w:val="0"/>
        <w:spacing w:line="560" w:lineRule="exact"/>
        <w:textAlignment w:val="auto"/>
        <w:rPr>
          <w:rFonts w:hint="eastAsia"/>
          <w:color w:val="000000" w:themeColor="text1"/>
          <w:highlight w:val="none"/>
          <w:lang w:val="en-US" w:eastAsia="zh-CN"/>
          <w14:textFill>
            <w14:solidFill>
              <w14:schemeClr w14:val="tx1"/>
            </w14:solidFill>
          </w14:textFill>
        </w:rPr>
      </w:pPr>
    </w:p>
    <w:sdt>
      <w:sdtPr>
        <w:rPr>
          <w:rFonts w:ascii="宋体" w:hAnsi="宋体" w:eastAsia="宋体" w:cs="宋体"/>
          <w:b/>
          <w:bCs/>
          <w:color w:val="000000" w:themeColor="text1"/>
          <w:kern w:val="2"/>
          <w:sz w:val="28"/>
          <w:szCs w:val="40"/>
          <w:highlight w:val="none"/>
          <w:lang w:val="en-US" w:eastAsia="zh-CN" w:bidi="ar-SA"/>
          <w14:textFill>
            <w14:solidFill>
              <w14:schemeClr w14:val="tx1"/>
            </w14:solidFill>
          </w14:textFill>
        </w:rPr>
        <w:id w:val="147474046"/>
        <w15:color w:val="DBDBDB"/>
        <w:docPartObj>
          <w:docPartGallery w:val="Table of Contents"/>
          <w:docPartUnique/>
        </w:docPartObj>
      </w:sdtPr>
      <w:sdtEndP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sdtEndPr>
      <w:sdtContent>
        <w:p w14:paraId="346307A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000000" w:themeColor="text1"/>
              <w:sz w:val="40"/>
              <w:szCs w:val="40"/>
              <w:highlight w:val="none"/>
              <w14:textFill>
                <w14:solidFill>
                  <w14:schemeClr w14:val="tx1"/>
                </w14:solidFill>
              </w14:textFill>
            </w:rPr>
          </w:pPr>
          <w:r>
            <w:rPr>
              <w:rFonts w:ascii="宋体" w:hAnsi="宋体" w:eastAsia="宋体"/>
              <w:b/>
              <w:bCs/>
              <w:color w:val="000000" w:themeColor="text1"/>
              <w:sz w:val="40"/>
              <w:szCs w:val="40"/>
              <w:highlight w:val="none"/>
              <w14:textFill>
                <w14:solidFill>
                  <w14:schemeClr w14:val="tx1"/>
                </w14:solidFill>
              </w14:textFill>
            </w:rPr>
            <w:t>目录</w:t>
          </w:r>
        </w:p>
        <w:p w14:paraId="43AFA863">
          <w:pPr>
            <w:pStyle w:val="12"/>
            <w:tabs>
              <w:tab w:val="right" w:leader="dot" w:pos="8844"/>
            </w:tabs>
            <w:rPr>
              <w:color w:val="000000" w:themeColor="text1"/>
              <w:highlight w:val="none"/>
              <w14:textFill>
                <w14:solidFill>
                  <w14:schemeClr w14:val="tx1"/>
                </w14:solidFill>
              </w14:textFill>
            </w:rPr>
          </w:pPr>
          <w:r>
            <w:rPr>
              <w:rFonts w:hint="eastAsia"/>
              <w:color w:val="000000" w:themeColor="text1"/>
              <w:sz w:val="28"/>
              <w:szCs w:val="28"/>
              <w:highlight w:val="none"/>
              <w:lang w:val="en-US" w:eastAsia="zh-CN"/>
              <w14:textFill>
                <w14:solidFill>
                  <w14:schemeClr w14:val="tx1"/>
                </w14:solidFill>
              </w14:textFill>
            </w:rPr>
            <w:fldChar w:fldCharType="begin"/>
          </w:r>
          <w:r>
            <w:rPr>
              <w:rFonts w:hint="eastAsia"/>
              <w:color w:val="000000" w:themeColor="text1"/>
              <w:sz w:val="28"/>
              <w:szCs w:val="28"/>
              <w:highlight w:val="none"/>
              <w:lang w:val="en-US" w:eastAsia="zh-CN"/>
              <w14:textFill>
                <w14:solidFill>
                  <w14:schemeClr w14:val="tx1"/>
                </w14:solidFill>
              </w14:textFill>
            </w:rPr>
            <w:instrText xml:space="preserve">TOC \o "1-3" \h \u </w:instrText>
          </w:r>
          <w:r>
            <w:rPr>
              <w:rFonts w:hint="eastAsia"/>
              <w:color w:val="000000" w:themeColor="text1"/>
              <w:sz w:val="28"/>
              <w:szCs w:val="28"/>
              <w:highlight w:val="none"/>
              <w:lang w:val="en-US" w:eastAsia="zh-CN"/>
              <w14:textFill>
                <w14:solidFill>
                  <w14:schemeClr w14:val="tx1"/>
                </w14:solidFill>
              </w14:textFill>
            </w:rPr>
            <w:fldChar w:fldCharType="separate"/>
          </w:r>
        </w:p>
        <w:p w14:paraId="58657102">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_Toc18485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14:textFill>
                <w14:solidFill>
                  <w14:schemeClr w14:val="tx1"/>
                </w14:solidFill>
              </w14:textFill>
            </w:rPr>
            <w:t>一、基本情况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_Toc18485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4ADBBA9">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_Toc23184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（一）项目概况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933F830">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_Toc9109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（二）项目绩效目标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_Toc9109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51034F5">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_Toc26567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14:textFill>
                <w14:solidFill>
                  <w14:schemeClr w14:val="tx1"/>
                </w14:solidFill>
              </w14:textFill>
            </w:rPr>
            <w:t>二、绩效评价工作开展情况</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_Toc26567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7</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321B9D7E">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_Toc22839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（一）绩效评价的目的、对象和范围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_Toc22839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32F5CAAE">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_Toc29785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（二）绩效评价原则、评价指标体系（</w:t>
          </w:r>
          <w:r>
            <w:rPr>
              <w:rFonts w:hint="default" w:ascii="Times New Roman" w:hAnsi="Times New Roman" w:eastAsia="楷体_GB2312" w:cs="Times New Roman"/>
              <w:color w:val="000000" w:themeColor="text1"/>
              <w:kern w:val="28"/>
              <w:highlight w:val="none"/>
              <w:lang w:val="en-US" w:eastAsia="zh-CN"/>
              <w14:textFill>
                <w14:solidFill>
                  <w14:schemeClr w14:val="tx1"/>
                </w14:solidFill>
              </w14:textFill>
            </w:rPr>
            <w:t>详情见</w:t>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附件二）、评价方法、评价标准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_Toc29785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38CEC22">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_Toc21435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（三）绩效评价工作过程</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_Toc21435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14</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F80F7CA">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_Toc19261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Cs w:val="0"/>
              <w:color w:val="000000" w:themeColor="text1"/>
              <w:highlight w:val="none"/>
              <w:shd w:val="clear" w:color="auto" w:fill="auto"/>
              <w14:textFill>
                <w14:solidFill>
                  <w14:schemeClr w14:val="tx1"/>
                </w14:solidFill>
              </w14:textFill>
            </w:rPr>
            <w:t>综合评价情况及评价结论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_Toc19261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21D77200">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_Toc23319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（一）综合评价情况及评价结论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_Toc23319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D50C572">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_Toc11863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（二）相关评分表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AC50B9F">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_Toc14941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四、绩效评价指标分析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_Toc14941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5F440E7">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_Toc6759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14:textFill>
                <w14:solidFill>
                  <w14:schemeClr w14:val="tx1"/>
                </w14:solidFill>
              </w14:textFill>
            </w:rPr>
            <w:t>（一）项目决策情况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_Toc6759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5177102">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_Toc10564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 w:cs="Times New Roman"/>
              <w:color w:val="000000" w:themeColor="text1"/>
              <w:kern w:val="28"/>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highlight w:val="none"/>
              <w:lang w:val="en-US" w:eastAsia="zh-CN"/>
              <w14:textFill>
                <w14:solidFill>
                  <w14:schemeClr w14:val="tx1"/>
                </w14:solidFill>
              </w14:textFill>
            </w:rPr>
            <w:t>二</w:t>
          </w:r>
          <w:r>
            <w:rPr>
              <w:rFonts w:hint="eastAsia" w:ascii="Times New Roman" w:hAnsi="Times New Roman" w:eastAsia="楷体" w:cs="Times New Roman"/>
              <w:color w:val="000000" w:themeColor="text1"/>
              <w:kern w:val="28"/>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highlight w:val="none"/>
              <w14:textFill>
                <w14:solidFill>
                  <w14:schemeClr w14:val="tx1"/>
                </w14:solidFill>
              </w14:textFill>
            </w:rPr>
            <w:t>项目过程情况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_Toc10564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29E79351">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_Toc2441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（三）项目产出情况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00169FE">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_Toc19424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（四）项目效益情况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_Toc19424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25</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181C7E5D">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_Toc23313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（五）满意度指标完成情况分析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_Toc23313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1CC4C0D9">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_Toc6622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五、主要经验及做法、存在的问题及原因分析</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_Toc6622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26</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5DEDFB5F">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_Toc15449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（一）主要经验及做法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_Toc15449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19D0E04">
          <w:pPr>
            <w:pStyle w:val="12"/>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_Toc29168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（二）存在的问题及原因分析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_Toc29168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3D7BC6D">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_Toc3333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六、有关建议</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_Toc3333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27</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114118BE">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_Toc14256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七、其他需要说明的问题</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_Toc14256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27</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5960B4D9">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_Toc28971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lang w:val="en-US" w:eastAsia="zh-CN"/>
              <w14:textFill>
                <w14:solidFill>
                  <w14:schemeClr w14:val="tx1"/>
                </w14:solidFill>
              </w14:textFill>
            </w:rPr>
            <w:t>附件一、项目支出绩效自评表</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_Toc28971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29</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5B4986B8">
          <w:pPr>
            <w:pStyle w:val="12"/>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_Toc11223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lang w:val="en-US" w:eastAsia="zh-CN"/>
              <w14:textFill>
                <w14:solidFill>
                  <w14:schemeClr w14:val="tx1"/>
                </w14:solidFill>
              </w14:textFill>
            </w:rPr>
            <w:t>附件二、项目支出绩效评价指标体系打分表</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_Toc11223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34</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78F0A245">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000000" w:themeColor="text1"/>
              <w:highlight w:val="none"/>
              <w:lang w:val="en-US" w:eastAsia="zh-CN"/>
              <w14:textFill>
                <w14:solidFill>
                  <w14:schemeClr w14:val="tx1"/>
                </w14:solidFill>
              </w14:textFill>
            </w:rPr>
            <w:sectPr>
              <w:pgSz w:w="11906" w:h="16838"/>
              <w:pgMar w:top="1928" w:right="1531" w:bottom="1701" w:left="1531" w:header="737" w:footer="851" w:gutter="0"/>
              <w:cols w:space="720" w:num="1"/>
              <w:docGrid w:type="lines" w:linePitch="408" w:charSpace="0"/>
            </w:sectPr>
          </w:pPr>
          <w:r>
            <w:rPr>
              <w:rFonts w:hint="eastAsia"/>
              <w:color w:val="000000" w:themeColor="text1"/>
              <w:szCs w:val="28"/>
              <w:highlight w:val="none"/>
              <w:lang w:val="en-US" w:eastAsia="zh-CN"/>
              <w14:textFill>
                <w14:solidFill>
                  <w14:schemeClr w14:val="tx1"/>
                </w14:solidFill>
              </w14:textFill>
            </w:rPr>
            <w:fldChar w:fldCharType="end"/>
          </w:r>
        </w:p>
      </w:sdtContent>
    </w:sdt>
    <w:p w14:paraId="0D835C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5" w:name="OLE_LINK3"/>
      <w:bookmarkStart w:id="6" w:name="_Toc3663"/>
      <w:bookmarkStart w:id="7" w:name="_Toc20432"/>
      <w:bookmarkStart w:id="8" w:name="_Toc1194"/>
      <w:bookmarkStart w:id="9" w:name="_Toc22946"/>
      <w:r>
        <w:rPr>
          <w:rFonts w:hint="eastAsia" w:cs="宋体"/>
          <w:b/>
          <w:bCs/>
          <w:color w:val="000000" w:themeColor="text1"/>
          <w:sz w:val="36"/>
          <w:szCs w:val="36"/>
          <w:highlight w:val="none"/>
          <w:shd w:val="clear" w:color="auto" w:fill="auto"/>
          <w:lang w:val="en-US" w:eastAsia="zh-CN"/>
          <w14:textFill>
            <w14:solidFill>
              <w14:schemeClr w14:val="tx1"/>
            </w14:solidFill>
          </w14:textFill>
        </w:rPr>
        <w:t>2023年昌吉州中小学校园环境改造提升工程专项资金</w:t>
      </w:r>
      <w:bookmarkEnd w:id="5"/>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6"/>
      <w:bookmarkEnd w:id="7"/>
      <w:bookmarkEnd w:id="8"/>
      <w:bookmarkEnd w:id="9"/>
    </w:p>
    <w:p w14:paraId="55B5919A">
      <w:pPr>
        <w:pStyle w:val="4"/>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10"/>
    </w:p>
    <w:p w14:paraId="5E5F1E85">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1" w:name="_Toc23184"/>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（一）项目概况</w:t>
      </w:r>
      <w:bookmarkEnd w:id="11"/>
    </w:p>
    <w:p w14:paraId="05BF1BDC">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2" w:name="_Toc22346"/>
      <w:bookmarkStart w:id="13" w:name="_Toc29812"/>
      <w:bookmarkStart w:id="14" w:name="_Toc5043"/>
      <w:bookmarkStart w:id="15"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2"/>
      <w:bookmarkEnd w:id="13"/>
      <w:bookmarkEnd w:id="14"/>
      <w:bookmarkEnd w:id="15"/>
    </w:p>
    <w:p w14:paraId="5FF4F7D8">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阜康市第一中学为进一步美化校园环境，提升学校文化内涵，消除校园安全隐患，全面改造提升校园环境，依据</w:t>
      </w:r>
      <w:bookmarkStart w:id="16" w:name="OLE_LINK5"/>
      <w:bookmarkStart w:id="17" w:name="OLE_LINK7"/>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昌州财教</w:t>
      </w:r>
      <w:bookmarkStart w:id="18" w:name="OLE_LINK6"/>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[2023]20号文件</w:t>
      </w:r>
      <w:bookmarkEnd w:id="16"/>
      <w:bookmarkEnd w:id="18"/>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2023年昌吉州中小学校园环境改造提升工程专项资金和昌州政办通[2023]92号文件《关于做好中小学校园环境改造提升工程的通知》</w:t>
      </w:r>
      <w:bookmarkEnd w:id="17"/>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要求决定组织实施校园环境改造提升工程，设立</w:t>
      </w:r>
      <w:bookmarkStart w:id="19" w:name="OLE_LINK8"/>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2023年昌吉州中小学校园环境改造提升工程</w:t>
      </w:r>
      <w:bookmarkEnd w:id="19"/>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专项资金</w:t>
      </w:r>
      <w:bookmarkStart w:id="20" w:name="_Toc1630"/>
      <w:bookmarkStart w:id="21" w:name="_Toc17880"/>
      <w:bookmarkStart w:id="22" w:name="_Toc27343"/>
      <w:bookmarkStart w:id="23" w:name="_Toc10730"/>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p>
    <w:p w14:paraId="60A2D1CB">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t>主要内容及实施情况</w:t>
      </w:r>
      <w:bookmarkEnd w:id="20"/>
      <w:bookmarkEnd w:id="21"/>
      <w:bookmarkEnd w:id="22"/>
      <w:bookmarkEnd w:id="23"/>
    </w:p>
    <w:p w14:paraId="275C4E38">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lang w:eastAsia="zh-CN"/>
          <w14:textFill>
            <w14:solidFill>
              <w14:schemeClr w14:val="tx1"/>
            </w14:solidFill>
          </w14:textFill>
        </w:rPr>
      </w:pPr>
      <w:bookmarkStart w:id="24" w:name="_Toc16592"/>
      <w:bookmarkStart w:id="25" w:name="_Toc27409"/>
      <w:bookmarkStart w:id="26" w:name="_Toc21898"/>
      <w:bookmarkStart w:id="27" w:name="_Toc272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项目主要内容：</w:t>
      </w:r>
      <w:bookmarkEnd w:id="24"/>
      <w:bookmarkEnd w:id="25"/>
      <w:bookmarkEnd w:id="26"/>
      <w:bookmarkEnd w:id="27"/>
      <w:r>
        <w:rPr>
          <w:rFonts w:hint="eastAsia" w:ascii="仿宋_GB2312" w:hAnsi="仿宋_GB2312" w:eastAsia="仿宋_GB2312" w:cs="仿宋_GB2312"/>
          <w:b w:val="0"/>
          <w:color w:val="000000" w:themeColor="text1"/>
          <w:kern w:val="2"/>
          <w:sz w:val="32"/>
          <w:szCs w:val="32"/>
          <w:highlight w:val="none"/>
          <w:shd w:val="clear" w:color="auto" w:fill="auto"/>
          <w:lang w:val="en-US" w:eastAsia="zh-CN" w:bidi="ar-SA"/>
          <w14:textFill>
            <w14:solidFill>
              <w14:schemeClr w14:val="tx1"/>
            </w14:solidFill>
          </w14:textFill>
        </w:rPr>
        <w:t>粉刷面积171000平方米,改造提升面积3400平方米,完成改造工程数量3个</w:t>
      </w:r>
      <w:r>
        <w:rPr>
          <w:rFonts w:hint="eastAsia" w:ascii="仿宋_GB2312" w:hAnsi="仿宋_GB2312" w:eastAsia="仿宋_GB2312" w:cs="仿宋_GB2312"/>
          <w:b w:val="0"/>
          <w:bCs w:val="0"/>
          <w:color w:val="000000" w:themeColor="text1"/>
          <w:sz w:val="32"/>
          <w:szCs w:val="32"/>
          <w:highlight w:val="none"/>
          <w:shd w:val="clear" w:color="auto" w:fill="auto"/>
          <w:lang w:eastAsia="zh-CN"/>
          <w14:textFill>
            <w14:solidFill>
              <w14:schemeClr w14:val="tx1"/>
            </w14:solidFill>
          </w14:textFill>
        </w:rPr>
        <w:t>。</w:t>
      </w:r>
    </w:p>
    <w:p w14:paraId="29FEF8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项目实施情况：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本项目自2023年7月10日经</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昌州财教[2023]20号文件2023年昌吉州中小学校园环境改造提升工程专项资金和昌州政办通[2023]92号文件《关于做好中小学校园环境改造提升工程的通知》</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批复，经三重一大会议研究决定，确定了项目领导小组，明确了责任分工：组长为郑建生，副组长为达建伟，项目负责人为杜慧珍,组员为安娜、赵晨，其中：杜慧珍负责监管工作，赵晨负责项目档案资料，安娜负责资金拨付工作。</w:t>
      </w:r>
    </w:p>
    <w:p w14:paraId="687A1D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color w:val="000000" w:themeColor="text1"/>
          <w:kern w:val="2"/>
          <w:sz w:val="32"/>
          <w:szCs w:val="32"/>
          <w:highlight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highlight w:val="none"/>
          <w:shd w:val="clear" w:color="auto" w:fill="auto"/>
          <w:lang w:val="en-US" w:eastAsia="zh-CN" w:bidi="ar-SA"/>
          <w14:textFill>
            <w14:solidFill>
              <w14:schemeClr w14:val="tx1"/>
            </w14:solidFill>
          </w14:textFill>
        </w:rPr>
        <w:t>截至2024年12月31日，本项目</w:t>
      </w:r>
      <w:bookmarkStart w:id="28" w:name="OLE_LINK28"/>
      <w:r>
        <w:rPr>
          <w:rFonts w:hint="eastAsia" w:ascii="仿宋_GB2312" w:hAnsi="仿宋_GB2312" w:eastAsia="仿宋_GB2312" w:cs="仿宋_GB2312"/>
          <w:b w:val="0"/>
          <w:color w:val="000000" w:themeColor="text1"/>
          <w:kern w:val="2"/>
          <w:sz w:val="32"/>
          <w:szCs w:val="32"/>
          <w:highlight w:val="none"/>
          <w:shd w:val="clear" w:color="auto" w:fill="auto"/>
          <w:lang w:val="en-US" w:eastAsia="zh-CN" w:bidi="ar-SA"/>
          <w14:textFill>
            <w14:solidFill>
              <w14:schemeClr w14:val="tx1"/>
            </w14:solidFill>
          </w14:textFill>
        </w:rPr>
        <w:t>完成粉刷面积171000平方米,完成改造提升面积3400平方米,完成改造工程数量3个</w:t>
      </w:r>
      <w:bookmarkEnd w:id="28"/>
      <w:r>
        <w:rPr>
          <w:rFonts w:hint="eastAsia" w:ascii="仿宋_GB2312" w:hAnsi="仿宋_GB2312" w:eastAsia="仿宋_GB2312" w:cs="仿宋_GB2312"/>
          <w:b w:val="0"/>
          <w:color w:val="000000" w:themeColor="text1"/>
          <w:kern w:val="2"/>
          <w:sz w:val="32"/>
          <w:szCs w:val="32"/>
          <w:highlight w:val="none"/>
          <w:shd w:val="clear" w:color="auto" w:fill="auto"/>
          <w:lang w:val="en-US" w:eastAsia="zh-CN" w:bidi="ar-SA"/>
          <w14:textFill>
            <w14:solidFill>
              <w14:schemeClr w14:val="tx1"/>
            </w14:solidFill>
          </w14:textFill>
        </w:rPr>
        <w:t>，政府采购完成率、采购按期完成率均达到100%，按时完成支付校园文化建设成本255.76万元，完成支付校园粉刷成本370.28万元、完成支付校舍改造提升成本267.33万元、完成支付校园环境提升项目监理费成本4.92万元，通过项目的实施，达到了改善全校师生的工作学习条件的效果。</w:t>
      </w:r>
    </w:p>
    <w:p w14:paraId="602F49F3">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9" w:name="_Toc12348"/>
      <w:bookmarkStart w:id="30" w:name="_Toc569"/>
      <w:bookmarkStart w:id="31" w:name="_Toc10240"/>
      <w:bookmarkStart w:id="32" w:name="_Toc18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9"/>
      <w:bookmarkEnd w:id="30"/>
      <w:bookmarkEnd w:id="31"/>
      <w:bookmarkEnd w:id="32"/>
    </w:p>
    <w:p w14:paraId="2477426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33" w:name="_Toc694"/>
      <w:bookmarkStart w:id="34" w:name="_Toc26369"/>
      <w:bookmarkStart w:id="35" w:name="_Toc23509"/>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（1）资金投入情况</w:t>
      </w:r>
      <w:bookmarkEnd w:id="33"/>
      <w:bookmarkEnd w:id="34"/>
      <w:bookmarkEnd w:id="35"/>
    </w:p>
    <w:p w14:paraId="14DE374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36" w:name="_Toc29190"/>
      <w:bookmarkStart w:id="37" w:name="_Toc5573"/>
      <w:bookmarkStart w:id="38" w:name="_Toc9464"/>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该项目年初预算数898.78万元，全年预算数</w:t>
      </w:r>
      <w:bookmarkStart w:id="39" w:name="OLE_LINK4"/>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898.</w:t>
      </w:r>
      <w:bookmarkEnd w:id="39"/>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78万元，该项目资金已全部落实到位，资金来源为财政拨款。</w:t>
      </w:r>
      <w:bookmarkEnd w:id="36"/>
      <w:bookmarkEnd w:id="37"/>
      <w:bookmarkEnd w:id="38"/>
      <w:bookmarkStart w:id="40" w:name="_Toc1166"/>
      <w:bookmarkStart w:id="41" w:name="_Toc28187"/>
      <w:bookmarkStart w:id="42" w:name="_Toc3409"/>
    </w:p>
    <w:p w14:paraId="01F97EE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（2）资金使用情况</w:t>
      </w:r>
      <w:bookmarkEnd w:id="40"/>
      <w:bookmarkEnd w:id="41"/>
      <w:bookmarkEnd w:id="42"/>
    </w:p>
    <w:p w14:paraId="598C314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43" w:name="_Toc29121"/>
      <w:bookmarkStart w:id="44" w:name="_Toc11647"/>
      <w:bookmarkStart w:id="45" w:name="_Toc1430"/>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该项目年初预算数898.78万元，全年预算数898.78万元，</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截至2024年12月31日，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全年执行数898.78万元，预算执行率为100.00%，主要用于：校园文化建设、粉刷工程、校园环境改造提升等。</w:t>
      </w:r>
      <w:bookmarkEnd w:id="43"/>
      <w:bookmarkEnd w:id="44"/>
      <w:bookmarkEnd w:id="45"/>
    </w:p>
    <w:p w14:paraId="760DDE2A">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46" w:name="_Toc910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（二）项目绩效目标</w:t>
      </w:r>
      <w:bookmarkEnd w:id="46"/>
    </w:p>
    <w:p w14:paraId="3EF1D0D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7" w:name="_Toc8528"/>
      <w:bookmarkStart w:id="48" w:name="_Toc10047"/>
      <w:bookmarkStart w:id="49" w:name="_Toc2547"/>
      <w:bookmarkStart w:id="50"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47"/>
      <w:bookmarkEnd w:id="48"/>
      <w:bookmarkEnd w:id="49"/>
      <w:bookmarkEnd w:id="50"/>
    </w:p>
    <w:p w14:paraId="3FDA6D0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2023年昌吉州中小学校园环境改造提升工程专项资金项目绩效总体目标为：实施初中义务教育和高中学历教育，促进基础教育发展，初高中学历教育。为改善校园环境，对学校专项资金加强管理，专款专用。2024年计划完成校园粉刷面积不少于171000平方米，改造提升面积不少于3400平方米，改造提升工程项目不少于3个，包括校园文化建设项目、校园粉刷项目、校舍改造提升等项目，政府采购率预期达到100%，通过项目的实施预期达到有效提升改善全校师生员工的工作、生活条件的效果。</w:t>
      </w:r>
    </w:p>
    <w:p w14:paraId="73D56BE5">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1" w:name="_Toc8990"/>
      <w:bookmarkStart w:id="52" w:name="_Toc4007"/>
      <w:bookmarkStart w:id="53" w:name="_Toc3255"/>
      <w:bookmarkStart w:id="54"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51"/>
      <w:bookmarkEnd w:id="52"/>
      <w:bookmarkEnd w:id="53"/>
      <w:bookmarkEnd w:id="54"/>
    </w:p>
    <w:p w14:paraId="539752B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97AE8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40E892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79BD78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5" w:name="OLE_LINK9"/>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粉刷面积</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w:t>
      </w:r>
      <w:bookmarkStart w:id="56" w:name="OLE_LINK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bookmarkEnd w:id="5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171000平方米；</w:t>
      </w:r>
      <w:bookmarkEnd w:id="55"/>
    </w:p>
    <w:p w14:paraId="1CF435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“改造提升面积”指标，预期目标值为≥3400平方米；</w:t>
      </w:r>
    </w:p>
    <w:p w14:paraId="76EE33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“改造工程数量”指标，预期目标值为≥3个；</w:t>
      </w:r>
    </w:p>
    <w:p w14:paraId="64A350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745C19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政府采购完成率</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w:t>
      </w:r>
      <w:bookmarkStart w:id="57" w:name="OLE_LINK1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=100%</w:t>
      </w:r>
      <w:bookmarkEnd w:id="5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p>
    <w:p w14:paraId="1B33F8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6685AC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采购按期完成率</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指标，预期目标值为=100%；</w:t>
      </w:r>
    </w:p>
    <w:p w14:paraId="45FD9F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39BBAD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校园文化建设成本</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w:t>
      </w:r>
      <w:bookmarkStart w:id="58" w:name="OLE_LINK1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bookmarkEnd w:id="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255.76万元；</w:t>
      </w:r>
    </w:p>
    <w:p w14:paraId="22145F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“校园粉刷成本”指标，预期目标值为≤370.28万元；</w:t>
      </w:r>
    </w:p>
    <w:p w14:paraId="0C7B83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“校舍改造提升成本”指标，预期目标值为≤267.82万元；</w:t>
      </w:r>
    </w:p>
    <w:p w14:paraId="12B479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“校园环境提升项目监理费成本”指标，预期目标值为≤4.92万元；</w:t>
      </w:r>
    </w:p>
    <w:p w14:paraId="1A9BFBD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34B5E45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2ACADE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9" w:name="OLE_LINK2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本项目不涉及经济指标</w:t>
      </w:r>
      <w:bookmarkEnd w:id="5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p>
    <w:p w14:paraId="6FFBF31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602E05C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改善全校师生员工生活条件</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指标，预期目标值为有效提升；</w:t>
      </w:r>
    </w:p>
    <w:p w14:paraId="2997D53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w:t>
      </w:r>
      <w:bookmarkStart w:id="60" w:name="OLE_LINK2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w:t>
      </w:r>
      <w:bookmarkEnd w:id="6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53C9D72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OLE_LINK2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本项目不涉及生态效益指标</w:t>
      </w:r>
      <w:bookmarkEnd w:id="6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p>
    <w:p w14:paraId="469C6EE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w:t>
      </w:r>
      <w:bookmarkStart w:id="62" w:name="OLE_LINK2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可持续影响</w:t>
      </w:r>
      <w:bookmarkEnd w:id="62"/>
    </w:p>
    <w:p w14:paraId="0013510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3" w:name="OLE_LINK2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w:t>
      </w:r>
      <w:bookmarkEnd w:id="6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可持续影响指标；</w:t>
      </w:r>
    </w:p>
    <w:p w14:paraId="2480F17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30C1E00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本项目不涉及满意度指标。</w:t>
      </w:r>
    </w:p>
    <w:p w14:paraId="7A67B1C5">
      <w:pPr>
        <w:pStyle w:val="4"/>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64"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64"/>
    </w:p>
    <w:p w14:paraId="4E88ECD1">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65" w:name="_Toc5258"/>
      <w:bookmarkStart w:id="66" w:name="_Toc480473081"/>
      <w:bookmarkStart w:id="67" w:name="_Toc26632"/>
      <w:bookmarkStart w:id="68" w:name="_Toc12868"/>
      <w:bookmarkStart w:id="69" w:name="_Toc21664"/>
      <w:bookmarkStart w:id="70" w:name="_Toc5462343"/>
      <w:bookmarkStart w:id="71" w:name="_Toc22922"/>
      <w:bookmarkStart w:id="72" w:name="_Toc22169_WPSOffice_Level2"/>
      <w:bookmarkStart w:id="73" w:name="_Toc2283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（一）绩效评价的目的</w:t>
      </w:r>
      <w:bookmarkEnd w:id="65"/>
      <w:bookmarkEnd w:id="66"/>
      <w:bookmarkEnd w:id="67"/>
      <w:bookmarkEnd w:id="68"/>
      <w:bookmarkEnd w:id="69"/>
      <w:bookmarkEnd w:id="70"/>
      <w:bookmarkEnd w:id="71"/>
      <w:bookmarkEnd w:id="72"/>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、对象和范围</w:t>
      </w:r>
      <w:bookmarkEnd w:id="73"/>
    </w:p>
    <w:p w14:paraId="32BF0FF5">
      <w:pPr>
        <w:pStyle w:val="16"/>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pPr>
      <w:bookmarkStart w:id="74" w:name="_Toc15732"/>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1.绩效评价完整性</w:t>
      </w:r>
    </w:p>
    <w:p w14:paraId="3739C96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E9F462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40BFCF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4BAF948">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695CDDB">
      <w:pPr>
        <w:spacing w:line="560"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678AC90">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5" w:name="_Toc417"/>
      <w:bookmarkStart w:id="76"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74"/>
      <w:bookmarkEnd w:id="75"/>
      <w:bookmarkEnd w:id="76"/>
    </w:p>
    <w:p w14:paraId="6A170CD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143C6F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bookmarkStart w:id="77" w:name="_Toc30609"/>
      <w:r>
        <w:rPr>
          <w:rFonts w:hint="default" w:ascii="Times New Roman" w:hAnsi="Times New Roman" w:eastAsia="仿宋_GB2312" w:cs="Times New Roman"/>
          <w:color w:val="000000" w:themeColor="text1"/>
          <w:sz w:val="32"/>
          <w:szCs w:val="32"/>
          <w:highlight w:val="none"/>
          <w14:textFill>
            <w14:solidFill>
              <w14:schemeClr w14:val="tx1"/>
            </w14:solidFill>
          </w14:textFill>
        </w:rPr>
        <w:t>（1）评估项目实施效果</w:t>
      </w:r>
    </w:p>
    <w:p w14:paraId="4E0CF6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通过对项目预算执行情况及各项绩效目标达成程度的系统性分析，全面、客观地评估项目在预定周期内的实施效果，包括社会效益等多维度指标，为项目后续的改进与优化提供科学依据。</w:t>
      </w:r>
    </w:p>
    <w:p w14:paraId="2CAEE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（2）提升资源利用效率</w:t>
      </w:r>
    </w:p>
    <w:p w14:paraId="1F611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9BFF6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（3）强化项目管理责任</w:t>
      </w:r>
    </w:p>
    <w:p w14:paraId="159564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D427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（4）为决策提供支持</w:t>
      </w:r>
    </w:p>
    <w:p w14:paraId="4ACD14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8A7E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（5）促进项目持续改进</w:t>
      </w:r>
    </w:p>
    <w:p w14:paraId="5E70B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3B41B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CD18FE2">
      <w:pPr>
        <w:pStyle w:val="6"/>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8" w:name="_Toc16346"/>
      <w:bookmarkStart w:id="79"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77"/>
      <w:bookmarkEnd w:id="78"/>
      <w:bookmarkEnd w:id="79"/>
    </w:p>
    <w:p w14:paraId="7781E4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文件要求对2024年度我单位实施的2023年昌吉州中小学校园环境改造提升工程专项资金项目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D2E8C2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阜康市第一中学</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2024年1月26日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898.78</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50EA6B15">
      <w:pPr>
        <w:pStyle w:val="6"/>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80" w:name="_Toc11666"/>
      <w:bookmarkStart w:id="81"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80"/>
      <w:bookmarkEnd w:id="81"/>
    </w:p>
    <w:p w14:paraId="55637543">
      <w:pPr>
        <w:pStyle w:val="16"/>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14:paraId="615C6D74">
      <w:pPr>
        <w:pStyle w:val="16"/>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项目预算编制与执行：全面审视项目预算的编制依据、合理性、科学性以及实际执行情况，包括预算调整的原因和效果。</w:t>
      </w:r>
    </w:p>
    <w:p w14:paraId="05104C7F">
      <w:pPr>
        <w:pStyle w:val="16"/>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资金管理：深入分析项目资金的分配、使用和监管情况，确保资金使用的合规性、高效性和透明度。</w:t>
      </w:r>
    </w:p>
    <w:p w14:paraId="1F6E0A33">
      <w:pPr>
        <w:pStyle w:val="16"/>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项目实施进度与产出：评估项目是否按照既定计划顺利推进，各项任务是否按时完成，以及项目产出的数量、质量和时效性是否符合预期。</w:t>
      </w:r>
    </w:p>
    <w:p w14:paraId="1B601D1E">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000000" w:themeColor="text1"/>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社会</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生态等</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影响：考察项目对社会方面的综合影响。</w:t>
      </w:r>
    </w:p>
    <w:p w14:paraId="20B890C1">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82" w:name="_Toc29785"/>
      <w:bookmarkStart w:id="83" w:name="_Toc1286"/>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（二）绩效评价原则、评价指标体系（</w:t>
      </w:r>
      <w:r>
        <w:rPr>
          <w:rFonts w:hint="default" w:ascii="Times New Roman" w:hAnsi="Times New Roman" w:eastAsia="楷体_GB2312" w:cs="Times New Roman"/>
          <w:color w:val="000000" w:themeColor="text1"/>
          <w:kern w:val="28"/>
          <w:sz w:val="32"/>
          <w:highlight w:val="none"/>
          <w:lang w:val="en-US" w:eastAsia="zh-CN"/>
          <w14:textFill>
            <w14:solidFill>
              <w14:schemeClr w14:val="tx1"/>
            </w14:solidFill>
          </w14:textFill>
        </w:rPr>
        <w:t>详情见</w:t>
      </w:r>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附件二）、评价方法、评价标准</w:t>
      </w:r>
      <w:bookmarkEnd w:id="82"/>
      <w:bookmarkEnd w:id="83"/>
    </w:p>
    <w:p w14:paraId="38198E64">
      <w:pPr>
        <w:pStyle w:val="6"/>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pPr>
      <w:bookmarkStart w:id="84" w:name="_Toc13694"/>
      <w:bookmarkStart w:id="85" w:name="_Toc5354"/>
      <w:bookmarkStart w:id="86" w:name="_Toc24506"/>
      <w:r>
        <w:rPr>
          <w:rFonts w:hint="eastAsia"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1.绩效评价原则</w:t>
      </w:r>
      <w:bookmarkEnd w:id="84"/>
      <w:bookmarkEnd w:id="85"/>
      <w:bookmarkEnd w:id="86"/>
    </w:p>
    <w:p w14:paraId="60D845D9">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依据《财政支出绩效评价管理暂行办法》（财预〔20</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2023年昌吉州中小学校园环境改造提升工程专项资金</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14:paraId="6A155840">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根据以上原则，绩效评价应遵循如下要求：</w:t>
      </w:r>
    </w:p>
    <w:p w14:paraId="5DBB0B5F">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）科学公正。绩效评价应当运用科学合理的方法，按照规范的程序，对项目绩效进行客观、公正的反映。</w:t>
      </w:r>
    </w:p>
    <w:p w14:paraId="5DDBE3D2">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）统筹兼顾。单位自评、部门评价和财政评价应职责明确，各有侧重，相互衔接。单位自评应由项目单位自主实施，即“谁支出、谁自评”。</w:t>
      </w:r>
    </w:p>
    <w:p w14:paraId="77539067">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14:paraId="771252DA">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）公开透明。绩效评价结果应依法依规公开，并自觉接受社会监督。</w:t>
      </w:r>
    </w:p>
    <w:p w14:paraId="28D3BCB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pPr>
      <w:bookmarkStart w:id="87" w:name="_Toc1913"/>
      <w:bookmarkStart w:id="88" w:name="_Toc26131"/>
      <w:bookmarkStart w:id="89" w:name="_Toc419984722"/>
      <w:bookmarkStart w:id="90" w:name="_Toc428278230"/>
      <w:bookmarkStart w:id="91" w:name="_Toc2439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绩效评价指标体系</w:t>
      </w:r>
      <w:bookmarkEnd w:id="87"/>
      <w:bookmarkEnd w:id="88"/>
      <w:bookmarkEnd w:id="89"/>
      <w:bookmarkEnd w:id="90"/>
      <w:bookmarkEnd w:id="91"/>
    </w:p>
    <w:p w14:paraId="1373E0B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bookmarkStart w:id="92" w:name="_Toc9941"/>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绩效评价框架是开展绩效评价的核心。绩效评价框架包括评价准则、关键评价问题、评价指标、数据来源、数据收集方法等。指标体系建立过程如下：</w:t>
      </w:r>
    </w:p>
    <w:p w14:paraId="7442D40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（1）确定评价指标</w:t>
      </w:r>
    </w:p>
    <w:p w14:paraId="30CD5F9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采用层次分析法，建立评价指标体系。绩效评价将指标分为项目决策指标、项目过程指标、项目产出指标、项目效益指标四个维度，最终形成一个由多个相互联系的指标组成的多层次指标体系。</w:t>
      </w:r>
    </w:p>
    <w:p w14:paraId="1C0D3F3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（2）确定权重</w:t>
      </w:r>
    </w:p>
    <w:p w14:paraId="297B5E8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确定各个指标相对于项目总体绩效的权重分值。在绩效评价指标体系中，项目决策权重为20分，项目过程权重为20分，项目产出权重为40分，项目效益权重为20分。</w:t>
      </w:r>
    </w:p>
    <w:p w14:paraId="026E55D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（3）确定指标标准值</w:t>
      </w:r>
    </w:p>
    <w:p w14:paraId="24DA28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指标标准值是绩效评价指标的尺度，既要反映同类项目的先进水平，又要符合项目的实际绩效水平。具体采用计划标准等确定此次绩效评价指标标准值。</w:t>
      </w:r>
    </w:p>
    <w:p w14:paraId="079352C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绩效评价总分值100分，根据综合评分结果，90（含）-100分为优、80（含）-90分为良、60（含）-80分为中、60分以下为差。</w:t>
      </w:r>
    </w:p>
    <w:p w14:paraId="2C3964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我单位</w:t>
      </w:r>
      <w:r>
        <w:rPr>
          <w:rFonts w:hint="eastAsia" w:ascii="仿宋_GB2312" w:hAnsi="仿宋_GB2312" w:eastAsia="仿宋_GB2312" w:cs="仿宋_GB2312"/>
          <w:color w:val="000000" w:themeColor="text1"/>
          <w:sz w:val="32"/>
          <w:szCs w:val="32"/>
          <w:highlight w:val="none"/>
          <w:lang w:val="zh-TW" w:eastAsia="zh-TW"/>
          <w14:textFill>
            <w14:solidFill>
              <w14:schemeClr w14:val="tx1"/>
            </w14:solidFill>
          </w14:textFill>
        </w:rPr>
        <w:t>根据项目的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实施</w:t>
      </w:r>
      <w:r>
        <w:rPr>
          <w:rFonts w:hint="eastAsia" w:ascii="仿宋_GB2312" w:hAnsi="仿宋_GB2312" w:eastAsia="仿宋_GB2312" w:cs="仿宋_GB2312"/>
          <w:color w:val="000000" w:themeColor="text1"/>
          <w:sz w:val="32"/>
          <w:szCs w:val="32"/>
          <w:highlight w:val="none"/>
          <w:lang w:val="zh-TW" w:eastAsia="zh-TW"/>
          <w14:textFill>
            <w14:solidFill>
              <w14:schemeClr w14:val="tx1"/>
            </w14:solidFill>
          </w14:textFill>
        </w:rPr>
        <w:t>资料研读及前期调研，结合项目的实际开展情况，最终形成了项目绩效评价指标体系</w:t>
      </w:r>
      <w:r>
        <w:rPr>
          <w:rFonts w:hint="eastAsia" w:ascii="仿宋_GB2312" w:hAnsi="仿宋_GB2312" w:eastAsia="仿宋_GB2312" w:cs="仿宋_GB2312"/>
          <w:color w:val="000000" w:themeColor="text1"/>
          <w:sz w:val="32"/>
          <w:szCs w:val="32"/>
          <w:highlight w:val="none"/>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详见上传的附件二。</w:t>
      </w:r>
    </w:p>
    <w:p w14:paraId="3A83FE09">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93" w:name="_Toc30114"/>
      <w:bookmarkStart w:id="94"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92"/>
      <w:bookmarkEnd w:id="93"/>
      <w:bookmarkEnd w:id="94"/>
    </w:p>
    <w:p w14:paraId="0154152C">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bookmarkStart w:id="95" w:name="_Toc25391"/>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绩效评价从项目决策、项目过程、项目产出、项目效益四个维度进行评价。评价对象为项目目标实施情况</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评价核心为资金的支出完成情况和项目的产出效益。</w:t>
      </w:r>
    </w:p>
    <w:p w14:paraId="09E3CD52">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p w14:paraId="7B8E25FE">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）最低成本法。是指在绩效目标确定的前提下，成本最小者为优的方法。</w:t>
      </w:r>
    </w:p>
    <w:p w14:paraId="499573D2">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）公众评判法。是指通过专家评估、公众问卷及抽样调查等方式进行评判的方法。</w:t>
      </w:r>
    </w:p>
    <w:p w14:paraId="020CA2A4">
      <w:pPr>
        <w:pStyle w:val="6"/>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96" w:name="_Toc6081"/>
      <w:bookmarkStart w:id="97"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95"/>
      <w:bookmarkEnd w:id="96"/>
      <w:bookmarkEnd w:id="97"/>
    </w:p>
    <w:p w14:paraId="012129D6">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p>
    <w:p w14:paraId="0814A23B">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计划标准。指以预先制定的目标、计划、预算、定额等作为评价标准。</w:t>
      </w:r>
    </w:p>
    <w:p w14:paraId="1BDBFB1C">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行业标准。指参照国家公布的行业指标数据制定的评价标准。</w:t>
      </w:r>
    </w:p>
    <w:p w14:paraId="37141B8F">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98" w:name="_Toc21435"/>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（三）绩效评价工作过程</w:t>
      </w:r>
      <w:bookmarkEnd w:id="98"/>
    </w:p>
    <w:p w14:paraId="6F5A77D8">
      <w:pPr>
        <w:spacing w:line="560" w:lineRule="exact"/>
        <w:ind w:firstLine="711" w:firstLineChars="200"/>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99" w:name="_Toc12862"/>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1.前期准备</w:t>
      </w:r>
      <w:bookmarkEnd w:id="99"/>
    </w:p>
    <w:p w14:paraId="0761331B">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（1）成立绩效评价项目小组</w:t>
      </w:r>
    </w:p>
    <w:p w14:paraId="74262B74">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14:paraId="0EF75617">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0" w:name="_Toc3157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（2）开展前期调研</w:t>
      </w:r>
      <w:bookmarkEnd w:id="100"/>
    </w:p>
    <w:p w14:paraId="4EEFE011">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1" w:name="_Toc21240"/>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依据此次绩效评价受委托内容，对拟评价的项目实施前期调研。通过调研对2023年昌吉州中小学校园环境改造提升工程专项资金项目实施内容、目标信息、预算信息以及其他的一些项目基本信息，有了初步了解，为制定绩效评价工作方案做好准备。</w:t>
      </w:r>
      <w:bookmarkEnd w:id="101"/>
    </w:p>
    <w:p w14:paraId="09FD0BC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2" w:name="_Toc27977"/>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（3）制订绩效评价工作方案</w:t>
      </w:r>
      <w:bookmarkEnd w:id="102"/>
    </w:p>
    <w:p w14:paraId="52F119C8">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3" w:name="_Toc196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绩效评价项目小组根据有关规定和评价对象的特点以及前期调研收集的一些信息，拟定详细的绩效评价工作方案。</w:t>
      </w:r>
      <w:bookmarkEnd w:id="103"/>
    </w:p>
    <w:p w14:paraId="244AC34B">
      <w:pPr>
        <w:spacing w:line="560" w:lineRule="exact"/>
        <w:ind w:firstLine="711" w:firstLineChars="200"/>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104" w:name="_Toc11353"/>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2.具体实施</w:t>
      </w:r>
      <w:bookmarkEnd w:id="104"/>
    </w:p>
    <w:p w14:paraId="7388BC76">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5" w:name="_Toc1411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（1）收集基础资料</w:t>
      </w:r>
      <w:bookmarkEnd w:id="105"/>
    </w:p>
    <w:p w14:paraId="00474113">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6" w:name="_Toc28524"/>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根据评价工作的需要和要求，在前期调研的基础上，通过多种渠道全面收集项目基础信息资料，主要包括：</w:t>
      </w:r>
      <w:bookmarkEnd w:id="106"/>
    </w:p>
    <w:p w14:paraId="561FBCBF">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7" w:name="_Toc32216"/>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①被评价单位基本概况，如单位职能、事业发展规划、预决算情况、项目立项依据等；</w:t>
      </w:r>
      <w:bookmarkEnd w:id="107"/>
    </w:p>
    <w:p w14:paraId="443DFCC7">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8" w:name="_Toc10505"/>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②绩效目标及其设立依据和调整情况；</w:t>
      </w:r>
      <w:bookmarkEnd w:id="108"/>
    </w:p>
    <w:p w14:paraId="16FF3EB0">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9" w:name="_Toc28365"/>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③管理措施及组织实施情况；</w:t>
      </w:r>
      <w:bookmarkEnd w:id="109"/>
    </w:p>
    <w:p w14:paraId="011BC54D">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0" w:name="_Toc1009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④被评价单位总结分析的绩效目标完成情况及绩效报告；</w:t>
      </w:r>
      <w:bookmarkEnd w:id="110"/>
    </w:p>
    <w:p w14:paraId="6B2CC79F">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1" w:name="_Toc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⑤与绩效评价相关的计划标准、行业标准、历史标准等；</w:t>
      </w:r>
      <w:bookmarkEnd w:id="111"/>
    </w:p>
    <w:p w14:paraId="2AA995A5">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2" w:name="_Toc200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⑥其他必要的相关资料等。</w:t>
      </w:r>
      <w:bookmarkEnd w:id="112"/>
    </w:p>
    <w:p w14:paraId="6756621D">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3" w:name="_Toc3191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（2）整理、研读基础资料</w:t>
      </w:r>
      <w:bookmarkEnd w:id="113"/>
    </w:p>
    <w:p w14:paraId="639922F4">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4" w:name="_Toc167"/>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14"/>
    </w:p>
    <w:p w14:paraId="56E51A0E">
      <w:pPr>
        <w:spacing w:line="560" w:lineRule="exact"/>
        <w:ind w:firstLine="711" w:firstLineChars="200"/>
        <w:rPr>
          <w:rFonts w:hint="default"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115" w:name="_Toc30513"/>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3.分析评价和撰写报告</w:t>
      </w:r>
      <w:bookmarkEnd w:id="115"/>
    </w:p>
    <w:p w14:paraId="27918B5E">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6" w:name="_Toc15974"/>
      <w:r>
        <w:rPr>
          <w:rFonts w:hint="eastAsia"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1）综合分析评价</w:t>
      </w:r>
      <w:bookmarkEnd w:id="116"/>
    </w:p>
    <w:p w14:paraId="1A9BDD30">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7" w:name="_Toc4352"/>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①根据所收集的基础资料，结合现场核查的有关情况，整理出绩效评价所需的项目材料和基础数据。</w:t>
      </w:r>
      <w:bookmarkEnd w:id="117"/>
    </w:p>
    <w:p w14:paraId="2BDB692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8" w:name="_Toc2623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②将初步评价结论、调整事项、专家咨询意见和有关说明等提交单位内部讨论并征求意见。之后，对所征求的意见及时地进行收集和整理。</w:t>
      </w:r>
      <w:bookmarkEnd w:id="118"/>
    </w:p>
    <w:p w14:paraId="3A404552">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19" w:name="_Toc277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（2）撰写报告</w:t>
      </w:r>
      <w:bookmarkEnd w:id="119"/>
    </w:p>
    <w:p w14:paraId="2980BDEF">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20" w:name="_Toc1557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绩效评价项目小组依照整理、分析后的项目材料、数据资料，依据评价形成的初步结论，按照既定的格式和内容要求撰写绩效评价初步报告，最终形成评价结果。</w:t>
      </w:r>
      <w:bookmarkEnd w:id="120"/>
    </w:p>
    <w:p w14:paraId="7D5865D1">
      <w:pPr>
        <w:pStyle w:val="4"/>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21"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21"/>
    </w:p>
    <w:p w14:paraId="22A8B96A">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22" w:name="_Toc2331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（一）综合评价情况及评价结论</w:t>
      </w:r>
      <w:bookmarkEnd w:id="122"/>
    </w:p>
    <w:p w14:paraId="7B8B9302">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本项目的综合评价基于对项目各方面绩效的深入分析与评估。从项目目标的达成情况来看，</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2023年昌吉州中小学校园环境改造提升工程专项资金项目</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项目产出方面完成较好</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，达到了预期的标准与要求。</w:t>
      </w:r>
    </w:p>
    <w:p w14:paraId="7300FEE6">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在项目管理方面，</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阜康市第一中学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通过有效的规划、组织与协调，项目得以顺利实施，并在预算与时间上保持了良好的控制。</w:t>
      </w:r>
    </w:p>
    <w:p w14:paraId="3615657F">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从项目效益的角度来看，本项目不仅实现了改善了全校师生的工作学习条件等方面产生了积极的影响。具体而言，</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全校师生的工作学习条件</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等方面的提升，为项目的利益相关者带来了实实在在的利益。</w:t>
      </w:r>
    </w:p>
    <w:p w14:paraId="5EECF3DE">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综上所述，</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2023年昌吉州中小学校园环境改造提升工程专项资金项目</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在绩效评价中表现出色，达到了项目的预期目标，并在多个方面取得了显著的成效</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评价等级为优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466B616C">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23" w:name="_Toc11863"/>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（二）相关评分表</w:t>
      </w:r>
      <w:bookmarkEnd w:id="123"/>
    </w:p>
    <w:p w14:paraId="37E432D6">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此次绩效评价</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通过组论证的评价指标体系及评分标准，</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采用的方法比较法、因素分析法、公众评判法，</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对</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2023年昌吉州中小学校园环境改造提升工程专项资金项目</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绩效进行客观评价，最终评分结果：</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总得分为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分，属于“优”。其中，项目决策类指标权重为20分，得分为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95</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%。项目过程类指标权重为20分，得分为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%。项目产出类指标权重为40分，得分为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39.98</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99.95</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%。项目效益类指标权重为20分，得分为</w:t>
      </w:r>
      <w:r>
        <w:rPr>
          <w:rFonts w:hint="eastAsia"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分，</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各部分权重和绩效</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汇总</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分值如下表</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3-1</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所示</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详见上传的附件</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w:t>
      </w:r>
    </w:p>
    <w:tbl>
      <w:tblPr>
        <w:tblStyle w:val="18"/>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3DE39C56">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49D37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2023年昌吉州中小学校园环境改造提升工程</w:t>
            </w:r>
          </w:p>
          <w:p w14:paraId="5EA7D1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专项资金项目得分表</w:t>
            </w:r>
          </w:p>
        </w:tc>
      </w:tr>
      <w:tr w14:paraId="19DC25F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94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3AA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2B5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9CF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BC6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00B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1307FCB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A68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bookmarkStart w:id="124" w:name="OLE_LINK11" w:colFirst="1" w:colLast="5"/>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0CB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46C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0B9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E31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8DA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bookmarkEnd w:id="124"/>
      <w:tr w14:paraId="285DF2D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E4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6EF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E31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DCD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39.98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DBB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C5A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98.98</w:t>
            </w:r>
          </w:p>
        </w:tc>
      </w:tr>
      <w:tr w14:paraId="74EFD59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3A4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6DA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E28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bookmarkStart w:id="125" w:name="OLE_LINK27"/>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bookmarkEnd w:id="125"/>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6DE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99.98%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AAF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BC7E5">
            <w:pPr>
              <w:keepNext w:val="0"/>
              <w:keepLines w:val="0"/>
              <w:pageBreakBefore w:val="0"/>
              <w:widowControl/>
              <w:tabs>
                <w:tab w:val="left" w:pos="587"/>
              </w:tabs>
              <w:kinsoku/>
              <w:wordWrap/>
              <w:overflowPunct/>
              <w:topLinePunct w:val="0"/>
              <w:autoSpaceDE/>
              <w:autoSpaceDN/>
              <w:bidi w:val="0"/>
              <w:adjustRightInd/>
              <w:snapToGrid w:val="0"/>
              <w:spacing w:line="560" w:lineRule="exact"/>
              <w:ind w:firstLine="0" w:firstLineChars="0"/>
              <w:jc w:val="left"/>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ab/>
            </w:r>
            <w:r>
              <w:rPr>
                <w:rFonts w:hint="eastAsia" w:cs="宋体"/>
                <w:color w:val="000000" w:themeColor="text1"/>
                <w:kern w:val="0"/>
                <w:sz w:val="21"/>
                <w:szCs w:val="21"/>
                <w:highlight w:val="none"/>
                <w:shd w:val="clear" w:color="auto" w:fill="auto"/>
                <w:lang w:val="en-US" w:eastAsia="zh-CN"/>
                <w14:textFill>
                  <w14:solidFill>
                    <w14:schemeClr w14:val="tx1"/>
                  </w14:solidFill>
                </w14:textFill>
              </w:rPr>
              <w:t>98.98%</w:t>
            </w:r>
          </w:p>
        </w:tc>
      </w:tr>
    </w:tbl>
    <w:p w14:paraId="4EAFA9B0">
      <w:pPr>
        <w:pStyle w:val="4"/>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26"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26"/>
    </w:p>
    <w:p w14:paraId="5508814D">
      <w:pPr>
        <w:pStyle w:val="16"/>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000000" w:themeColor="text1"/>
          <w:kern w:val="28"/>
          <w:sz w:val="32"/>
          <w:highlight w:val="none"/>
          <w14:textFill>
            <w14:solidFill>
              <w14:schemeClr w14:val="tx1"/>
            </w14:solidFill>
          </w14:textFill>
        </w:rPr>
      </w:pPr>
      <w:bookmarkStart w:id="127" w:name="_Toc6759"/>
      <w:r>
        <w:rPr>
          <w:rFonts w:hint="eastAsia" w:ascii="Times New Roman" w:hAnsi="Times New Roman" w:eastAsia="楷体_GB2312" w:cs="Times New Roman"/>
          <w:color w:val="000000" w:themeColor="text1"/>
          <w:kern w:val="28"/>
          <w:sz w:val="32"/>
          <w:highlight w:val="none"/>
          <w14:textFill>
            <w14:solidFill>
              <w14:schemeClr w14:val="tx1"/>
            </w14:solidFill>
          </w14:textFill>
        </w:rPr>
        <w:t>（一）项目决策情况</w:t>
      </w:r>
      <w:bookmarkEnd w:id="127"/>
    </w:p>
    <w:p w14:paraId="603DF3B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项目决策由3个二级指标和6个三级指标构成，权重分20分，实际得分19分，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b/>
          <w:bCs/>
          <w:color w:val="000000" w:themeColor="text1"/>
          <w:kern w:val="2"/>
          <w:sz w:val="32"/>
          <w:szCs w:val="32"/>
          <w:highlight w:val="none"/>
          <w:u w:color="000000"/>
          <w:shd w:val="clear" w:color="auto" w:fill="auto"/>
          <w:lang w:eastAsia="zh-CN"/>
          <w14:textFill>
            <w14:solidFill>
              <w14:schemeClr w14:val="tx1"/>
            </w14:solidFill>
          </w14:textFill>
        </w:rPr>
        <w:t>-1</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sz w:val="32"/>
          <w:szCs w:val="32"/>
          <w:highlight w:val="none"/>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详见上传的附件二</w:t>
      </w:r>
      <w:r>
        <w:rPr>
          <w:rFonts w:hint="eastAsia" w:ascii="仿宋_GB2312" w:hAnsi="仿宋_GB2312" w:eastAsia="仿宋_GB2312" w:cs="仿宋_GB2312"/>
          <w:b/>
          <w:bCs/>
          <w:color w:val="000000" w:themeColor="text1"/>
          <w:sz w:val="32"/>
          <w:szCs w:val="32"/>
          <w:highlight w:val="none"/>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p>
    <w:p w14:paraId="02DB20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8"/>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1F07E5D">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6FF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DF56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F28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EB5C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C1D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D47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C84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013EAAC">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B7969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2142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CB4B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1E642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67F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973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821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2BC4CFA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26317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28" w:name="OLE_LINK12" w:colFirst="5" w:colLast="5"/>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59116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0FF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58C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880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E0C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FC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0EBC88F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C0028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05BCC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113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B910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134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B73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23D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32EEDD2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115F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8CCE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210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4F8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E58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47B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2F2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1F71845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C9444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84D69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52B6C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A4416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CCF3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791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BA46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14:paraId="25E2076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55C6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3BA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AE0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92A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DC4C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AE3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0C4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bookmarkEnd w:id="128"/>
      <w:tr w14:paraId="32A42EDE">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284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513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757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8CF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7C4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19</w:t>
            </w:r>
          </w:p>
        </w:tc>
      </w:tr>
    </w:tbl>
    <w:p w14:paraId="0CF4F29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29" w:name="_Toc28069"/>
      <w:bookmarkStart w:id="130" w:name="_Toc13522"/>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1.立项依据充分性</w:t>
      </w:r>
      <w:bookmarkEnd w:id="129"/>
      <w:bookmarkEnd w:id="130"/>
    </w:p>
    <w:p w14:paraId="24F53BA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①项目立项符合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昌州财教[2023]20号文件2023年昌吉州中小学校园环境改造提升工程专项资金和昌州政办通[2023]92号文件《关于做好中小学校园环境改造提升工程的通知》要求</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655164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②项目立项符合</w:t>
      </w:r>
      <w:r>
        <w:rPr>
          <w:rStyle w:val="20"/>
          <w:rFonts w:hint="eastAsia" w:ascii="仿宋_GB2312" w:hAnsi="楷体" w:eastAsia="仿宋_GB2312" w:cs="Times New Roman"/>
          <w:b w:val="0"/>
          <w:bCs w:val="0"/>
          <w:color w:val="000000" w:themeColor="text1"/>
          <w:spacing w:val="-4"/>
          <w:sz w:val="32"/>
          <w:szCs w:val="32"/>
          <w:highlight w:val="none"/>
          <w14:textFill>
            <w14:solidFill>
              <w14:schemeClr w14:val="tx1"/>
            </w14:solidFill>
          </w14:textFill>
        </w:rPr>
        <w:t>实施初中义务教育和高中学历教育，提高国民素质，促进基础教育的发展，为国家高级专门人才培养奠定基础</w:t>
      </w:r>
      <w:r>
        <w:rPr>
          <w:rStyle w:val="20"/>
          <w:rFonts w:hint="eastAsia" w:ascii="仿宋_GB2312" w:hAnsi="楷体" w:eastAsia="仿宋_GB2312" w:cs="Times New Roman"/>
          <w:b w:val="0"/>
          <w:bCs w:val="0"/>
          <w:color w:val="000000" w:themeColor="text1"/>
          <w:spacing w:val="-4"/>
          <w:sz w:val="32"/>
          <w:szCs w:val="32"/>
          <w:highlight w:val="none"/>
          <w:lang w:eastAsia="zh-CN"/>
          <w14:textFill>
            <w14:solidFill>
              <w14:schemeClr w14:val="tx1"/>
            </w14:solidFill>
          </w14:textFill>
        </w:rPr>
        <w:t>的职能需求</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02364A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③项目立项与有效提升改善全校师生员工的工作、生活条件，继而更好地</w:t>
      </w:r>
      <w:r>
        <w:rPr>
          <w:rStyle w:val="20"/>
          <w:rFonts w:hint="eastAsia" w:ascii="仿宋_GB2312" w:hAnsi="楷体" w:eastAsia="仿宋_GB2312" w:cs="Times New Roman"/>
          <w:b w:val="0"/>
          <w:bCs w:val="0"/>
          <w:color w:val="000000" w:themeColor="text1"/>
          <w:spacing w:val="-4"/>
          <w:sz w:val="32"/>
          <w:szCs w:val="32"/>
          <w:highlight w:val="none"/>
          <w14:textFill>
            <w14:solidFill>
              <w14:schemeClr w14:val="tx1"/>
            </w14:solidFill>
          </w14:textFill>
        </w:rPr>
        <w:t>实施初中义务教育和高中学历教育，提高国民素质，促进基础教育的发展，为国家高级专门人才培养奠定基础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相符，属于部门履职所需；</w:t>
      </w:r>
    </w:p>
    <w:p w14:paraId="2AAB69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④项目属于公共财政支持范围，符合中央、地方事权支出责任划分原则；</w:t>
      </w:r>
    </w:p>
    <w:p w14:paraId="7AC6AB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⑤项目与相关部门同类项目、部门内部相关项目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重复。</w:t>
      </w:r>
    </w:p>
    <w:p w14:paraId="33EC1E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综上，该项指标满分2分，得分2分。</w:t>
      </w:r>
    </w:p>
    <w:p w14:paraId="6B58572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1" w:name="_Toc23240"/>
      <w:bookmarkStart w:id="132" w:name="_Toc2197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2.立项程序规范性</w:t>
      </w:r>
      <w:bookmarkEnd w:id="131"/>
      <w:bookmarkEnd w:id="132"/>
    </w:p>
    <w:p w14:paraId="41BDE4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①项目按照规定的程序申请设立；</w:t>
      </w:r>
    </w:p>
    <w:p w14:paraId="180474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②审批文件、材料符合相关要求；</w:t>
      </w:r>
    </w:p>
    <w:p w14:paraId="3EF713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③事前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未</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经过必要的可行性研究、专家论证、风险评估、绩效评估、集体决策。</w:t>
      </w:r>
    </w:p>
    <w:p w14:paraId="097E38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综上，该项指标满分3分，得分2分。</w:t>
      </w:r>
    </w:p>
    <w:p w14:paraId="7F39AD4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3" w:name="_Toc15382"/>
      <w:bookmarkStart w:id="134" w:name="_Toc23542"/>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3.绩效目标合理性</w:t>
      </w:r>
      <w:bookmarkEnd w:id="133"/>
      <w:bookmarkEnd w:id="134"/>
    </w:p>
    <w:p w14:paraId="7BC4E5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①该项目已设置年度绩效目标。</w:t>
      </w:r>
    </w:p>
    <w:p w14:paraId="008CC9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该项目实际工作内容为：粉刷面积171000平方米,完成改造提升面积3400平方米,完成改造工程数量3个，按时完成支付校园文化建设成本255.76万元，完成支付校园粉刷成本370.28万元、完成支付校舍改造提升成本267.33万元、完成支付校园环境提升项目监理费成本4.92万元。绩效目标与实际工作内容一致，两者具有相关性。</w:t>
      </w:r>
    </w:p>
    <w:p w14:paraId="18134D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③该项目按照绩效目标完成数量指标、质量指标、时效指标、成本指标，完成了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社会效益指标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，达到有效提升改善全校师生的工作学习条件的效益，预期产出效益和效果符合正常的业绩水平。</w:t>
      </w:r>
    </w:p>
    <w:p w14:paraId="13D297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④《项目支出绩效目标表》中预算金额为898.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万元，预算确定的项目资金与预算确定的项目投资额相匹配。</w:t>
      </w:r>
    </w:p>
    <w:p w14:paraId="7842FC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综上，该项指标满分5分，得分5分。</w:t>
      </w:r>
    </w:p>
    <w:p w14:paraId="6F61EC0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5" w:name="_Toc18198"/>
      <w:bookmarkStart w:id="136" w:name="_Toc10650"/>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4.绩效指标明确性</w:t>
      </w:r>
      <w:bookmarkEnd w:id="135"/>
      <w:bookmarkEnd w:id="136"/>
    </w:p>
    <w:p w14:paraId="397858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①将项目绩效目标细化分解为具体的绩效指标，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其中三级指标共计10个</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5BF0BB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②通过清晰、可衡量的指标值予以体现，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量化率达到90%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3187CA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③《项目绩效目标申报表》中，三级指标的年度指标值与年度绩效目标中任务数一致。</w:t>
      </w:r>
    </w:p>
    <w:p w14:paraId="617B30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已设置的绩效目标具备明确性、可衡量性、可实现性、相关性、时限性。</w:t>
      </w:r>
    </w:p>
    <w:p w14:paraId="7B50A0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综上，该项指标满分5分，得分5分。</w:t>
      </w:r>
    </w:p>
    <w:p w14:paraId="2F2AB01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7" w:name="_Toc19401"/>
      <w:bookmarkStart w:id="138" w:name="_Toc829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5.预算编制科学性</w:t>
      </w:r>
      <w:bookmarkEnd w:id="137"/>
      <w:bookmarkEnd w:id="138"/>
    </w:p>
    <w:p w14:paraId="12B74D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根据项目预算批复，项目的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预算编制经过科学论证；</w:t>
      </w:r>
    </w:p>
    <w:p w14:paraId="1F49C2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申请内容为校园粉刷面积171000平方米，改造提升面积3400平方米，改造提升工程项目3个，包括校园文化建设项目、校园粉刷项目、校舍改造提升等项目，项目实际内容为校园粉刷面积171000平方米，改造提升面积3400平方米，改造提升工程项目3个，包括校园文化建设项目、校园粉刷项目、校舍改造提升等项目，预算申请与项目内容匹配；</w:t>
      </w:r>
    </w:p>
    <w:p w14:paraId="2277D1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项目预算申请资金</w:t>
      </w:r>
      <w:bookmarkStart w:id="139" w:name="OLE_LINK14"/>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bookmarkEnd w:id="139"/>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元，我单位在预算申请中严格按照项目实施内容及测算标准进行核算，其中：校园文化建设成本费用255.76万元、校园粉刷成本费用370.28万元、校舍改造提升成本费用267.82万元、校园环境提升项目监理费成本费用4.92万元。</w:t>
      </w:r>
    </w:p>
    <w:p w14:paraId="68BFFE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④</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预算确定资金量与实际工作任务相匹配。项目预算额度测算依据充分，严格按照标准编制，项目资金量与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项目实施内容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相匹配。</w:t>
      </w:r>
    </w:p>
    <w:p w14:paraId="1BEC43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综上，该项指标满分2分，得分2分。</w:t>
      </w:r>
    </w:p>
    <w:p w14:paraId="7628019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40" w:name="_Toc697"/>
      <w:bookmarkStart w:id="141" w:name="_Toc2055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6.资金分配合理性</w:t>
      </w:r>
      <w:bookmarkEnd w:id="140"/>
      <w:bookmarkEnd w:id="141"/>
    </w:p>
    <w:p w14:paraId="576C32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①项目实际分配资金以</w:t>
      </w:r>
      <w:r>
        <w:rPr>
          <w:rFonts w:hint="eastAsia" w:ascii="仿宋_GB2312" w:hAnsi="仿宋_GB2312" w:eastAsia="仿宋_GB2312" w:cs="仿宋_GB2312"/>
          <w:color w:val="000000" w:themeColor="text1"/>
          <w:sz w:val="32"/>
          <w:szCs w:val="32"/>
          <w:highlight w:val="none"/>
          <w:lang w:eastAsia="zh-Hans"/>
          <w14:textFill>
            <w14:solidFill>
              <w14:schemeClr w14:val="tx1"/>
            </w14:solidFill>
          </w14:textFill>
        </w:rPr>
        <w:t>《关于</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申请2023年昌吉州中小学校园环境改造提升工程专项资金项目资金的请示</w:t>
      </w:r>
      <w:r>
        <w:rPr>
          <w:rFonts w:hint="eastAsia" w:ascii="仿宋_GB2312" w:hAnsi="仿宋_GB2312" w:eastAsia="仿宋_GB2312" w:cs="仿宋_GB2312"/>
          <w:color w:val="000000" w:themeColor="text1"/>
          <w:sz w:val="32"/>
          <w:szCs w:val="32"/>
          <w:highlight w:val="none"/>
          <w:lang w:eastAsia="zh-Hans"/>
          <w14:textFill>
            <w14:solidFill>
              <w14:schemeClr w14:val="tx1"/>
            </w14:solidFill>
          </w14:textFill>
        </w:rPr>
        <w:t>》为依据进行资金分配，预算资金分配依据充分</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66AA8E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②项目实际到位资金</w:t>
      </w:r>
      <w:bookmarkStart w:id="142" w:name="OLE_LINK16"/>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bookmarkEnd w:id="142"/>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万元，资金分配额度合理，与项目单位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及项目实际实施情况相</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适应。</w:t>
      </w:r>
    </w:p>
    <w:p w14:paraId="146D156C">
      <w:pPr>
        <w:pageBreakBefore w:val="0"/>
        <w:kinsoku/>
        <w:wordWrap/>
        <w:overflowPunct/>
        <w:topLinePunct w:val="0"/>
        <w:autoSpaceDE/>
        <w:autoSpaceDN/>
        <w:bidi w:val="0"/>
        <w:spacing w:line="560" w:lineRule="exact"/>
        <w:textAlignment w:val="auto"/>
        <w:rPr>
          <w:rFonts w:hint="eastAsia"/>
          <w:color w:val="000000" w:themeColor="text1"/>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综上，该项指标满分3分，得分3分。</w:t>
      </w:r>
    </w:p>
    <w:p w14:paraId="449C7FF9">
      <w:pPr>
        <w:pStyle w:val="16"/>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000000" w:themeColor="text1"/>
          <w:kern w:val="28"/>
          <w:sz w:val="32"/>
          <w:highlight w:val="none"/>
          <w14:textFill>
            <w14:solidFill>
              <w14:schemeClr w14:val="tx1"/>
            </w14:solidFill>
          </w14:textFill>
        </w:rPr>
      </w:pPr>
      <w:bookmarkStart w:id="143" w:name="_Toc10564"/>
      <w:r>
        <w:rPr>
          <w:rFonts w:hint="eastAsia" w:ascii="Times New Roman" w:hAnsi="Times New Roman" w:eastAsia="楷体" w:cs="Times New Roman"/>
          <w:color w:val="000000" w:themeColor="text1"/>
          <w:kern w:val="28"/>
          <w:sz w:val="32"/>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sz w:val="32"/>
          <w:highlight w:val="none"/>
          <w:lang w:val="en-US" w:eastAsia="zh-CN"/>
          <w14:textFill>
            <w14:solidFill>
              <w14:schemeClr w14:val="tx1"/>
            </w14:solidFill>
          </w14:textFill>
        </w:rPr>
        <w:t>二</w:t>
      </w:r>
      <w:r>
        <w:rPr>
          <w:rFonts w:hint="eastAsia" w:ascii="Times New Roman" w:hAnsi="Times New Roman" w:eastAsia="楷体" w:cs="Times New Roman"/>
          <w:color w:val="000000" w:themeColor="text1"/>
          <w:kern w:val="28"/>
          <w:sz w:val="32"/>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sz w:val="32"/>
          <w:highlight w:val="none"/>
          <w14:textFill>
            <w14:solidFill>
              <w14:schemeClr w14:val="tx1"/>
            </w14:solidFill>
          </w14:textFill>
        </w:rPr>
        <w:t>项目过程情况</w:t>
      </w:r>
      <w:bookmarkEnd w:id="143"/>
    </w:p>
    <w:p w14:paraId="54815D5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过程</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管理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类指标由</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5</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详见上传的附件二</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69FA6E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4702747">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D0F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352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F07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209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604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B489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D89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13CF902">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FC9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44" w:name="OLE_LINK15" w:colFirst="5" w:colLast="5"/>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3C2C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6F0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6B39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0E7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62D3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CC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249AB41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4DC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B4D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86E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B79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E94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99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EAA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7FBB493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D81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BDE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3B7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58F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4C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93D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ED7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223D42F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BBC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BE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552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59D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F2F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DC01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3F5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0BA9687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15D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EB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2C9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0DED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97F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EC4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830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7CAE6FB5">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055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01D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A19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997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6019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r>
      <w:bookmarkEnd w:id="144"/>
    </w:tbl>
    <w:p w14:paraId="347EB2E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45" w:name="_Toc20449"/>
      <w:bookmarkStart w:id="146" w:name="_Toc388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1.资金到位率</w:t>
      </w:r>
      <w:bookmarkEnd w:id="145"/>
      <w:bookmarkEnd w:id="146"/>
    </w:p>
    <w:p w14:paraId="41D97C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项目预算资金为</w:t>
      </w:r>
      <w:bookmarkStart w:id="147" w:name="OLE_LINK13"/>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bookmarkEnd w:id="147"/>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，其中：财政安排资金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万元，其他资金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p>
    <w:p w14:paraId="52653D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资金到位率=（898.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bookmarkStart w:id="148" w:name="OLE_LINK26"/>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bookmarkEnd w:id="148"/>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）×100%</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100%。</w:t>
      </w:r>
    </w:p>
    <w:p w14:paraId="0A838C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2BD46E2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49" w:name="_Toc9705"/>
      <w:bookmarkStart w:id="150" w:name="_Toc17709"/>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2.预算执行率</w:t>
      </w:r>
      <w:bookmarkEnd w:id="149"/>
      <w:bookmarkEnd w:id="150"/>
    </w:p>
    <w:p w14:paraId="59E1CCD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截至2024年12月31日，项目实际支出</w:t>
      </w:r>
      <w:bookmarkStart w:id="151" w:name="OLE_LINK25"/>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898.78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w:t>
      </w:r>
      <w:bookmarkEnd w:id="151"/>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5C4AB1E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预算执行率=（898.78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/898.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）×100%</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08CE0F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57287BD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52" w:name="_Toc28875"/>
      <w:bookmarkStart w:id="153" w:name="_Toc18691"/>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3.资金使用合规性</w:t>
      </w:r>
      <w:bookmarkEnd w:id="152"/>
      <w:bookmarkEnd w:id="153"/>
    </w:p>
    <w:p w14:paraId="045C15BE">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①本项目资金支出符合国家财经法规、《政府会计制度》《阜康市第一中学项目资金管理办法》《阜康市第一中学专项资金管理办法》；</w:t>
      </w:r>
    </w:p>
    <w:p w14:paraId="295A87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②资金的拨付有完整的审批程序和手续；</w:t>
      </w:r>
    </w:p>
    <w:p w14:paraId="3C8B43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③符合项目预算批复或合同规定的用途；</w:t>
      </w:r>
    </w:p>
    <w:p w14:paraId="0A6AC32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存在截留、挤占、挪用、虚列支出等情况。</w:t>
      </w:r>
    </w:p>
    <w:p w14:paraId="313DFFE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p>
    <w:p w14:paraId="444D68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670A464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4.</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管理制度健全性</w:t>
      </w:r>
    </w:p>
    <w:p w14:paraId="38A674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我单位已制定《</w:t>
      </w:r>
      <w:bookmarkStart w:id="154" w:name="OLE_LINK17"/>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bookmarkEnd w:id="154"/>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专项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资金管理办法》《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收支业务管理制度》《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政府采购业务管理制度》《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合同管理制度》，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相关</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制度均符合行政事业单位内控管理要求；</w:t>
      </w:r>
    </w:p>
    <w:p w14:paraId="0A381E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②已制定的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财务和业务管理制度合法、合规、完整，本项目执行符合上述制度规定。</w:t>
      </w:r>
    </w:p>
    <w:p w14:paraId="01F295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6F2B48E1">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55" w:name="_Toc13984"/>
      <w:bookmarkStart w:id="156" w:name="_Toc31684"/>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5.制度执行有效性</w:t>
      </w:r>
      <w:bookmarkEnd w:id="155"/>
      <w:bookmarkEnd w:id="156"/>
    </w:p>
    <w:p w14:paraId="1AF65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项目的实施</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遵守相关法律法规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相关管理规定，</w:t>
      </w:r>
      <w:r>
        <w:rPr>
          <w:rFonts w:hint="eastAsia" w:ascii="仿宋_GB2312" w:hAnsi="仿宋_GB2312" w:eastAsia="仿宋_GB2312" w:cs="仿宋_GB2312"/>
          <w:color w:val="000000" w:themeColor="text1"/>
          <w:sz w:val="32"/>
          <w:szCs w:val="32"/>
          <w:highlight w:val="none"/>
          <w14:textFill>
            <w14:solidFill>
              <w14:schemeClr w14:val="tx1"/>
            </w14:solidFill>
          </w14:textFill>
        </w:rPr>
        <w:t>符合《</w:t>
      </w:r>
      <w:bookmarkStart w:id="157" w:name="OLE_LINK18"/>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bookmarkEnd w:id="157"/>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收支业务管理制度</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阜康市第一中学专项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资金管理办法</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14:textFill>
            <w14:solidFill>
              <w14:schemeClr w14:val="tx1"/>
            </w14:solidFill>
          </w14:textFill>
        </w:rPr>
        <w:t>采购业务管理制度》《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14:textFill>
            <w14:solidFill>
              <w14:schemeClr w14:val="tx1"/>
            </w14:solidFill>
          </w14:textFill>
        </w:rPr>
        <w:t>合同管理制度》等管理规定，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2030F1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14:textFill>
            <w14:solidFill>
              <w14:schemeClr w14:val="tx1"/>
            </w14:solidFill>
          </w14:textFill>
        </w:rPr>
        <w:t>该项目实施过程中不存在调整事项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7B2BB2BB">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项目合同书、验收评审表、财务支付凭证等资料齐全并及时归档。</w:t>
      </w:r>
    </w:p>
    <w:p w14:paraId="6DCEC7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实施所需要的项目人员和场地设备均已落实到位，具体涉及内容包括：项目资金支出严格按照自治区、地区以及本单位资金管理办法执行，项目启动实施后，为了加快本项目的实施，成立了2023年昌吉州中小学校园环境改造提升工程专项资金项目工作领导小组，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郑建生</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任组长，负责项目的组织工作；</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安娜</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任副组长，负责项目的实施工作；组员包括：</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杜慧珍和赵晨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，主要负责项目监督管理、验收以及资金核拨等工作。</w:t>
      </w:r>
    </w:p>
    <w:p w14:paraId="5DE353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388B8938">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58" w:name="_Toc2441"/>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（三）项目产出情况</w:t>
      </w:r>
      <w:bookmarkEnd w:id="158"/>
    </w:p>
    <w:p w14:paraId="6E8115F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产出</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包括产出数量、产出质量、产出时效、产出成本四方面的内容，</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共</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5</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39.98</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4132BF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36" w:type="dxa"/>
        <w:tblInd w:w="0" w:type="dxa"/>
        <w:shd w:val="clear" w:color="auto" w:fill="auto"/>
        <w:tblLayout w:type="fixed"/>
        <w:tblCellMar>
          <w:top w:w="0" w:type="dxa"/>
          <w:left w:w="0" w:type="dxa"/>
          <w:bottom w:w="0" w:type="dxa"/>
          <w:right w:w="0" w:type="dxa"/>
        </w:tblCellMar>
      </w:tblPr>
      <w:tblGrid>
        <w:gridCol w:w="645"/>
        <w:gridCol w:w="943"/>
        <w:gridCol w:w="2689"/>
        <w:gridCol w:w="1462"/>
        <w:gridCol w:w="567"/>
        <w:gridCol w:w="1388"/>
        <w:gridCol w:w="642"/>
      </w:tblGrid>
      <w:tr w14:paraId="1CA0377E">
        <w:tblPrEx>
          <w:shd w:val="clear" w:color="auto" w:fill="auto"/>
          <w:tblCellMar>
            <w:top w:w="0" w:type="dxa"/>
            <w:left w:w="0" w:type="dxa"/>
            <w:bottom w:w="0" w:type="dxa"/>
            <w:right w:w="0" w:type="dxa"/>
          </w:tblCellMar>
        </w:tblPrEx>
        <w:trPr>
          <w:trHeight w:val="750" w:hRule="atLeast"/>
        </w:trPr>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5911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11E6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0334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5678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66EE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8EA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1CFA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73541C5A">
        <w:tblPrEx>
          <w:tblCellMar>
            <w:top w:w="0" w:type="dxa"/>
            <w:left w:w="0" w:type="dxa"/>
            <w:bottom w:w="0" w:type="dxa"/>
            <w:right w:w="0" w:type="dxa"/>
          </w:tblCellMar>
        </w:tblPrEx>
        <w:trPr>
          <w:trHeight w:val="750" w:hRule="atLeast"/>
        </w:trPr>
        <w:tc>
          <w:tcPr>
            <w:tcW w:w="64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ECF5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4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51C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22C99">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粉刷面积</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C81B7F">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≥171000平方米</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8E05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b w:val="0"/>
                <w:bCs w:val="0"/>
                <w:color w:val="000000" w:themeColor="text1"/>
                <w:kern w:val="0"/>
                <w:sz w:val="20"/>
                <w:szCs w:val="20"/>
                <w:highlight w:val="none"/>
                <w:shd w:val="clear" w:color="auto" w:fill="auto"/>
                <w:lang w:val="en-US" w:eastAsia="zh-CN"/>
                <w14:textFill>
                  <w14:solidFill>
                    <w14:schemeClr w14:val="tx1"/>
                  </w14:solidFill>
                </w14:textFill>
              </w:rPr>
              <w:t>4</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F0EA28">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171000平方米</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C6D6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b w:val="0"/>
                <w:bCs w:val="0"/>
                <w:color w:val="000000" w:themeColor="text1"/>
                <w:kern w:val="0"/>
                <w:sz w:val="20"/>
                <w:szCs w:val="20"/>
                <w:highlight w:val="none"/>
                <w:shd w:val="clear" w:color="auto" w:fill="auto"/>
                <w:lang w:val="en-US" w:eastAsia="zh-CN"/>
                <w14:textFill>
                  <w14:solidFill>
                    <w14:schemeClr w14:val="tx1"/>
                  </w14:solidFill>
                </w14:textFill>
              </w:rPr>
              <w:t>4</w:t>
            </w:r>
          </w:p>
        </w:tc>
      </w:tr>
      <w:tr w14:paraId="5B46F820">
        <w:tblPrEx>
          <w:tblCellMar>
            <w:top w:w="0" w:type="dxa"/>
            <w:left w:w="0" w:type="dxa"/>
            <w:bottom w:w="0" w:type="dxa"/>
            <w:right w:w="0" w:type="dxa"/>
          </w:tblCellMar>
        </w:tblPrEx>
        <w:trPr>
          <w:trHeight w:val="750"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F6DD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D3FF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70055">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改造提升面积</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AB94CA">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≥3400平方米</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EA83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b w:val="0"/>
                <w:bCs w:val="0"/>
                <w:color w:val="000000" w:themeColor="text1"/>
                <w:kern w:val="0"/>
                <w:sz w:val="20"/>
                <w:szCs w:val="20"/>
                <w:highlight w:val="none"/>
                <w:shd w:val="clear" w:color="auto" w:fill="auto"/>
                <w:lang w:val="en-US" w:eastAsia="zh-CN"/>
                <w14:textFill>
                  <w14:solidFill>
                    <w14:schemeClr w14:val="tx1"/>
                  </w14:solidFill>
                </w14:textFill>
              </w:rPr>
              <w:t>4</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3803A2">
            <w:pPr>
              <w:keepNext w:val="0"/>
              <w:keepLines w:val="0"/>
              <w:widowControl/>
              <w:suppressLineNumbers w:val="0"/>
              <w:spacing w:line="240" w:lineRule="auto"/>
              <w:ind w:firstLine="400" w:firstLineChars="200"/>
              <w:jc w:val="center"/>
              <w:textAlignment w:val="cente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3400平方米</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1C3C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b w:val="0"/>
                <w:bCs w:val="0"/>
                <w:color w:val="000000" w:themeColor="text1"/>
                <w:kern w:val="0"/>
                <w:sz w:val="20"/>
                <w:szCs w:val="20"/>
                <w:highlight w:val="none"/>
                <w:shd w:val="clear" w:color="auto" w:fill="auto"/>
                <w:lang w:val="en-US" w:eastAsia="zh-CN"/>
                <w14:textFill>
                  <w14:solidFill>
                    <w14:schemeClr w14:val="tx1"/>
                  </w14:solidFill>
                </w14:textFill>
              </w:rPr>
              <w:t>4</w:t>
            </w:r>
          </w:p>
        </w:tc>
      </w:tr>
      <w:tr w14:paraId="53467E12">
        <w:tblPrEx>
          <w:tblCellMar>
            <w:top w:w="0" w:type="dxa"/>
            <w:left w:w="0" w:type="dxa"/>
            <w:bottom w:w="0" w:type="dxa"/>
            <w:right w:w="0" w:type="dxa"/>
          </w:tblCellMar>
        </w:tblPrEx>
        <w:trPr>
          <w:trHeight w:val="415"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7D1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63AE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A89B18">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改造工程数量</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9414F">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≥3个</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045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9CC39">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3个</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C802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695D543F">
        <w:tblPrEx>
          <w:tblCellMar>
            <w:top w:w="0" w:type="dxa"/>
            <w:left w:w="0" w:type="dxa"/>
            <w:bottom w:w="0" w:type="dxa"/>
            <w:right w:w="0" w:type="dxa"/>
          </w:tblCellMar>
        </w:tblPrEx>
        <w:trPr>
          <w:trHeight w:val="390"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08BD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F9E8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44748">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政府采购完成率</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EFA62F">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D00A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3141AF">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100%</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ABC8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276A4220">
        <w:tblPrEx>
          <w:tblCellMar>
            <w:top w:w="0" w:type="dxa"/>
            <w:left w:w="0" w:type="dxa"/>
            <w:bottom w:w="0" w:type="dxa"/>
            <w:right w:w="0" w:type="dxa"/>
          </w:tblCellMar>
        </w:tblPrEx>
        <w:trPr>
          <w:trHeight w:val="410"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32FE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A5E2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6335A">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采购按期完成率</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E2E82E">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5159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44B469">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100%</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7976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27189C71">
        <w:tblPrEx>
          <w:tblCellMar>
            <w:top w:w="0" w:type="dxa"/>
            <w:left w:w="0" w:type="dxa"/>
            <w:bottom w:w="0" w:type="dxa"/>
            <w:right w:w="0" w:type="dxa"/>
          </w:tblCellMar>
        </w:tblPrEx>
        <w:trPr>
          <w:trHeight w:val="428"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833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3BEC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89CF40">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校园文化建设成本</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C5AA03">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≤255.76万元</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A5E2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885F52">
            <w:pPr>
              <w:keepNext w:val="0"/>
              <w:keepLines w:val="0"/>
              <w:widowControl/>
              <w:suppressLineNumbers w:val="0"/>
              <w:spacing w:line="240" w:lineRule="auto"/>
              <w:ind w:firstLine="400" w:firstLineChars="200"/>
              <w:jc w:val="center"/>
              <w:textAlignment w:val="center"/>
              <w:rPr>
                <w:color w:val="000000" w:themeColor="text1"/>
                <w:highlight w:val="none"/>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255.76万元</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4CC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67D942F9">
        <w:tblPrEx>
          <w:shd w:val="clear" w:color="auto" w:fill="auto"/>
          <w:tblCellMar>
            <w:top w:w="0" w:type="dxa"/>
            <w:left w:w="0" w:type="dxa"/>
            <w:bottom w:w="0" w:type="dxa"/>
            <w:right w:w="0" w:type="dxa"/>
          </w:tblCellMar>
        </w:tblPrEx>
        <w:trPr>
          <w:trHeight w:val="403"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12E5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C02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F5AA4C">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校园粉刷成本</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2C4DD0">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≤370.28万元</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B253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0EE7BB">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370.28万元</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66A4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0CABC4F2">
        <w:tblPrEx>
          <w:tblCellMar>
            <w:top w:w="0" w:type="dxa"/>
            <w:left w:w="0" w:type="dxa"/>
            <w:bottom w:w="0" w:type="dxa"/>
            <w:right w:w="0" w:type="dxa"/>
          </w:tblCellMar>
        </w:tblPrEx>
        <w:trPr>
          <w:trHeight w:val="403"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552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4DCE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029FFE">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校舍改造提升成本</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20D22">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≤267.82万元</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6399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E56C91">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267.33万元</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FB50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4.99</w:t>
            </w:r>
          </w:p>
        </w:tc>
      </w:tr>
      <w:tr w14:paraId="065296CE">
        <w:tblPrEx>
          <w:tblCellMar>
            <w:top w:w="0" w:type="dxa"/>
            <w:left w:w="0" w:type="dxa"/>
            <w:bottom w:w="0" w:type="dxa"/>
            <w:right w:w="0" w:type="dxa"/>
          </w:tblCellMar>
        </w:tblPrEx>
        <w:trPr>
          <w:trHeight w:val="403" w:hRule="atLeast"/>
        </w:trPr>
        <w:tc>
          <w:tcPr>
            <w:tcW w:w="64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3764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2FA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CFDC89">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校园环境提升项目监理费成本</w:t>
            </w:r>
          </w:p>
        </w:tc>
        <w:tc>
          <w:tcPr>
            <w:tcW w:w="14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668943">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≤4.92万元</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EE95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0A64D">
            <w:pPr>
              <w:keepNext w:val="0"/>
              <w:keepLines w:val="0"/>
              <w:widowControl/>
              <w:suppressLineNumbers w:val="0"/>
              <w:spacing w:line="240" w:lineRule="auto"/>
              <w:ind w:firstLine="400" w:firstLineChars="200"/>
              <w:jc w:val="center"/>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4.92万元</w:t>
            </w: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A38B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38F60551">
        <w:tblPrEx>
          <w:tblCellMar>
            <w:top w:w="0" w:type="dxa"/>
            <w:left w:w="0" w:type="dxa"/>
            <w:bottom w:w="0" w:type="dxa"/>
            <w:right w:w="0" w:type="dxa"/>
          </w:tblCellMar>
        </w:tblPrEx>
        <w:trPr>
          <w:trHeight w:val="403" w:hRule="atLeast"/>
        </w:trPr>
        <w:tc>
          <w:tcPr>
            <w:tcW w:w="5739"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B537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E4AC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0</w:t>
            </w:r>
          </w:p>
        </w:tc>
        <w:tc>
          <w:tcPr>
            <w:tcW w:w="13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D56F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9EE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39.98</w:t>
            </w:r>
          </w:p>
        </w:tc>
      </w:tr>
    </w:tbl>
    <w:p w14:paraId="3CABE0A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59" w:name="_Toc26689"/>
      <w:bookmarkStart w:id="160" w:name="_Toc11067"/>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1.数量指标完成情况</w:t>
      </w:r>
      <w:bookmarkEnd w:id="159"/>
      <w:bookmarkEnd w:id="160"/>
    </w:p>
    <w:p w14:paraId="346AAF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“粉刷面积”指标，预期目标值为不少于171000平方米，实际完成为171000平方米。实际完成率=（171000平方米/171000平方米）×100%=100%。</w:t>
      </w:r>
    </w:p>
    <w:p w14:paraId="123F9B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（2）“改造提升面积”指标，预期目标值为不少于3400平方米，实际完成为3400平方米。实际完成率=（3400平方米/3400平方米）×100%=100%。</w:t>
      </w:r>
    </w:p>
    <w:p w14:paraId="624229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（3）“改造工程数量”指标，预期目标值为不少于3个，实际完成为3个。实际完成率=（3个/3个）×100%=100%。</w:t>
      </w:r>
    </w:p>
    <w:p w14:paraId="670AC1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综上，该项指标满分12分，得分12分。</w:t>
      </w:r>
    </w:p>
    <w:p w14:paraId="3ECF4D9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61" w:name="_Toc31739"/>
      <w:bookmarkStart w:id="162" w:name="_Toc1425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w:t>
      </w:r>
      <w:bookmarkEnd w:id="161"/>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质量指标完成情况</w:t>
      </w:r>
      <w:bookmarkEnd w:id="162"/>
    </w:p>
    <w:p w14:paraId="57ED2E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政府采购完成率”指标，预期目标值为100%，实际完成为100%。实际完成率100%。</w:t>
      </w:r>
    </w:p>
    <w:p w14:paraId="224FA9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综上，该项指标满分4分，得分4分。</w:t>
      </w:r>
    </w:p>
    <w:p w14:paraId="01C8227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63" w:name="_Toc18307"/>
      <w:bookmarkStart w:id="164" w:name="_Toc2888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w:t>
      </w:r>
      <w:bookmarkEnd w:id="163"/>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时效指标完成情况</w:t>
      </w:r>
      <w:bookmarkEnd w:id="164"/>
    </w:p>
    <w:p w14:paraId="132041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采购按期完成率”指标，预期目标值为100%，实际完成为100%。实际完成率100%。</w:t>
      </w:r>
    </w:p>
    <w:p w14:paraId="19B60C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综上，该项指标满分4分，得分4分。</w:t>
      </w:r>
    </w:p>
    <w:p w14:paraId="507423A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65" w:name="_Toc32765"/>
      <w:bookmarkStart w:id="166" w:name="_Toc20607"/>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4.项目</w:t>
      </w:r>
      <w:bookmarkEnd w:id="16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成本情况</w:t>
      </w:r>
      <w:bookmarkEnd w:id="166"/>
    </w:p>
    <w:p w14:paraId="5C4966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经济</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成本指标完成情况</w:t>
      </w:r>
    </w:p>
    <w:p w14:paraId="67887A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“校园文化建设成本”指标，预期目标值为不超过255.76万元，实际完成为255.76万元。实际完成率=（255.76万元/255.76万元）×100%=100%。</w:t>
      </w:r>
    </w:p>
    <w:p w14:paraId="3022AA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（2）“校园粉刷成本”指标，预期目标值为不超过370.28万元，实际完成为370.28万元。实际完成率=（370.28万元/370.28万元）×100%=100%。</w:t>
      </w:r>
    </w:p>
    <w:p w14:paraId="5C4AE3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（3）“校舍改造提升成本”指标，预期目标值为不超过267.82万元，实际完成为267.33万元。实际完成率=（267.33万元/267.82万元）×100%=99.82%。</w:t>
      </w:r>
    </w:p>
    <w:p w14:paraId="184E7AE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（4）“校园环境提升项目监理费成本”指标，预期目标值为不超过4.92万元，实际完成为4.92万元。实际完成率=（4.92万元/4.92万元）×100%=100%。</w:t>
      </w:r>
    </w:p>
    <w:p w14:paraId="51A0D0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综上，该项指标满分20分，得分19.98分。</w:t>
      </w:r>
    </w:p>
    <w:p w14:paraId="5E86B1E8">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67" w:name="_Toc19424"/>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（四）项目效益情况</w:t>
      </w:r>
      <w:bookmarkEnd w:id="167"/>
    </w:p>
    <w:p w14:paraId="5BFB3A48">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效益</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包括项目实施效益和满意度两方面的内容，</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由</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0D754DAC">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72" w:type="dxa"/>
        <w:jc w:val="center"/>
        <w:shd w:val="clear" w:color="auto" w:fill="auto"/>
        <w:tblLayout w:type="fixed"/>
        <w:tblCellMar>
          <w:top w:w="0" w:type="dxa"/>
          <w:left w:w="0" w:type="dxa"/>
          <w:bottom w:w="0" w:type="dxa"/>
          <w:right w:w="0" w:type="dxa"/>
        </w:tblCellMar>
      </w:tblPr>
      <w:tblGrid>
        <w:gridCol w:w="685"/>
        <w:gridCol w:w="1725"/>
        <w:gridCol w:w="2093"/>
        <w:gridCol w:w="1521"/>
        <w:gridCol w:w="645"/>
        <w:gridCol w:w="1050"/>
        <w:gridCol w:w="653"/>
      </w:tblGrid>
      <w:tr w14:paraId="30050BC6">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FEE92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5BFC2E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DA594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E655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0F1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5A371D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A6C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70F60B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A73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5B1D02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9D3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50E83B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5813794">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4156DB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1B79A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09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F95D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改善全校师生员工生活条件</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A8C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D1C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07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CF1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14:paraId="6EF60A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B10F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0F9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EE1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师生满意度</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310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E74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8F1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5AA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14:paraId="37C8F87F">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6F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511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6DD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838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4DA6061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68" w:name="_Toc5170"/>
      <w:bookmarkStart w:id="169" w:name="_Toc8010"/>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w:t>
      </w:r>
      <w:bookmarkEnd w:id="168"/>
      <w:bookmarkEnd w:id="169"/>
      <w:bookmarkStart w:id="170" w:name="_Toc27006"/>
      <w:bookmarkStart w:id="171" w:name="_Toc2960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社会效益指标</w:t>
      </w:r>
      <w:bookmarkEnd w:id="170"/>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完成情况</w:t>
      </w:r>
      <w:bookmarkEnd w:id="171"/>
    </w:p>
    <w:p w14:paraId="1F44E1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“改善全校师生员工生活条件”指标，预期目标值为有效提升，实际完成为达到预期指标。</w:t>
      </w:r>
    </w:p>
    <w:p w14:paraId="740C72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通过项目的实施，有效提升改善了全校师生的工作学习条件。</w:t>
      </w:r>
    </w:p>
    <w:p w14:paraId="7799FB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综上，该项指标满分10分，得分10分。</w:t>
      </w:r>
    </w:p>
    <w:p w14:paraId="7976E3DE">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72" w:name="_Toc23313"/>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（五）满意度指标完成情况分析</w:t>
      </w:r>
      <w:bookmarkEnd w:id="172"/>
    </w:p>
    <w:p w14:paraId="302D47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师生满意度”指标，预期目标值为不少于90%，实际完成为90%。</w:t>
      </w:r>
    </w:p>
    <w:p w14:paraId="2F0386D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综上，该项指标满分10分，得分10分。</w:t>
      </w:r>
    </w:p>
    <w:p w14:paraId="599D7EE3">
      <w:pPr>
        <w:pStyle w:val="4"/>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7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73"/>
    </w:p>
    <w:p w14:paraId="0BD88503">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74" w:name="_Toc15449"/>
      <w:bookmarkStart w:id="175" w:name="_Toc1921"/>
      <w:bookmarkStart w:id="176" w:name="_Toc28290"/>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（一）主要经验及做法</w:t>
      </w:r>
      <w:bookmarkEnd w:id="174"/>
    </w:p>
    <w:p w14:paraId="7A9115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2023年昌吉州中小学校园环境改造提升工程专项资金项目</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年预算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数</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898.78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截至2024年12月31日共</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898.78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执行</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1370CB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阜康市第一中学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事业发展中关系民生与稳定的项目，切实优化资源配置，提高了资金使用的效率和效果。</w:t>
      </w:r>
    </w:p>
    <w:bookmarkEnd w:id="175"/>
    <w:bookmarkEnd w:id="176"/>
    <w:p w14:paraId="7DD111AB">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77" w:name="_Toc29168"/>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（二）存在的问题及原因分析</w:t>
      </w:r>
      <w:bookmarkEnd w:id="177"/>
    </w:p>
    <w:p w14:paraId="1ED4F7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178" w:name="_Toc3333"/>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本单位存在财务室每年向校外各部门提供的各类报告和报表等信息量大，但是向本单位内部各部门提供和公开的信息量较小、财务室工作人员互相之间开展交流信息和学习业务知识的活动较少等问题，造成财务信息不对称，导致本单位工作效率低。</w:t>
      </w:r>
    </w:p>
    <w:p w14:paraId="61FE5B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资金管理方面，对预算的监督管理不到位，同时预算资金管理的执行力度不够，预算资金的监督体系有待进一步完善，各部门之间的联系不够紧密，各部门共同参与财政预算资金监督管理积极性不高，单位财政资金的跟踪监察不到位，对资金的申报、拨付及使用情况监管力度不够。</w:t>
      </w:r>
    </w:p>
    <w:p w14:paraId="5B28F8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3.未能综合全面考虑学校的实际工作情况，在工作中只关注到局部的工作，存在片面性，缺乏全局观，导致整体工作效果不佳。</w:t>
      </w:r>
    </w:p>
    <w:p w14:paraId="35C8E1E5">
      <w:pPr>
        <w:pStyle w:val="4"/>
        <w:pageBreakBefore w:val="0"/>
        <w:kinsoku/>
        <w:wordWrap/>
        <w:overflowPunct/>
        <w:topLinePunct w:val="0"/>
        <w:autoSpaceDE/>
        <w:autoSpaceDN/>
        <w:bidi w:val="0"/>
        <w:adjustRightInd/>
        <w:spacing w:beforeLines="0" w:afterLines="0" w:line="560" w:lineRule="exact"/>
        <w:ind w:left="0" w:leftChars="0" w:firstLine="640" w:firstLineChars="200"/>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78"/>
    </w:p>
    <w:p w14:paraId="09DB2B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179" w:name="_Toc14256"/>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加强本单位各部门之间的沟通与交流，注重多渠道沟通，不能仅局限于某一种沟通方式，根据不同的情况和需求选择最合适的沟通方式来确保财务信息传递的及时与准确，保障财务信息沟通的顺畅，另外组织财务工作人员加强学习，开展多种方式的交流活动，使各部门工作人员之间互通有无，在工作中充分发挥AB角的作用，从而提高工作效率。</w:t>
      </w:r>
    </w:p>
    <w:p w14:paraId="067DD7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p>
    <w:p w14:paraId="16BEEE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(三）今后在日常工作中要提高工作全面性意识，努力培养工作人员的整体大局观，优化工作流程，注重团队合作与执行力，杜绝工作中的片面性，更好地提高工作效率。</w:t>
      </w:r>
    </w:p>
    <w:p w14:paraId="5FA7F9F5">
      <w:pPr>
        <w:pStyle w:val="4"/>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79"/>
    </w:p>
    <w:p w14:paraId="49AA03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无其他需要说明的问题。</w:t>
      </w:r>
    </w:p>
    <w:p w14:paraId="59F41BE8">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707004B2">
      <w:pPr>
        <w:pStyle w:val="4"/>
        <w:pageBreakBefore w:val="0"/>
        <w:numPr>
          <w:ilvl w:val="0"/>
          <w:numId w:val="0"/>
        </w:numPr>
        <w:kinsoku/>
        <w:wordWrap/>
        <w:overflowPunct/>
        <w:topLinePunct w:val="0"/>
        <w:autoSpaceDE/>
        <w:autoSpaceDN/>
        <w:bidi w:val="0"/>
        <w:adjustRightInd/>
        <w:spacing w:beforeLines="0" w:afterLines="0" w:line="560" w:lineRule="exact"/>
        <w:textAlignment w:val="auto"/>
        <w:rPr>
          <w:color w:val="000000" w:themeColor="text1"/>
          <w:highlight w:val="none"/>
          <w14:textFill>
            <w14:solidFill>
              <w14:schemeClr w14:val="tx1"/>
            </w14:solidFill>
          </w14:textFill>
        </w:rPr>
      </w:pPr>
      <w:bookmarkStart w:id="180" w:name="_Toc28971"/>
      <w:bookmarkStart w:id="181"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80"/>
      <w:bookmarkEnd w:id="181"/>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5"/>
        <w:gridCol w:w="1195"/>
        <w:gridCol w:w="1355"/>
        <w:gridCol w:w="1275"/>
        <w:gridCol w:w="1035"/>
        <w:gridCol w:w="1195"/>
        <w:gridCol w:w="875"/>
        <w:gridCol w:w="876"/>
        <w:gridCol w:w="876"/>
        <w:gridCol w:w="876"/>
        <w:gridCol w:w="1116"/>
      </w:tblGrid>
      <w:tr w14:paraId="1CC09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FED9DF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747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06834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ED65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2DEF0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B01F0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2023年昌吉州中小学校园环境改造提升工程专项资金</w:t>
            </w:r>
          </w:p>
        </w:tc>
      </w:tr>
      <w:tr w14:paraId="39FC8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315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183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24C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87A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阜康市第一中学</w:t>
            </w:r>
          </w:p>
        </w:tc>
      </w:tr>
      <w:tr w14:paraId="3B70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48F8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C9BC8">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398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347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896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8B7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0C5B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49D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C9ED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44BDD">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F65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0D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62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29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DD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D5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D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24B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B5FA8">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EB3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0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1B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0C6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898.78</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E67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024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37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D59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58C3C">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136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4D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D0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B9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84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A4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D8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A734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03C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66657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E2C7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42AB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71D6A">
            <w:pPr>
              <w:jc w:val="center"/>
              <w:rPr>
                <w:rFonts w:hint="eastAsia" w:ascii="宋体" w:hAnsi="宋体" w:eastAsia="宋体" w:cs="宋体"/>
                <w:b/>
                <w:bCs/>
                <w:i w:val="0"/>
                <w:iCs w:val="0"/>
                <w:color w:val="000000"/>
                <w:sz w:val="18"/>
                <w:szCs w:val="18"/>
                <w:u w:val="none"/>
              </w:rPr>
            </w:pPr>
          </w:p>
        </w:tc>
        <w:tc>
          <w:tcPr>
            <w:tcW w:w="195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3E4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本项目预计完成粉刷面积171000平方米，完成改造提升面积3400平方米，完成改造工程数量3个以上，通过项目的实施，改善全校师生的工作学习条件。</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6994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实际完成粉刷面积171000平方米，完成改造提升面积3400平方米，完成改造工程数量3个以上，政府采购完成率、采购按期完成率均达到100%，按时完成支付校园文化建设成本255.76万元，完成支付校园粉刷成本370.28万元、完成支付校舍改造提升成本267.33万元、完成支付校园环境提升项目监理费成本4.92万元，通过项目的实施，改善了全校师生的工作学习条件。</w:t>
            </w:r>
          </w:p>
        </w:tc>
      </w:tr>
      <w:tr w14:paraId="5C610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F74EC">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478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8071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073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218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EBD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50D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7E0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4EE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390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D85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06F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D39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516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42C4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156D2">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015D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DFE21">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14B9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7FA9A">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642A">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7C8F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C239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0A8E4">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0246F">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611F9">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ECC9F">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2A02F">
            <w:pPr>
              <w:jc w:val="center"/>
              <w:rPr>
                <w:rFonts w:hint="eastAsia" w:ascii="宋体" w:hAnsi="宋体" w:eastAsia="宋体" w:cs="宋体"/>
                <w:b/>
                <w:bCs/>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AA11D">
            <w:pPr>
              <w:jc w:val="center"/>
              <w:rPr>
                <w:rFonts w:hint="eastAsia" w:ascii="宋体" w:hAnsi="宋体" w:eastAsia="宋体" w:cs="宋体"/>
                <w:b/>
                <w:bCs/>
                <w:i w:val="0"/>
                <w:iCs w:val="0"/>
                <w:color w:val="000000"/>
                <w:sz w:val="18"/>
                <w:szCs w:val="18"/>
                <w:u w:val="none"/>
              </w:rPr>
            </w:pPr>
          </w:p>
        </w:tc>
      </w:tr>
      <w:tr w14:paraId="59A09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3F3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23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A4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E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粉刷面积</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8F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6D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&gt;=171000平方米</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27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=171000平方米</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B1D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E7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29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9C236">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8A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12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43B2">
            <w:pPr>
              <w:jc w:val="center"/>
              <w:rPr>
                <w:rFonts w:hint="eastAsia" w:ascii="宋体" w:hAnsi="宋体" w:eastAsia="宋体" w:cs="宋体"/>
                <w:i w:val="0"/>
                <w:iCs w:val="0"/>
                <w:color w:val="000000"/>
                <w:sz w:val="18"/>
                <w:szCs w:val="18"/>
                <w:u w:val="none"/>
              </w:rPr>
            </w:pPr>
          </w:p>
        </w:tc>
      </w:tr>
      <w:tr w14:paraId="219D1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9125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F615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7D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1B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改造提升面积</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49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0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&gt;=3400平方米</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90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=3400平方米</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AA3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26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88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AFA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E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C41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1CDED">
            <w:pPr>
              <w:jc w:val="center"/>
              <w:rPr>
                <w:rFonts w:hint="eastAsia" w:ascii="宋体" w:hAnsi="宋体" w:eastAsia="宋体" w:cs="宋体"/>
                <w:i w:val="0"/>
                <w:iCs w:val="0"/>
                <w:color w:val="000000"/>
                <w:sz w:val="18"/>
                <w:szCs w:val="18"/>
                <w:u w:val="none"/>
              </w:rPr>
            </w:pPr>
          </w:p>
        </w:tc>
      </w:tr>
      <w:tr w14:paraId="4DF51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23EE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8870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1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74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改造工程数量</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EE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F9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8D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D34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91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1D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35F9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68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8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94DF6">
            <w:pPr>
              <w:jc w:val="center"/>
              <w:rPr>
                <w:rFonts w:hint="eastAsia" w:ascii="宋体" w:hAnsi="宋体" w:eastAsia="宋体" w:cs="宋体"/>
                <w:i w:val="0"/>
                <w:iCs w:val="0"/>
                <w:color w:val="000000"/>
                <w:sz w:val="18"/>
                <w:szCs w:val="18"/>
                <w:u w:val="none"/>
              </w:rPr>
            </w:pPr>
          </w:p>
        </w:tc>
      </w:tr>
      <w:tr w14:paraId="7CEA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CD09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9114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D0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DF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政府采购完成率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0C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C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7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AB1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E0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698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A615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F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71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D0EB7">
            <w:pPr>
              <w:jc w:val="center"/>
              <w:rPr>
                <w:rFonts w:hint="eastAsia" w:ascii="宋体" w:hAnsi="宋体" w:eastAsia="宋体" w:cs="宋体"/>
                <w:i w:val="0"/>
                <w:iCs w:val="0"/>
                <w:color w:val="000000"/>
                <w:sz w:val="18"/>
                <w:szCs w:val="18"/>
                <w:u w:val="none"/>
              </w:rPr>
            </w:pPr>
          </w:p>
        </w:tc>
      </w:tr>
      <w:tr w14:paraId="1394D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9FA1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3C1B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0F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52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采购按期完成率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922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6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F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C44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AE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B3B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F375A">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50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4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F5909">
            <w:pPr>
              <w:jc w:val="center"/>
              <w:rPr>
                <w:rFonts w:hint="eastAsia" w:ascii="宋体" w:hAnsi="宋体" w:eastAsia="宋体" w:cs="宋体"/>
                <w:i w:val="0"/>
                <w:iCs w:val="0"/>
                <w:color w:val="000000"/>
                <w:sz w:val="18"/>
                <w:szCs w:val="18"/>
                <w:u w:val="none"/>
              </w:rPr>
            </w:pPr>
          </w:p>
        </w:tc>
      </w:tr>
      <w:tr w14:paraId="0EAE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EBA10">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F6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3B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87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校园文化建设成本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31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9F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&lt;=255.76万元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1D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=255.76万元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2DA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C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311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077D">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3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D4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4D6B">
            <w:pPr>
              <w:jc w:val="center"/>
              <w:rPr>
                <w:rFonts w:hint="eastAsia" w:ascii="宋体" w:hAnsi="宋体" w:eastAsia="宋体" w:cs="宋体"/>
                <w:i w:val="0"/>
                <w:iCs w:val="0"/>
                <w:color w:val="000000"/>
                <w:sz w:val="18"/>
                <w:szCs w:val="18"/>
                <w:u w:val="none"/>
              </w:rPr>
            </w:pPr>
          </w:p>
        </w:tc>
      </w:tr>
      <w:tr w14:paraId="0AC8B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11CC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11C4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CA2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51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校园粉刷成本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F0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94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&lt;=370.28万元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1D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=370.28万元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BC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D7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1E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6DE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79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B0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84D1">
            <w:pPr>
              <w:jc w:val="center"/>
              <w:rPr>
                <w:rFonts w:hint="eastAsia" w:ascii="宋体" w:hAnsi="宋体" w:eastAsia="宋体" w:cs="宋体"/>
                <w:i w:val="0"/>
                <w:iCs w:val="0"/>
                <w:color w:val="000000"/>
                <w:sz w:val="18"/>
                <w:szCs w:val="18"/>
                <w:u w:val="none"/>
              </w:rPr>
            </w:pPr>
          </w:p>
        </w:tc>
      </w:tr>
      <w:tr w14:paraId="1C3D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76BA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95C8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40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230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校舍改造提升成本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CF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DF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&lt;=267.82万元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BB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=267.33万元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EFC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E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47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D960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DD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0E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861E">
            <w:pPr>
              <w:jc w:val="center"/>
              <w:rPr>
                <w:rFonts w:hint="eastAsia" w:ascii="宋体" w:hAnsi="宋体" w:eastAsia="宋体" w:cs="宋体"/>
                <w:i w:val="0"/>
                <w:iCs w:val="0"/>
                <w:color w:val="000000"/>
                <w:sz w:val="18"/>
                <w:szCs w:val="18"/>
                <w:u w:val="none"/>
              </w:rPr>
            </w:pPr>
          </w:p>
        </w:tc>
      </w:tr>
      <w:tr w14:paraId="5794A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34AF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4F85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A7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F4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校园环境提升项目监理费成本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28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57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&lt;=4.92万元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AB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=4.92万元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7B8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30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40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D3F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99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2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C7D6">
            <w:pPr>
              <w:jc w:val="center"/>
              <w:rPr>
                <w:rFonts w:hint="eastAsia" w:ascii="宋体" w:hAnsi="宋体" w:eastAsia="宋体" w:cs="宋体"/>
                <w:i w:val="0"/>
                <w:iCs w:val="0"/>
                <w:color w:val="000000"/>
                <w:sz w:val="18"/>
                <w:szCs w:val="18"/>
                <w:u w:val="none"/>
              </w:rPr>
            </w:pPr>
          </w:p>
        </w:tc>
      </w:tr>
      <w:tr w14:paraId="12942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3B07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C7CE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7A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3C2A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865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3B6D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A5058">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8CD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6867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DC98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D58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5C85E">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C4AC">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A6A8C">
            <w:pPr>
              <w:jc w:val="center"/>
              <w:rPr>
                <w:rFonts w:hint="eastAsia" w:ascii="宋体" w:hAnsi="宋体" w:eastAsia="宋体" w:cs="宋体"/>
                <w:i w:val="0"/>
                <w:iCs w:val="0"/>
                <w:color w:val="000000"/>
                <w:sz w:val="18"/>
                <w:szCs w:val="18"/>
                <w:u w:val="none"/>
              </w:rPr>
            </w:pPr>
          </w:p>
        </w:tc>
      </w:tr>
      <w:tr w14:paraId="6835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7968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8B4B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A4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F2AB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8F82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FCB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C5D10">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B6BE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844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A43C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72C2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C489">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2D4FC">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1C8C7">
            <w:pPr>
              <w:jc w:val="center"/>
              <w:rPr>
                <w:rFonts w:hint="eastAsia" w:ascii="宋体" w:hAnsi="宋体" w:eastAsia="宋体" w:cs="宋体"/>
                <w:i w:val="0"/>
                <w:iCs w:val="0"/>
                <w:color w:val="000000"/>
                <w:sz w:val="18"/>
                <w:szCs w:val="18"/>
                <w:u w:val="none"/>
              </w:rPr>
            </w:pPr>
          </w:p>
        </w:tc>
      </w:tr>
      <w:tr w14:paraId="42E67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E20E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C4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2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DFE4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312E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AF45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AF1A">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3A6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5B28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988E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33C9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F7E02">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5824A">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24ED9">
            <w:pPr>
              <w:jc w:val="center"/>
              <w:rPr>
                <w:rFonts w:hint="eastAsia" w:ascii="宋体" w:hAnsi="宋体" w:eastAsia="宋体" w:cs="宋体"/>
                <w:i w:val="0"/>
                <w:iCs w:val="0"/>
                <w:color w:val="000000"/>
                <w:sz w:val="18"/>
                <w:szCs w:val="18"/>
                <w:u w:val="none"/>
              </w:rPr>
            </w:pPr>
          </w:p>
        </w:tc>
      </w:tr>
      <w:tr w14:paraId="3705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1097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E1C5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33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54A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改善全校师生员工生活条件</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5B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CC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CE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8F6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2A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AD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FD466">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8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9F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70B4">
            <w:pPr>
              <w:jc w:val="center"/>
              <w:rPr>
                <w:rFonts w:hint="eastAsia" w:ascii="宋体" w:hAnsi="宋体" w:eastAsia="宋体" w:cs="宋体"/>
                <w:i w:val="0"/>
                <w:iCs w:val="0"/>
                <w:color w:val="000000"/>
                <w:sz w:val="18"/>
                <w:szCs w:val="18"/>
                <w:u w:val="none"/>
              </w:rPr>
            </w:pPr>
          </w:p>
        </w:tc>
      </w:tr>
      <w:tr w14:paraId="27695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49732">
            <w:pPr>
              <w:jc w:val="center"/>
              <w:rPr>
                <w:rFonts w:hint="eastAsia" w:ascii="宋体" w:hAnsi="宋体" w:eastAsia="宋体" w:cs="宋体"/>
                <w:b/>
                <w:bCs/>
                <w:i w:val="0"/>
                <w:iCs w:val="0"/>
                <w:color w:val="000000"/>
                <w:sz w:val="18"/>
                <w:szCs w:val="18"/>
                <w:u w:val="none"/>
              </w:rPr>
            </w:pPr>
            <w:bookmarkStart w:id="184" w:name="_GoBack" w:colFirst="7" w:colLast="7"/>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DA76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C4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8EAE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4553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BDF7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235AB">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7E0E">
            <w:pPr>
              <w:ind w:firstLine="360" w:firstLineChars="200"/>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B888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B7F3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C03D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AC3A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CBF93">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2B30E">
            <w:pPr>
              <w:jc w:val="center"/>
              <w:rPr>
                <w:rFonts w:hint="eastAsia" w:ascii="宋体" w:hAnsi="宋体" w:eastAsia="宋体" w:cs="宋体"/>
                <w:i w:val="0"/>
                <w:iCs w:val="0"/>
                <w:color w:val="000000"/>
                <w:sz w:val="18"/>
                <w:szCs w:val="18"/>
                <w:u w:val="none"/>
              </w:rPr>
            </w:pPr>
          </w:p>
        </w:tc>
      </w:tr>
      <w:tr w14:paraId="63504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3BDB5">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F9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707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CEF3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7C72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2D13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00A4">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992C">
            <w:pPr>
              <w:ind w:firstLine="360" w:firstLineChars="200"/>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6C6A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D8E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DC94">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940A">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B69FE">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8CE6">
            <w:pPr>
              <w:jc w:val="center"/>
              <w:rPr>
                <w:rFonts w:hint="eastAsia" w:ascii="宋体" w:hAnsi="宋体" w:eastAsia="宋体" w:cs="宋体"/>
                <w:i w:val="0"/>
                <w:iCs w:val="0"/>
                <w:color w:val="000000"/>
                <w:sz w:val="18"/>
                <w:szCs w:val="18"/>
                <w:u w:val="none"/>
              </w:rPr>
            </w:pPr>
          </w:p>
        </w:tc>
      </w:tr>
      <w:bookmarkEnd w:id="184"/>
      <w:tr w14:paraId="5406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89" w:type="pct"/>
            <w:gridSpan w:val="4"/>
            <w:tcBorders>
              <w:top w:val="single" w:color="000000" w:sz="4" w:space="0"/>
              <w:left w:val="single" w:color="000000" w:sz="4" w:space="0"/>
              <w:bottom w:val="single" w:color="000000" w:sz="4" w:space="0"/>
              <w:right w:val="nil"/>
            </w:tcBorders>
            <w:shd w:val="clear" w:color="auto" w:fill="auto"/>
            <w:vAlign w:val="center"/>
          </w:tcPr>
          <w:p w14:paraId="7D3E2A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83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56A0DA9D">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418D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C7B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3F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6115C">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38358">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6348">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9B4DD">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32EFE">
            <w:pPr>
              <w:rPr>
                <w:rFonts w:hint="eastAsia" w:ascii="宋体" w:hAnsi="宋体" w:eastAsia="宋体" w:cs="宋体"/>
                <w:i w:val="0"/>
                <w:iCs w:val="0"/>
                <w:color w:val="000000"/>
                <w:sz w:val="18"/>
                <w:szCs w:val="18"/>
                <w:u w:val="none"/>
              </w:rPr>
            </w:pPr>
          </w:p>
        </w:tc>
      </w:tr>
    </w:tbl>
    <w:p w14:paraId="0A43F87E">
      <w:pPr>
        <w:ind w:left="0" w:leftChars="0" w:firstLine="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1C5938D6">
      <w:pPr>
        <w:pStyle w:val="4"/>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82" w:name="_Toc15067"/>
      <w:bookmarkStart w:id="183"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82"/>
      <w:bookmarkEnd w:id="183"/>
    </w:p>
    <w:tbl>
      <w:tblPr>
        <w:tblStyle w:val="18"/>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992"/>
        <w:gridCol w:w="1969"/>
        <w:gridCol w:w="7821"/>
        <w:gridCol w:w="785"/>
        <w:gridCol w:w="769"/>
      </w:tblGrid>
      <w:tr w14:paraId="77D69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D7901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610D9A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992" w:type="dxa"/>
            <w:shd w:val="clear" w:color="auto" w:fill="auto"/>
            <w:noWrap w:val="0"/>
            <w:vAlign w:val="center"/>
          </w:tcPr>
          <w:p w14:paraId="23328C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1969" w:type="dxa"/>
            <w:shd w:val="clear" w:color="auto" w:fill="auto"/>
            <w:noWrap w:val="0"/>
            <w:vAlign w:val="center"/>
          </w:tcPr>
          <w:p w14:paraId="52AAC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04D53B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099EEA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75AB4A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42AF4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67512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3A1EDA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4EE6873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55B6C5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992" w:type="dxa"/>
            <w:shd w:val="clear" w:color="auto" w:fill="auto"/>
            <w:noWrap w:val="0"/>
            <w:vAlign w:val="center"/>
          </w:tcPr>
          <w:p w14:paraId="7ADB56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169E03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1969" w:type="dxa"/>
            <w:shd w:val="clear" w:color="auto" w:fill="auto"/>
            <w:noWrap w:val="0"/>
            <w:vAlign w:val="center"/>
          </w:tcPr>
          <w:p w14:paraId="080BE2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2A839B2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①项目立项符合</w:t>
            </w:r>
            <w:r>
              <w:rPr>
                <w:rFonts w:hint="eastAsia" w:ascii="宋体" w:hAnsi="宋体" w:eastAsia="宋体" w:cs="宋体"/>
                <w:color w:val="000000"/>
                <w:kern w:val="0"/>
                <w:sz w:val="22"/>
                <w:szCs w:val="22"/>
                <w:highlight w:val="none"/>
                <w:lang w:val="en-US" w:eastAsia="zh-CN"/>
              </w:rPr>
              <w:t>昌州财教[2023]20号文件2023年昌吉州中小学校园环境改造提升工程专项资金和昌州政办通[2023]92号文件《关于做好中小学校园环境改造提升工程的通知》要求</w:t>
            </w:r>
            <w:r>
              <w:rPr>
                <w:rFonts w:hint="eastAsia" w:ascii="宋体" w:hAnsi="宋体" w:eastAsia="宋体" w:cs="宋体"/>
                <w:color w:val="000000"/>
                <w:kern w:val="0"/>
                <w:sz w:val="22"/>
                <w:szCs w:val="22"/>
                <w:highlight w:val="none"/>
                <w:lang w:eastAsia="zh-CN"/>
              </w:rPr>
              <w:t>；</w:t>
            </w:r>
          </w:p>
          <w:p w14:paraId="1E3B594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②项目立项符合</w:t>
            </w:r>
            <w:r>
              <w:rPr>
                <w:rFonts w:hint="eastAsia" w:ascii="宋体" w:hAnsi="宋体" w:eastAsia="宋体" w:cs="宋体"/>
                <w:color w:val="000000"/>
                <w:kern w:val="0"/>
                <w:sz w:val="22"/>
                <w:szCs w:val="22"/>
                <w:highlight w:val="none"/>
              </w:rPr>
              <w:t>实施初中义务教育和高中学历教育，提高国民素质，促进基础教育的发展，为国家高级专门人才培养奠定基础</w:t>
            </w:r>
            <w:r>
              <w:rPr>
                <w:rFonts w:hint="eastAsia" w:ascii="宋体" w:hAnsi="宋体" w:eastAsia="宋体" w:cs="宋体"/>
                <w:color w:val="000000"/>
                <w:kern w:val="0"/>
                <w:sz w:val="22"/>
                <w:szCs w:val="22"/>
                <w:highlight w:val="none"/>
                <w:lang w:eastAsia="zh-CN"/>
              </w:rPr>
              <w:t>的职能需求；</w:t>
            </w:r>
          </w:p>
          <w:p w14:paraId="36500C5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③项目立项与有效提升改善全校师生员工的工作、生活条件，继而更好地</w:t>
            </w:r>
            <w:r>
              <w:rPr>
                <w:rFonts w:hint="eastAsia" w:ascii="宋体" w:hAnsi="宋体" w:eastAsia="宋体" w:cs="宋体"/>
                <w:color w:val="000000"/>
                <w:kern w:val="0"/>
                <w:sz w:val="22"/>
                <w:szCs w:val="22"/>
                <w:highlight w:val="none"/>
              </w:rPr>
              <w:t>实施初中义务教育和高中学历教育，提高国民素质，促进基础教育的发展，为国家高级专门人才培养奠定基础</w:t>
            </w:r>
            <w:r>
              <w:rPr>
                <w:rFonts w:hint="eastAsia" w:ascii="宋体" w:hAnsi="宋体" w:eastAsia="宋体" w:cs="宋体"/>
                <w:color w:val="000000"/>
                <w:kern w:val="0"/>
                <w:sz w:val="22"/>
                <w:szCs w:val="22"/>
                <w:highlight w:val="none"/>
                <w:lang w:eastAsia="zh-CN"/>
              </w:rPr>
              <w:t>相符，属于部门履职所需；</w:t>
            </w:r>
          </w:p>
          <w:p w14:paraId="4EA403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④项目属于公共财政支持范围，符合中央、地方事权支出责任划分原则；</w:t>
            </w:r>
          </w:p>
          <w:p w14:paraId="7500E3E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⑤项目与相关部门同类项目、部门内部相关项目</w:t>
            </w:r>
            <w:r>
              <w:rPr>
                <w:rFonts w:hint="eastAsia" w:ascii="宋体" w:hAnsi="宋体" w:eastAsia="宋体" w:cs="宋体"/>
                <w:color w:val="000000"/>
                <w:kern w:val="0"/>
                <w:sz w:val="22"/>
                <w:szCs w:val="22"/>
                <w:highlight w:val="none"/>
                <w:lang w:val="en-US" w:eastAsia="zh-CN"/>
              </w:rPr>
              <w:t>不</w:t>
            </w:r>
            <w:r>
              <w:rPr>
                <w:rFonts w:hint="eastAsia" w:ascii="宋体" w:hAnsi="宋体" w:eastAsia="宋体" w:cs="宋体"/>
                <w:color w:val="000000"/>
                <w:kern w:val="0"/>
                <w:sz w:val="22"/>
                <w:szCs w:val="22"/>
                <w:highlight w:val="none"/>
                <w:lang w:eastAsia="zh-CN"/>
              </w:rPr>
              <w:t>重复。</w:t>
            </w:r>
          </w:p>
          <w:p w14:paraId="388F69A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6B14DB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D41D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6BC4C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70A5846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A5390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2" w:type="dxa"/>
            <w:shd w:val="clear" w:color="auto" w:fill="auto"/>
            <w:noWrap w:val="0"/>
            <w:vAlign w:val="center"/>
          </w:tcPr>
          <w:p w14:paraId="41C305E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7A79CB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1969" w:type="dxa"/>
            <w:shd w:val="clear" w:color="auto" w:fill="auto"/>
            <w:noWrap w:val="0"/>
            <w:vAlign w:val="center"/>
          </w:tcPr>
          <w:p w14:paraId="17D68F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763963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①项目按照规定的程序申请设立；</w:t>
            </w:r>
          </w:p>
          <w:p w14:paraId="63627D2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②审批文件、材料符合相关要求；</w:t>
            </w:r>
          </w:p>
          <w:p w14:paraId="041A36C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7FC4F7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344761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5E911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FE3746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17B952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992" w:type="dxa"/>
            <w:shd w:val="clear" w:color="auto" w:fill="auto"/>
            <w:noWrap w:val="0"/>
            <w:vAlign w:val="center"/>
          </w:tcPr>
          <w:p w14:paraId="41378B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4E4946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1969" w:type="dxa"/>
            <w:shd w:val="clear" w:color="auto" w:fill="auto"/>
            <w:noWrap w:val="0"/>
            <w:vAlign w:val="center"/>
          </w:tcPr>
          <w:p w14:paraId="592023F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316BEB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①该项目已设置年度绩效目标。</w:t>
            </w:r>
          </w:p>
          <w:p w14:paraId="118316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该项目实际工作内容为：截至2024年12月31日，本项目完成粉刷面积171000平方米,完成改造提升面积3400平方米,完成改造工程数量3个以上，政府采购完成率、采购按期完成率均达到100%，按时完成支付校园文化建设成本255.76万元，完成支付校园粉刷成本370.28万元、完成支付校舍改造提升成本267.33万元、完成支付校园环境提升项目监理费成本4.92万元，通过项目的实施，改善了全校师生的工作学习条件。绩效目标与实际工作内容一致，两者具有相关性。</w:t>
            </w:r>
          </w:p>
          <w:p w14:paraId="0679AFE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③该项目按照绩效目标完成数量指标、质量指标、时效指标、成本指标，完成了</w:t>
            </w:r>
            <w:r>
              <w:rPr>
                <w:rFonts w:hint="eastAsia" w:ascii="宋体" w:hAnsi="宋体" w:eastAsia="宋体" w:cs="宋体"/>
                <w:color w:val="000000"/>
                <w:kern w:val="0"/>
                <w:sz w:val="22"/>
                <w:szCs w:val="22"/>
                <w:highlight w:val="none"/>
                <w:lang w:val="en-US" w:eastAsia="zh-CN"/>
              </w:rPr>
              <w:t>社会效益指标</w:t>
            </w:r>
            <w:r>
              <w:rPr>
                <w:rFonts w:hint="eastAsia" w:ascii="宋体" w:hAnsi="宋体" w:eastAsia="宋体" w:cs="宋体"/>
                <w:color w:val="000000"/>
                <w:kern w:val="0"/>
                <w:sz w:val="22"/>
                <w:szCs w:val="22"/>
                <w:highlight w:val="none"/>
                <w:lang w:eastAsia="zh-CN"/>
              </w:rPr>
              <w:t>，达到有效提升改善全校师生的工作学习条件的效益，预期产出效益和效果符合正常的业绩水平。</w:t>
            </w:r>
          </w:p>
          <w:p w14:paraId="2857A4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④《项目支出绩效目标表》中预算金额为898.</w:t>
            </w:r>
            <w:r>
              <w:rPr>
                <w:rFonts w:hint="eastAsia" w:ascii="宋体" w:hAnsi="宋体" w:eastAsia="宋体" w:cs="宋体"/>
                <w:color w:val="000000"/>
                <w:kern w:val="0"/>
                <w:sz w:val="22"/>
                <w:szCs w:val="22"/>
                <w:highlight w:val="none"/>
                <w:lang w:val="en-US" w:eastAsia="zh-CN"/>
              </w:rPr>
              <w:t>78</w:t>
            </w:r>
            <w:r>
              <w:rPr>
                <w:rFonts w:hint="eastAsia" w:ascii="宋体" w:hAnsi="宋体" w:eastAsia="宋体" w:cs="宋体"/>
                <w:color w:val="000000"/>
                <w:kern w:val="0"/>
                <w:sz w:val="22"/>
                <w:szCs w:val="22"/>
                <w:highlight w:val="none"/>
                <w:lang w:eastAsia="zh-CN"/>
              </w:rPr>
              <w:t>万元，预算确定的项目资金与预算确定的项目投资额相匹配。</w:t>
            </w:r>
          </w:p>
          <w:p w14:paraId="1EE1DC2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08DD55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FBF0AA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375E1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2C502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1AE2200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992" w:type="dxa"/>
            <w:shd w:val="clear" w:color="auto" w:fill="auto"/>
            <w:noWrap w:val="0"/>
            <w:vAlign w:val="center"/>
          </w:tcPr>
          <w:p w14:paraId="13CBB0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5F38DA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1969" w:type="dxa"/>
            <w:shd w:val="clear" w:color="auto" w:fill="auto"/>
            <w:noWrap w:val="0"/>
            <w:vAlign w:val="center"/>
          </w:tcPr>
          <w:p w14:paraId="31A8A4E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41ACE01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①将项目绩效目标细化分解为具体的绩效指标，</w:t>
            </w:r>
            <w:r>
              <w:rPr>
                <w:rFonts w:hint="eastAsia" w:ascii="宋体" w:hAnsi="宋体" w:eastAsia="宋体" w:cs="宋体"/>
                <w:color w:val="000000"/>
                <w:kern w:val="0"/>
                <w:sz w:val="22"/>
                <w:szCs w:val="22"/>
                <w:highlight w:val="none"/>
                <w:lang w:val="en-US" w:eastAsia="zh-CN"/>
              </w:rPr>
              <w:t>其中三级指标共计11个</w:t>
            </w:r>
            <w:r>
              <w:rPr>
                <w:rFonts w:hint="eastAsia" w:ascii="宋体" w:hAnsi="宋体" w:eastAsia="宋体" w:cs="宋体"/>
                <w:color w:val="000000"/>
                <w:kern w:val="0"/>
                <w:sz w:val="22"/>
                <w:szCs w:val="22"/>
                <w:highlight w:val="none"/>
                <w:lang w:eastAsia="zh-CN"/>
              </w:rPr>
              <w:t>；</w:t>
            </w:r>
          </w:p>
          <w:p w14:paraId="4ED5D6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②通过清晰、可衡量的指标值予以体现，</w:t>
            </w:r>
            <w:r>
              <w:rPr>
                <w:rFonts w:hint="eastAsia" w:ascii="宋体" w:hAnsi="宋体" w:eastAsia="宋体" w:cs="宋体"/>
                <w:color w:val="000000"/>
                <w:kern w:val="0"/>
                <w:sz w:val="22"/>
                <w:szCs w:val="22"/>
                <w:highlight w:val="none"/>
                <w:lang w:val="en-US" w:eastAsia="zh-CN"/>
              </w:rPr>
              <w:t>量化率达到81.82%</w:t>
            </w:r>
            <w:r>
              <w:rPr>
                <w:rFonts w:hint="eastAsia" w:ascii="宋体" w:hAnsi="宋体" w:eastAsia="宋体" w:cs="宋体"/>
                <w:color w:val="000000"/>
                <w:kern w:val="0"/>
                <w:sz w:val="22"/>
                <w:szCs w:val="22"/>
                <w:highlight w:val="none"/>
                <w:lang w:eastAsia="zh-CN"/>
              </w:rPr>
              <w:t>；</w:t>
            </w:r>
          </w:p>
          <w:p w14:paraId="31D7948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③《项目绩效目标申报表》中，三级指标的年度指标值与年度绩效目标中任务数一致。</w:t>
            </w:r>
          </w:p>
          <w:p w14:paraId="432FB58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eastAsia="zh-CN"/>
              </w:rPr>
              <w:t>已设置的绩效目标具备明确性、可衡量性、可实现性、相关性、时限性。</w:t>
            </w:r>
          </w:p>
          <w:p w14:paraId="619914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4AFBA3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010EC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5</w:t>
            </w:r>
          </w:p>
        </w:tc>
      </w:tr>
      <w:tr w14:paraId="0641D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02C5BC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31585C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3C3F23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992" w:type="dxa"/>
            <w:shd w:val="clear" w:color="auto" w:fill="auto"/>
            <w:noWrap w:val="0"/>
            <w:vAlign w:val="center"/>
          </w:tcPr>
          <w:p w14:paraId="743D40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66D63E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1969" w:type="dxa"/>
            <w:shd w:val="clear" w:color="auto" w:fill="auto"/>
            <w:noWrap w:val="0"/>
            <w:vAlign w:val="center"/>
          </w:tcPr>
          <w:p w14:paraId="58CDD90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E450FC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w:t>
            </w:r>
            <w:r>
              <w:rPr>
                <w:rFonts w:hint="eastAsia" w:ascii="宋体" w:hAnsi="宋体" w:eastAsia="宋体" w:cs="宋体"/>
                <w:color w:val="000000"/>
                <w:kern w:val="0"/>
                <w:sz w:val="22"/>
                <w:szCs w:val="22"/>
                <w:highlight w:val="none"/>
                <w:lang w:val="en-US" w:eastAsia="zh-CN"/>
              </w:rPr>
              <w:t>根据项目预算批复，项目的</w:t>
            </w:r>
            <w:r>
              <w:rPr>
                <w:rFonts w:hint="eastAsia" w:ascii="宋体" w:hAnsi="宋体" w:eastAsia="宋体" w:cs="宋体"/>
                <w:color w:val="000000"/>
                <w:kern w:val="0"/>
                <w:sz w:val="22"/>
                <w:szCs w:val="22"/>
                <w:highlight w:val="none"/>
                <w:lang w:eastAsia="zh-CN"/>
              </w:rPr>
              <w:t>预算编制经过科学论证；</w:t>
            </w:r>
          </w:p>
          <w:p w14:paraId="7096935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val="en-US" w:eastAsia="zh-CN"/>
              </w:rPr>
              <w:t>②</w:t>
            </w:r>
            <w:r>
              <w:rPr>
                <w:rFonts w:hint="eastAsia" w:ascii="宋体" w:hAnsi="宋体" w:eastAsia="宋体" w:cs="宋体"/>
                <w:color w:val="000000"/>
                <w:kern w:val="0"/>
                <w:sz w:val="22"/>
                <w:szCs w:val="22"/>
                <w:highlight w:val="none"/>
                <w:lang w:eastAsia="zh-CN"/>
              </w:rPr>
              <w:t>预算申请内容为2024年计划完成校园粉刷面积不少于171000平方米，改造提升面积不少于3400平方米，改造提升工程项目不少于3个，包括校园文化建设项目、校园粉刷项目、校舍改造提升等项目，项目实际内容为2024年计划完成校园粉刷面积不少于171000平方米，改造提升面积不少于3400平方米，改造提升工程项目不少于3个，包括校园文化建设项目、校园粉刷项目、校舍改造提升等项目，预算申请与项目内容匹配；</w:t>
            </w:r>
          </w:p>
          <w:p w14:paraId="2B73836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val="en-US" w:eastAsia="zh-CN"/>
              </w:rPr>
              <w:t>③</w:t>
            </w:r>
            <w:r>
              <w:rPr>
                <w:rFonts w:hint="eastAsia" w:ascii="宋体" w:hAnsi="宋体" w:eastAsia="宋体" w:cs="宋体"/>
                <w:color w:val="000000"/>
                <w:kern w:val="0"/>
                <w:sz w:val="22"/>
                <w:szCs w:val="22"/>
                <w:highlight w:val="none"/>
                <w:lang w:eastAsia="zh-CN"/>
              </w:rPr>
              <w:t>项目预算申请资金898.</w:t>
            </w:r>
            <w:r>
              <w:rPr>
                <w:rFonts w:hint="eastAsia" w:ascii="宋体" w:hAnsi="宋体" w:eastAsia="宋体" w:cs="宋体"/>
                <w:color w:val="000000"/>
                <w:kern w:val="0"/>
                <w:sz w:val="22"/>
                <w:szCs w:val="22"/>
                <w:highlight w:val="none"/>
                <w:lang w:val="en-US" w:eastAsia="zh-CN"/>
              </w:rPr>
              <w:t>78万</w:t>
            </w:r>
            <w:r>
              <w:rPr>
                <w:rFonts w:hint="eastAsia" w:ascii="宋体" w:hAnsi="宋体" w:eastAsia="宋体" w:cs="宋体"/>
                <w:color w:val="000000"/>
                <w:kern w:val="0"/>
                <w:sz w:val="22"/>
                <w:szCs w:val="22"/>
                <w:highlight w:val="none"/>
                <w:lang w:eastAsia="zh-CN"/>
              </w:rPr>
              <w:t>元，我单位在预算申请中严格按照项目实施内容及测算标准进行核算，其中：校园文化建设成本费用255.76万元、校园粉刷成本费用370.28万元、校舍改造提升成本费用267.82万元、校园环境提升项目监理费成本费用4.92万元。</w:t>
            </w:r>
          </w:p>
          <w:p w14:paraId="4E36AA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val="en-US" w:eastAsia="zh-CN"/>
              </w:rPr>
              <w:t>④</w:t>
            </w:r>
            <w:r>
              <w:rPr>
                <w:rFonts w:hint="eastAsia" w:ascii="宋体" w:hAnsi="宋体" w:eastAsia="宋体" w:cs="宋体"/>
                <w:color w:val="000000"/>
                <w:kern w:val="0"/>
                <w:sz w:val="22"/>
                <w:szCs w:val="22"/>
                <w:highlight w:val="none"/>
                <w:lang w:eastAsia="zh-CN"/>
              </w:rPr>
              <w:t>预算确定资金量与实际工作任务相匹配。项目预算额度测算依据充分，严格按照标准编制，项目资金量与</w:t>
            </w:r>
            <w:r>
              <w:rPr>
                <w:rFonts w:hint="eastAsia" w:ascii="宋体" w:hAnsi="宋体" w:eastAsia="宋体" w:cs="宋体"/>
                <w:color w:val="000000"/>
                <w:kern w:val="0"/>
                <w:sz w:val="22"/>
                <w:szCs w:val="22"/>
                <w:highlight w:val="none"/>
                <w:lang w:val="en-US" w:eastAsia="zh-CN"/>
              </w:rPr>
              <w:t>项目实施内容</w:t>
            </w:r>
            <w:r>
              <w:rPr>
                <w:rFonts w:hint="eastAsia" w:ascii="宋体" w:hAnsi="宋体" w:eastAsia="宋体" w:cs="宋体"/>
                <w:color w:val="000000"/>
                <w:kern w:val="0"/>
                <w:sz w:val="22"/>
                <w:szCs w:val="22"/>
                <w:highlight w:val="none"/>
                <w:lang w:eastAsia="zh-CN"/>
              </w:rPr>
              <w:t>相匹配。</w:t>
            </w:r>
          </w:p>
          <w:p w14:paraId="375D99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2562EB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4DBA8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2</w:t>
            </w:r>
          </w:p>
        </w:tc>
      </w:tr>
      <w:tr w14:paraId="4ECBE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430218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FDDA5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2" w:type="dxa"/>
            <w:shd w:val="clear" w:color="auto" w:fill="auto"/>
            <w:noWrap w:val="0"/>
            <w:vAlign w:val="center"/>
          </w:tcPr>
          <w:p w14:paraId="45B0B3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60373CE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1969" w:type="dxa"/>
            <w:shd w:val="clear" w:color="auto" w:fill="auto"/>
            <w:noWrap w:val="0"/>
            <w:vAlign w:val="center"/>
          </w:tcPr>
          <w:p w14:paraId="3EF779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2B1A14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①项目实际分配资金以</w:t>
            </w:r>
            <w:r>
              <w:rPr>
                <w:rFonts w:hint="eastAsia" w:ascii="宋体" w:hAnsi="宋体" w:eastAsia="宋体" w:cs="宋体"/>
                <w:color w:val="000000"/>
                <w:kern w:val="0"/>
                <w:sz w:val="22"/>
                <w:szCs w:val="22"/>
                <w:highlight w:val="none"/>
                <w:lang w:eastAsia="zh-Hans"/>
              </w:rPr>
              <w:t>《关于</w:t>
            </w:r>
            <w:r>
              <w:rPr>
                <w:rFonts w:hint="eastAsia" w:ascii="宋体" w:hAnsi="宋体" w:eastAsia="宋体" w:cs="宋体"/>
                <w:color w:val="000000"/>
                <w:kern w:val="0"/>
                <w:sz w:val="22"/>
                <w:szCs w:val="22"/>
                <w:highlight w:val="none"/>
                <w:lang w:eastAsia="zh-CN"/>
              </w:rPr>
              <w:t>申请2023年昌吉州中小学校园环境改造提升工程专项资金项目资金的请示</w:t>
            </w:r>
            <w:r>
              <w:rPr>
                <w:rFonts w:hint="eastAsia" w:ascii="宋体" w:hAnsi="宋体" w:eastAsia="宋体" w:cs="宋体"/>
                <w:color w:val="000000"/>
                <w:kern w:val="0"/>
                <w:sz w:val="22"/>
                <w:szCs w:val="22"/>
                <w:highlight w:val="none"/>
                <w:lang w:eastAsia="zh-Hans"/>
              </w:rPr>
              <w:t>》为依据进行资金分配，预算资金分配依据充分</w:t>
            </w:r>
            <w:r>
              <w:rPr>
                <w:rFonts w:hint="eastAsia" w:ascii="宋体" w:hAnsi="宋体" w:eastAsia="宋体" w:cs="宋体"/>
                <w:color w:val="000000"/>
                <w:kern w:val="0"/>
                <w:sz w:val="22"/>
                <w:szCs w:val="22"/>
                <w:highlight w:val="none"/>
                <w:lang w:eastAsia="zh-CN"/>
              </w:rPr>
              <w:t>。</w:t>
            </w:r>
          </w:p>
          <w:p w14:paraId="14C2CDC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eastAsia="zh-CN"/>
              </w:rPr>
              <w:t>②项目实际到位资金898.</w:t>
            </w:r>
            <w:r>
              <w:rPr>
                <w:rFonts w:hint="eastAsia" w:ascii="宋体" w:hAnsi="宋体" w:eastAsia="宋体" w:cs="宋体"/>
                <w:color w:val="000000"/>
                <w:kern w:val="0"/>
                <w:sz w:val="22"/>
                <w:szCs w:val="22"/>
                <w:highlight w:val="none"/>
                <w:lang w:val="en-US" w:eastAsia="zh-CN"/>
              </w:rPr>
              <w:t>78</w:t>
            </w:r>
            <w:r>
              <w:rPr>
                <w:rFonts w:hint="eastAsia" w:ascii="宋体" w:hAnsi="宋体" w:eastAsia="宋体" w:cs="宋体"/>
                <w:color w:val="000000"/>
                <w:kern w:val="0"/>
                <w:sz w:val="22"/>
                <w:szCs w:val="22"/>
                <w:highlight w:val="none"/>
                <w:lang w:eastAsia="zh-CN"/>
              </w:rPr>
              <w:t>万元，资金分配额度合理，与项目单位</w:t>
            </w:r>
            <w:r>
              <w:rPr>
                <w:rFonts w:hint="eastAsia" w:ascii="宋体" w:hAnsi="宋体" w:eastAsia="宋体" w:cs="宋体"/>
                <w:color w:val="000000"/>
                <w:kern w:val="0"/>
                <w:sz w:val="22"/>
                <w:szCs w:val="22"/>
                <w:highlight w:val="none"/>
                <w:lang w:val="en-US" w:eastAsia="zh-CN"/>
              </w:rPr>
              <w:t>及项目实际实施情况相</w:t>
            </w:r>
            <w:r>
              <w:rPr>
                <w:rFonts w:hint="eastAsia" w:ascii="宋体" w:hAnsi="宋体" w:eastAsia="宋体" w:cs="宋体"/>
                <w:color w:val="000000"/>
                <w:kern w:val="0"/>
                <w:sz w:val="22"/>
                <w:szCs w:val="22"/>
                <w:highlight w:val="none"/>
                <w:lang w:eastAsia="zh-CN"/>
              </w:rPr>
              <w:t>适应。</w:t>
            </w:r>
          </w:p>
        </w:tc>
        <w:tc>
          <w:tcPr>
            <w:tcW w:w="785" w:type="dxa"/>
            <w:shd w:val="clear" w:color="auto" w:fill="auto"/>
            <w:noWrap w:val="0"/>
            <w:vAlign w:val="center"/>
          </w:tcPr>
          <w:p w14:paraId="28EA12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A9A6C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3</w:t>
            </w:r>
          </w:p>
        </w:tc>
      </w:tr>
      <w:tr w14:paraId="0C88F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370A2FF">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3579EBF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992" w:type="dxa"/>
            <w:shd w:val="clear" w:color="auto" w:fill="auto"/>
            <w:noWrap w:val="0"/>
            <w:vAlign w:val="center"/>
          </w:tcPr>
          <w:p w14:paraId="27F8F2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1969" w:type="dxa"/>
            <w:shd w:val="clear" w:color="auto" w:fill="auto"/>
            <w:noWrap w:val="0"/>
            <w:vAlign w:val="center"/>
          </w:tcPr>
          <w:p w14:paraId="713DB2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0BB8006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项目预算资金为</w:t>
            </w:r>
            <w:r>
              <w:rPr>
                <w:rFonts w:hint="eastAsia" w:ascii="宋体" w:hAnsi="宋体" w:eastAsia="宋体" w:cs="宋体"/>
                <w:color w:val="000000"/>
                <w:kern w:val="0"/>
                <w:sz w:val="22"/>
                <w:szCs w:val="22"/>
                <w:highlight w:val="none"/>
                <w:lang w:eastAsia="zh-CN"/>
              </w:rPr>
              <w:t>898.</w:t>
            </w:r>
            <w:r>
              <w:rPr>
                <w:rFonts w:hint="eastAsia" w:ascii="宋体" w:hAnsi="宋体" w:eastAsia="宋体" w:cs="宋体"/>
                <w:color w:val="000000"/>
                <w:kern w:val="0"/>
                <w:sz w:val="22"/>
                <w:szCs w:val="22"/>
                <w:highlight w:val="none"/>
                <w:lang w:val="en-US" w:eastAsia="zh-CN"/>
              </w:rPr>
              <w:t>78</w:t>
            </w:r>
            <w:r>
              <w:rPr>
                <w:rFonts w:hint="eastAsia" w:ascii="宋体" w:hAnsi="宋体" w:eastAsia="宋体" w:cs="宋体"/>
                <w:color w:val="000000"/>
                <w:kern w:val="0"/>
                <w:sz w:val="22"/>
                <w:szCs w:val="22"/>
                <w:highlight w:val="none"/>
              </w:rPr>
              <w:t>万元，其中：财政安排资金</w:t>
            </w:r>
            <w:r>
              <w:rPr>
                <w:rFonts w:hint="eastAsia" w:ascii="宋体" w:hAnsi="宋体" w:eastAsia="宋体" w:cs="宋体"/>
                <w:color w:val="000000"/>
                <w:kern w:val="0"/>
                <w:sz w:val="22"/>
                <w:szCs w:val="22"/>
                <w:highlight w:val="none"/>
                <w:lang w:eastAsia="zh-CN"/>
              </w:rPr>
              <w:t>898.</w:t>
            </w:r>
            <w:r>
              <w:rPr>
                <w:rFonts w:hint="eastAsia" w:ascii="宋体" w:hAnsi="宋体" w:eastAsia="宋体" w:cs="宋体"/>
                <w:color w:val="000000"/>
                <w:kern w:val="0"/>
                <w:sz w:val="22"/>
                <w:szCs w:val="22"/>
                <w:highlight w:val="none"/>
                <w:lang w:val="en-US" w:eastAsia="zh-CN"/>
              </w:rPr>
              <w:t>78</w:t>
            </w:r>
            <w:r>
              <w:rPr>
                <w:rFonts w:hint="eastAsia" w:ascii="宋体" w:hAnsi="宋体" w:eastAsia="宋体" w:cs="宋体"/>
                <w:color w:val="000000"/>
                <w:kern w:val="0"/>
                <w:sz w:val="22"/>
                <w:szCs w:val="22"/>
                <w:highlight w:val="none"/>
              </w:rPr>
              <w:t>万元，其他资金</w:t>
            </w:r>
            <w:r>
              <w:rPr>
                <w:rFonts w:hint="eastAsia" w:ascii="宋体" w:hAnsi="宋体" w:eastAsia="宋体" w:cs="宋体"/>
                <w:color w:val="000000"/>
                <w:kern w:val="0"/>
                <w:sz w:val="22"/>
                <w:szCs w:val="22"/>
                <w:highlight w:val="none"/>
                <w:lang w:val="en-US" w:eastAsia="zh-CN"/>
              </w:rPr>
              <w:t>0</w:t>
            </w:r>
            <w:r>
              <w:rPr>
                <w:rFonts w:hint="eastAsia" w:ascii="宋体" w:hAnsi="宋体" w:eastAsia="宋体" w:cs="宋体"/>
                <w:color w:val="000000"/>
                <w:kern w:val="0"/>
                <w:sz w:val="22"/>
                <w:szCs w:val="22"/>
                <w:highlight w:val="none"/>
              </w:rPr>
              <w:t>万元</w:t>
            </w:r>
            <w:r>
              <w:rPr>
                <w:rFonts w:hint="eastAsia" w:ascii="宋体" w:hAnsi="宋体" w:eastAsia="宋体" w:cs="宋体"/>
                <w:color w:val="000000"/>
                <w:kern w:val="0"/>
                <w:sz w:val="22"/>
                <w:szCs w:val="22"/>
                <w:highlight w:val="none"/>
                <w:lang w:eastAsia="zh-CN"/>
              </w:rPr>
              <w:t>。</w:t>
            </w:r>
          </w:p>
          <w:p w14:paraId="052DD98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eastAsia="zh-CN"/>
              </w:rPr>
              <w:t>资金到位率=（实际到位资金</w:t>
            </w:r>
            <w:r>
              <w:rPr>
                <w:rFonts w:hint="eastAsia" w:ascii="宋体" w:hAnsi="宋体" w:eastAsia="宋体" w:cs="宋体"/>
                <w:color w:val="000000"/>
                <w:kern w:val="0"/>
                <w:sz w:val="22"/>
                <w:szCs w:val="22"/>
                <w:highlight w:val="none"/>
                <w:lang w:val="en-US" w:eastAsia="zh-CN"/>
              </w:rPr>
              <w:t>数</w:t>
            </w:r>
            <w:r>
              <w:rPr>
                <w:rFonts w:hint="eastAsia" w:ascii="宋体" w:hAnsi="宋体" w:eastAsia="宋体" w:cs="宋体"/>
                <w:color w:val="000000"/>
                <w:kern w:val="0"/>
                <w:sz w:val="22"/>
                <w:szCs w:val="22"/>
                <w:highlight w:val="none"/>
                <w:lang w:eastAsia="zh-CN"/>
              </w:rPr>
              <w:t>/预算资金</w:t>
            </w:r>
            <w:r>
              <w:rPr>
                <w:rFonts w:hint="eastAsia" w:ascii="宋体" w:hAnsi="宋体" w:eastAsia="宋体" w:cs="宋体"/>
                <w:color w:val="000000"/>
                <w:kern w:val="0"/>
                <w:sz w:val="22"/>
                <w:szCs w:val="22"/>
                <w:highlight w:val="none"/>
                <w:lang w:val="en-US" w:eastAsia="zh-CN"/>
              </w:rPr>
              <w:t>数</w:t>
            </w:r>
            <w:r>
              <w:rPr>
                <w:rFonts w:hint="eastAsia" w:ascii="宋体" w:hAnsi="宋体" w:eastAsia="宋体" w:cs="宋体"/>
                <w:color w:val="000000"/>
                <w:kern w:val="0"/>
                <w:sz w:val="22"/>
                <w:szCs w:val="22"/>
                <w:highlight w:val="none"/>
                <w:lang w:eastAsia="zh-CN"/>
              </w:rPr>
              <w:t>）×100%。</w:t>
            </w:r>
            <w:r>
              <w:rPr>
                <w:rFonts w:hint="eastAsia" w:ascii="宋体" w:hAnsi="宋体" w:eastAsia="宋体" w:cs="宋体"/>
                <w:color w:val="000000"/>
                <w:kern w:val="0"/>
                <w:sz w:val="22"/>
                <w:szCs w:val="22"/>
                <w:highlight w:val="none"/>
                <w:lang w:val="en-US" w:eastAsia="zh-CN"/>
              </w:rPr>
              <w:t>=</w:t>
            </w:r>
            <w:r>
              <w:rPr>
                <w:rFonts w:hint="eastAsia" w:ascii="宋体" w:hAnsi="宋体" w:eastAsia="宋体" w:cs="宋体"/>
                <w:color w:val="000000"/>
                <w:kern w:val="0"/>
                <w:sz w:val="22"/>
                <w:szCs w:val="22"/>
                <w:highlight w:val="none"/>
                <w:lang w:eastAsia="zh-CN"/>
              </w:rPr>
              <w:t>100%</w:t>
            </w:r>
          </w:p>
          <w:p w14:paraId="60639A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3D67D8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1E42A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2759E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68" w:hRule="atLeast"/>
          <w:jc w:val="center"/>
        </w:trPr>
        <w:tc>
          <w:tcPr>
            <w:tcW w:w="861" w:type="dxa"/>
            <w:vMerge w:val="continue"/>
            <w:shd w:val="clear" w:color="auto" w:fill="auto"/>
            <w:noWrap w:val="0"/>
            <w:vAlign w:val="center"/>
          </w:tcPr>
          <w:p w14:paraId="062008F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6D57C8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2" w:type="dxa"/>
            <w:shd w:val="clear" w:color="auto" w:fill="auto"/>
            <w:noWrap w:val="0"/>
            <w:vAlign w:val="center"/>
          </w:tcPr>
          <w:p w14:paraId="50AEE5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1969" w:type="dxa"/>
            <w:shd w:val="clear" w:color="auto" w:fill="auto"/>
            <w:noWrap w:val="0"/>
            <w:vAlign w:val="center"/>
          </w:tcPr>
          <w:p w14:paraId="76DF5FC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3476A640">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截至2024年12月31日，项目实际支出</w:t>
            </w:r>
            <w:r>
              <w:rPr>
                <w:rFonts w:hint="eastAsia" w:cs="宋体"/>
                <w:color w:val="000000"/>
                <w:kern w:val="0"/>
                <w:sz w:val="22"/>
                <w:szCs w:val="22"/>
                <w:highlight w:val="none"/>
                <w:lang w:eastAsia="zh-CN"/>
              </w:rPr>
              <w:t>898.78</w:t>
            </w:r>
            <w:r>
              <w:rPr>
                <w:rFonts w:hint="eastAsia" w:ascii="宋体" w:hAnsi="宋体" w:eastAsia="宋体" w:cs="宋体"/>
                <w:color w:val="000000"/>
                <w:kern w:val="0"/>
                <w:sz w:val="22"/>
                <w:szCs w:val="22"/>
                <w:highlight w:val="none"/>
                <w:lang w:val="en-US" w:eastAsia="zh-CN"/>
              </w:rPr>
              <w:t>万元。</w:t>
            </w:r>
          </w:p>
          <w:p w14:paraId="503D4F1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eastAsia="zh-CN"/>
              </w:rPr>
              <w:t>预算执行率=（实际支出资金/</w:t>
            </w:r>
            <w:r>
              <w:rPr>
                <w:rFonts w:hint="eastAsia" w:ascii="宋体" w:hAnsi="宋体" w:eastAsia="宋体" w:cs="宋体"/>
                <w:color w:val="000000"/>
                <w:kern w:val="0"/>
                <w:sz w:val="22"/>
                <w:szCs w:val="22"/>
                <w:highlight w:val="none"/>
                <w:lang w:val="en-US" w:eastAsia="zh-CN"/>
              </w:rPr>
              <w:t>预算</w:t>
            </w:r>
            <w:r>
              <w:rPr>
                <w:rFonts w:hint="eastAsia" w:ascii="宋体" w:hAnsi="宋体" w:eastAsia="宋体" w:cs="宋体"/>
                <w:color w:val="000000"/>
                <w:kern w:val="0"/>
                <w:sz w:val="22"/>
                <w:szCs w:val="22"/>
                <w:highlight w:val="none"/>
                <w:lang w:eastAsia="zh-CN"/>
              </w:rPr>
              <w:t>资金</w:t>
            </w:r>
            <w:r>
              <w:rPr>
                <w:rFonts w:hint="eastAsia" w:ascii="宋体" w:hAnsi="宋体" w:eastAsia="宋体" w:cs="宋体"/>
                <w:color w:val="000000"/>
                <w:kern w:val="0"/>
                <w:sz w:val="22"/>
                <w:szCs w:val="22"/>
                <w:highlight w:val="none"/>
                <w:lang w:val="en-US" w:eastAsia="zh-CN"/>
              </w:rPr>
              <w:t>数</w:t>
            </w:r>
            <w:r>
              <w:rPr>
                <w:rFonts w:hint="eastAsia" w:ascii="宋体" w:hAnsi="宋体" w:eastAsia="宋体" w:cs="宋体"/>
                <w:color w:val="000000"/>
                <w:kern w:val="0"/>
                <w:sz w:val="22"/>
                <w:szCs w:val="22"/>
                <w:highlight w:val="none"/>
                <w:lang w:eastAsia="zh-CN"/>
              </w:rPr>
              <w:t>）×100%</w:t>
            </w:r>
            <w:r>
              <w:rPr>
                <w:rFonts w:hint="eastAsia" w:ascii="宋体" w:hAnsi="宋体" w:eastAsia="宋体" w:cs="宋体"/>
                <w:color w:val="000000"/>
                <w:kern w:val="0"/>
                <w:sz w:val="22"/>
                <w:szCs w:val="22"/>
                <w:highlight w:val="none"/>
                <w:lang w:val="en-US" w:eastAsia="zh-CN"/>
              </w:rPr>
              <w:t>=</w:t>
            </w:r>
            <w:r>
              <w:rPr>
                <w:rFonts w:hint="eastAsia" w:ascii="宋体" w:hAnsi="宋体" w:eastAsia="宋体" w:cs="宋体"/>
                <w:color w:val="000000"/>
                <w:kern w:val="0"/>
                <w:sz w:val="22"/>
                <w:szCs w:val="22"/>
                <w:highlight w:val="none"/>
                <w:lang w:eastAsia="zh-CN"/>
              </w:rPr>
              <w:t>100%</w:t>
            </w:r>
          </w:p>
          <w:p w14:paraId="4D709A3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299BCF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4F268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1281A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260" w:hRule="atLeast"/>
          <w:jc w:val="center"/>
        </w:trPr>
        <w:tc>
          <w:tcPr>
            <w:tcW w:w="861" w:type="dxa"/>
            <w:vMerge w:val="restart"/>
            <w:shd w:val="clear" w:color="auto" w:fill="auto"/>
            <w:noWrap w:val="0"/>
            <w:vAlign w:val="center"/>
          </w:tcPr>
          <w:p w14:paraId="7C0612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79AE1FC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398905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992" w:type="dxa"/>
            <w:shd w:val="clear" w:color="auto" w:fill="auto"/>
            <w:noWrap w:val="0"/>
            <w:vAlign w:val="center"/>
          </w:tcPr>
          <w:p w14:paraId="567843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01102C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1969" w:type="dxa"/>
            <w:shd w:val="clear" w:color="auto" w:fill="auto"/>
            <w:noWrap w:val="0"/>
            <w:vAlign w:val="center"/>
          </w:tcPr>
          <w:p w14:paraId="025CF1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39D26BDB">
            <w:pPr>
              <w:pageBreakBefore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eastAsia="zh-CN"/>
              </w:rPr>
              <w:t>①本项目资金支出符合国家财经法规、《政府会计制度》《阜康市第一中学项目资金管理办法》《阜康市第一中学专项资金管理办法》；</w:t>
            </w:r>
          </w:p>
          <w:p w14:paraId="3AFB6797">
            <w:pPr>
              <w:pageBreakBefore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②资金的拨付有完整的审批程序和手续；</w:t>
            </w:r>
          </w:p>
          <w:p w14:paraId="5A3353B7">
            <w:pPr>
              <w:pageBreakBefore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③符合项目预算批复或合同规定的用途；</w:t>
            </w:r>
          </w:p>
          <w:p w14:paraId="1F164CCF">
            <w:pPr>
              <w:pageBreakBefore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④</w:t>
            </w:r>
            <w:r>
              <w:rPr>
                <w:rFonts w:hint="eastAsia" w:ascii="宋体" w:hAnsi="宋体" w:eastAsia="宋体" w:cs="宋体"/>
                <w:color w:val="000000"/>
                <w:kern w:val="0"/>
                <w:sz w:val="22"/>
                <w:szCs w:val="22"/>
                <w:highlight w:val="none"/>
                <w:lang w:val="en-US" w:eastAsia="zh-CN"/>
              </w:rPr>
              <w:t>不</w:t>
            </w:r>
            <w:r>
              <w:rPr>
                <w:rFonts w:hint="eastAsia" w:ascii="宋体" w:hAnsi="宋体" w:eastAsia="宋体" w:cs="宋体"/>
                <w:color w:val="000000"/>
                <w:kern w:val="0"/>
                <w:sz w:val="22"/>
                <w:szCs w:val="22"/>
                <w:highlight w:val="none"/>
                <w:lang w:eastAsia="zh-CN"/>
              </w:rPr>
              <w:t>存在截留、挤占、挪用、虚列支出等情况。</w:t>
            </w:r>
          </w:p>
          <w:p w14:paraId="00013C54">
            <w:pPr>
              <w:pageBreakBefore w:val="0"/>
              <w:kinsoku/>
              <w:wordWrap/>
              <w:overflowPunct/>
              <w:topLinePunct w:val="0"/>
              <w:autoSpaceDE/>
              <w:autoSpaceDN/>
              <w:bidi w:val="0"/>
              <w:spacing w:line="240" w:lineRule="auto"/>
              <w:ind w:firstLine="0" w:firstLineChars="0"/>
              <w:jc w:val="left"/>
              <w:textAlignment w:val="auto"/>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default" w:ascii="宋体" w:hAnsi="宋体" w:eastAsia="宋体" w:cs="宋体"/>
                <w:color w:val="000000"/>
                <w:kern w:val="0"/>
                <w:sz w:val="22"/>
                <w:szCs w:val="2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p>
          <w:p w14:paraId="702DB5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29563B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E6831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6D913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5CAAF0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0CD967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2E9D97A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992" w:type="dxa"/>
            <w:shd w:val="clear" w:color="auto" w:fill="auto"/>
            <w:noWrap w:val="0"/>
            <w:vAlign w:val="center"/>
          </w:tcPr>
          <w:p w14:paraId="4090C59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513966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1969" w:type="dxa"/>
            <w:shd w:val="clear" w:color="auto" w:fill="auto"/>
            <w:noWrap w:val="0"/>
            <w:vAlign w:val="center"/>
          </w:tcPr>
          <w:p w14:paraId="616446E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39B91A7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val="en-US" w:eastAsia="zh-CN"/>
              </w:rPr>
              <w:t>①</w:t>
            </w:r>
            <w:r>
              <w:rPr>
                <w:rFonts w:hint="eastAsia" w:ascii="宋体" w:hAnsi="宋体" w:eastAsia="宋体" w:cs="宋体"/>
                <w:color w:val="000000"/>
                <w:kern w:val="0"/>
                <w:sz w:val="22"/>
                <w:szCs w:val="22"/>
                <w:highlight w:val="none"/>
                <w:lang w:eastAsia="zh-CN"/>
              </w:rPr>
              <w:t>我单位已制定《</w:t>
            </w:r>
            <w:r>
              <w:rPr>
                <w:rFonts w:hint="eastAsia" w:ascii="宋体" w:hAnsi="宋体" w:eastAsia="宋体" w:cs="宋体"/>
                <w:color w:val="000000"/>
                <w:kern w:val="0"/>
                <w:sz w:val="22"/>
                <w:szCs w:val="22"/>
                <w:highlight w:val="none"/>
                <w:lang w:val="en-US" w:eastAsia="zh-CN"/>
              </w:rPr>
              <w:t>阜康市第一中学专项</w:t>
            </w:r>
            <w:r>
              <w:rPr>
                <w:rFonts w:hint="eastAsia" w:ascii="宋体" w:hAnsi="宋体" w:eastAsia="宋体" w:cs="宋体"/>
                <w:color w:val="000000"/>
                <w:kern w:val="0"/>
                <w:sz w:val="22"/>
                <w:szCs w:val="22"/>
                <w:highlight w:val="none"/>
                <w:lang w:eastAsia="zh-CN"/>
              </w:rPr>
              <w:t>资金管理办法》《</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lang w:eastAsia="zh-CN"/>
              </w:rPr>
              <w:t>收支业务管理制度》《</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lang w:eastAsia="zh-CN"/>
              </w:rPr>
              <w:t>政府采购业务管理制度》《</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lang w:eastAsia="zh-CN"/>
              </w:rPr>
              <w:t>合同管理制度》，</w:t>
            </w:r>
            <w:r>
              <w:rPr>
                <w:rFonts w:hint="eastAsia" w:ascii="宋体" w:hAnsi="宋体" w:eastAsia="宋体" w:cs="宋体"/>
                <w:color w:val="000000"/>
                <w:kern w:val="0"/>
                <w:sz w:val="22"/>
                <w:szCs w:val="22"/>
                <w:highlight w:val="none"/>
                <w:lang w:val="en-US" w:eastAsia="zh-CN"/>
              </w:rPr>
              <w:t>相关</w:t>
            </w:r>
            <w:r>
              <w:rPr>
                <w:rFonts w:hint="eastAsia" w:ascii="宋体" w:hAnsi="宋体" w:eastAsia="宋体" w:cs="宋体"/>
                <w:color w:val="000000"/>
                <w:kern w:val="0"/>
                <w:sz w:val="22"/>
                <w:szCs w:val="22"/>
                <w:highlight w:val="none"/>
                <w:lang w:eastAsia="zh-CN"/>
              </w:rPr>
              <w:t>制度均符合行政事业单位内控管理要求；</w:t>
            </w:r>
          </w:p>
          <w:p w14:paraId="361DBF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②已制定的</w:t>
            </w:r>
            <w:r>
              <w:rPr>
                <w:rFonts w:hint="eastAsia" w:ascii="宋体" w:hAnsi="宋体" w:eastAsia="宋体" w:cs="宋体"/>
                <w:color w:val="000000"/>
                <w:kern w:val="0"/>
                <w:sz w:val="22"/>
                <w:szCs w:val="22"/>
                <w:highlight w:val="none"/>
                <w:lang w:eastAsia="zh-CN"/>
              </w:rPr>
              <w:t>财务和业务管理制度合法、合规、完整，本项目执行符合上述制度规定。</w:t>
            </w:r>
          </w:p>
          <w:p w14:paraId="447012A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587C46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7FD9A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71F9E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07" w:hRule="atLeast"/>
          <w:jc w:val="center"/>
        </w:trPr>
        <w:tc>
          <w:tcPr>
            <w:tcW w:w="861" w:type="dxa"/>
            <w:vMerge w:val="continue"/>
            <w:shd w:val="clear" w:color="auto" w:fill="auto"/>
            <w:noWrap w:val="0"/>
            <w:vAlign w:val="center"/>
          </w:tcPr>
          <w:p w14:paraId="435142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FFDA8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2" w:type="dxa"/>
            <w:shd w:val="clear" w:color="auto" w:fill="auto"/>
            <w:noWrap w:val="0"/>
            <w:vAlign w:val="center"/>
          </w:tcPr>
          <w:p w14:paraId="4909645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1192AA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1969" w:type="dxa"/>
            <w:shd w:val="clear" w:color="auto" w:fill="auto"/>
            <w:noWrap w:val="0"/>
            <w:vAlign w:val="center"/>
          </w:tcPr>
          <w:p w14:paraId="2441AA5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6768D0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①</w:t>
            </w:r>
            <w:r>
              <w:rPr>
                <w:rFonts w:hint="eastAsia" w:ascii="宋体" w:hAnsi="宋体" w:eastAsia="宋体" w:cs="宋体"/>
                <w:color w:val="000000"/>
                <w:kern w:val="0"/>
                <w:sz w:val="22"/>
                <w:szCs w:val="22"/>
                <w:highlight w:val="none"/>
              </w:rPr>
              <w:t>项目的实施</w:t>
            </w:r>
            <w:r>
              <w:rPr>
                <w:rFonts w:hint="eastAsia" w:ascii="宋体" w:hAnsi="宋体" w:eastAsia="宋体" w:cs="宋体"/>
                <w:color w:val="000000"/>
                <w:kern w:val="0"/>
                <w:sz w:val="22"/>
                <w:szCs w:val="22"/>
                <w:highlight w:val="none"/>
                <w:lang w:eastAsia="zh-CN"/>
              </w:rPr>
              <w:t>遵守相关法律法规</w:t>
            </w:r>
            <w:r>
              <w:rPr>
                <w:rFonts w:hint="eastAsia" w:ascii="宋体" w:hAnsi="宋体" w:eastAsia="宋体" w:cs="宋体"/>
                <w:color w:val="000000"/>
                <w:kern w:val="0"/>
                <w:sz w:val="22"/>
                <w:szCs w:val="22"/>
                <w:highlight w:val="none"/>
                <w:lang w:val="en-US" w:eastAsia="zh-CN"/>
              </w:rPr>
              <w:t>及</w:t>
            </w:r>
            <w:r>
              <w:rPr>
                <w:rFonts w:hint="eastAsia" w:ascii="宋体" w:hAnsi="宋体" w:eastAsia="宋体" w:cs="宋体"/>
                <w:color w:val="000000"/>
                <w:kern w:val="0"/>
                <w:sz w:val="22"/>
                <w:szCs w:val="22"/>
                <w:highlight w:val="none"/>
                <w:lang w:eastAsia="zh-CN"/>
              </w:rPr>
              <w:t>相关管理规定，</w:t>
            </w:r>
            <w:r>
              <w:rPr>
                <w:rFonts w:hint="eastAsia" w:ascii="宋体" w:hAnsi="宋体" w:eastAsia="宋体" w:cs="宋体"/>
                <w:color w:val="000000"/>
                <w:kern w:val="0"/>
                <w:sz w:val="22"/>
                <w:szCs w:val="22"/>
                <w:highlight w:val="none"/>
              </w:rPr>
              <w:t>符合《</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lang w:eastAsia="zh-CN"/>
              </w:rPr>
              <w:t>收支业务管理制度</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val="en-US" w:eastAsia="zh-CN"/>
              </w:rPr>
              <w:t>阜康市第一中学专项</w:t>
            </w:r>
            <w:r>
              <w:rPr>
                <w:rFonts w:hint="eastAsia" w:ascii="宋体" w:hAnsi="宋体" w:eastAsia="宋体" w:cs="宋体"/>
                <w:color w:val="000000"/>
                <w:kern w:val="0"/>
                <w:sz w:val="22"/>
                <w:szCs w:val="22"/>
                <w:highlight w:val="none"/>
                <w:lang w:eastAsia="zh-CN"/>
              </w:rPr>
              <w:t>资金管理办法</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rPr>
              <w:t>采购业务管理制度》《</w:t>
            </w:r>
            <w:r>
              <w:rPr>
                <w:rFonts w:hint="eastAsia" w:ascii="宋体" w:hAnsi="宋体" w:eastAsia="宋体" w:cs="宋体"/>
                <w:color w:val="000000"/>
                <w:kern w:val="0"/>
                <w:sz w:val="22"/>
                <w:szCs w:val="22"/>
                <w:highlight w:val="none"/>
                <w:lang w:val="en-US" w:eastAsia="zh-CN"/>
              </w:rPr>
              <w:t>阜康市第一中学</w:t>
            </w:r>
            <w:r>
              <w:rPr>
                <w:rFonts w:hint="eastAsia" w:ascii="宋体" w:hAnsi="宋体" w:eastAsia="宋体" w:cs="宋体"/>
                <w:color w:val="000000"/>
                <w:kern w:val="0"/>
                <w:sz w:val="22"/>
                <w:szCs w:val="22"/>
                <w:highlight w:val="none"/>
              </w:rPr>
              <w:t>合同管理制度》等管理规定，</w:t>
            </w:r>
            <w:r>
              <w:rPr>
                <w:rFonts w:hint="eastAsia" w:ascii="宋体" w:hAnsi="宋体" w:eastAsia="宋体" w:cs="宋体"/>
                <w:color w:val="000000"/>
                <w:kern w:val="0"/>
                <w:sz w:val="22"/>
                <w:szCs w:val="22"/>
                <w:highlight w:val="none"/>
                <w:lang w:eastAsia="zh-CN"/>
              </w:rPr>
              <w:t>；</w:t>
            </w:r>
          </w:p>
          <w:p w14:paraId="4496782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②</w:t>
            </w:r>
            <w:r>
              <w:rPr>
                <w:rFonts w:hint="eastAsia" w:ascii="宋体" w:hAnsi="宋体" w:eastAsia="宋体" w:cs="宋体"/>
                <w:color w:val="000000"/>
                <w:kern w:val="0"/>
                <w:sz w:val="22"/>
                <w:szCs w:val="22"/>
                <w:highlight w:val="none"/>
              </w:rPr>
              <w:t>该项目实施过程中不存在调整事项</w:t>
            </w:r>
            <w:r>
              <w:rPr>
                <w:rFonts w:hint="eastAsia" w:ascii="宋体" w:hAnsi="宋体" w:eastAsia="宋体" w:cs="宋体"/>
                <w:color w:val="000000"/>
                <w:kern w:val="0"/>
                <w:sz w:val="22"/>
                <w:szCs w:val="22"/>
                <w:highlight w:val="none"/>
                <w:lang w:eastAsia="zh-CN"/>
              </w:rPr>
              <w:t>。</w:t>
            </w:r>
          </w:p>
          <w:p w14:paraId="328CD81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eastAsia="zh-CN"/>
              </w:rPr>
              <w:t>③</w:t>
            </w:r>
            <w:r>
              <w:rPr>
                <w:rFonts w:hint="eastAsia" w:ascii="宋体" w:hAnsi="宋体" w:eastAsia="宋体" w:cs="宋体"/>
                <w:color w:val="000000"/>
                <w:kern w:val="0"/>
                <w:sz w:val="22"/>
                <w:szCs w:val="22"/>
                <w:highlight w:val="none"/>
              </w:rPr>
              <w:t>项目合同书、验收评审表、财务支付凭证等资料齐全并及时归档。</w:t>
            </w:r>
          </w:p>
          <w:p w14:paraId="4E2C591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2023年昌吉州中小学校园环境改造提升工程专项资金项目工作领导小组，由</w:t>
            </w:r>
            <w:r>
              <w:rPr>
                <w:rFonts w:hint="eastAsia" w:ascii="宋体" w:hAnsi="宋体" w:eastAsia="宋体" w:cs="宋体"/>
                <w:color w:val="000000"/>
                <w:kern w:val="0"/>
                <w:sz w:val="22"/>
                <w:szCs w:val="22"/>
                <w:highlight w:val="none"/>
                <w:lang w:val="en-US" w:eastAsia="zh-CN"/>
              </w:rPr>
              <w:t>郑建生</w:t>
            </w:r>
            <w:r>
              <w:rPr>
                <w:rFonts w:hint="eastAsia" w:ascii="宋体" w:hAnsi="宋体" w:eastAsia="宋体" w:cs="宋体"/>
                <w:color w:val="000000"/>
                <w:kern w:val="0"/>
                <w:sz w:val="22"/>
                <w:szCs w:val="22"/>
                <w:highlight w:val="none"/>
                <w:lang w:eastAsia="zh-CN"/>
              </w:rPr>
              <w:t>任组长，负责项目的组织工作；</w:t>
            </w:r>
            <w:r>
              <w:rPr>
                <w:rFonts w:hint="eastAsia" w:ascii="宋体" w:hAnsi="宋体" w:eastAsia="宋体" w:cs="宋体"/>
                <w:color w:val="000000"/>
                <w:kern w:val="0"/>
                <w:sz w:val="22"/>
                <w:szCs w:val="22"/>
                <w:highlight w:val="none"/>
                <w:lang w:val="en-US" w:eastAsia="zh-CN"/>
              </w:rPr>
              <w:t>安娜</w:t>
            </w:r>
            <w:r>
              <w:rPr>
                <w:rFonts w:hint="eastAsia" w:ascii="宋体" w:hAnsi="宋体" w:eastAsia="宋体" w:cs="宋体"/>
                <w:color w:val="000000"/>
                <w:kern w:val="0"/>
                <w:sz w:val="22"/>
                <w:szCs w:val="22"/>
                <w:highlight w:val="none"/>
                <w:lang w:eastAsia="zh-CN"/>
              </w:rPr>
              <w:t>任副组长，负责项目的实施工作；组员包括：</w:t>
            </w:r>
            <w:r>
              <w:rPr>
                <w:rFonts w:hint="eastAsia" w:ascii="宋体" w:hAnsi="宋体" w:eastAsia="宋体" w:cs="宋体"/>
                <w:color w:val="000000"/>
                <w:kern w:val="0"/>
                <w:sz w:val="22"/>
                <w:szCs w:val="22"/>
                <w:highlight w:val="none"/>
                <w:lang w:val="en-US" w:eastAsia="zh-CN"/>
              </w:rPr>
              <w:t>杜慧珍和赵晨</w:t>
            </w:r>
            <w:r>
              <w:rPr>
                <w:rFonts w:hint="eastAsia" w:ascii="宋体" w:hAnsi="宋体" w:eastAsia="宋体" w:cs="宋体"/>
                <w:color w:val="000000"/>
                <w:kern w:val="0"/>
                <w:sz w:val="22"/>
                <w:szCs w:val="22"/>
                <w:highlight w:val="none"/>
                <w:lang w:eastAsia="zh-CN"/>
              </w:rPr>
              <w:t>，主要负责项目监督管理、验收以及资金核拨等工作。</w:t>
            </w:r>
          </w:p>
          <w:p w14:paraId="6DA146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552CA3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F6A32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2E6EC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4" w:hRule="atLeast"/>
          <w:jc w:val="center"/>
        </w:trPr>
        <w:tc>
          <w:tcPr>
            <w:tcW w:w="861" w:type="dxa"/>
            <w:vMerge w:val="restart"/>
            <w:shd w:val="clear" w:color="auto" w:fill="auto"/>
            <w:noWrap w:val="0"/>
            <w:vAlign w:val="center"/>
          </w:tcPr>
          <w:p w14:paraId="3C7AD4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4191AA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992" w:type="dxa"/>
            <w:shd w:val="clear" w:color="auto" w:fill="auto"/>
            <w:noWrap w:val="0"/>
            <w:vAlign w:val="center"/>
          </w:tcPr>
          <w:p w14:paraId="3FB11D97">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粉刷面积</w:t>
            </w:r>
          </w:p>
        </w:tc>
        <w:tc>
          <w:tcPr>
            <w:tcW w:w="1969" w:type="dxa"/>
            <w:shd w:val="clear" w:color="auto" w:fill="auto"/>
            <w:noWrap w:val="0"/>
            <w:vAlign w:val="center"/>
          </w:tcPr>
          <w:p w14:paraId="5CBC3068">
            <w:pPr>
              <w:keepNext w:val="0"/>
              <w:keepLines w:val="0"/>
              <w:widowControl/>
              <w:suppressLineNumbers w:val="0"/>
              <w:ind w:firstLine="440" w:firstLineChars="200"/>
              <w:jc w:val="center"/>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08E33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4593E6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FCF43BA">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E6A84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330FE8A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CB60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34" w:hRule="atLeast"/>
          <w:jc w:val="center"/>
        </w:trPr>
        <w:tc>
          <w:tcPr>
            <w:tcW w:w="861" w:type="dxa"/>
            <w:vMerge w:val="continue"/>
            <w:shd w:val="clear" w:color="auto" w:fill="auto"/>
            <w:noWrap w:val="0"/>
            <w:vAlign w:val="center"/>
          </w:tcPr>
          <w:p w14:paraId="2CFC1B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84637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2" w:type="dxa"/>
            <w:shd w:val="clear" w:color="auto" w:fill="auto"/>
            <w:noWrap w:val="0"/>
            <w:vAlign w:val="center"/>
          </w:tcPr>
          <w:p w14:paraId="26ADDA03">
            <w:pPr>
              <w:keepNext w:val="0"/>
              <w:keepLines w:val="0"/>
              <w:widowControl/>
              <w:suppressLineNumbers w:val="0"/>
              <w:ind w:firstLine="440" w:firstLineChars="200"/>
              <w:jc w:val="center"/>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改造提升面积</w:t>
            </w:r>
          </w:p>
        </w:tc>
        <w:tc>
          <w:tcPr>
            <w:tcW w:w="1969" w:type="dxa"/>
            <w:shd w:val="clear" w:color="auto" w:fill="auto"/>
            <w:noWrap w:val="0"/>
            <w:vAlign w:val="center"/>
          </w:tcPr>
          <w:p w14:paraId="6D762188">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AB2C6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B76E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A0CFAFC">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1CDBB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3E6FB6D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0575F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29DB9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C6A5F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2" w:type="dxa"/>
            <w:shd w:val="clear" w:color="auto" w:fill="auto"/>
            <w:noWrap w:val="0"/>
            <w:vAlign w:val="center"/>
          </w:tcPr>
          <w:p w14:paraId="4FB39715">
            <w:pPr>
              <w:keepNext w:val="0"/>
              <w:keepLines w:val="0"/>
              <w:widowControl/>
              <w:suppressLineNumbers w:val="0"/>
              <w:ind w:firstLine="400" w:firstLineChars="20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改造工程数量</w:t>
            </w:r>
          </w:p>
        </w:tc>
        <w:tc>
          <w:tcPr>
            <w:tcW w:w="1969" w:type="dxa"/>
            <w:shd w:val="clear" w:color="auto" w:fill="auto"/>
            <w:noWrap w:val="0"/>
            <w:vAlign w:val="center"/>
          </w:tcPr>
          <w:p w14:paraId="27F55338">
            <w:pPr>
              <w:keepNext w:val="0"/>
              <w:keepLines w:val="0"/>
              <w:widowControl/>
              <w:suppressLineNumbers w:val="0"/>
              <w:ind w:left="0" w:leftChars="0" w:firstLine="0" w:firstLine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36FB0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26F81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54ADF168">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082532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60A6933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734A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E0AB4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058C7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992" w:type="dxa"/>
            <w:shd w:val="clear" w:color="auto" w:fill="auto"/>
            <w:noWrap w:val="0"/>
            <w:vAlign w:val="center"/>
          </w:tcPr>
          <w:p w14:paraId="075B033C">
            <w:pPr>
              <w:keepNext w:val="0"/>
              <w:keepLines w:val="0"/>
              <w:widowControl/>
              <w:suppressLineNumbers w:val="0"/>
              <w:ind w:firstLine="400" w:firstLineChars="20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政府采购完成率</w:t>
            </w:r>
          </w:p>
        </w:tc>
        <w:tc>
          <w:tcPr>
            <w:tcW w:w="1969" w:type="dxa"/>
            <w:shd w:val="clear" w:color="auto" w:fill="auto"/>
            <w:noWrap w:val="0"/>
            <w:vAlign w:val="center"/>
          </w:tcPr>
          <w:p w14:paraId="25EADD64">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DF1F3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62FF81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D79B5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543117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C470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19CCD3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6F6C0D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992" w:type="dxa"/>
            <w:shd w:val="clear" w:color="auto" w:fill="auto"/>
            <w:noWrap w:val="0"/>
            <w:vAlign w:val="center"/>
          </w:tcPr>
          <w:p w14:paraId="7AD2D6EF">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采购按期完成率</w:t>
            </w:r>
          </w:p>
        </w:tc>
        <w:tc>
          <w:tcPr>
            <w:tcW w:w="1969" w:type="dxa"/>
            <w:shd w:val="clear" w:color="auto" w:fill="auto"/>
            <w:noWrap w:val="0"/>
            <w:vAlign w:val="center"/>
          </w:tcPr>
          <w:p w14:paraId="10A097D6">
            <w:pPr>
              <w:keepNext w:val="0"/>
              <w:keepLines w:val="0"/>
              <w:widowControl/>
              <w:suppressLineNumbers w:val="0"/>
              <w:ind w:left="0" w:leftChars="0" w:firstLine="0" w:firstLineChars="0"/>
              <w:jc w:val="left"/>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84AFE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48475921">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4B25568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0D0D97C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7346C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46B391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6C004B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992" w:type="dxa"/>
            <w:shd w:val="clear" w:color="auto" w:fill="auto"/>
            <w:noWrap w:val="0"/>
            <w:vAlign w:val="center"/>
          </w:tcPr>
          <w:p w14:paraId="5F6C0C51">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校园文化建设成本</w:t>
            </w:r>
          </w:p>
        </w:tc>
        <w:tc>
          <w:tcPr>
            <w:tcW w:w="1969" w:type="dxa"/>
            <w:shd w:val="clear" w:color="auto" w:fill="auto"/>
            <w:noWrap w:val="0"/>
            <w:vAlign w:val="center"/>
          </w:tcPr>
          <w:p w14:paraId="4BAB7FC5">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794C8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2F77B1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0AACB7B6">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05FBA5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12B8CC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1A2B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1A6E1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C9AD1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2" w:type="dxa"/>
            <w:shd w:val="clear" w:color="auto" w:fill="auto"/>
            <w:noWrap w:val="0"/>
            <w:vAlign w:val="center"/>
          </w:tcPr>
          <w:p w14:paraId="2F02103E">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校园粉刷成本</w:t>
            </w:r>
          </w:p>
        </w:tc>
        <w:tc>
          <w:tcPr>
            <w:tcW w:w="1969" w:type="dxa"/>
            <w:shd w:val="clear" w:color="auto" w:fill="auto"/>
            <w:noWrap w:val="0"/>
            <w:vAlign w:val="center"/>
          </w:tcPr>
          <w:p w14:paraId="5E337AD0">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AD5D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2DC6EE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7424C845">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3BEF6F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F5C7E1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3561D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BD3B7D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B78A6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2" w:type="dxa"/>
            <w:shd w:val="clear" w:color="auto" w:fill="auto"/>
            <w:noWrap w:val="0"/>
            <w:vAlign w:val="center"/>
          </w:tcPr>
          <w:p w14:paraId="640F88E1">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校舍改造提升成本</w:t>
            </w:r>
          </w:p>
        </w:tc>
        <w:tc>
          <w:tcPr>
            <w:tcW w:w="1969" w:type="dxa"/>
            <w:shd w:val="clear" w:color="auto" w:fill="auto"/>
            <w:noWrap w:val="0"/>
            <w:vAlign w:val="center"/>
          </w:tcPr>
          <w:p w14:paraId="32809255">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3C93B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026B24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5D22573D">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27A927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6336DE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4.98</w:t>
            </w:r>
          </w:p>
        </w:tc>
      </w:tr>
      <w:tr w14:paraId="32CA8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06BD1B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3BA0DC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2" w:type="dxa"/>
            <w:shd w:val="clear" w:color="auto" w:fill="auto"/>
            <w:noWrap w:val="0"/>
            <w:vAlign w:val="center"/>
          </w:tcPr>
          <w:p w14:paraId="4D7A71FE">
            <w:pPr>
              <w:keepNext w:val="0"/>
              <w:keepLines w:val="0"/>
              <w:widowControl/>
              <w:suppressLineNumbers w:val="0"/>
              <w:ind w:firstLine="400" w:firstLineChars="20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color w:val="000000" w:themeColor="text1"/>
                <w:kern w:val="0"/>
                <w:sz w:val="20"/>
                <w:szCs w:val="20"/>
                <w:highlight w:val="none"/>
                <w:u w:val="none"/>
                <w:lang w:val="en-US" w:eastAsia="zh-CN" w:bidi="ar"/>
                <w14:textFill>
                  <w14:solidFill>
                    <w14:schemeClr w14:val="tx1"/>
                  </w14:solidFill>
                </w14:textFill>
              </w:rPr>
              <w:t>校园环境提升项目监理费成本</w:t>
            </w:r>
          </w:p>
        </w:tc>
        <w:tc>
          <w:tcPr>
            <w:tcW w:w="1969" w:type="dxa"/>
            <w:shd w:val="clear" w:color="auto" w:fill="auto"/>
            <w:noWrap w:val="0"/>
            <w:vAlign w:val="center"/>
          </w:tcPr>
          <w:p w14:paraId="78F91F55">
            <w:pPr>
              <w:keepNext w:val="0"/>
              <w:keepLines w:val="0"/>
              <w:widowControl/>
              <w:suppressLineNumbers w:val="0"/>
              <w:ind w:left="0" w:leftChars="0" w:firstLine="0" w:firstLineChars="0"/>
              <w:jc w:val="both"/>
              <w:textAlignment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BAD94D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381407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46FD2FE2">
            <w:pPr>
              <w:keepNext w:val="0"/>
              <w:keepLines w:val="0"/>
              <w:widowControl/>
              <w:suppressLineNumbers w:val="0"/>
              <w:ind w:left="0" w:leftChars="0" w:firstLine="0" w:firstLineChars="0"/>
              <w:jc w:val="both"/>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rPr>
              <w:t>计划成本：项目实施单位为完成工作目标计划安排的支出，一般以项目预算为参考</w:t>
            </w:r>
            <w:r>
              <w:rPr>
                <w:rFonts w:hint="eastAsia" w:ascii="宋体" w:hAnsi="宋体" w:eastAsia="宋体" w:cs="宋体"/>
                <w:color w:val="000000"/>
                <w:kern w:val="0"/>
                <w:sz w:val="22"/>
                <w:szCs w:val="22"/>
                <w:highlight w:val="none"/>
                <w:lang w:val="en-US" w:eastAsia="zh-CN"/>
              </w:rPr>
              <w:t>。</w:t>
            </w:r>
          </w:p>
          <w:p w14:paraId="3A2BE735">
            <w:pPr>
              <w:keepNext w:val="0"/>
              <w:keepLines w:val="0"/>
              <w:widowControl/>
              <w:suppressLineNumbers w:val="0"/>
              <w:ind w:firstLine="440" w:firstLineChars="200"/>
              <w:jc w:val="center"/>
              <w:textAlignment w:val="center"/>
              <w:rPr>
                <w:rFonts w:ascii="宋体" w:hAnsi="宋体" w:eastAsia="宋体" w:cs="宋体"/>
                <w:color w:val="000000"/>
                <w:kern w:val="0"/>
                <w:sz w:val="22"/>
                <w:szCs w:val="22"/>
                <w:highlight w:val="none"/>
              </w:rPr>
            </w:pPr>
          </w:p>
        </w:tc>
        <w:tc>
          <w:tcPr>
            <w:tcW w:w="785" w:type="dxa"/>
            <w:shd w:val="clear" w:color="auto" w:fill="auto"/>
            <w:noWrap w:val="0"/>
            <w:vAlign w:val="center"/>
          </w:tcPr>
          <w:p w14:paraId="3747A21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716D1C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45E35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0B293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40B75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r>
              <w:rPr>
                <w:rFonts w:hint="eastAsia" w:ascii="宋体" w:hAnsi="宋体" w:eastAsia="宋体" w:cs="宋体"/>
                <w:color w:val="000000"/>
                <w:kern w:val="0"/>
                <w:sz w:val="22"/>
                <w:szCs w:val="22"/>
                <w:highlight w:val="none"/>
              </w:rPr>
              <w:t>　</w:t>
            </w:r>
          </w:p>
        </w:tc>
        <w:tc>
          <w:tcPr>
            <w:tcW w:w="992" w:type="dxa"/>
            <w:shd w:val="clear" w:color="auto" w:fill="auto"/>
            <w:noWrap w:val="0"/>
            <w:vAlign w:val="center"/>
          </w:tcPr>
          <w:p w14:paraId="5F47DA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改善全校师生员工生活条件</w:t>
            </w:r>
          </w:p>
        </w:tc>
        <w:tc>
          <w:tcPr>
            <w:tcW w:w="1969" w:type="dxa"/>
            <w:shd w:val="clear" w:color="auto" w:fill="auto"/>
            <w:noWrap w:val="0"/>
            <w:vAlign w:val="center"/>
          </w:tcPr>
          <w:p w14:paraId="615B0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14C3BCF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r>
              <w:rPr>
                <w:rFonts w:hint="eastAsia" w:ascii="宋体" w:hAnsi="宋体" w:eastAsia="宋体" w:cs="宋体"/>
                <w:color w:val="000000"/>
                <w:kern w:val="0"/>
                <w:sz w:val="22"/>
                <w:szCs w:val="22"/>
                <w:highlight w:val="none"/>
                <w:lang w:val="en-US" w:eastAsia="zh-CN"/>
              </w:rPr>
              <w:t>。</w:t>
            </w:r>
          </w:p>
          <w:p w14:paraId="2B1F6A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1D4CC59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32EF64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r>
      <w:tr w14:paraId="21EAF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FF711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2160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2" w:type="dxa"/>
            <w:shd w:val="clear" w:color="auto" w:fill="auto"/>
            <w:noWrap w:val="0"/>
            <w:vAlign w:val="center"/>
          </w:tcPr>
          <w:p w14:paraId="7A43AA6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师生的满意度</w:t>
            </w:r>
          </w:p>
        </w:tc>
        <w:tc>
          <w:tcPr>
            <w:tcW w:w="1969" w:type="dxa"/>
            <w:shd w:val="clear" w:color="auto" w:fill="auto"/>
            <w:noWrap w:val="0"/>
            <w:vAlign w:val="center"/>
          </w:tcPr>
          <w:p w14:paraId="021BD8F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6E15FFC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r>
              <w:rPr>
                <w:rFonts w:hint="eastAsia" w:ascii="宋体" w:hAnsi="宋体" w:eastAsia="宋体" w:cs="宋体"/>
                <w:color w:val="000000"/>
                <w:kern w:val="0"/>
                <w:sz w:val="22"/>
                <w:szCs w:val="22"/>
                <w:highlight w:val="none"/>
                <w:lang w:val="en-US" w:eastAsia="zh-CN"/>
              </w:rPr>
              <w:t>。</w:t>
            </w:r>
          </w:p>
          <w:p w14:paraId="4B57D4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5A36A7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2705497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r>
      <w:tr w14:paraId="489B8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43A8AE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083BB9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43B0AFA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145D962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98.98</w:t>
            </w:r>
          </w:p>
        </w:tc>
      </w:tr>
    </w:tbl>
    <w:p w14:paraId="7F71ECAD">
      <w:pPr>
        <w:pageBreakBefore w:val="0"/>
        <w:kinsoku/>
        <w:wordWrap/>
        <w:overflowPunct/>
        <w:topLinePunct w:val="0"/>
        <w:autoSpaceDE/>
        <w:autoSpaceDN/>
        <w:bidi w:val="0"/>
        <w:spacing w:line="560" w:lineRule="exact"/>
        <w:ind w:left="0" w:leftChars="0" w:firstLine="0" w:firstLineChars="0"/>
        <w:textAlignment w:val="auto"/>
        <w:rPr>
          <w:rFonts w:hint="default"/>
          <w:color w:val="000000" w:themeColor="text1"/>
          <w:highlight w:val="none"/>
          <w:lang w:val="en-US" w:eastAsia="zh-CN"/>
          <w14:textFill>
            <w14:solidFill>
              <w14:schemeClr w14:val="tx1"/>
            </w14:solidFill>
          </w14:textFill>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1C326">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1E52AC">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1E52AC">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2C00D8"/>
    <w:rsid w:val="014029CF"/>
    <w:rsid w:val="01470C4C"/>
    <w:rsid w:val="020800EB"/>
    <w:rsid w:val="02200440"/>
    <w:rsid w:val="02284B43"/>
    <w:rsid w:val="02B015E2"/>
    <w:rsid w:val="02DC08FA"/>
    <w:rsid w:val="033B569D"/>
    <w:rsid w:val="039C3BA0"/>
    <w:rsid w:val="03A845BB"/>
    <w:rsid w:val="03B45AD1"/>
    <w:rsid w:val="04D12EE4"/>
    <w:rsid w:val="04D63993"/>
    <w:rsid w:val="05C95C0F"/>
    <w:rsid w:val="05DC74C4"/>
    <w:rsid w:val="07890F4F"/>
    <w:rsid w:val="08824332"/>
    <w:rsid w:val="08892439"/>
    <w:rsid w:val="08EB30F3"/>
    <w:rsid w:val="09237408"/>
    <w:rsid w:val="09781BD6"/>
    <w:rsid w:val="09EB7DCB"/>
    <w:rsid w:val="09F359DF"/>
    <w:rsid w:val="0A575E65"/>
    <w:rsid w:val="0A9D47B2"/>
    <w:rsid w:val="0AAA598A"/>
    <w:rsid w:val="0ACA0AB6"/>
    <w:rsid w:val="0B8A1A2C"/>
    <w:rsid w:val="0C032502"/>
    <w:rsid w:val="0C27698C"/>
    <w:rsid w:val="0D4452F3"/>
    <w:rsid w:val="0F5E5042"/>
    <w:rsid w:val="0FAB4C78"/>
    <w:rsid w:val="0FE95707"/>
    <w:rsid w:val="10510571"/>
    <w:rsid w:val="10634513"/>
    <w:rsid w:val="10787A20"/>
    <w:rsid w:val="108672DE"/>
    <w:rsid w:val="10EC685A"/>
    <w:rsid w:val="11FA6155"/>
    <w:rsid w:val="12713F3F"/>
    <w:rsid w:val="12CF0947"/>
    <w:rsid w:val="12F1313F"/>
    <w:rsid w:val="136C678E"/>
    <w:rsid w:val="13EB2FF5"/>
    <w:rsid w:val="14DA2F7A"/>
    <w:rsid w:val="14ED4CAC"/>
    <w:rsid w:val="14F65DCE"/>
    <w:rsid w:val="15A46B04"/>
    <w:rsid w:val="165825BC"/>
    <w:rsid w:val="16BC5D73"/>
    <w:rsid w:val="176F36D7"/>
    <w:rsid w:val="1795226D"/>
    <w:rsid w:val="18456B1E"/>
    <w:rsid w:val="188F308E"/>
    <w:rsid w:val="199E7E69"/>
    <w:rsid w:val="19D15478"/>
    <w:rsid w:val="1A2B5DB1"/>
    <w:rsid w:val="1AE16498"/>
    <w:rsid w:val="1B690509"/>
    <w:rsid w:val="1C1171C5"/>
    <w:rsid w:val="1D0901BC"/>
    <w:rsid w:val="1D265138"/>
    <w:rsid w:val="1D7B6BCA"/>
    <w:rsid w:val="1DA41A79"/>
    <w:rsid w:val="1DF53469"/>
    <w:rsid w:val="1E2F24F2"/>
    <w:rsid w:val="1E58492F"/>
    <w:rsid w:val="1E5B6757"/>
    <w:rsid w:val="1EB03E82"/>
    <w:rsid w:val="1ED10AC6"/>
    <w:rsid w:val="1F89225F"/>
    <w:rsid w:val="1F8D1A88"/>
    <w:rsid w:val="1F900A1F"/>
    <w:rsid w:val="1FC0575D"/>
    <w:rsid w:val="206132C7"/>
    <w:rsid w:val="208B5169"/>
    <w:rsid w:val="20BB776B"/>
    <w:rsid w:val="20ED4D59"/>
    <w:rsid w:val="21B00C1D"/>
    <w:rsid w:val="21EC73F9"/>
    <w:rsid w:val="22060F64"/>
    <w:rsid w:val="23031BEB"/>
    <w:rsid w:val="232271BF"/>
    <w:rsid w:val="23917691"/>
    <w:rsid w:val="244D65B8"/>
    <w:rsid w:val="245E1E24"/>
    <w:rsid w:val="24695965"/>
    <w:rsid w:val="24C57912"/>
    <w:rsid w:val="25AD5E5D"/>
    <w:rsid w:val="25D42726"/>
    <w:rsid w:val="263A50F8"/>
    <w:rsid w:val="26C94060"/>
    <w:rsid w:val="2732478D"/>
    <w:rsid w:val="275C15E9"/>
    <w:rsid w:val="27661469"/>
    <w:rsid w:val="27887B0B"/>
    <w:rsid w:val="27900EAD"/>
    <w:rsid w:val="279B538A"/>
    <w:rsid w:val="27E73C85"/>
    <w:rsid w:val="286F545C"/>
    <w:rsid w:val="29314FBC"/>
    <w:rsid w:val="294109BD"/>
    <w:rsid w:val="2AA2081A"/>
    <w:rsid w:val="2B737A9C"/>
    <w:rsid w:val="2BD634E0"/>
    <w:rsid w:val="2BF371AD"/>
    <w:rsid w:val="2C024B86"/>
    <w:rsid w:val="2C927671"/>
    <w:rsid w:val="2CC6306F"/>
    <w:rsid w:val="2D7C5CD6"/>
    <w:rsid w:val="2E483E7E"/>
    <w:rsid w:val="2E690493"/>
    <w:rsid w:val="2E7408D2"/>
    <w:rsid w:val="2E9854BD"/>
    <w:rsid w:val="2F0D407F"/>
    <w:rsid w:val="2F454B19"/>
    <w:rsid w:val="30E16525"/>
    <w:rsid w:val="310224D9"/>
    <w:rsid w:val="31116646"/>
    <w:rsid w:val="31624B54"/>
    <w:rsid w:val="31B4621C"/>
    <w:rsid w:val="31E3230A"/>
    <w:rsid w:val="32EC729D"/>
    <w:rsid w:val="330957E0"/>
    <w:rsid w:val="33356F64"/>
    <w:rsid w:val="33944516"/>
    <w:rsid w:val="34B62907"/>
    <w:rsid w:val="350B2A21"/>
    <w:rsid w:val="35E97A06"/>
    <w:rsid w:val="35ED2A79"/>
    <w:rsid w:val="36BD137C"/>
    <w:rsid w:val="37651AD2"/>
    <w:rsid w:val="38053EDF"/>
    <w:rsid w:val="380812A4"/>
    <w:rsid w:val="385D37E7"/>
    <w:rsid w:val="38782EDD"/>
    <w:rsid w:val="39875AD9"/>
    <w:rsid w:val="39B65C41"/>
    <w:rsid w:val="3AAE5A68"/>
    <w:rsid w:val="3B42664A"/>
    <w:rsid w:val="3B484C77"/>
    <w:rsid w:val="3BE06749"/>
    <w:rsid w:val="3C7F156E"/>
    <w:rsid w:val="3CAD1E92"/>
    <w:rsid w:val="3D836A4E"/>
    <w:rsid w:val="3E0C31D8"/>
    <w:rsid w:val="3E880366"/>
    <w:rsid w:val="3EA37E97"/>
    <w:rsid w:val="3EDD51F5"/>
    <w:rsid w:val="3FB04B89"/>
    <w:rsid w:val="3FBE0BC5"/>
    <w:rsid w:val="4048103A"/>
    <w:rsid w:val="40736643"/>
    <w:rsid w:val="409267DF"/>
    <w:rsid w:val="409C661A"/>
    <w:rsid w:val="40D24A7A"/>
    <w:rsid w:val="40EC1931"/>
    <w:rsid w:val="41106FA1"/>
    <w:rsid w:val="42621029"/>
    <w:rsid w:val="435241E2"/>
    <w:rsid w:val="43975C51"/>
    <w:rsid w:val="439E3FA7"/>
    <w:rsid w:val="43DA3BAF"/>
    <w:rsid w:val="44A449B0"/>
    <w:rsid w:val="44B05EBB"/>
    <w:rsid w:val="44B32266"/>
    <w:rsid w:val="44FC64F4"/>
    <w:rsid w:val="45972573"/>
    <w:rsid w:val="45C348EC"/>
    <w:rsid w:val="467F4585"/>
    <w:rsid w:val="470628CB"/>
    <w:rsid w:val="4729480B"/>
    <w:rsid w:val="47555BD4"/>
    <w:rsid w:val="47BC2DB1"/>
    <w:rsid w:val="47E96399"/>
    <w:rsid w:val="47F76025"/>
    <w:rsid w:val="486E33F5"/>
    <w:rsid w:val="48E12B50"/>
    <w:rsid w:val="499441BE"/>
    <w:rsid w:val="499A6C1C"/>
    <w:rsid w:val="4A195607"/>
    <w:rsid w:val="4A2138F0"/>
    <w:rsid w:val="4A3A5DDD"/>
    <w:rsid w:val="4A583887"/>
    <w:rsid w:val="4B9F6E02"/>
    <w:rsid w:val="4C89637B"/>
    <w:rsid w:val="4E1B62A1"/>
    <w:rsid w:val="4E6E48A8"/>
    <w:rsid w:val="4EEC036B"/>
    <w:rsid w:val="4F714FA1"/>
    <w:rsid w:val="4FDB1B61"/>
    <w:rsid w:val="501D2673"/>
    <w:rsid w:val="501F67AB"/>
    <w:rsid w:val="50C80BF1"/>
    <w:rsid w:val="50FD6B11"/>
    <w:rsid w:val="51852833"/>
    <w:rsid w:val="52F11AC8"/>
    <w:rsid w:val="53111151"/>
    <w:rsid w:val="534F49D9"/>
    <w:rsid w:val="53555F0F"/>
    <w:rsid w:val="535D23D5"/>
    <w:rsid w:val="53C2512D"/>
    <w:rsid w:val="542258C4"/>
    <w:rsid w:val="54675D87"/>
    <w:rsid w:val="54832BAE"/>
    <w:rsid w:val="54987809"/>
    <w:rsid w:val="55144C2E"/>
    <w:rsid w:val="56F4341A"/>
    <w:rsid w:val="575A7321"/>
    <w:rsid w:val="580C3AB9"/>
    <w:rsid w:val="583C7AE0"/>
    <w:rsid w:val="586C1E9A"/>
    <w:rsid w:val="586E0800"/>
    <w:rsid w:val="59216F96"/>
    <w:rsid w:val="598C4145"/>
    <w:rsid w:val="599373F5"/>
    <w:rsid w:val="59957D1B"/>
    <w:rsid w:val="59D4294E"/>
    <w:rsid w:val="5A36139E"/>
    <w:rsid w:val="5AB1609B"/>
    <w:rsid w:val="5B634312"/>
    <w:rsid w:val="5B9D2CCD"/>
    <w:rsid w:val="5B9E71EA"/>
    <w:rsid w:val="5C18129C"/>
    <w:rsid w:val="5D4C2442"/>
    <w:rsid w:val="5D6525EE"/>
    <w:rsid w:val="5E226FBC"/>
    <w:rsid w:val="5EB5390C"/>
    <w:rsid w:val="5FE72BD2"/>
    <w:rsid w:val="60120613"/>
    <w:rsid w:val="61585959"/>
    <w:rsid w:val="618D5292"/>
    <w:rsid w:val="622E78FA"/>
    <w:rsid w:val="623D2FBF"/>
    <w:rsid w:val="63343F70"/>
    <w:rsid w:val="64296E1C"/>
    <w:rsid w:val="64386FCC"/>
    <w:rsid w:val="649E64A2"/>
    <w:rsid w:val="654574FA"/>
    <w:rsid w:val="658764C2"/>
    <w:rsid w:val="65E5270A"/>
    <w:rsid w:val="663D3C54"/>
    <w:rsid w:val="667A6962"/>
    <w:rsid w:val="66862C89"/>
    <w:rsid w:val="66BB486D"/>
    <w:rsid w:val="67394C7D"/>
    <w:rsid w:val="68126B38"/>
    <w:rsid w:val="68291A1A"/>
    <w:rsid w:val="68352BB8"/>
    <w:rsid w:val="691327EB"/>
    <w:rsid w:val="691B1594"/>
    <w:rsid w:val="693A016B"/>
    <w:rsid w:val="6A17429C"/>
    <w:rsid w:val="6A567EA3"/>
    <w:rsid w:val="6ACC3540"/>
    <w:rsid w:val="6B4B4368"/>
    <w:rsid w:val="6B79100E"/>
    <w:rsid w:val="6C844C00"/>
    <w:rsid w:val="6D5D0F3F"/>
    <w:rsid w:val="6D843E61"/>
    <w:rsid w:val="6D8E28B4"/>
    <w:rsid w:val="6E10212C"/>
    <w:rsid w:val="6E43561A"/>
    <w:rsid w:val="6E557973"/>
    <w:rsid w:val="6E872268"/>
    <w:rsid w:val="6E9568DB"/>
    <w:rsid w:val="6EBA3D35"/>
    <w:rsid w:val="6F0D6C22"/>
    <w:rsid w:val="6F3340EF"/>
    <w:rsid w:val="6F47657F"/>
    <w:rsid w:val="6FAF23D9"/>
    <w:rsid w:val="70635CF6"/>
    <w:rsid w:val="70670707"/>
    <w:rsid w:val="708A6F2F"/>
    <w:rsid w:val="71E84839"/>
    <w:rsid w:val="720E3691"/>
    <w:rsid w:val="7249173A"/>
    <w:rsid w:val="724E244C"/>
    <w:rsid w:val="72DA6946"/>
    <w:rsid w:val="732764B3"/>
    <w:rsid w:val="73482543"/>
    <w:rsid w:val="74026044"/>
    <w:rsid w:val="74325A77"/>
    <w:rsid w:val="74746410"/>
    <w:rsid w:val="75C8506C"/>
    <w:rsid w:val="75E5007C"/>
    <w:rsid w:val="76E75926"/>
    <w:rsid w:val="7709079B"/>
    <w:rsid w:val="77636B63"/>
    <w:rsid w:val="77813724"/>
    <w:rsid w:val="77861774"/>
    <w:rsid w:val="78266826"/>
    <w:rsid w:val="78F31435"/>
    <w:rsid w:val="79300B45"/>
    <w:rsid w:val="79407F2E"/>
    <w:rsid w:val="794D3E18"/>
    <w:rsid w:val="79F3729A"/>
    <w:rsid w:val="7A4A1CC3"/>
    <w:rsid w:val="7A4F55C9"/>
    <w:rsid w:val="7A880722"/>
    <w:rsid w:val="7ABE6120"/>
    <w:rsid w:val="7ACB0498"/>
    <w:rsid w:val="7AD9600C"/>
    <w:rsid w:val="7AED0B4D"/>
    <w:rsid w:val="7C1E4487"/>
    <w:rsid w:val="7C215E02"/>
    <w:rsid w:val="7CB17408"/>
    <w:rsid w:val="7CCC430C"/>
    <w:rsid w:val="7CF23764"/>
    <w:rsid w:val="7D851A94"/>
    <w:rsid w:val="7E3C6BDF"/>
    <w:rsid w:val="7E720674"/>
    <w:rsid w:val="7E797F74"/>
    <w:rsid w:val="7F710C2E"/>
    <w:rsid w:val="7F765B05"/>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4">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5">
    <w:name w:val="heading 2"/>
    <w:basedOn w:val="1"/>
    <w:next w:val="1"/>
    <w:link w:val="2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6">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customStyle="1" w:styleId="2">
    <w:name w:val="Body Text First Indent 2"/>
    <w:basedOn w:val="3"/>
    <w:qFormat/>
    <w:uiPriority w:val="0"/>
    <w:pPr>
      <w:ind w:firstLine="420"/>
    </w:pPr>
    <w:rPr>
      <w:rFonts w:ascii="Calibri" w:hAnsi="Calibri"/>
      <w:sz w:val="28"/>
      <w:szCs w:val="22"/>
    </w:rPr>
  </w:style>
  <w:style w:type="paragraph" w:customStyle="1" w:styleId="3">
    <w:name w:val="Body Text Indent"/>
    <w:basedOn w:val="1"/>
    <w:qFormat/>
    <w:uiPriority w:val="0"/>
    <w:pPr>
      <w:spacing w:after="120"/>
      <w:ind w:left="420" w:leftChars="200"/>
    </w:pPr>
    <w:rPr>
      <w:sz w:val="21"/>
      <w:szCs w:val="20"/>
    </w:rPr>
  </w:style>
  <w:style w:type="paragraph" w:styleId="7">
    <w:name w:val="annotation text"/>
    <w:basedOn w:val="1"/>
    <w:qFormat/>
    <w:uiPriority w:val="0"/>
    <w:pPr>
      <w:jc w:val="left"/>
    </w:pPr>
  </w:style>
  <w:style w:type="paragraph" w:styleId="8">
    <w:name w:val="Body Text"/>
    <w:basedOn w:val="1"/>
    <w:qFormat/>
    <w:uiPriority w:val="0"/>
    <w:pPr>
      <w:spacing w:before="240" w:after="240" w:line="360" w:lineRule="auto"/>
      <w:jc w:val="center"/>
    </w:pPr>
    <w:rPr>
      <w:b/>
      <w:sz w:val="44"/>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Body Text 2"/>
    <w:basedOn w:val="1"/>
    <w:qFormat/>
    <w:uiPriority w:val="0"/>
    <w:pPr>
      <w:spacing w:after="120" w:line="480" w:lineRule="auto"/>
    </w:pPr>
    <w:rPr>
      <w:rFonts w:ascii="Times New Roman" w:hAnsi="Times New Roman" w:eastAsia="宋体" w:cs="Times New Roman"/>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7">
    <w:name w:val="Body Text First Indent"/>
    <w:basedOn w:val="8"/>
    <w:qFormat/>
    <w:uiPriority w:val="0"/>
    <w:pPr>
      <w:spacing w:after="0"/>
      <w:ind w:firstLine="200" w:firstLineChars="200"/>
    </w:pPr>
  </w:style>
  <w:style w:type="character" w:styleId="20">
    <w:name w:val="Strong"/>
    <w:basedOn w:val="19"/>
    <w:qFormat/>
    <w:uiPriority w:val="0"/>
    <w:rPr>
      <w:b/>
      <w:bCs/>
    </w:rPr>
  </w:style>
  <w:style w:type="paragraph" w:customStyle="1" w:styleId="2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2">
    <w:name w:val="标题 2 Char"/>
    <w:link w:val="5"/>
    <w:qFormat/>
    <w:uiPriority w:val="0"/>
    <w:rPr>
      <w:rFonts w:ascii="Arial" w:hAnsi="Arial" w:eastAsia="楷体"/>
      <w:b/>
      <w:sz w:val="32"/>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10136</Words>
  <Characters>10976</Characters>
  <Lines>0</Lines>
  <Paragraphs>0</Paragraphs>
  <TotalTime>9</TotalTime>
  <ScaleCrop>false</ScaleCrop>
  <LinksUpToDate>false</LinksUpToDate>
  <CharactersWithSpaces>11047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cp:lastPrinted>2025-04-15T10:43:00Z</cp:lastPrinted>
  <dcterms:modified xsi:type="dcterms:W3CDTF">2025-10-23T05:07:16Z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