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C89AA1">
      <w:pPr>
        <w:tabs>
          <w:tab w:val="left" w:pos="1992"/>
        </w:tabs>
        <w:adjustRightInd w:val="0"/>
        <w:snapToGrid w:val="0"/>
        <w:rPr>
          <w:rFonts w:cs="Times New Roman"/>
          <w:b/>
          <w:sz w:val="36"/>
          <w:szCs w:val="36"/>
        </w:rPr>
      </w:pPr>
      <w:r>
        <w:rPr>
          <w:rFonts w:cs="Times New Roman"/>
          <w:b/>
          <w:sz w:val="36"/>
          <w:szCs w:val="36"/>
        </w:rPr>
        <w:tab/>
      </w:r>
    </w:p>
    <w:p w14:paraId="45E0F7DE">
      <w:pPr>
        <w:tabs>
          <w:tab w:val="left" w:pos="1992"/>
        </w:tabs>
        <w:adjustRightInd w:val="0"/>
        <w:snapToGrid w:val="0"/>
        <w:rPr>
          <w:rFonts w:cs="Times New Roman"/>
          <w:b/>
          <w:sz w:val="36"/>
          <w:szCs w:val="36"/>
        </w:rPr>
      </w:pPr>
    </w:p>
    <w:p w14:paraId="6291D045">
      <w:pPr>
        <w:tabs>
          <w:tab w:val="left" w:pos="1992"/>
        </w:tabs>
        <w:adjustRightInd w:val="0"/>
        <w:snapToGrid w:val="0"/>
        <w:ind w:firstLine="0" w:firstLineChars="0"/>
        <w:jc w:val="center"/>
        <w:rPr>
          <w:rFonts w:cs="Times New Roman"/>
          <w:spacing w:val="48"/>
          <w:sz w:val="44"/>
          <w:szCs w:val="44"/>
        </w:rPr>
      </w:pPr>
      <w:r>
        <w:rPr>
          <w:rFonts w:cs="Times New Roman"/>
          <w:b/>
          <w:spacing w:val="48"/>
          <w:sz w:val="44"/>
          <w:szCs w:val="44"/>
        </w:rPr>
        <w:t>昌吉回族自治州阜康市</w:t>
      </w:r>
    </w:p>
    <w:p w14:paraId="0EEFD1FE">
      <w:pPr>
        <w:tabs>
          <w:tab w:val="left" w:pos="1992"/>
        </w:tabs>
        <w:adjustRightInd w:val="0"/>
        <w:snapToGrid w:val="0"/>
        <w:ind w:firstLine="0" w:firstLineChars="0"/>
        <w:jc w:val="center"/>
        <w:rPr>
          <w:rFonts w:cs="Times New Roman"/>
          <w:b/>
          <w:spacing w:val="48"/>
          <w:sz w:val="48"/>
          <w:szCs w:val="48"/>
        </w:rPr>
      </w:pPr>
      <w:r>
        <w:rPr>
          <w:rFonts w:cs="Times New Roman"/>
          <w:b/>
          <w:spacing w:val="48"/>
          <w:sz w:val="48"/>
          <w:szCs w:val="48"/>
        </w:rPr>
        <w:t>水土保持规划</w:t>
      </w:r>
      <w:r>
        <w:rPr>
          <w:rFonts w:cs="Times New Roman"/>
          <w:b/>
          <w:sz w:val="48"/>
          <w:szCs w:val="48"/>
        </w:rPr>
        <w:t>（202</w:t>
      </w:r>
      <w:r>
        <w:rPr>
          <w:rFonts w:hint="eastAsia" w:cs="Times New Roman"/>
          <w:b/>
          <w:sz w:val="48"/>
          <w:szCs w:val="48"/>
        </w:rPr>
        <w:t>4</w:t>
      </w:r>
      <w:r>
        <w:rPr>
          <w:rFonts w:cs="Times New Roman"/>
          <w:b/>
          <w:sz w:val="48"/>
          <w:szCs w:val="48"/>
        </w:rPr>
        <w:t>-2030）</w:t>
      </w:r>
    </w:p>
    <w:p w14:paraId="2157B878">
      <w:pPr>
        <w:adjustRightInd w:val="0"/>
        <w:snapToGrid w:val="0"/>
        <w:ind w:firstLine="880"/>
        <w:jc w:val="center"/>
        <w:rPr>
          <w:rFonts w:cs="Times New Roman"/>
          <w:sz w:val="44"/>
          <w:szCs w:val="44"/>
        </w:rPr>
      </w:pPr>
    </w:p>
    <w:p w14:paraId="3D4C9A1A">
      <w:pPr>
        <w:adjustRightInd w:val="0"/>
        <w:snapToGrid w:val="0"/>
        <w:ind w:firstLine="720"/>
        <w:jc w:val="center"/>
        <w:rPr>
          <w:rFonts w:cs="Times New Roman"/>
          <w:sz w:val="36"/>
          <w:szCs w:val="36"/>
        </w:rPr>
      </w:pPr>
    </w:p>
    <w:p w14:paraId="3EC0AE5D">
      <w:pPr>
        <w:adjustRightInd w:val="0"/>
        <w:snapToGrid w:val="0"/>
        <w:ind w:left="0" w:leftChars="0" w:firstLine="0" w:firstLineChars="0"/>
        <w:jc w:val="both"/>
        <w:rPr>
          <w:rFonts w:cs="Times New Roman"/>
          <w:sz w:val="30"/>
          <w:szCs w:val="30"/>
        </w:rPr>
      </w:pPr>
      <w:r>
        <w:drawing>
          <wp:inline distT="0" distB="0" distL="114300" distR="114300">
            <wp:extent cx="5274310" cy="2834640"/>
            <wp:effectExtent l="0" t="0" r="2540" b="3810"/>
            <wp:docPr id="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9"/>
                    <pic:cNvPicPr>
                      <a:picLocks noChangeAspect="1"/>
                    </pic:cNvPicPr>
                  </pic:nvPicPr>
                  <pic:blipFill>
                    <a:blip r:embed="rId16"/>
                    <a:stretch>
                      <a:fillRect/>
                    </a:stretch>
                  </pic:blipFill>
                  <pic:spPr>
                    <a:xfrm>
                      <a:off x="0" y="0"/>
                      <a:ext cx="5274310" cy="2834640"/>
                    </a:xfrm>
                    <a:prstGeom prst="rect">
                      <a:avLst/>
                    </a:prstGeom>
                    <a:noFill/>
                    <a:ln>
                      <a:noFill/>
                    </a:ln>
                  </pic:spPr>
                </pic:pic>
              </a:graphicData>
            </a:graphic>
          </wp:inline>
        </w:drawing>
      </w:r>
    </w:p>
    <w:p w14:paraId="00EDF43D">
      <w:pPr>
        <w:adjustRightInd w:val="0"/>
        <w:snapToGrid w:val="0"/>
        <w:ind w:firstLine="600"/>
        <w:jc w:val="center"/>
        <w:rPr>
          <w:rFonts w:cs="Times New Roman"/>
          <w:sz w:val="30"/>
          <w:szCs w:val="30"/>
        </w:rPr>
      </w:pPr>
    </w:p>
    <w:p w14:paraId="43BF8274">
      <w:pPr>
        <w:adjustRightInd w:val="0"/>
        <w:snapToGrid w:val="0"/>
        <w:ind w:firstLine="600"/>
        <w:jc w:val="center"/>
        <w:rPr>
          <w:rFonts w:cs="Times New Roman"/>
          <w:sz w:val="30"/>
          <w:szCs w:val="30"/>
        </w:rPr>
      </w:pPr>
    </w:p>
    <w:p w14:paraId="24FC821F">
      <w:pPr>
        <w:adjustRightInd w:val="0"/>
        <w:snapToGrid w:val="0"/>
        <w:ind w:firstLine="600"/>
        <w:jc w:val="center"/>
        <w:rPr>
          <w:rFonts w:cs="Times New Roman"/>
          <w:sz w:val="30"/>
          <w:szCs w:val="30"/>
        </w:rPr>
      </w:pPr>
    </w:p>
    <w:p w14:paraId="2F575124">
      <w:pPr>
        <w:adjustRightInd w:val="0"/>
        <w:snapToGrid w:val="0"/>
        <w:ind w:firstLine="600"/>
        <w:jc w:val="center"/>
        <w:rPr>
          <w:rFonts w:cs="Times New Roman"/>
          <w:sz w:val="30"/>
          <w:szCs w:val="30"/>
        </w:rPr>
      </w:pPr>
    </w:p>
    <w:p w14:paraId="0E2CE560">
      <w:pPr>
        <w:adjustRightInd w:val="0"/>
        <w:snapToGrid w:val="0"/>
        <w:ind w:firstLine="600"/>
        <w:jc w:val="center"/>
        <w:rPr>
          <w:rFonts w:cs="Times New Roman"/>
          <w:sz w:val="30"/>
          <w:szCs w:val="30"/>
        </w:rPr>
      </w:pPr>
    </w:p>
    <w:p w14:paraId="5E2537D2">
      <w:pPr>
        <w:adjustRightInd w:val="0"/>
        <w:snapToGrid w:val="0"/>
        <w:spacing w:line="600" w:lineRule="exact"/>
        <w:ind w:firstLine="0" w:firstLineChars="0"/>
        <w:jc w:val="center"/>
        <w:rPr>
          <w:rFonts w:cs="Times New Roman"/>
          <w:b/>
          <w:sz w:val="32"/>
          <w:szCs w:val="32"/>
        </w:rPr>
      </w:pPr>
      <w:r>
        <w:rPr>
          <w:rFonts w:cs="Times New Roman"/>
          <w:b/>
          <w:sz w:val="32"/>
          <w:szCs w:val="32"/>
        </w:rPr>
        <w:t xml:space="preserve">编制单位：新疆旭宏伟业建设工程有限责任公司                </w:t>
      </w:r>
    </w:p>
    <w:p w14:paraId="54DB65A1">
      <w:pPr>
        <w:adjustRightInd w:val="0"/>
        <w:snapToGrid w:val="0"/>
        <w:spacing w:line="600" w:lineRule="exact"/>
        <w:ind w:firstLine="0" w:firstLineChars="0"/>
        <w:jc w:val="center"/>
        <w:rPr>
          <w:rFonts w:cs="Times New Roman"/>
          <w:b/>
          <w:sz w:val="32"/>
          <w:szCs w:val="32"/>
        </w:rPr>
      </w:pPr>
      <w:r>
        <w:rPr>
          <w:rFonts w:cs="Times New Roman"/>
          <w:b/>
          <w:sz w:val="32"/>
          <w:szCs w:val="32"/>
        </w:rPr>
        <w:t>二0二四年</w:t>
      </w:r>
      <w:r>
        <w:rPr>
          <w:rFonts w:hint="eastAsia" w:cs="Times New Roman"/>
          <w:b/>
          <w:sz w:val="32"/>
          <w:szCs w:val="32"/>
        </w:rPr>
        <w:t>八</w:t>
      </w:r>
      <w:r>
        <w:rPr>
          <w:rFonts w:cs="Times New Roman"/>
          <w:b/>
          <w:sz w:val="32"/>
          <w:szCs w:val="32"/>
        </w:rPr>
        <w:t xml:space="preserve">月 </w:t>
      </w:r>
    </w:p>
    <w:p w14:paraId="7FD6B25E">
      <w:pPr>
        <w:tabs>
          <w:tab w:val="left" w:pos="1992"/>
        </w:tabs>
        <w:adjustRightInd w:val="0"/>
        <w:snapToGrid w:val="0"/>
        <w:ind w:firstLine="263" w:firstLineChars="49"/>
        <w:jc w:val="center"/>
        <w:rPr>
          <w:rFonts w:cs="Times New Roman"/>
          <w:b/>
          <w:spacing w:val="48"/>
          <w:sz w:val="44"/>
          <w:szCs w:val="44"/>
        </w:rPr>
      </w:pPr>
    </w:p>
    <w:p w14:paraId="6A85BB07">
      <w:pPr>
        <w:tabs>
          <w:tab w:val="left" w:pos="1992"/>
        </w:tabs>
        <w:adjustRightInd w:val="0"/>
        <w:snapToGrid w:val="0"/>
        <w:ind w:firstLine="263" w:firstLineChars="49"/>
        <w:jc w:val="center"/>
        <w:rPr>
          <w:rFonts w:cs="Times New Roman"/>
          <w:b/>
          <w:spacing w:val="48"/>
          <w:sz w:val="44"/>
          <w:szCs w:val="44"/>
        </w:rPr>
      </w:pPr>
    </w:p>
    <w:p w14:paraId="057766CB">
      <w:pPr>
        <w:tabs>
          <w:tab w:val="left" w:pos="1992"/>
        </w:tabs>
        <w:adjustRightInd w:val="0"/>
        <w:snapToGrid w:val="0"/>
        <w:ind w:firstLine="0" w:firstLineChars="0"/>
        <w:jc w:val="center"/>
        <w:rPr>
          <w:rFonts w:cs="Times New Roman"/>
          <w:b/>
          <w:spacing w:val="48"/>
          <w:sz w:val="44"/>
          <w:szCs w:val="44"/>
        </w:rPr>
      </w:pPr>
    </w:p>
    <w:p w14:paraId="16E5001F">
      <w:pPr>
        <w:tabs>
          <w:tab w:val="left" w:pos="1992"/>
        </w:tabs>
        <w:adjustRightInd w:val="0"/>
        <w:snapToGrid w:val="0"/>
        <w:ind w:firstLine="0" w:firstLineChars="0"/>
        <w:jc w:val="center"/>
        <w:rPr>
          <w:rFonts w:cs="Times New Roman"/>
          <w:spacing w:val="48"/>
          <w:sz w:val="44"/>
          <w:szCs w:val="44"/>
        </w:rPr>
      </w:pPr>
      <w:r>
        <w:rPr>
          <w:rFonts w:cs="Times New Roman"/>
          <w:b/>
          <w:spacing w:val="48"/>
          <w:sz w:val="44"/>
          <w:szCs w:val="44"/>
        </w:rPr>
        <w:t>昌吉回族自治州阜康市</w:t>
      </w:r>
    </w:p>
    <w:p w14:paraId="374091F8">
      <w:pPr>
        <w:tabs>
          <w:tab w:val="left" w:pos="1992"/>
        </w:tabs>
        <w:adjustRightInd w:val="0"/>
        <w:snapToGrid w:val="0"/>
        <w:ind w:firstLine="263" w:firstLineChars="49"/>
        <w:jc w:val="center"/>
        <w:rPr>
          <w:rFonts w:cs="Times New Roman"/>
          <w:b/>
          <w:spacing w:val="48"/>
          <w:sz w:val="44"/>
          <w:szCs w:val="44"/>
        </w:rPr>
      </w:pPr>
      <w:r>
        <w:rPr>
          <w:rFonts w:cs="Times New Roman"/>
          <w:b/>
          <w:spacing w:val="48"/>
          <w:sz w:val="44"/>
          <w:szCs w:val="44"/>
        </w:rPr>
        <w:t>水土保持规划</w:t>
      </w:r>
      <w:r>
        <w:rPr>
          <w:rFonts w:cs="Times New Roman"/>
          <w:b/>
          <w:sz w:val="44"/>
          <w:szCs w:val="44"/>
        </w:rPr>
        <w:t>（202</w:t>
      </w:r>
      <w:r>
        <w:rPr>
          <w:rFonts w:hint="eastAsia" w:cs="Times New Roman"/>
          <w:b/>
          <w:sz w:val="44"/>
          <w:szCs w:val="44"/>
        </w:rPr>
        <w:t>4</w:t>
      </w:r>
      <w:r>
        <w:rPr>
          <w:rFonts w:cs="Times New Roman"/>
          <w:b/>
          <w:sz w:val="44"/>
          <w:szCs w:val="44"/>
        </w:rPr>
        <w:t>-2030年）</w:t>
      </w:r>
    </w:p>
    <w:p w14:paraId="432CA611">
      <w:pPr>
        <w:tabs>
          <w:tab w:val="left" w:pos="1992"/>
        </w:tabs>
        <w:adjustRightInd w:val="0"/>
        <w:snapToGrid w:val="0"/>
        <w:ind w:firstLine="177" w:firstLineChars="49"/>
        <w:jc w:val="center"/>
        <w:rPr>
          <w:rFonts w:cs="Times New Roman"/>
          <w:b/>
          <w:sz w:val="36"/>
          <w:szCs w:val="36"/>
        </w:rPr>
      </w:pPr>
    </w:p>
    <w:p w14:paraId="22EBC540">
      <w:pPr>
        <w:adjustRightInd w:val="0"/>
        <w:snapToGrid w:val="0"/>
        <w:ind w:firstLine="880"/>
        <w:jc w:val="center"/>
        <w:rPr>
          <w:rFonts w:cs="Times New Roman"/>
          <w:sz w:val="44"/>
          <w:szCs w:val="44"/>
        </w:rPr>
      </w:pPr>
    </w:p>
    <w:p w14:paraId="086390DA">
      <w:pPr>
        <w:adjustRightInd w:val="0"/>
        <w:snapToGrid w:val="0"/>
        <w:ind w:firstLine="880"/>
        <w:jc w:val="center"/>
        <w:rPr>
          <w:rFonts w:cs="Times New Roman"/>
          <w:sz w:val="44"/>
          <w:szCs w:val="44"/>
        </w:rPr>
      </w:pPr>
    </w:p>
    <w:p w14:paraId="66A46E83">
      <w:pPr>
        <w:adjustRightInd w:val="0"/>
        <w:snapToGrid w:val="0"/>
        <w:ind w:firstLine="880"/>
        <w:jc w:val="center"/>
        <w:rPr>
          <w:rFonts w:cs="Times New Roman"/>
          <w:sz w:val="44"/>
          <w:szCs w:val="44"/>
        </w:rPr>
      </w:pPr>
    </w:p>
    <w:p w14:paraId="38359EB8">
      <w:pPr>
        <w:adjustRightInd w:val="0"/>
        <w:snapToGrid w:val="0"/>
        <w:ind w:firstLine="880"/>
        <w:jc w:val="center"/>
        <w:rPr>
          <w:rFonts w:cs="Times New Roman"/>
          <w:sz w:val="44"/>
          <w:szCs w:val="44"/>
        </w:rPr>
      </w:pPr>
    </w:p>
    <w:p w14:paraId="5504BAD0">
      <w:pPr>
        <w:keepNext w:val="0"/>
        <w:keepLines w:val="0"/>
        <w:widowControl/>
        <w:suppressLineNumbers w:val="0"/>
        <w:jc w:val="left"/>
      </w:pPr>
      <w:r>
        <w:rPr>
          <w:rFonts w:ascii="仿宋_GB2312" w:hAnsi="宋体" w:eastAsia="仿宋_GB2312" w:cs="仿宋_GB2312"/>
          <w:b/>
          <w:bCs/>
          <w:color w:val="000000"/>
          <w:kern w:val="0"/>
          <w:sz w:val="31"/>
          <w:szCs w:val="31"/>
          <w:lang w:val="en-US" w:eastAsia="zh-CN" w:bidi="ar"/>
        </w:rPr>
        <w:t xml:space="preserve">审定：张 斌 </w:t>
      </w:r>
    </w:p>
    <w:p w14:paraId="034370EB">
      <w:pPr>
        <w:keepNext w:val="0"/>
        <w:keepLines w:val="0"/>
        <w:widowControl/>
        <w:suppressLineNumbers w:val="0"/>
        <w:jc w:val="left"/>
      </w:pPr>
      <w:r>
        <w:rPr>
          <w:rFonts w:hint="eastAsia" w:ascii="仿宋_GB2312" w:hAnsi="宋体" w:eastAsia="仿宋_GB2312" w:cs="仿宋_GB2312"/>
          <w:b/>
          <w:bCs/>
          <w:color w:val="000000"/>
          <w:kern w:val="0"/>
          <w:sz w:val="31"/>
          <w:szCs w:val="31"/>
          <w:lang w:val="en-US" w:eastAsia="zh-CN" w:bidi="ar"/>
        </w:rPr>
        <w:t>审核：陈悦庭</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丁智娟</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 xml:space="preserve">赵 </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 xml:space="preserve">刚 </w:t>
      </w:r>
    </w:p>
    <w:p w14:paraId="0BDD5380">
      <w:pPr>
        <w:keepNext w:val="0"/>
        <w:keepLines w:val="0"/>
        <w:widowControl/>
        <w:suppressLineNumbers w:val="0"/>
        <w:jc w:val="left"/>
      </w:pPr>
      <w:r>
        <w:rPr>
          <w:rFonts w:hint="eastAsia" w:ascii="仿宋_GB2312" w:hAnsi="宋体" w:eastAsia="仿宋_GB2312" w:cs="仿宋_GB2312"/>
          <w:b/>
          <w:bCs/>
          <w:color w:val="000000"/>
          <w:kern w:val="0"/>
          <w:sz w:val="31"/>
          <w:szCs w:val="31"/>
          <w:lang w:val="en-US" w:eastAsia="zh-CN" w:bidi="ar"/>
        </w:rPr>
        <w:t xml:space="preserve">校核：戚泳锋 </w:t>
      </w:r>
    </w:p>
    <w:p w14:paraId="291CFE11">
      <w:pPr>
        <w:keepNext w:val="0"/>
        <w:keepLines w:val="0"/>
        <w:widowControl/>
        <w:suppressLineNumbers w:val="0"/>
        <w:jc w:val="left"/>
        <w:rPr>
          <w:rFonts w:hint="eastAsia" w:ascii="仿宋_GB2312" w:hAnsi="宋体" w:cs="仿宋_GB2312"/>
          <w:b/>
          <w:bCs/>
          <w:color w:val="000000"/>
          <w:kern w:val="0"/>
          <w:sz w:val="31"/>
          <w:szCs w:val="31"/>
          <w:lang w:val="en-US" w:eastAsia="zh-CN" w:bidi="ar"/>
        </w:rPr>
      </w:pPr>
      <w:r>
        <w:rPr>
          <w:rFonts w:hint="eastAsia" w:ascii="仿宋_GB2312" w:hAnsi="宋体" w:eastAsia="仿宋_GB2312" w:cs="仿宋_GB2312"/>
          <w:b/>
          <w:bCs/>
          <w:color w:val="000000"/>
          <w:kern w:val="0"/>
          <w:sz w:val="31"/>
          <w:szCs w:val="31"/>
          <w:lang w:val="en-US" w:eastAsia="zh-CN" w:bidi="ar"/>
        </w:rPr>
        <w:t>编写：戚泳锋</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王</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 xml:space="preserve"> 莉</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赵洪兵</w:t>
      </w:r>
      <w:r>
        <w:rPr>
          <w:rFonts w:hint="eastAsia" w:ascii="仿宋_GB2312" w:hAnsi="宋体" w:cs="仿宋_GB2312"/>
          <w:b/>
          <w:bCs/>
          <w:color w:val="000000"/>
          <w:kern w:val="0"/>
          <w:sz w:val="31"/>
          <w:szCs w:val="31"/>
          <w:lang w:val="en-US" w:eastAsia="zh-CN" w:bidi="ar"/>
        </w:rPr>
        <w:t xml:space="preserve">   </w:t>
      </w:r>
    </w:p>
    <w:p w14:paraId="0DAE4FB1">
      <w:pPr>
        <w:keepNext w:val="0"/>
        <w:keepLines w:val="0"/>
        <w:widowControl/>
        <w:suppressLineNumbers w:val="0"/>
        <w:ind w:firstLine="1556" w:firstLineChars="500"/>
        <w:jc w:val="left"/>
      </w:pPr>
      <w:r>
        <w:rPr>
          <w:rFonts w:hint="eastAsia" w:ascii="仿宋_GB2312" w:hAnsi="宋体" w:eastAsia="仿宋_GB2312" w:cs="仿宋_GB2312"/>
          <w:b/>
          <w:bCs/>
          <w:color w:val="000000"/>
          <w:kern w:val="0"/>
          <w:sz w:val="31"/>
          <w:szCs w:val="31"/>
          <w:lang w:val="en-US" w:eastAsia="zh-CN" w:bidi="ar"/>
        </w:rPr>
        <w:t xml:space="preserve">田 </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 xml:space="preserve">苗 </w:t>
      </w:r>
      <w:r>
        <w:rPr>
          <w:rFonts w:hint="eastAsia" w:ascii="仿宋_GB2312" w:hAnsi="宋体" w:cs="仿宋_GB2312"/>
          <w:b/>
          <w:bCs/>
          <w:color w:val="000000"/>
          <w:kern w:val="0"/>
          <w:sz w:val="31"/>
          <w:szCs w:val="31"/>
          <w:lang w:val="en-US" w:eastAsia="zh-CN" w:bidi="ar"/>
        </w:rPr>
        <w:t xml:space="preserve">原  枫 </w:t>
      </w:r>
      <w:r>
        <w:rPr>
          <w:rFonts w:hint="eastAsia" w:ascii="仿宋_GB2312" w:hAnsi="宋体" w:eastAsia="仿宋_GB2312" w:cs="仿宋_GB2312"/>
          <w:b/>
          <w:bCs/>
          <w:color w:val="000000"/>
          <w:kern w:val="0"/>
          <w:sz w:val="31"/>
          <w:szCs w:val="31"/>
          <w:lang w:val="en-US" w:eastAsia="zh-CN" w:bidi="ar"/>
        </w:rPr>
        <w:t xml:space="preserve">刘 </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智</w:t>
      </w:r>
    </w:p>
    <w:p w14:paraId="77360B3A">
      <w:pPr>
        <w:keepNext w:val="0"/>
        <w:keepLines w:val="0"/>
        <w:widowControl/>
        <w:suppressLineNumbers w:val="0"/>
        <w:ind w:firstLine="1556" w:firstLineChars="500"/>
        <w:jc w:val="left"/>
        <w:rPr>
          <w:rFonts w:hint="eastAsia" w:ascii="仿宋_GB2312" w:hAnsi="宋体" w:eastAsia="仿宋_GB2312" w:cs="仿宋_GB2312"/>
          <w:b/>
          <w:bCs/>
          <w:color w:val="000000"/>
          <w:kern w:val="0"/>
          <w:sz w:val="31"/>
          <w:szCs w:val="31"/>
          <w:lang w:val="en-US" w:eastAsia="zh-CN" w:bidi="ar"/>
        </w:rPr>
      </w:pPr>
      <w:r>
        <w:rPr>
          <w:rFonts w:hint="eastAsia" w:ascii="仿宋_GB2312" w:hAnsi="宋体" w:eastAsia="仿宋_GB2312" w:cs="仿宋_GB2312"/>
          <w:b/>
          <w:bCs/>
          <w:color w:val="000000"/>
          <w:kern w:val="0"/>
          <w:sz w:val="31"/>
          <w:szCs w:val="31"/>
          <w:lang w:val="en-US" w:eastAsia="zh-CN" w:bidi="ar"/>
        </w:rPr>
        <w:t>马句龙</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王</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 xml:space="preserve"> 琴</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张永红</w:t>
      </w:r>
    </w:p>
    <w:p w14:paraId="76FAA3AC">
      <w:pPr>
        <w:keepNext w:val="0"/>
        <w:keepLines w:val="0"/>
        <w:widowControl/>
        <w:suppressLineNumbers w:val="0"/>
        <w:ind w:firstLine="1556" w:firstLineChars="500"/>
        <w:jc w:val="left"/>
        <w:rPr>
          <w:rFonts w:hint="default" w:ascii="仿宋_GB2312" w:hAnsi="宋体" w:cs="仿宋_GB2312"/>
          <w:b/>
          <w:bCs/>
          <w:color w:val="000000"/>
          <w:kern w:val="0"/>
          <w:sz w:val="31"/>
          <w:szCs w:val="31"/>
          <w:lang w:val="en-US" w:eastAsia="zh-CN" w:bidi="ar"/>
        </w:rPr>
      </w:pPr>
      <w:r>
        <w:rPr>
          <w:rFonts w:hint="eastAsia" w:ascii="仿宋_GB2312" w:hAnsi="宋体" w:eastAsia="仿宋_GB2312" w:cs="仿宋_GB2312"/>
          <w:b/>
          <w:bCs/>
          <w:color w:val="000000"/>
          <w:kern w:val="0"/>
          <w:sz w:val="31"/>
          <w:szCs w:val="31"/>
          <w:lang w:val="en-US" w:eastAsia="zh-CN" w:bidi="ar"/>
        </w:rPr>
        <w:t>段泽民</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先亚楠</w:t>
      </w:r>
      <w:r>
        <w:rPr>
          <w:rFonts w:hint="eastAsia" w:ascii="仿宋_GB2312" w:hAnsi="宋体" w:cs="仿宋_GB2312"/>
          <w:b/>
          <w:bCs/>
          <w:color w:val="000000"/>
          <w:kern w:val="0"/>
          <w:sz w:val="31"/>
          <w:szCs w:val="31"/>
          <w:lang w:val="en-US" w:eastAsia="zh-CN" w:bidi="ar"/>
        </w:rPr>
        <w:t xml:space="preserve"> </w:t>
      </w:r>
    </w:p>
    <w:p w14:paraId="37864C33">
      <w:pPr>
        <w:keepNext w:val="0"/>
        <w:keepLines w:val="0"/>
        <w:widowControl/>
        <w:suppressLineNumbers w:val="0"/>
        <w:ind w:firstLine="1556" w:firstLineChars="500"/>
        <w:jc w:val="left"/>
      </w:pPr>
      <w:r>
        <w:rPr>
          <w:rFonts w:hint="eastAsia" w:ascii="仿宋_GB2312" w:hAnsi="宋体" w:cs="仿宋_GB2312"/>
          <w:b/>
          <w:bCs/>
          <w:color w:val="000000"/>
          <w:kern w:val="0"/>
          <w:sz w:val="31"/>
          <w:szCs w:val="31"/>
          <w:lang w:val="en-US" w:eastAsia="zh-CN" w:bidi="ar"/>
        </w:rPr>
        <w:t xml:space="preserve"> </w:t>
      </w:r>
    </w:p>
    <w:p w14:paraId="07F8B1BB">
      <w:pPr>
        <w:keepNext w:val="0"/>
        <w:keepLines w:val="0"/>
        <w:widowControl/>
        <w:suppressLineNumbers w:val="0"/>
        <w:jc w:val="left"/>
      </w:pPr>
      <w:r>
        <w:rPr>
          <w:rFonts w:hint="eastAsia" w:ascii="仿宋_GB2312" w:hAnsi="宋体" w:eastAsia="仿宋_GB2312" w:cs="仿宋_GB2312"/>
          <w:b/>
          <w:bCs/>
          <w:color w:val="000000"/>
          <w:kern w:val="0"/>
          <w:sz w:val="31"/>
          <w:szCs w:val="31"/>
          <w:lang w:val="en-US" w:eastAsia="zh-CN" w:bidi="ar"/>
        </w:rPr>
        <w:t>制图：王</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 xml:space="preserve"> 刚 王 </w:t>
      </w:r>
      <w:r>
        <w:rPr>
          <w:rFonts w:hint="eastAsia" w:ascii="仿宋_GB2312" w:hAnsi="宋体" w:cs="仿宋_GB2312"/>
          <w:b/>
          <w:bCs/>
          <w:color w:val="000000"/>
          <w:kern w:val="0"/>
          <w:sz w:val="31"/>
          <w:szCs w:val="31"/>
          <w:lang w:val="en-US" w:eastAsia="zh-CN" w:bidi="ar"/>
        </w:rPr>
        <w:t xml:space="preserve"> </w:t>
      </w:r>
      <w:r>
        <w:rPr>
          <w:rFonts w:hint="eastAsia" w:ascii="仿宋_GB2312" w:hAnsi="宋体" w:eastAsia="仿宋_GB2312" w:cs="仿宋_GB2312"/>
          <w:b/>
          <w:bCs/>
          <w:color w:val="000000"/>
          <w:kern w:val="0"/>
          <w:sz w:val="31"/>
          <w:szCs w:val="31"/>
          <w:lang w:val="en-US" w:eastAsia="zh-CN" w:bidi="ar"/>
        </w:rPr>
        <w:t>丽</w:t>
      </w:r>
    </w:p>
    <w:p w14:paraId="33346B66">
      <w:pPr>
        <w:adjustRightInd w:val="0"/>
        <w:snapToGrid w:val="0"/>
        <w:ind w:firstLine="643"/>
        <w:rPr>
          <w:rFonts w:hint="eastAsia" w:cs="Times New Roman"/>
          <w:b/>
          <w:bCs/>
          <w:sz w:val="32"/>
          <w:szCs w:val="32"/>
        </w:rPr>
      </w:pPr>
    </w:p>
    <w:p w14:paraId="3B0AFADE">
      <w:pPr>
        <w:adjustRightInd w:val="0"/>
        <w:snapToGrid w:val="0"/>
        <w:ind w:firstLine="880"/>
        <w:jc w:val="center"/>
        <w:rPr>
          <w:rFonts w:cs="Times New Roman"/>
          <w:sz w:val="44"/>
          <w:szCs w:val="44"/>
        </w:rPr>
      </w:pPr>
    </w:p>
    <w:p w14:paraId="3C3A7FCD">
      <w:pPr>
        <w:adjustRightInd w:val="0"/>
        <w:snapToGrid w:val="0"/>
        <w:ind w:firstLine="1552" w:firstLineChars="485"/>
        <w:jc w:val="both"/>
        <w:rPr>
          <w:rFonts w:cs="Times New Roman"/>
          <w:sz w:val="32"/>
          <w:szCs w:val="32"/>
        </w:rPr>
      </w:pPr>
    </w:p>
    <w:p w14:paraId="0451931A">
      <w:pPr>
        <w:adjustRightInd w:val="0"/>
        <w:snapToGrid w:val="0"/>
        <w:ind w:firstLine="643"/>
        <w:jc w:val="center"/>
        <w:rPr>
          <w:rFonts w:cs="Times New Roman"/>
          <w:b/>
          <w:sz w:val="32"/>
          <w:szCs w:val="32"/>
        </w:rPr>
      </w:pPr>
      <w:bookmarkStart w:id="0" w:name="_Toc477688242"/>
      <w:bookmarkStart w:id="1" w:name="_Toc503658088"/>
      <w:bookmarkStart w:id="2" w:name="_Toc507378365"/>
      <w:r>
        <w:rPr>
          <w:rFonts w:cs="Times New Roman"/>
          <w:b/>
          <w:bCs/>
          <w:sz w:val="32"/>
          <w:szCs w:val="32"/>
        </w:rPr>
        <w:t>目   录</w:t>
      </w:r>
    </w:p>
    <w:p w14:paraId="7FD9FBDF">
      <w:pPr>
        <w:pStyle w:val="30"/>
        <w:spacing w:beforeLines="0" w:line="360" w:lineRule="auto"/>
        <w:ind w:firstLine="0" w:firstLineChars="0"/>
        <w:rPr>
          <w:rFonts w:eastAsia="仿宋_GB2312" w:cs="Times New Roman"/>
          <w:b w:val="0"/>
          <w:kern w:val="2"/>
          <w:szCs w:val="28"/>
          <w14:ligatures w14:val="standardContextual"/>
        </w:rPr>
      </w:pPr>
      <w:r>
        <w:rPr>
          <w:rFonts w:eastAsia="仿宋_GB2312" w:cs="Times New Roman"/>
          <w:b w:val="0"/>
          <w:bCs/>
          <w:szCs w:val="28"/>
        </w:rPr>
        <w:fldChar w:fldCharType="begin"/>
      </w:r>
      <w:r>
        <w:rPr>
          <w:rFonts w:eastAsia="仿宋_GB2312" w:cs="Times New Roman"/>
          <w:b w:val="0"/>
          <w:bCs/>
          <w:szCs w:val="28"/>
        </w:rPr>
        <w:instrText xml:space="preserve"> TOC \o "1-2" \h \z \u </w:instrText>
      </w:r>
      <w:r>
        <w:rPr>
          <w:rFonts w:eastAsia="仿宋_GB2312" w:cs="Times New Roman"/>
          <w:b w:val="0"/>
          <w:bCs/>
          <w:szCs w:val="28"/>
        </w:rPr>
        <w:fldChar w:fldCharType="separate"/>
      </w:r>
      <w:bookmarkStart w:id="3" w:name="_Hlt400183363"/>
      <w:bookmarkEnd w:id="3"/>
      <w:r>
        <w:rPr>
          <w:rStyle w:val="59"/>
          <w:rFonts w:eastAsia="仿宋_GB2312" w:cs="Times New Roman"/>
          <w:color w:val="auto"/>
          <w:szCs w:val="28"/>
        </w:rPr>
        <w:fldChar w:fldCharType="begin"/>
      </w:r>
      <w:r>
        <w:rPr>
          <w:rStyle w:val="59"/>
          <w:rFonts w:eastAsia="仿宋_GB2312" w:cs="Times New Roman"/>
          <w:color w:val="auto"/>
          <w:szCs w:val="28"/>
        </w:rPr>
        <w:instrText xml:space="preserve"> </w:instrText>
      </w:r>
      <w:r>
        <w:rPr>
          <w:rFonts w:eastAsia="仿宋_GB2312" w:cs="Times New Roman"/>
          <w:szCs w:val="28"/>
        </w:rPr>
        <w:instrText xml:space="preserve">HYPERLINK \l "_Toc150724261"</w:instrText>
      </w:r>
      <w:r>
        <w:rPr>
          <w:rStyle w:val="59"/>
          <w:rFonts w:eastAsia="仿宋_GB2312" w:cs="Times New Roman"/>
          <w:color w:val="auto"/>
          <w:szCs w:val="28"/>
        </w:rPr>
        <w:instrText xml:space="preserve"> </w:instrText>
      </w:r>
      <w:r>
        <w:rPr>
          <w:rStyle w:val="59"/>
          <w:rFonts w:eastAsia="仿宋_GB2312" w:cs="Times New Roman"/>
          <w:color w:val="auto"/>
          <w:szCs w:val="28"/>
        </w:rPr>
        <w:fldChar w:fldCharType="separate"/>
      </w:r>
      <w:r>
        <w:rPr>
          <w:rStyle w:val="59"/>
          <w:rFonts w:eastAsia="仿宋_GB2312" w:cs="Times New Roman"/>
          <w:color w:val="auto"/>
          <w:szCs w:val="28"/>
        </w:rPr>
        <w:t>规划概要</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_Toc150724261 \h </w:instrText>
      </w:r>
      <w:r>
        <w:rPr>
          <w:rFonts w:eastAsia="仿宋_GB2312" w:cs="Times New Roman"/>
          <w:szCs w:val="28"/>
        </w:rPr>
        <w:fldChar w:fldCharType="separate"/>
      </w:r>
      <w:r>
        <w:rPr>
          <w:rFonts w:eastAsia="仿宋_GB2312" w:cs="Times New Roman"/>
          <w:szCs w:val="28"/>
        </w:rPr>
        <w:t>1</w:t>
      </w:r>
      <w:r>
        <w:rPr>
          <w:rFonts w:eastAsia="仿宋_GB2312" w:cs="Times New Roman"/>
          <w:szCs w:val="28"/>
        </w:rPr>
        <w:fldChar w:fldCharType="end"/>
      </w:r>
      <w:r>
        <w:rPr>
          <w:rStyle w:val="59"/>
          <w:rFonts w:eastAsia="仿宋_GB2312" w:cs="Times New Roman"/>
          <w:color w:val="auto"/>
          <w:szCs w:val="28"/>
        </w:rPr>
        <w:fldChar w:fldCharType="end"/>
      </w:r>
    </w:p>
    <w:p w14:paraId="68A0A9DF">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"_Toc150724262" </w:instrText>
      </w:r>
      <w:r>
        <w:fldChar w:fldCharType="separate"/>
      </w:r>
      <w:r>
        <w:rPr>
          <w:rStyle w:val="59"/>
          <w:rFonts w:eastAsia="仿宋_GB2312" w:cs="Times New Roman"/>
          <w:color w:val="auto"/>
          <w:szCs w:val="28"/>
        </w:rPr>
        <w:t>1基本情况</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_Toc150724262 \h </w:instrText>
      </w:r>
      <w:r>
        <w:rPr>
          <w:rFonts w:eastAsia="仿宋_GB2312" w:cs="Times New Roman"/>
          <w:szCs w:val="28"/>
        </w:rPr>
        <w:fldChar w:fldCharType="separate"/>
      </w:r>
      <w:r>
        <w:rPr>
          <w:rFonts w:eastAsia="仿宋_GB2312" w:cs="Times New Roman"/>
          <w:szCs w:val="28"/>
        </w:rPr>
        <w:t>4</w:t>
      </w:r>
      <w:r>
        <w:rPr>
          <w:rFonts w:eastAsia="仿宋_GB2312" w:cs="Times New Roman"/>
          <w:szCs w:val="28"/>
        </w:rPr>
        <w:fldChar w:fldCharType="end"/>
      </w:r>
      <w:r>
        <w:rPr>
          <w:rFonts w:eastAsia="仿宋_GB2312" w:cs="Times New Roman"/>
          <w:szCs w:val="28"/>
        </w:rPr>
        <w:fldChar w:fldCharType="end"/>
      </w:r>
    </w:p>
    <w:p w14:paraId="76A1C69F">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"_Toc150724263" </w:instrText>
      </w:r>
      <w:r>
        <w:fldChar w:fldCharType="separate"/>
      </w:r>
      <w:r>
        <w:rPr>
          <w:rStyle w:val="59"/>
          <w:rFonts w:cs="Times New Roman"/>
          <w:color w:val="auto"/>
          <w:sz w:val="28"/>
          <w:szCs w:val="28"/>
        </w:rPr>
        <w:t>1.1自然条件</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_Toc150724263 \h </w:instrText>
      </w:r>
      <w:r>
        <w:rPr>
          <w:rFonts w:cs="Times New Roman"/>
          <w:color w:val="auto"/>
          <w:sz w:val="28"/>
          <w:szCs w:val="28"/>
        </w:rPr>
        <w:fldChar w:fldCharType="separate"/>
      </w:r>
      <w:r>
        <w:rPr>
          <w:rFonts w:cs="Times New Roman"/>
          <w:color w:val="auto"/>
          <w:sz w:val="28"/>
          <w:szCs w:val="28"/>
        </w:rPr>
        <w:t>4</w:t>
      </w:r>
      <w:r>
        <w:rPr>
          <w:rFonts w:cs="Times New Roman"/>
          <w:color w:val="auto"/>
          <w:sz w:val="28"/>
          <w:szCs w:val="28"/>
        </w:rPr>
        <w:fldChar w:fldCharType="end"/>
      </w:r>
      <w:r>
        <w:rPr>
          <w:rFonts w:cs="Times New Roman"/>
          <w:color w:val="auto"/>
          <w:sz w:val="28"/>
          <w:szCs w:val="28"/>
        </w:rPr>
        <w:fldChar w:fldCharType="end"/>
      </w:r>
    </w:p>
    <w:p w14:paraId="374DB035">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"_Toc150724264" </w:instrText>
      </w:r>
      <w:r>
        <w:fldChar w:fldCharType="separate"/>
      </w:r>
      <w:r>
        <w:rPr>
          <w:rStyle w:val="59"/>
          <w:rFonts w:cs="Times New Roman"/>
          <w:color w:val="auto"/>
          <w:sz w:val="28"/>
          <w:szCs w:val="28"/>
        </w:rPr>
        <w:t>1.2 社会经济</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_Toc150724264 \h </w:instrText>
      </w:r>
      <w:r>
        <w:rPr>
          <w:rFonts w:cs="Times New Roman"/>
          <w:color w:val="auto"/>
          <w:sz w:val="28"/>
          <w:szCs w:val="28"/>
        </w:rPr>
        <w:fldChar w:fldCharType="separate"/>
      </w:r>
      <w:r>
        <w:rPr>
          <w:rFonts w:cs="Times New Roman"/>
          <w:color w:val="auto"/>
          <w:sz w:val="28"/>
          <w:szCs w:val="28"/>
        </w:rPr>
        <w:t>21</w:t>
      </w:r>
      <w:r>
        <w:rPr>
          <w:rFonts w:cs="Times New Roman"/>
          <w:color w:val="auto"/>
          <w:sz w:val="28"/>
          <w:szCs w:val="28"/>
        </w:rPr>
        <w:fldChar w:fldCharType="end"/>
      </w:r>
      <w:r>
        <w:rPr>
          <w:rFonts w:cs="Times New Roman"/>
          <w:color w:val="auto"/>
          <w:sz w:val="28"/>
          <w:szCs w:val="28"/>
        </w:rPr>
        <w:fldChar w:fldCharType="end"/>
      </w:r>
    </w:p>
    <w:p w14:paraId="3A6DB134">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"_Toc150724265" </w:instrText>
      </w:r>
      <w:r>
        <w:fldChar w:fldCharType="separate"/>
      </w:r>
      <w:r>
        <w:rPr>
          <w:rStyle w:val="59"/>
          <w:rFonts w:cs="Times New Roman"/>
          <w:color w:val="auto"/>
          <w:sz w:val="28"/>
          <w:szCs w:val="28"/>
        </w:rPr>
        <w:t>1.3 水土流失状况</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_Toc150724265 \h </w:instrText>
      </w:r>
      <w:r>
        <w:rPr>
          <w:rFonts w:cs="Times New Roman"/>
          <w:color w:val="auto"/>
          <w:sz w:val="28"/>
          <w:szCs w:val="28"/>
        </w:rPr>
        <w:fldChar w:fldCharType="separate"/>
      </w:r>
      <w:r>
        <w:rPr>
          <w:rFonts w:cs="Times New Roman"/>
          <w:color w:val="auto"/>
          <w:sz w:val="28"/>
          <w:szCs w:val="28"/>
        </w:rPr>
        <w:t>21</w:t>
      </w:r>
      <w:r>
        <w:rPr>
          <w:rFonts w:cs="Times New Roman"/>
          <w:color w:val="auto"/>
          <w:sz w:val="28"/>
          <w:szCs w:val="28"/>
        </w:rPr>
        <w:fldChar w:fldCharType="end"/>
      </w:r>
      <w:r>
        <w:rPr>
          <w:rFonts w:cs="Times New Roman"/>
          <w:color w:val="auto"/>
          <w:sz w:val="28"/>
          <w:szCs w:val="28"/>
        </w:rPr>
        <w:fldChar w:fldCharType="end"/>
      </w:r>
    </w:p>
    <w:p w14:paraId="1D33EA77">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"_Toc150724266" </w:instrText>
      </w:r>
      <w:r>
        <w:fldChar w:fldCharType="separate"/>
      </w:r>
      <w:r>
        <w:rPr>
          <w:rStyle w:val="59"/>
          <w:rFonts w:cs="Times New Roman"/>
          <w:color w:val="auto"/>
          <w:sz w:val="28"/>
          <w:szCs w:val="28"/>
        </w:rPr>
        <w:t>1.4 水土保持概况</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_Toc150724266 \h </w:instrText>
      </w:r>
      <w:r>
        <w:rPr>
          <w:rFonts w:cs="Times New Roman"/>
          <w:color w:val="auto"/>
          <w:sz w:val="28"/>
          <w:szCs w:val="28"/>
        </w:rPr>
        <w:fldChar w:fldCharType="separate"/>
      </w:r>
      <w:r>
        <w:rPr>
          <w:rFonts w:cs="Times New Roman"/>
          <w:color w:val="auto"/>
          <w:sz w:val="28"/>
          <w:szCs w:val="28"/>
        </w:rPr>
        <w:t>27</w:t>
      </w:r>
      <w:r>
        <w:rPr>
          <w:rFonts w:cs="Times New Roman"/>
          <w:color w:val="auto"/>
          <w:sz w:val="28"/>
          <w:szCs w:val="28"/>
        </w:rPr>
        <w:fldChar w:fldCharType="end"/>
      </w:r>
      <w:r>
        <w:rPr>
          <w:rFonts w:cs="Times New Roman"/>
          <w:color w:val="auto"/>
          <w:sz w:val="28"/>
          <w:szCs w:val="28"/>
        </w:rPr>
        <w:fldChar w:fldCharType="end"/>
      </w:r>
    </w:p>
    <w:p w14:paraId="6BB69126">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"_Toc150724267" </w:instrText>
      </w:r>
      <w:r>
        <w:fldChar w:fldCharType="separate"/>
      </w:r>
      <w:r>
        <w:rPr>
          <w:rStyle w:val="59"/>
          <w:rFonts w:eastAsia="仿宋_GB2312" w:cs="Times New Roman"/>
          <w:color w:val="auto"/>
          <w:szCs w:val="28"/>
        </w:rPr>
        <w:t>2 现状评价与需求分析</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_Toc150724267 \h </w:instrText>
      </w:r>
      <w:r>
        <w:rPr>
          <w:rFonts w:eastAsia="仿宋_GB2312" w:cs="Times New Roman"/>
          <w:szCs w:val="28"/>
        </w:rPr>
        <w:fldChar w:fldCharType="separate"/>
      </w:r>
      <w:r>
        <w:rPr>
          <w:rFonts w:eastAsia="仿宋_GB2312" w:cs="Times New Roman"/>
          <w:szCs w:val="28"/>
        </w:rPr>
        <w:t>35</w:t>
      </w:r>
      <w:r>
        <w:rPr>
          <w:rFonts w:eastAsia="仿宋_GB2312" w:cs="Times New Roman"/>
          <w:szCs w:val="28"/>
        </w:rPr>
        <w:fldChar w:fldCharType="end"/>
      </w:r>
      <w:r>
        <w:rPr>
          <w:rFonts w:eastAsia="仿宋_GB2312" w:cs="Times New Roman"/>
          <w:szCs w:val="28"/>
        </w:rPr>
        <w:fldChar w:fldCharType="end"/>
      </w:r>
    </w:p>
    <w:p w14:paraId="55EB484D">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"_Toc150724268" </w:instrText>
      </w:r>
      <w:r>
        <w:fldChar w:fldCharType="separate"/>
      </w:r>
      <w:r>
        <w:rPr>
          <w:rStyle w:val="59"/>
          <w:rFonts w:cs="Times New Roman"/>
          <w:color w:val="auto"/>
          <w:sz w:val="28"/>
          <w:szCs w:val="28"/>
        </w:rPr>
        <w:t>2.1 水土保持现状评价</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_Toc150724268 \h </w:instrText>
      </w:r>
      <w:r>
        <w:rPr>
          <w:rFonts w:cs="Times New Roman"/>
          <w:color w:val="auto"/>
          <w:sz w:val="28"/>
          <w:szCs w:val="28"/>
        </w:rPr>
        <w:fldChar w:fldCharType="separate"/>
      </w:r>
      <w:r>
        <w:rPr>
          <w:rFonts w:cs="Times New Roman"/>
          <w:color w:val="auto"/>
          <w:sz w:val="28"/>
          <w:szCs w:val="28"/>
        </w:rPr>
        <w:t>35</w:t>
      </w:r>
      <w:r>
        <w:rPr>
          <w:rFonts w:cs="Times New Roman"/>
          <w:color w:val="auto"/>
          <w:sz w:val="28"/>
          <w:szCs w:val="28"/>
        </w:rPr>
        <w:fldChar w:fldCharType="end"/>
      </w:r>
      <w:r>
        <w:rPr>
          <w:rFonts w:cs="Times New Roman"/>
          <w:color w:val="auto"/>
          <w:sz w:val="28"/>
          <w:szCs w:val="28"/>
        </w:rPr>
        <w:fldChar w:fldCharType="end"/>
      </w:r>
    </w:p>
    <w:p w14:paraId="3E41A896">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"_Toc150724269" </w:instrText>
      </w:r>
      <w:r>
        <w:fldChar w:fldCharType="separate"/>
      </w:r>
      <w:r>
        <w:rPr>
          <w:rStyle w:val="59"/>
          <w:rFonts w:cs="Times New Roman"/>
          <w:color w:val="auto"/>
          <w:sz w:val="28"/>
          <w:szCs w:val="28"/>
        </w:rPr>
        <w:t>2.2 水土保持需求分析</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_Toc150724269 \h </w:instrText>
      </w:r>
      <w:r>
        <w:rPr>
          <w:rFonts w:cs="Times New Roman"/>
          <w:color w:val="auto"/>
          <w:sz w:val="28"/>
          <w:szCs w:val="28"/>
        </w:rPr>
        <w:fldChar w:fldCharType="separate"/>
      </w:r>
      <w:r>
        <w:rPr>
          <w:rFonts w:cs="Times New Roman"/>
          <w:color w:val="auto"/>
          <w:sz w:val="28"/>
          <w:szCs w:val="28"/>
        </w:rPr>
        <w:t>44</w:t>
      </w:r>
      <w:r>
        <w:rPr>
          <w:rFonts w:cs="Times New Roman"/>
          <w:color w:val="auto"/>
          <w:sz w:val="28"/>
          <w:szCs w:val="28"/>
        </w:rPr>
        <w:fldChar w:fldCharType="end"/>
      </w:r>
      <w:r>
        <w:rPr>
          <w:rFonts w:cs="Times New Roman"/>
          <w:color w:val="auto"/>
          <w:sz w:val="28"/>
          <w:szCs w:val="28"/>
        </w:rPr>
        <w:fldChar w:fldCharType="end"/>
      </w:r>
    </w:p>
    <w:p w14:paraId="77ED4A92">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"_Toc150724270" </w:instrText>
      </w:r>
      <w:r>
        <w:fldChar w:fldCharType="separate"/>
      </w:r>
      <w:r>
        <w:rPr>
          <w:rStyle w:val="59"/>
          <w:rFonts w:eastAsia="仿宋_GB2312" w:cs="Times New Roman"/>
          <w:color w:val="auto"/>
          <w:szCs w:val="28"/>
        </w:rPr>
        <w:t>3 规划目标、任务和规模</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_Toc150724270 \h </w:instrText>
      </w:r>
      <w:r>
        <w:rPr>
          <w:rFonts w:eastAsia="仿宋_GB2312" w:cs="Times New Roman"/>
          <w:szCs w:val="28"/>
        </w:rPr>
        <w:fldChar w:fldCharType="separate"/>
      </w:r>
      <w:r>
        <w:rPr>
          <w:rFonts w:eastAsia="仿宋_GB2312" w:cs="Times New Roman"/>
          <w:szCs w:val="28"/>
        </w:rPr>
        <w:t>50</w:t>
      </w:r>
      <w:r>
        <w:rPr>
          <w:rFonts w:eastAsia="仿宋_GB2312" w:cs="Times New Roman"/>
          <w:szCs w:val="28"/>
        </w:rPr>
        <w:fldChar w:fldCharType="end"/>
      </w:r>
      <w:r>
        <w:rPr>
          <w:rFonts w:eastAsia="仿宋_GB2312" w:cs="Times New Roman"/>
          <w:szCs w:val="28"/>
        </w:rPr>
        <w:fldChar w:fldCharType="end"/>
      </w:r>
    </w:p>
    <w:p w14:paraId="6552B933">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"_Toc150724271" </w:instrText>
      </w:r>
      <w:r>
        <w:fldChar w:fldCharType="separate"/>
      </w:r>
      <w:r>
        <w:rPr>
          <w:rStyle w:val="59"/>
          <w:rFonts w:cs="Times New Roman"/>
          <w:color w:val="auto"/>
          <w:sz w:val="28"/>
          <w:szCs w:val="28"/>
        </w:rPr>
        <w:t>3.1规划指导思想和原则</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_Toc150724271 \h </w:instrText>
      </w:r>
      <w:r>
        <w:rPr>
          <w:rFonts w:cs="Times New Roman"/>
          <w:color w:val="auto"/>
          <w:sz w:val="28"/>
          <w:szCs w:val="28"/>
        </w:rPr>
        <w:fldChar w:fldCharType="separate"/>
      </w:r>
      <w:r>
        <w:rPr>
          <w:rFonts w:cs="Times New Roman"/>
          <w:color w:val="auto"/>
          <w:sz w:val="28"/>
          <w:szCs w:val="28"/>
        </w:rPr>
        <w:t>50</w:t>
      </w:r>
      <w:r>
        <w:rPr>
          <w:rFonts w:cs="Times New Roman"/>
          <w:color w:val="auto"/>
          <w:sz w:val="28"/>
          <w:szCs w:val="28"/>
        </w:rPr>
        <w:fldChar w:fldCharType="end"/>
      </w:r>
      <w:r>
        <w:rPr>
          <w:rFonts w:cs="Times New Roman"/>
          <w:color w:val="auto"/>
          <w:sz w:val="28"/>
          <w:szCs w:val="28"/>
        </w:rPr>
        <w:fldChar w:fldCharType="end"/>
      </w:r>
    </w:p>
    <w:p w14:paraId="3197C49A">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"_Toc150724272" </w:instrText>
      </w:r>
      <w:r>
        <w:fldChar w:fldCharType="separate"/>
      </w:r>
      <w:r>
        <w:rPr>
          <w:rStyle w:val="59"/>
          <w:rFonts w:cs="Times New Roman"/>
          <w:color w:val="auto"/>
          <w:sz w:val="28"/>
          <w:szCs w:val="28"/>
        </w:rPr>
        <w:t>3.2规划依据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_Toc150724272 \h </w:instrText>
      </w:r>
      <w:r>
        <w:rPr>
          <w:rFonts w:cs="Times New Roman"/>
          <w:color w:val="auto"/>
          <w:sz w:val="28"/>
          <w:szCs w:val="28"/>
        </w:rPr>
        <w:fldChar w:fldCharType="separate"/>
      </w:r>
      <w:r>
        <w:rPr>
          <w:rFonts w:cs="Times New Roman"/>
          <w:color w:val="auto"/>
          <w:sz w:val="28"/>
          <w:szCs w:val="28"/>
        </w:rPr>
        <w:t>52</w:t>
      </w:r>
      <w:r>
        <w:rPr>
          <w:rFonts w:cs="Times New Roman"/>
          <w:color w:val="auto"/>
          <w:sz w:val="28"/>
          <w:szCs w:val="28"/>
        </w:rPr>
        <w:fldChar w:fldCharType="end"/>
      </w:r>
      <w:r>
        <w:rPr>
          <w:rFonts w:cs="Times New Roman"/>
          <w:color w:val="auto"/>
          <w:sz w:val="28"/>
          <w:szCs w:val="28"/>
        </w:rPr>
        <w:fldChar w:fldCharType="end"/>
      </w:r>
    </w:p>
    <w:p w14:paraId="265E1114">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"_Toc150724273" </w:instrText>
      </w:r>
      <w:r>
        <w:fldChar w:fldCharType="separate"/>
      </w:r>
      <w:r>
        <w:rPr>
          <w:rStyle w:val="59"/>
          <w:rFonts w:cs="Times New Roman"/>
          <w:color w:val="auto"/>
          <w:sz w:val="28"/>
          <w:szCs w:val="28"/>
        </w:rPr>
        <w:t>3.3 规划范围和规划水平年</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_Toc150724273 \h </w:instrText>
      </w:r>
      <w:r>
        <w:rPr>
          <w:rFonts w:cs="Times New Roman"/>
          <w:color w:val="auto"/>
          <w:sz w:val="28"/>
          <w:szCs w:val="28"/>
        </w:rPr>
        <w:fldChar w:fldCharType="separate"/>
      </w:r>
      <w:r>
        <w:rPr>
          <w:rFonts w:cs="Times New Roman"/>
          <w:color w:val="auto"/>
          <w:sz w:val="28"/>
          <w:szCs w:val="28"/>
        </w:rPr>
        <w:t>54</w:t>
      </w:r>
      <w:r>
        <w:rPr>
          <w:rFonts w:cs="Times New Roman"/>
          <w:color w:val="auto"/>
          <w:sz w:val="28"/>
          <w:szCs w:val="28"/>
        </w:rPr>
        <w:fldChar w:fldCharType="end"/>
      </w:r>
      <w:r>
        <w:rPr>
          <w:rFonts w:cs="Times New Roman"/>
          <w:color w:val="auto"/>
          <w:sz w:val="28"/>
          <w:szCs w:val="28"/>
        </w:rPr>
        <w:fldChar w:fldCharType="end"/>
      </w:r>
    </w:p>
    <w:p w14:paraId="01C1EA89">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"_Toc150724274" </w:instrText>
      </w:r>
      <w:r>
        <w:fldChar w:fldCharType="separate"/>
      </w:r>
      <w:r>
        <w:rPr>
          <w:rStyle w:val="59"/>
          <w:rFonts w:cs="Times New Roman"/>
          <w:color w:val="auto"/>
          <w:sz w:val="28"/>
          <w:szCs w:val="28"/>
        </w:rPr>
        <w:t>3.4 规划目的</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_Toc150724274 \h </w:instrText>
      </w:r>
      <w:r>
        <w:rPr>
          <w:rFonts w:cs="Times New Roman"/>
          <w:color w:val="auto"/>
          <w:sz w:val="28"/>
          <w:szCs w:val="28"/>
        </w:rPr>
        <w:fldChar w:fldCharType="separate"/>
      </w:r>
      <w:r>
        <w:rPr>
          <w:rFonts w:cs="Times New Roman"/>
          <w:color w:val="auto"/>
          <w:sz w:val="28"/>
          <w:szCs w:val="28"/>
        </w:rPr>
        <w:t>54</w:t>
      </w:r>
      <w:r>
        <w:rPr>
          <w:rFonts w:cs="Times New Roman"/>
          <w:color w:val="auto"/>
          <w:sz w:val="28"/>
          <w:szCs w:val="28"/>
        </w:rPr>
        <w:fldChar w:fldCharType="end"/>
      </w:r>
      <w:r>
        <w:rPr>
          <w:rFonts w:cs="Times New Roman"/>
          <w:color w:val="auto"/>
          <w:sz w:val="28"/>
          <w:szCs w:val="28"/>
        </w:rPr>
        <w:fldChar w:fldCharType="end"/>
      </w:r>
    </w:p>
    <w:p w14:paraId="074F3B13">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"_Toc150724275" </w:instrText>
      </w:r>
      <w:r>
        <w:fldChar w:fldCharType="separate"/>
      </w:r>
      <w:r>
        <w:rPr>
          <w:rStyle w:val="59"/>
          <w:rFonts w:cs="Times New Roman"/>
          <w:color w:val="auto"/>
          <w:sz w:val="28"/>
          <w:szCs w:val="28"/>
        </w:rPr>
        <w:t>3.5 规划目标</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_Toc150724275 \h </w:instrText>
      </w:r>
      <w:r>
        <w:rPr>
          <w:rFonts w:cs="Times New Roman"/>
          <w:color w:val="auto"/>
          <w:sz w:val="28"/>
          <w:szCs w:val="28"/>
        </w:rPr>
        <w:fldChar w:fldCharType="separate"/>
      </w:r>
      <w:r>
        <w:rPr>
          <w:rFonts w:cs="Times New Roman"/>
          <w:color w:val="auto"/>
          <w:sz w:val="28"/>
          <w:szCs w:val="28"/>
        </w:rPr>
        <w:t>55</w:t>
      </w:r>
      <w:r>
        <w:rPr>
          <w:rFonts w:cs="Times New Roman"/>
          <w:color w:val="auto"/>
          <w:sz w:val="28"/>
          <w:szCs w:val="28"/>
        </w:rPr>
        <w:fldChar w:fldCharType="end"/>
      </w:r>
      <w:r>
        <w:rPr>
          <w:rFonts w:cs="Times New Roman"/>
          <w:color w:val="auto"/>
          <w:sz w:val="28"/>
          <w:szCs w:val="28"/>
        </w:rPr>
        <w:fldChar w:fldCharType="end"/>
      </w:r>
    </w:p>
    <w:p w14:paraId="059A0F51">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"_Toc150724276" </w:instrText>
      </w:r>
      <w:r>
        <w:fldChar w:fldCharType="separate"/>
      </w:r>
      <w:r>
        <w:rPr>
          <w:rStyle w:val="59"/>
          <w:rFonts w:cs="Times New Roman"/>
          <w:color w:val="auto"/>
          <w:sz w:val="28"/>
          <w:szCs w:val="28"/>
        </w:rPr>
        <w:t>3.6 规划任务</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_Toc150724276 \h </w:instrText>
      </w:r>
      <w:r>
        <w:rPr>
          <w:rFonts w:cs="Times New Roman"/>
          <w:color w:val="auto"/>
          <w:sz w:val="28"/>
          <w:szCs w:val="28"/>
        </w:rPr>
        <w:fldChar w:fldCharType="separate"/>
      </w:r>
      <w:r>
        <w:rPr>
          <w:rFonts w:cs="Times New Roman"/>
          <w:color w:val="auto"/>
          <w:sz w:val="28"/>
          <w:szCs w:val="28"/>
        </w:rPr>
        <w:t>58</w:t>
      </w:r>
      <w:r>
        <w:rPr>
          <w:rFonts w:cs="Times New Roman"/>
          <w:color w:val="auto"/>
          <w:sz w:val="28"/>
          <w:szCs w:val="28"/>
        </w:rPr>
        <w:fldChar w:fldCharType="end"/>
      </w:r>
      <w:r>
        <w:rPr>
          <w:rFonts w:cs="Times New Roman"/>
          <w:color w:val="auto"/>
          <w:sz w:val="28"/>
          <w:szCs w:val="28"/>
        </w:rPr>
        <w:fldChar w:fldCharType="end"/>
      </w:r>
    </w:p>
    <w:p w14:paraId="024A3E82">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"_Toc150724277" </w:instrText>
      </w:r>
      <w:r>
        <w:fldChar w:fldCharType="separate"/>
      </w:r>
      <w:r>
        <w:rPr>
          <w:rStyle w:val="59"/>
          <w:rFonts w:eastAsia="仿宋_GB2312" w:cs="Times New Roman"/>
          <w:color w:val="auto"/>
          <w:szCs w:val="28"/>
        </w:rPr>
        <w:t>4 总体布局</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_Toc150724277 \h </w:instrText>
      </w:r>
      <w:r>
        <w:rPr>
          <w:rFonts w:eastAsia="仿宋_GB2312" w:cs="Times New Roman"/>
          <w:szCs w:val="28"/>
        </w:rPr>
        <w:fldChar w:fldCharType="separate"/>
      </w:r>
      <w:r>
        <w:rPr>
          <w:rFonts w:eastAsia="仿宋_GB2312" w:cs="Times New Roman"/>
          <w:szCs w:val="28"/>
        </w:rPr>
        <w:t>59</w:t>
      </w:r>
      <w:r>
        <w:rPr>
          <w:rFonts w:eastAsia="仿宋_GB2312" w:cs="Times New Roman"/>
          <w:szCs w:val="28"/>
        </w:rPr>
        <w:fldChar w:fldCharType="end"/>
      </w:r>
      <w:r>
        <w:rPr>
          <w:rFonts w:eastAsia="仿宋_GB2312" w:cs="Times New Roman"/>
          <w:szCs w:val="28"/>
        </w:rPr>
        <w:fldChar w:fldCharType="end"/>
      </w:r>
    </w:p>
    <w:p w14:paraId="754CAC43">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"_Toc150724278" </w:instrText>
      </w:r>
      <w:r>
        <w:fldChar w:fldCharType="separate"/>
      </w:r>
      <w:r>
        <w:rPr>
          <w:rStyle w:val="59"/>
          <w:rFonts w:cs="Times New Roman"/>
          <w:color w:val="auto"/>
          <w:sz w:val="28"/>
          <w:szCs w:val="28"/>
        </w:rPr>
        <w:t>4.1 总体布局</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_Toc150724278 \h </w:instrText>
      </w:r>
      <w:r>
        <w:rPr>
          <w:rFonts w:cs="Times New Roman"/>
          <w:color w:val="auto"/>
          <w:sz w:val="28"/>
          <w:szCs w:val="28"/>
        </w:rPr>
        <w:fldChar w:fldCharType="separate"/>
      </w:r>
      <w:r>
        <w:rPr>
          <w:rFonts w:cs="Times New Roman"/>
          <w:color w:val="auto"/>
          <w:sz w:val="28"/>
          <w:szCs w:val="28"/>
        </w:rPr>
        <w:t>59</w:t>
      </w:r>
      <w:r>
        <w:rPr>
          <w:rFonts w:cs="Times New Roman"/>
          <w:color w:val="auto"/>
          <w:sz w:val="28"/>
          <w:szCs w:val="28"/>
        </w:rPr>
        <w:fldChar w:fldCharType="end"/>
      </w:r>
      <w:r>
        <w:rPr>
          <w:rFonts w:cs="Times New Roman"/>
          <w:color w:val="auto"/>
          <w:sz w:val="28"/>
          <w:szCs w:val="28"/>
        </w:rPr>
        <w:fldChar w:fldCharType="end"/>
      </w:r>
    </w:p>
    <w:p w14:paraId="197971A2">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"_Toc150724279" </w:instrText>
      </w:r>
      <w:r>
        <w:fldChar w:fldCharType="separate"/>
      </w:r>
      <w:r>
        <w:rPr>
          <w:rStyle w:val="59"/>
          <w:rFonts w:cs="Times New Roman"/>
          <w:color w:val="auto"/>
          <w:sz w:val="28"/>
          <w:szCs w:val="28"/>
        </w:rPr>
        <w:t>4.2 区域布局</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_Toc150724279 \h </w:instrText>
      </w:r>
      <w:r>
        <w:rPr>
          <w:rFonts w:cs="Times New Roman"/>
          <w:color w:val="auto"/>
          <w:sz w:val="28"/>
          <w:szCs w:val="28"/>
        </w:rPr>
        <w:fldChar w:fldCharType="separate"/>
      </w:r>
      <w:r>
        <w:rPr>
          <w:rFonts w:cs="Times New Roman"/>
          <w:color w:val="auto"/>
          <w:sz w:val="28"/>
          <w:szCs w:val="28"/>
        </w:rPr>
        <w:t>59</w:t>
      </w:r>
      <w:r>
        <w:rPr>
          <w:rFonts w:cs="Times New Roman"/>
          <w:color w:val="auto"/>
          <w:sz w:val="28"/>
          <w:szCs w:val="28"/>
        </w:rPr>
        <w:fldChar w:fldCharType="end"/>
      </w:r>
      <w:r>
        <w:rPr>
          <w:rFonts w:cs="Times New Roman"/>
          <w:color w:val="auto"/>
          <w:sz w:val="28"/>
          <w:szCs w:val="28"/>
        </w:rPr>
        <w:fldChar w:fldCharType="end"/>
      </w:r>
    </w:p>
    <w:p w14:paraId="63091350">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"_Toc150724280" </w:instrText>
      </w:r>
      <w:r>
        <w:fldChar w:fldCharType="separate"/>
      </w:r>
      <w:r>
        <w:rPr>
          <w:rStyle w:val="59"/>
          <w:rFonts w:cs="Times New Roman"/>
          <w:color w:val="auto"/>
          <w:sz w:val="28"/>
          <w:szCs w:val="28"/>
        </w:rPr>
        <w:t>4.3 重点区域布局</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_Toc150724280 \h </w:instrText>
      </w:r>
      <w:r>
        <w:rPr>
          <w:rFonts w:cs="Times New Roman"/>
          <w:color w:val="auto"/>
          <w:sz w:val="28"/>
          <w:szCs w:val="28"/>
        </w:rPr>
        <w:fldChar w:fldCharType="separate"/>
      </w:r>
      <w:r>
        <w:rPr>
          <w:rFonts w:cs="Times New Roman"/>
          <w:color w:val="auto"/>
          <w:sz w:val="28"/>
          <w:szCs w:val="28"/>
        </w:rPr>
        <w:t>71</w:t>
      </w:r>
      <w:r>
        <w:rPr>
          <w:rFonts w:cs="Times New Roman"/>
          <w:color w:val="auto"/>
          <w:sz w:val="28"/>
          <w:szCs w:val="28"/>
        </w:rPr>
        <w:fldChar w:fldCharType="end"/>
      </w:r>
      <w:r>
        <w:rPr>
          <w:rFonts w:cs="Times New Roman"/>
          <w:color w:val="auto"/>
          <w:sz w:val="28"/>
          <w:szCs w:val="28"/>
        </w:rPr>
        <w:fldChar w:fldCharType="end"/>
      </w:r>
    </w:p>
    <w:p w14:paraId="6E36DE7E">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"_Toc150724281" </w:instrText>
      </w:r>
      <w:r>
        <w:fldChar w:fldCharType="separate"/>
      </w:r>
      <w:r>
        <w:rPr>
          <w:rStyle w:val="59"/>
          <w:rFonts w:eastAsia="仿宋_GB2312" w:cs="Times New Roman"/>
          <w:color w:val="auto"/>
          <w:szCs w:val="28"/>
        </w:rPr>
        <w:t>5 预防规划</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_Toc150724281 \h </w:instrText>
      </w:r>
      <w:r>
        <w:rPr>
          <w:rFonts w:eastAsia="仿宋_GB2312" w:cs="Times New Roman"/>
          <w:szCs w:val="28"/>
        </w:rPr>
        <w:fldChar w:fldCharType="separate"/>
      </w:r>
      <w:r>
        <w:rPr>
          <w:rFonts w:eastAsia="仿宋_GB2312" w:cs="Times New Roman"/>
          <w:szCs w:val="28"/>
        </w:rPr>
        <w:t>77</w:t>
      </w:r>
      <w:r>
        <w:rPr>
          <w:rFonts w:eastAsia="仿宋_GB2312" w:cs="Times New Roman"/>
          <w:szCs w:val="28"/>
        </w:rPr>
        <w:fldChar w:fldCharType="end"/>
      </w:r>
      <w:r>
        <w:rPr>
          <w:rFonts w:eastAsia="仿宋_GB2312" w:cs="Times New Roman"/>
          <w:szCs w:val="28"/>
        </w:rPr>
        <w:fldChar w:fldCharType="end"/>
      </w:r>
    </w:p>
    <w:p w14:paraId="4A028055">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"_Toc150724282" </w:instrText>
      </w:r>
      <w:r>
        <w:fldChar w:fldCharType="separate"/>
      </w:r>
      <w:r>
        <w:rPr>
          <w:rStyle w:val="59"/>
          <w:rFonts w:cs="Times New Roman"/>
          <w:color w:val="auto"/>
          <w:sz w:val="28"/>
          <w:szCs w:val="28"/>
        </w:rPr>
        <w:t>5.1 预防对象范围与对象</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_Toc150724282 \h </w:instrText>
      </w:r>
      <w:r>
        <w:rPr>
          <w:rFonts w:cs="Times New Roman"/>
          <w:color w:val="auto"/>
          <w:sz w:val="28"/>
          <w:szCs w:val="28"/>
        </w:rPr>
        <w:fldChar w:fldCharType="separate"/>
      </w:r>
      <w:r>
        <w:rPr>
          <w:rFonts w:cs="Times New Roman"/>
          <w:color w:val="auto"/>
          <w:sz w:val="28"/>
          <w:szCs w:val="28"/>
        </w:rPr>
        <w:t>77</w:t>
      </w:r>
      <w:r>
        <w:rPr>
          <w:rFonts w:cs="Times New Roman"/>
          <w:color w:val="auto"/>
          <w:sz w:val="28"/>
          <w:szCs w:val="28"/>
        </w:rPr>
        <w:fldChar w:fldCharType="end"/>
      </w:r>
      <w:r>
        <w:rPr>
          <w:rFonts w:cs="Times New Roman"/>
          <w:color w:val="auto"/>
          <w:sz w:val="28"/>
          <w:szCs w:val="28"/>
        </w:rPr>
        <w:fldChar w:fldCharType="end"/>
      </w:r>
    </w:p>
    <w:p w14:paraId="5D0220C2">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"_Toc150724283" </w:instrText>
      </w:r>
      <w:r>
        <w:fldChar w:fldCharType="separate"/>
      </w:r>
      <w:r>
        <w:rPr>
          <w:rStyle w:val="59"/>
          <w:rFonts w:cs="Times New Roman"/>
          <w:color w:val="auto"/>
          <w:sz w:val="28"/>
          <w:szCs w:val="28"/>
        </w:rPr>
        <w:t>5.2措施体系与配置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_Toc150724283 \h </w:instrText>
      </w:r>
      <w:r>
        <w:rPr>
          <w:rFonts w:cs="Times New Roman"/>
          <w:color w:val="auto"/>
          <w:sz w:val="28"/>
          <w:szCs w:val="28"/>
        </w:rPr>
        <w:fldChar w:fldCharType="separate"/>
      </w:r>
      <w:r>
        <w:rPr>
          <w:rFonts w:cs="Times New Roman"/>
          <w:color w:val="auto"/>
          <w:sz w:val="28"/>
          <w:szCs w:val="28"/>
        </w:rPr>
        <w:t>77</w:t>
      </w:r>
      <w:r>
        <w:rPr>
          <w:rFonts w:cs="Times New Roman"/>
          <w:color w:val="auto"/>
          <w:sz w:val="28"/>
          <w:szCs w:val="28"/>
        </w:rPr>
        <w:fldChar w:fldCharType="end"/>
      </w:r>
      <w:r>
        <w:rPr>
          <w:rFonts w:cs="Times New Roman"/>
          <w:color w:val="auto"/>
          <w:sz w:val="28"/>
          <w:szCs w:val="28"/>
        </w:rPr>
        <w:fldChar w:fldCharType="end"/>
      </w:r>
    </w:p>
    <w:p w14:paraId="35AF9130">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"_Toc150724284" </w:instrText>
      </w:r>
      <w:r>
        <w:fldChar w:fldCharType="separate"/>
      </w:r>
      <w:r>
        <w:rPr>
          <w:rStyle w:val="59"/>
          <w:rFonts w:cs="Times New Roman"/>
          <w:color w:val="auto"/>
          <w:sz w:val="28"/>
          <w:szCs w:val="28"/>
        </w:rPr>
        <w:t>5.3 重点预防项目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_Toc150724284 \h </w:instrText>
      </w:r>
      <w:r>
        <w:rPr>
          <w:rFonts w:cs="Times New Roman"/>
          <w:color w:val="auto"/>
          <w:sz w:val="28"/>
          <w:szCs w:val="28"/>
        </w:rPr>
        <w:fldChar w:fldCharType="separate"/>
      </w:r>
      <w:r>
        <w:rPr>
          <w:rFonts w:cs="Times New Roman"/>
          <w:color w:val="auto"/>
          <w:sz w:val="28"/>
          <w:szCs w:val="28"/>
        </w:rPr>
        <w:t>78</w:t>
      </w:r>
      <w:r>
        <w:rPr>
          <w:rFonts w:cs="Times New Roman"/>
          <w:color w:val="auto"/>
          <w:sz w:val="28"/>
          <w:szCs w:val="28"/>
        </w:rPr>
        <w:fldChar w:fldCharType="end"/>
      </w:r>
      <w:r>
        <w:rPr>
          <w:rFonts w:cs="Times New Roman"/>
          <w:color w:val="auto"/>
          <w:sz w:val="28"/>
          <w:szCs w:val="28"/>
        </w:rPr>
        <w:fldChar w:fldCharType="end"/>
      </w:r>
    </w:p>
    <w:p w14:paraId="2B61A8B1">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"_Toc150724285" </w:instrText>
      </w:r>
      <w:r>
        <w:fldChar w:fldCharType="separate"/>
      </w:r>
      <w:r>
        <w:rPr>
          <w:rStyle w:val="59"/>
          <w:rFonts w:eastAsia="仿宋_GB2312" w:cs="Times New Roman"/>
          <w:color w:val="auto"/>
          <w:szCs w:val="28"/>
        </w:rPr>
        <w:t>6 治理规划</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_Toc150724285 \h </w:instrText>
      </w:r>
      <w:r>
        <w:rPr>
          <w:rFonts w:eastAsia="仿宋_GB2312" w:cs="Times New Roman"/>
          <w:szCs w:val="28"/>
        </w:rPr>
        <w:fldChar w:fldCharType="separate"/>
      </w:r>
      <w:r>
        <w:rPr>
          <w:rFonts w:eastAsia="仿宋_GB2312" w:cs="Times New Roman"/>
          <w:szCs w:val="28"/>
        </w:rPr>
        <w:t>83</w:t>
      </w:r>
      <w:r>
        <w:rPr>
          <w:rFonts w:eastAsia="仿宋_GB2312" w:cs="Times New Roman"/>
          <w:szCs w:val="28"/>
        </w:rPr>
        <w:fldChar w:fldCharType="end"/>
      </w:r>
      <w:r>
        <w:rPr>
          <w:rFonts w:eastAsia="仿宋_GB2312" w:cs="Times New Roman"/>
          <w:szCs w:val="28"/>
        </w:rPr>
        <w:fldChar w:fldCharType="end"/>
      </w:r>
    </w:p>
    <w:p w14:paraId="5C91685D">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"_Toc150724286" </w:instrText>
      </w:r>
      <w:r>
        <w:fldChar w:fldCharType="separate"/>
      </w:r>
      <w:r>
        <w:rPr>
          <w:rStyle w:val="59"/>
          <w:rFonts w:cs="Times New Roman"/>
          <w:color w:val="auto"/>
          <w:sz w:val="28"/>
          <w:szCs w:val="28"/>
        </w:rPr>
        <w:t>6.1 治理范围与对象</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_Toc150724286 \h </w:instrText>
      </w:r>
      <w:r>
        <w:rPr>
          <w:rFonts w:cs="Times New Roman"/>
          <w:color w:val="auto"/>
          <w:sz w:val="28"/>
          <w:szCs w:val="28"/>
        </w:rPr>
        <w:fldChar w:fldCharType="separate"/>
      </w:r>
      <w:r>
        <w:rPr>
          <w:rFonts w:cs="Times New Roman"/>
          <w:color w:val="auto"/>
          <w:sz w:val="28"/>
          <w:szCs w:val="28"/>
        </w:rPr>
        <w:t>83</w:t>
      </w:r>
      <w:r>
        <w:rPr>
          <w:rFonts w:cs="Times New Roman"/>
          <w:color w:val="auto"/>
          <w:sz w:val="28"/>
          <w:szCs w:val="28"/>
        </w:rPr>
        <w:fldChar w:fldCharType="end"/>
      </w:r>
      <w:r>
        <w:rPr>
          <w:rFonts w:cs="Times New Roman"/>
          <w:color w:val="auto"/>
          <w:sz w:val="28"/>
          <w:szCs w:val="28"/>
        </w:rPr>
        <w:fldChar w:fldCharType="end"/>
      </w:r>
    </w:p>
    <w:p w14:paraId="515D9E5C">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"_Toc150724287" </w:instrText>
      </w:r>
      <w:r>
        <w:fldChar w:fldCharType="separate"/>
      </w:r>
      <w:r>
        <w:rPr>
          <w:rStyle w:val="59"/>
          <w:rFonts w:cs="Times New Roman"/>
          <w:color w:val="auto"/>
          <w:sz w:val="28"/>
          <w:szCs w:val="28"/>
        </w:rPr>
        <w:t>6.2 措施体系与配置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_Toc150724287 \h </w:instrText>
      </w:r>
      <w:r>
        <w:rPr>
          <w:rFonts w:cs="Times New Roman"/>
          <w:color w:val="auto"/>
          <w:sz w:val="28"/>
          <w:szCs w:val="28"/>
        </w:rPr>
        <w:fldChar w:fldCharType="separate"/>
      </w:r>
      <w:r>
        <w:rPr>
          <w:rFonts w:cs="Times New Roman"/>
          <w:color w:val="auto"/>
          <w:sz w:val="28"/>
          <w:szCs w:val="28"/>
        </w:rPr>
        <w:t>83</w:t>
      </w:r>
      <w:r>
        <w:rPr>
          <w:rFonts w:cs="Times New Roman"/>
          <w:color w:val="auto"/>
          <w:sz w:val="28"/>
          <w:szCs w:val="28"/>
        </w:rPr>
        <w:fldChar w:fldCharType="end"/>
      </w:r>
      <w:r>
        <w:rPr>
          <w:rFonts w:cs="Times New Roman"/>
          <w:color w:val="auto"/>
          <w:sz w:val="28"/>
          <w:szCs w:val="28"/>
        </w:rPr>
        <w:fldChar w:fldCharType="end"/>
      </w:r>
    </w:p>
    <w:p w14:paraId="0F9122D1">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"_Toc150724288" </w:instrText>
      </w:r>
      <w:r>
        <w:fldChar w:fldCharType="separate"/>
      </w:r>
      <w:r>
        <w:rPr>
          <w:rStyle w:val="59"/>
          <w:rFonts w:cs="Times New Roman"/>
          <w:color w:val="auto"/>
          <w:sz w:val="28"/>
          <w:szCs w:val="28"/>
        </w:rPr>
        <w:t>6.3 重点治理项目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_Toc150724288 \h </w:instrText>
      </w:r>
      <w:r>
        <w:rPr>
          <w:rFonts w:cs="Times New Roman"/>
          <w:color w:val="auto"/>
          <w:sz w:val="28"/>
          <w:szCs w:val="28"/>
        </w:rPr>
        <w:fldChar w:fldCharType="separate"/>
      </w:r>
      <w:r>
        <w:rPr>
          <w:rFonts w:cs="Times New Roman"/>
          <w:color w:val="auto"/>
          <w:sz w:val="28"/>
          <w:szCs w:val="28"/>
        </w:rPr>
        <w:t>86</w:t>
      </w:r>
      <w:r>
        <w:rPr>
          <w:rFonts w:cs="Times New Roman"/>
          <w:color w:val="auto"/>
          <w:sz w:val="28"/>
          <w:szCs w:val="28"/>
        </w:rPr>
        <w:fldChar w:fldCharType="end"/>
      </w:r>
      <w:r>
        <w:rPr>
          <w:rFonts w:cs="Times New Roman"/>
          <w:color w:val="auto"/>
          <w:sz w:val="28"/>
          <w:szCs w:val="28"/>
        </w:rPr>
        <w:fldChar w:fldCharType="end"/>
      </w:r>
    </w:p>
    <w:p w14:paraId="4DF154E9">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"_Toc150724289" </w:instrText>
      </w:r>
      <w:r>
        <w:fldChar w:fldCharType="separate"/>
      </w:r>
      <w:r>
        <w:rPr>
          <w:rStyle w:val="59"/>
          <w:rFonts w:eastAsia="仿宋_GB2312" w:cs="Times New Roman"/>
          <w:color w:val="auto"/>
          <w:szCs w:val="28"/>
        </w:rPr>
        <w:t>7 监测规划</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_Toc150724289 \h </w:instrText>
      </w:r>
      <w:r>
        <w:rPr>
          <w:rFonts w:eastAsia="仿宋_GB2312" w:cs="Times New Roman"/>
          <w:szCs w:val="28"/>
        </w:rPr>
        <w:fldChar w:fldCharType="separate"/>
      </w:r>
      <w:r>
        <w:rPr>
          <w:rFonts w:eastAsia="仿宋_GB2312" w:cs="Times New Roman"/>
          <w:szCs w:val="28"/>
        </w:rPr>
        <w:t>90</w:t>
      </w:r>
      <w:r>
        <w:rPr>
          <w:rFonts w:eastAsia="仿宋_GB2312" w:cs="Times New Roman"/>
          <w:szCs w:val="28"/>
        </w:rPr>
        <w:fldChar w:fldCharType="end"/>
      </w:r>
      <w:r>
        <w:rPr>
          <w:rFonts w:eastAsia="仿宋_GB2312" w:cs="Times New Roman"/>
          <w:szCs w:val="28"/>
        </w:rPr>
        <w:fldChar w:fldCharType="end"/>
      </w:r>
    </w:p>
    <w:p w14:paraId="3E535632">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"_Toc150724290" </w:instrText>
      </w:r>
      <w:r>
        <w:fldChar w:fldCharType="separate"/>
      </w:r>
      <w:r>
        <w:rPr>
          <w:rStyle w:val="59"/>
          <w:rFonts w:cs="Times New Roman"/>
          <w:color w:val="auto"/>
          <w:sz w:val="28"/>
          <w:szCs w:val="28"/>
        </w:rPr>
        <w:t>7.1 监测目标</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_Toc150724290 \h </w:instrText>
      </w:r>
      <w:r>
        <w:rPr>
          <w:rFonts w:cs="Times New Roman"/>
          <w:color w:val="auto"/>
          <w:sz w:val="28"/>
          <w:szCs w:val="28"/>
        </w:rPr>
        <w:fldChar w:fldCharType="separate"/>
      </w:r>
      <w:r>
        <w:rPr>
          <w:rFonts w:cs="Times New Roman"/>
          <w:color w:val="auto"/>
          <w:sz w:val="28"/>
          <w:szCs w:val="28"/>
        </w:rPr>
        <w:t>90</w:t>
      </w:r>
      <w:r>
        <w:rPr>
          <w:rFonts w:cs="Times New Roman"/>
          <w:color w:val="auto"/>
          <w:sz w:val="28"/>
          <w:szCs w:val="28"/>
        </w:rPr>
        <w:fldChar w:fldCharType="end"/>
      </w:r>
      <w:r>
        <w:rPr>
          <w:rFonts w:cs="Times New Roman"/>
          <w:color w:val="auto"/>
          <w:sz w:val="28"/>
          <w:szCs w:val="28"/>
        </w:rPr>
        <w:fldChar w:fldCharType="end"/>
      </w:r>
    </w:p>
    <w:p w14:paraId="1E1E970E">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"_Toc150724291" </w:instrText>
      </w:r>
      <w:r>
        <w:fldChar w:fldCharType="separate"/>
      </w:r>
      <w:r>
        <w:rPr>
          <w:rStyle w:val="59"/>
          <w:rFonts w:cs="Times New Roman"/>
          <w:color w:val="auto"/>
          <w:sz w:val="28"/>
          <w:szCs w:val="28"/>
        </w:rPr>
        <w:t>7.2 监测站网建设总体布局</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_Toc150724291 \h </w:instrText>
      </w:r>
      <w:r>
        <w:rPr>
          <w:rFonts w:cs="Times New Roman"/>
          <w:color w:val="auto"/>
          <w:sz w:val="28"/>
          <w:szCs w:val="28"/>
        </w:rPr>
        <w:fldChar w:fldCharType="separate"/>
      </w:r>
      <w:r>
        <w:rPr>
          <w:rFonts w:cs="Times New Roman"/>
          <w:color w:val="auto"/>
          <w:sz w:val="28"/>
          <w:szCs w:val="28"/>
        </w:rPr>
        <w:t>90</w:t>
      </w:r>
      <w:r>
        <w:rPr>
          <w:rFonts w:cs="Times New Roman"/>
          <w:color w:val="auto"/>
          <w:sz w:val="28"/>
          <w:szCs w:val="28"/>
        </w:rPr>
        <w:fldChar w:fldCharType="end"/>
      </w:r>
      <w:r>
        <w:rPr>
          <w:rFonts w:cs="Times New Roman"/>
          <w:color w:val="auto"/>
          <w:sz w:val="28"/>
          <w:szCs w:val="28"/>
        </w:rPr>
        <w:fldChar w:fldCharType="end"/>
      </w:r>
    </w:p>
    <w:p w14:paraId="1695B43A">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"_Toc150724292" </w:instrText>
      </w:r>
      <w:r>
        <w:fldChar w:fldCharType="separate"/>
      </w:r>
      <w:r>
        <w:rPr>
          <w:rStyle w:val="59"/>
          <w:rFonts w:cs="Times New Roman"/>
          <w:color w:val="auto"/>
          <w:sz w:val="28"/>
          <w:szCs w:val="28"/>
        </w:rPr>
        <w:t>7.3 水土保持监测内容</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_Toc150724292 \h </w:instrText>
      </w:r>
      <w:r>
        <w:rPr>
          <w:rFonts w:cs="Times New Roman"/>
          <w:color w:val="auto"/>
          <w:sz w:val="28"/>
          <w:szCs w:val="28"/>
        </w:rPr>
        <w:fldChar w:fldCharType="separate"/>
      </w:r>
      <w:r>
        <w:rPr>
          <w:rFonts w:cs="Times New Roman"/>
          <w:color w:val="auto"/>
          <w:sz w:val="28"/>
          <w:szCs w:val="28"/>
        </w:rPr>
        <w:t>93</w:t>
      </w:r>
      <w:r>
        <w:rPr>
          <w:rFonts w:cs="Times New Roman"/>
          <w:color w:val="auto"/>
          <w:sz w:val="28"/>
          <w:szCs w:val="28"/>
        </w:rPr>
        <w:fldChar w:fldCharType="end"/>
      </w:r>
      <w:r>
        <w:rPr>
          <w:rFonts w:cs="Times New Roman"/>
          <w:color w:val="auto"/>
          <w:sz w:val="28"/>
          <w:szCs w:val="28"/>
        </w:rPr>
        <w:fldChar w:fldCharType="end"/>
      </w:r>
    </w:p>
    <w:p w14:paraId="082FDB22">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"_Toc150724293" </w:instrText>
      </w:r>
      <w:r>
        <w:fldChar w:fldCharType="separate"/>
      </w:r>
      <w:r>
        <w:rPr>
          <w:rStyle w:val="59"/>
          <w:rFonts w:cs="Times New Roman"/>
          <w:color w:val="auto"/>
          <w:sz w:val="28"/>
          <w:szCs w:val="28"/>
        </w:rPr>
        <w:t>7.4 重点监测项目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_Toc150724293 \h </w:instrText>
      </w:r>
      <w:r>
        <w:rPr>
          <w:rFonts w:cs="Times New Roman"/>
          <w:color w:val="auto"/>
          <w:sz w:val="28"/>
          <w:szCs w:val="28"/>
        </w:rPr>
        <w:fldChar w:fldCharType="separate"/>
      </w:r>
      <w:r>
        <w:rPr>
          <w:rFonts w:cs="Times New Roman"/>
          <w:color w:val="auto"/>
          <w:sz w:val="28"/>
          <w:szCs w:val="28"/>
        </w:rPr>
        <w:t>94</w:t>
      </w:r>
      <w:r>
        <w:rPr>
          <w:rFonts w:cs="Times New Roman"/>
          <w:color w:val="auto"/>
          <w:sz w:val="28"/>
          <w:szCs w:val="28"/>
        </w:rPr>
        <w:fldChar w:fldCharType="end"/>
      </w:r>
      <w:r>
        <w:rPr>
          <w:rFonts w:cs="Times New Roman"/>
          <w:color w:val="auto"/>
          <w:sz w:val="28"/>
          <w:szCs w:val="28"/>
        </w:rPr>
        <w:fldChar w:fldCharType="end"/>
      </w:r>
    </w:p>
    <w:p w14:paraId="2EF65476">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"_Toc150724294" </w:instrText>
      </w:r>
      <w:r>
        <w:fldChar w:fldCharType="separate"/>
      </w:r>
      <w:r>
        <w:rPr>
          <w:rStyle w:val="59"/>
          <w:rFonts w:cs="Times New Roman"/>
          <w:color w:val="auto"/>
          <w:sz w:val="28"/>
          <w:szCs w:val="28"/>
        </w:rPr>
        <w:t>7.5 监测运行保障措施</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_Toc150724294 \h </w:instrText>
      </w:r>
      <w:r>
        <w:rPr>
          <w:rFonts w:cs="Times New Roman"/>
          <w:color w:val="auto"/>
          <w:sz w:val="28"/>
          <w:szCs w:val="28"/>
        </w:rPr>
        <w:fldChar w:fldCharType="separate"/>
      </w:r>
      <w:r>
        <w:rPr>
          <w:rFonts w:cs="Times New Roman"/>
          <w:color w:val="auto"/>
          <w:sz w:val="28"/>
          <w:szCs w:val="28"/>
        </w:rPr>
        <w:t>95</w:t>
      </w:r>
      <w:r>
        <w:rPr>
          <w:rFonts w:cs="Times New Roman"/>
          <w:color w:val="auto"/>
          <w:sz w:val="28"/>
          <w:szCs w:val="28"/>
        </w:rPr>
        <w:fldChar w:fldCharType="end"/>
      </w:r>
      <w:r>
        <w:rPr>
          <w:rFonts w:cs="Times New Roman"/>
          <w:color w:val="auto"/>
          <w:sz w:val="28"/>
          <w:szCs w:val="28"/>
        </w:rPr>
        <w:fldChar w:fldCharType="end"/>
      </w:r>
    </w:p>
    <w:p w14:paraId="3B12F3AE">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"_Toc150724295" </w:instrText>
      </w:r>
      <w:r>
        <w:fldChar w:fldCharType="separate"/>
      </w:r>
      <w:r>
        <w:rPr>
          <w:rStyle w:val="59"/>
          <w:rFonts w:eastAsia="仿宋_GB2312" w:cs="Times New Roman"/>
          <w:color w:val="auto"/>
          <w:szCs w:val="28"/>
        </w:rPr>
        <w:t>8 综合监管规划</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_Toc150724295 \h </w:instrText>
      </w:r>
      <w:r>
        <w:rPr>
          <w:rFonts w:eastAsia="仿宋_GB2312" w:cs="Times New Roman"/>
          <w:szCs w:val="28"/>
        </w:rPr>
        <w:fldChar w:fldCharType="separate"/>
      </w:r>
      <w:r>
        <w:rPr>
          <w:rFonts w:eastAsia="仿宋_GB2312" w:cs="Times New Roman"/>
          <w:szCs w:val="28"/>
        </w:rPr>
        <w:t>97</w:t>
      </w:r>
      <w:r>
        <w:rPr>
          <w:rFonts w:eastAsia="仿宋_GB2312" w:cs="Times New Roman"/>
          <w:szCs w:val="28"/>
        </w:rPr>
        <w:fldChar w:fldCharType="end"/>
      </w:r>
      <w:r>
        <w:rPr>
          <w:rFonts w:eastAsia="仿宋_GB2312" w:cs="Times New Roman"/>
          <w:szCs w:val="28"/>
        </w:rPr>
        <w:fldChar w:fldCharType="end"/>
      </w:r>
    </w:p>
    <w:p w14:paraId="611B389E">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"_Toc150724296" </w:instrText>
      </w:r>
      <w:r>
        <w:fldChar w:fldCharType="separate"/>
      </w:r>
      <w:r>
        <w:rPr>
          <w:rStyle w:val="59"/>
          <w:rFonts w:cs="Times New Roman"/>
          <w:color w:val="auto"/>
          <w:sz w:val="28"/>
          <w:szCs w:val="28"/>
        </w:rPr>
        <w:t>8.1 规划管理</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_Toc150724296 \h </w:instrText>
      </w:r>
      <w:r>
        <w:rPr>
          <w:rFonts w:cs="Times New Roman"/>
          <w:color w:val="auto"/>
          <w:sz w:val="28"/>
          <w:szCs w:val="28"/>
        </w:rPr>
        <w:fldChar w:fldCharType="separate"/>
      </w:r>
      <w:r>
        <w:rPr>
          <w:rFonts w:cs="Times New Roman"/>
          <w:color w:val="auto"/>
          <w:sz w:val="28"/>
          <w:szCs w:val="28"/>
        </w:rPr>
        <w:t>97</w:t>
      </w:r>
      <w:r>
        <w:rPr>
          <w:rFonts w:cs="Times New Roman"/>
          <w:color w:val="auto"/>
          <w:sz w:val="28"/>
          <w:szCs w:val="28"/>
        </w:rPr>
        <w:fldChar w:fldCharType="end"/>
      </w:r>
      <w:r>
        <w:rPr>
          <w:rFonts w:cs="Times New Roman"/>
          <w:color w:val="auto"/>
          <w:sz w:val="28"/>
          <w:szCs w:val="28"/>
        </w:rPr>
        <w:fldChar w:fldCharType="end"/>
      </w:r>
    </w:p>
    <w:p w14:paraId="6C580081">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"_Toc150724297" </w:instrText>
      </w:r>
      <w:r>
        <w:fldChar w:fldCharType="separate"/>
      </w:r>
      <w:r>
        <w:rPr>
          <w:rStyle w:val="59"/>
          <w:rFonts w:cs="Times New Roman"/>
          <w:color w:val="auto"/>
          <w:sz w:val="28"/>
          <w:szCs w:val="28"/>
        </w:rPr>
        <w:t>8.2 监督管理</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_Toc150724297 \h </w:instrText>
      </w:r>
      <w:r>
        <w:rPr>
          <w:rFonts w:cs="Times New Roman"/>
          <w:color w:val="auto"/>
          <w:sz w:val="28"/>
          <w:szCs w:val="28"/>
        </w:rPr>
        <w:fldChar w:fldCharType="separate"/>
      </w:r>
      <w:r>
        <w:rPr>
          <w:rFonts w:cs="Times New Roman"/>
          <w:color w:val="auto"/>
          <w:sz w:val="28"/>
          <w:szCs w:val="28"/>
        </w:rPr>
        <w:t>97</w:t>
      </w:r>
      <w:r>
        <w:rPr>
          <w:rFonts w:cs="Times New Roman"/>
          <w:color w:val="auto"/>
          <w:sz w:val="28"/>
          <w:szCs w:val="28"/>
        </w:rPr>
        <w:fldChar w:fldCharType="end"/>
      </w:r>
      <w:r>
        <w:rPr>
          <w:rFonts w:cs="Times New Roman"/>
          <w:color w:val="auto"/>
          <w:sz w:val="28"/>
          <w:szCs w:val="28"/>
        </w:rPr>
        <w:fldChar w:fldCharType="end"/>
      </w:r>
    </w:p>
    <w:p w14:paraId="07183F6A">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"_Toc150724298" </w:instrText>
      </w:r>
      <w:r>
        <w:fldChar w:fldCharType="separate"/>
      </w:r>
      <w:r>
        <w:rPr>
          <w:rStyle w:val="59"/>
          <w:rFonts w:cs="Times New Roman"/>
          <w:color w:val="auto"/>
          <w:sz w:val="28"/>
          <w:szCs w:val="28"/>
        </w:rPr>
        <w:t>8.3 能力建设</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_Toc150724298 \h </w:instrText>
      </w:r>
      <w:r>
        <w:rPr>
          <w:rFonts w:cs="Times New Roman"/>
          <w:color w:val="auto"/>
          <w:sz w:val="28"/>
          <w:szCs w:val="28"/>
        </w:rPr>
        <w:fldChar w:fldCharType="separate"/>
      </w:r>
      <w:r>
        <w:rPr>
          <w:rFonts w:cs="Times New Roman"/>
          <w:color w:val="auto"/>
          <w:sz w:val="28"/>
          <w:szCs w:val="28"/>
        </w:rPr>
        <w:t>100</w:t>
      </w:r>
      <w:r>
        <w:rPr>
          <w:rFonts w:cs="Times New Roman"/>
          <w:color w:val="auto"/>
          <w:sz w:val="28"/>
          <w:szCs w:val="28"/>
        </w:rPr>
        <w:fldChar w:fldCharType="end"/>
      </w:r>
      <w:r>
        <w:rPr>
          <w:rFonts w:cs="Times New Roman"/>
          <w:color w:val="auto"/>
          <w:sz w:val="28"/>
          <w:szCs w:val="28"/>
        </w:rPr>
        <w:fldChar w:fldCharType="end"/>
      </w:r>
    </w:p>
    <w:p w14:paraId="4845845F">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"_Toc150724299" </w:instrText>
      </w:r>
      <w:r>
        <w:fldChar w:fldCharType="separate"/>
      </w:r>
      <w:r>
        <w:rPr>
          <w:rStyle w:val="59"/>
          <w:rFonts w:cs="Times New Roman"/>
          <w:color w:val="auto"/>
          <w:sz w:val="28"/>
          <w:szCs w:val="28"/>
        </w:rPr>
        <w:t>8.4 科技支撑</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_Toc150724299 \h </w:instrText>
      </w:r>
      <w:r>
        <w:rPr>
          <w:rFonts w:cs="Times New Roman"/>
          <w:color w:val="auto"/>
          <w:sz w:val="28"/>
          <w:szCs w:val="28"/>
        </w:rPr>
        <w:fldChar w:fldCharType="separate"/>
      </w:r>
      <w:r>
        <w:rPr>
          <w:rFonts w:cs="Times New Roman"/>
          <w:color w:val="auto"/>
          <w:sz w:val="28"/>
          <w:szCs w:val="28"/>
        </w:rPr>
        <w:t>101</w:t>
      </w:r>
      <w:r>
        <w:rPr>
          <w:rFonts w:cs="Times New Roman"/>
          <w:color w:val="auto"/>
          <w:sz w:val="28"/>
          <w:szCs w:val="28"/>
        </w:rPr>
        <w:fldChar w:fldCharType="end"/>
      </w:r>
      <w:r>
        <w:rPr>
          <w:rFonts w:cs="Times New Roman"/>
          <w:color w:val="auto"/>
          <w:sz w:val="28"/>
          <w:szCs w:val="28"/>
        </w:rPr>
        <w:fldChar w:fldCharType="end"/>
      </w:r>
    </w:p>
    <w:p w14:paraId="2DF41990">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"_Toc150724300" </w:instrText>
      </w:r>
      <w:r>
        <w:fldChar w:fldCharType="separate"/>
      </w:r>
      <w:r>
        <w:rPr>
          <w:rStyle w:val="59"/>
          <w:rFonts w:cs="Times New Roman"/>
          <w:color w:val="auto"/>
          <w:sz w:val="28"/>
          <w:szCs w:val="28"/>
        </w:rPr>
        <w:t>8.5 基础设施与管理能力建设</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_Toc150724300 \h </w:instrText>
      </w:r>
      <w:r>
        <w:rPr>
          <w:rFonts w:cs="Times New Roman"/>
          <w:color w:val="auto"/>
          <w:sz w:val="28"/>
          <w:szCs w:val="28"/>
        </w:rPr>
        <w:fldChar w:fldCharType="separate"/>
      </w:r>
      <w:r>
        <w:rPr>
          <w:rFonts w:cs="Times New Roman"/>
          <w:color w:val="auto"/>
          <w:sz w:val="28"/>
          <w:szCs w:val="28"/>
        </w:rPr>
        <w:t>102</w:t>
      </w:r>
      <w:r>
        <w:rPr>
          <w:rFonts w:cs="Times New Roman"/>
          <w:color w:val="auto"/>
          <w:sz w:val="28"/>
          <w:szCs w:val="28"/>
        </w:rPr>
        <w:fldChar w:fldCharType="end"/>
      </w:r>
      <w:r>
        <w:rPr>
          <w:rFonts w:cs="Times New Roman"/>
          <w:color w:val="auto"/>
          <w:sz w:val="28"/>
          <w:szCs w:val="28"/>
        </w:rPr>
        <w:fldChar w:fldCharType="end"/>
      </w:r>
    </w:p>
    <w:p w14:paraId="0885761E">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"_Toc150724301" </w:instrText>
      </w:r>
      <w:r>
        <w:fldChar w:fldCharType="separate"/>
      </w:r>
      <w:r>
        <w:rPr>
          <w:rStyle w:val="59"/>
          <w:rFonts w:cs="Times New Roman"/>
          <w:color w:val="auto"/>
          <w:sz w:val="28"/>
          <w:szCs w:val="28"/>
        </w:rPr>
        <w:t>8.6 息化规划</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_Toc150724301 \h </w:instrText>
      </w:r>
      <w:r>
        <w:rPr>
          <w:rFonts w:cs="Times New Roman"/>
          <w:color w:val="auto"/>
          <w:sz w:val="28"/>
          <w:szCs w:val="28"/>
        </w:rPr>
        <w:fldChar w:fldCharType="separate"/>
      </w:r>
      <w:r>
        <w:rPr>
          <w:rFonts w:cs="Times New Roman"/>
          <w:color w:val="auto"/>
          <w:sz w:val="28"/>
          <w:szCs w:val="28"/>
        </w:rPr>
        <w:t>104</w:t>
      </w:r>
      <w:r>
        <w:rPr>
          <w:rFonts w:cs="Times New Roman"/>
          <w:color w:val="auto"/>
          <w:sz w:val="28"/>
          <w:szCs w:val="28"/>
        </w:rPr>
        <w:fldChar w:fldCharType="end"/>
      </w:r>
      <w:r>
        <w:rPr>
          <w:rFonts w:cs="Times New Roman"/>
          <w:color w:val="auto"/>
          <w:sz w:val="28"/>
          <w:szCs w:val="28"/>
        </w:rPr>
        <w:fldChar w:fldCharType="end"/>
      </w:r>
    </w:p>
    <w:p w14:paraId="03111759">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"_Toc150724302" </w:instrText>
      </w:r>
      <w:r>
        <w:fldChar w:fldCharType="separate"/>
      </w:r>
      <w:r>
        <w:rPr>
          <w:rStyle w:val="59"/>
          <w:rFonts w:eastAsia="仿宋_GB2312" w:cs="Times New Roman"/>
          <w:color w:val="auto"/>
          <w:szCs w:val="28"/>
        </w:rPr>
        <w:t>9 实施进度及投资匡算</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_Toc150724302 \h </w:instrText>
      </w:r>
      <w:r>
        <w:rPr>
          <w:rFonts w:eastAsia="仿宋_GB2312" w:cs="Times New Roman"/>
          <w:szCs w:val="28"/>
        </w:rPr>
        <w:fldChar w:fldCharType="separate"/>
      </w:r>
      <w:r>
        <w:rPr>
          <w:rFonts w:eastAsia="仿宋_GB2312" w:cs="Times New Roman"/>
          <w:szCs w:val="28"/>
        </w:rPr>
        <w:t>112</w:t>
      </w:r>
      <w:r>
        <w:rPr>
          <w:rFonts w:eastAsia="仿宋_GB2312" w:cs="Times New Roman"/>
          <w:szCs w:val="28"/>
        </w:rPr>
        <w:fldChar w:fldCharType="end"/>
      </w:r>
      <w:r>
        <w:rPr>
          <w:rFonts w:eastAsia="仿宋_GB2312" w:cs="Times New Roman"/>
          <w:szCs w:val="28"/>
        </w:rPr>
        <w:fldChar w:fldCharType="end"/>
      </w:r>
    </w:p>
    <w:p w14:paraId="41B95885">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"_Toc150724303" </w:instrText>
      </w:r>
      <w:r>
        <w:fldChar w:fldCharType="separate"/>
      </w:r>
      <w:r>
        <w:rPr>
          <w:rStyle w:val="59"/>
          <w:rFonts w:cs="Times New Roman"/>
          <w:color w:val="auto"/>
          <w:sz w:val="28"/>
          <w:szCs w:val="28"/>
        </w:rPr>
        <w:t>9.1 规划实施原则</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_Toc150724303 \h </w:instrText>
      </w:r>
      <w:r>
        <w:rPr>
          <w:rFonts w:cs="Times New Roman"/>
          <w:color w:val="auto"/>
          <w:sz w:val="28"/>
          <w:szCs w:val="28"/>
        </w:rPr>
        <w:fldChar w:fldCharType="separate"/>
      </w:r>
      <w:r>
        <w:rPr>
          <w:rFonts w:cs="Times New Roman"/>
          <w:color w:val="auto"/>
          <w:sz w:val="28"/>
          <w:szCs w:val="28"/>
        </w:rPr>
        <w:t>112</w:t>
      </w:r>
      <w:r>
        <w:rPr>
          <w:rFonts w:cs="Times New Roman"/>
          <w:color w:val="auto"/>
          <w:sz w:val="28"/>
          <w:szCs w:val="28"/>
        </w:rPr>
        <w:fldChar w:fldCharType="end"/>
      </w:r>
      <w:r>
        <w:rPr>
          <w:rFonts w:cs="Times New Roman"/>
          <w:color w:val="auto"/>
          <w:sz w:val="28"/>
          <w:szCs w:val="28"/>
        </w:rPr>
        <w:fldChar w:fldCharType="end"/>
      </w:r>
    </w:p>
    <w:p w14:paraId="7E85C014">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"_Toc150724304" </w:instrText>
      </w:r>
      <w:r>
        <w:fldChar w:fldCharType="separate"/>
      </w:r>
      <w:r>
        <w:rPr>
          <w:rStyle w:val="59"/>
          <w:rFonts w:cs="Times New Roman"/>
          <w:color w:val="auto"/>
          <w:sz w:val="28"/>
          <w:szCs w:val="28"/>
        </w:rPr>
        <w:t>9.2 重点项目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_Toc150724304 \h </w:instrText>
      </w:r>
      <w:r>
        <w:rPr>
          <w:rFonts w:cs="Times New Roman"/>
          <w:color w:val="auto"/>
          <w:sz w:val="28"/>
          <w:szCs w:val="28"/>
        </w:rPr>
        <w:fldChar w:fldCharType="separate"/>
      </w:r>
      <w:r>
        <w:rPr>
          <w:rFonts w:cs="Times New Roman"/>
          <w:color w:val="auto"/>
          <w:sz w:val="28"/>
          <w:szCs w:val="28"/>
        </w:rPr>
        <w:t>112</w:t>
      </w:r>
      <w:r>
        <w:rPr>
          <w:rFonts w:cs="Times New Roman"/>
          <w:color w:val="auto"/>
          <w:sz w:val="28"/>
          <w:szCs w:val="28"/>
        </w:rPr>
        <w:fldChar w:fldCharType="end"/>
      </w:r>
      <w:r>
        <w:rPr>
          <w:rFonts w:cs="Times New Roman"/>
          <w:color w:val="auto"/>
          <w:sz w:val="28"/>
          <w:szCs w:val="28"/>
        </w:rPr>
        <w:fldChar w:fldCharType="end"/>
      </w:r>
    </w:p>
    <w:p w14:paraId="6C26C755">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"_Toc150724305" </w:instrText>
      </w:r>
      <w:r>
        <w:fldChar w:fldCharType="separate"/>
      </w:r>
      <w:r>
        <w:rPr>
          <w:rStyle w:val="59"/>
          <w:rFonts w:cs="Times New Roman"/>
          <w:color w:val="auto"/>
          <w:sz w:val="28"/>
          <w:szCs w:val="28"/>
        </w:rPr>
        <w:t>9.3 近期重点实施科技支撑项目</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_Toc150724305 \h </w:instrText>
      </w:r>
      <w:r>
        <w:rPr>
          <w:rFonts w:cs="Times New Roman"/>
          <w:color w:val="auto"/>
          <w:sz w:val="28"/>
          <w:szCs w:val="28"/>
        </w:rPr>
        <w:fldChar w:fldCharType="separate"/>
      </w:r>
      <w:r>
        <w:rPr>
          <w:rFonts w:cs="Times New Roman"/>
          <w:color w:val="auto"/>
          <w:sz w:val="28"/>
          <w:szCs w:val="28"/>
        </w:rPr>
        <w:t>114</w:t>
      </w:r>
      <w:r>
        <w:rPr>
          <w:rFonts w:cs="Times New Roman"/>
          <w:color w:val="auto"/>
          <w:sz w:val="28"/>
          <w:szCs w:val="28"/>
        </w:rPr>
        <w:fldChar w:fldCharType="end"/>
      </w:r>
      <w:r>
        <w:rPr>
          <w:rFonts w:cs="Times New Roman"/>
          <w:color w:val="auto"/>
          <w:sz w:val="28"/>
          <w:szCs w:val="28"/>
        </w:rPr>
        <w:fldChar w:fldCharType="end"/>
      </w:r>
    </w:p>
    <w:p w14:paraId="26BA02B0">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"_Toc150724306" </w:instrText>
      </w:r>
      <w:r>
        <w:fldChar w:fldCharType="separate"/>
      </w:r>
      <w:r>
        <w:rPr>
          <w:rStyle w:val="59"/>
          <w:rFonts w:cs="Times New Roman"/>
          <w:color w:val="auto"/>
          <w:sz w:val="28"/>
          <w:szCs w:val="28"/>
        </w:rPr>
        <w:t>9.4 投资匡算</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_Toc150724306 \h </w:instrText>
      </w:r>
      <w:r>
        <w:rPr>
          <w:rFonts w:cs="Times New Roman"/>
          <w:color w:val="auto"/>
          <w:sz w:val="28"/>
          <w:szCs w:val="28"/>
        </w:rPr>
        <w:fldChar w:fldCharType="separate"/>
      </w:r>
      <w:r>
        <w:rPr>
          <w:rFonts w:cs="Times New Roman"/>
          <w:color w:val="auto"/>
          <w:sz w:val="28"/>
          <w:szCs w:val="28"/>
        </w:rPr>
        <w:t>115</w:t>
      </w:r>
      <w:r>
        <w:rPr>
          <w:rFonts w:cs="Times New Roman"/>
          <w:color w:val="auto"/>
          <w:sz w:val="28"/>
          <w:szCs w:val="28"/>
        </w:rPr>
        <w:fldChar w:fldCharType="end"/>
      </w:r>
      <w:r>
        <w:rPr>
          <w:rFonts w:cs="Times New Roman"/>
          <w:color w:val="auto"/>
          <w:sz w:val="28"/>
          <w:szCs w:val="28"/>
        </w:rPr>
        <w:fldChar w:fldCharType="end"/>
      </w:r>
    </w:p>
    <w:p w14:paraId="4905E8B0">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"_Toc150724307" </w:instrText>
      </w:r>
      <w:r>
        <w:fldChar w:fldCharType="separate"/>
      </w:r>
      <w:r>
        <w:rPr>
          <w:rStyle w:val="59"/>
          <w:rFonts w:eastAsia="仿宋_GB2312" w:cs="Times New Roman"/>
          <w:color w:val="auto"/>
          <w:szCs w:val="28"/>
        </w:rPr>
        <w:t>10 实施效果分析</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_Toc150724307 \h </w:instrText>
      </w:r>
      <w:r>
        <w:rPr>
          <w:rFonts w:eastAsia="仿宋_GB2312" w:cs="Times New Roman"/>
          <w:szCs w:val="28"/>
        </w:rPr>
        <w:fldChar w:fldCharType="separate"/>
      </w:r>
      <w:r>
        <w:rPr>
          <w:rFonts w:eastAsia="仿宋_GB2312" w:cs="Times New Roman"/>
          <w:szCs w:val="28"/>
        </w:rPr>
        <w:t>119</w:t>
      </w:r>
      <w:r>
        <w:rPr>
          <w:rFonts w:eastAsia="仿宋_GB2312" w:cs="Times New Roman"/>
          <w:szCs w:val="28"/>
        </w:rPr>
        <w:fldChar w:fldCharType="end"/>
      </w:r>
      <w:r>
        <w:rPr>
          <w:rFonts w:eastAsia="仿宋_GB2312" w:cs="Times New Roman"/>
          <w:szCs w:val="28"/>
        </w:rPr>
        <w:fldChar w:fldCharType="end"/>
      </w:r>
    </w:p>
    <w:p w14:paraId="02BC7E1C">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"_Toc150724308" </w:instrText>
      </w:r>
      <w:r>
        <w:fldChar w:fldCharType="separate"/>
      </w:r>
      <w:r>
        <w:rPr>
          <w:rStyle w:val="59"/>
          <w:rFonts w:cs="Times New Roman"/>
          <w:color w:val="auto"/>
          <w:sz w:val="28"/>
          <w:szCs w:val="28"/>
        </w:rPr>
        <w:t>10.1 蓄水保土效益</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_Toc150724308 \h </w:instrText>
      </w:r>
      <w:r>
        <w:rPr>
          <w:rFonts w:cs="Times New Roman"/>
          <w:color w:val="auto"/>
          <w:sz w:val="28"/>
          <w:szCs w:val="28"/>
        </w:rPr>
        <w:fldChar w:fldCharType="separate"/>
      </w:r>
      <w:r>
        <w:rPr>
          <w:rFonts w:cs="Times New Roman"/>
          <w:color w:val="auto"/>
          <w:sz w:val="28"/>
          <w:szCs w:val="28"/>
        </w:rPr>
        <w:t>119</w:t>
      </w:r>
      <w:r>
        <w:rPr>
          <w:rFonts w:cs="Times New Roman"/>
          <w:color w:val="auto"/>
          <w:sz w:val="28"/>
          <w:szCs w:val="28"/>
        </w:rPr>
        <w:fldChar w:fldCharType="end"/>
      </w:r>
      <w:r>
        <w:rPr>
          <w:rFonts w:cs="Times New Roman"/>
          <w:color w:val="auto"/>
          <w:sz w:val="28"/>
          <w:szCs w:val="28"/>
        </w:rPr>
        <w:fldChar w:fldCharType="end"/>
      </w:r>
    </w:p>
    <w:p w14:paraId="143EA74E">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"_Toc150724309" </w:instrText>
      </w:r>
      <w:r>
        <w:fldChar w:fldCharType="separate"/>
      </w:r>
      <w:r>
        <w:rPr>
          <w:rStyle w:val="59"/>
          <w:rFonts w:cs="Times New Roman"/>
          <w:color w:val="auto"/>
          <w:sz w:val="28"/>
          <w:szCs w:val="28"/>
        </w:rPr>
        <w:t>10.2 经济效益</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_Toc150724309 \h </w:instrText>
      </w:r>
      <w:r>
        <w:rPr>
          <w:rFonts w:cs="Times New Roman"/>
          <w:color w:val="auto"/>
          <w:sz w:val="28"/>
          <w:szCs w:val="28"/>
        </w:rPr>
        <w:fldChar w:fldCharType="separate"/>
      </w:r>
      <w:r>
        <w:rPr>
          <w:rFonts w:cs="Times New Roman"/>
          <w:color w:val="auto"/>
          <w:sz w:val="28"/>
          <w:szCs w:val="28"/>
        </w:rPr>
        <w:t>121</w:t>
      </w:r>
      <w:r>
        <w:rPr>
          <w:rFonts w:cs="Times New Roman"/>
          <w:color w:val="auto"/>
          <w:sz w:val="28"/>
          <w:szCs w:val="28"/>
        </w:rPr>
        <w:fldChar w:fldCharType="end"/>
      </w:r>
      <w:r>
        <w:rPr>
          <w:rFonts w:cs="Times New Roman"/>
          <w:color w:val="auto"/>
          <w:sz w:val="28"/>
          <w:szCs w:val="28"/>
        </w:rPr>
        <w:fldChar w:fldCharType="end"/>
      </w:r>
    </w:p>
    <w:p w14:paraId="42A5187B">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"_Toc150724310" </w:instrText>
      </w:r>
      <w:r>
        <w:fldChar w:fldCharType="separate"/>
      </w:r>
      <w:r>
        <w:rPr>
          <w:rStyle w:val="59"/>
          <w:rFonts w:cs="Times New Roman"/>
          <w:color w:val="auto"/>
          <w:sz w:val="28"/>
          <w:szCs w:val="28"/>
        </w:rPr>
        <w:t>10.3 生态效益</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_Toc150724310 \h </w:instrText>
      </w:r>
      <w:r>
        <w:rPr>
          <w:rFonts w:cs="Times New Roman"/>
          <w:color w:val="auto"/>
          <w:sz w:val="28"/>
          <w:szCs w:val="28"/>
        </w:rPr>
        <w:fldChar w:fldCharType="separate"/>
      </w:r>
      <w:r>
        <w:rPr>
          <w:rFonts w:cs="Times New Roman"/>
          <w:color w:val="auto"/>
          <w:sz w:val="28"/>
          <w:szCs w:val="28"/>
        </w:rPr>
        <w:t>121</w:t>
      </w:r>
      <w:r>
        <w:rPr>
          <w:rFonts w:cs="Times New Roman"/>
          <w:color w:val="auto"/>
          <w:sz w:val="28"/>
          <w:szCs w:val="28"/>
        </w:rPr>
        <w:fldChar w:fldCharType="end"/>
      </w:r>
      <w:r>
        <w:rPr>
          <w:rFonts w:cs="Times New Roman"/>
          <w:color w:val="auto"/>
          <w:sz w:val="28"/>
          <w:szCs w:val="28"/>
        </w:rPr>
        <w:fldChar w:fldCharType="end"/>
      </w:r>
    </w:p>
    <w:p w14:paraId="52A8F98E">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"_Toc150724311" </w:instrText>
      </w:r>
      <w:r>
        <w:fldChar w:fldCharType="separate"/>
      </w:r>
      <w:r>
        <w:rPr>
          <w:rStyle w:val="59"/>
          <w:rFonts w:cs="Times New Roman"/>
          <w:color w:val="auto"/>
          <w:sz w:val="28"/>
          <w:szCs w:val="28"/>
        </w:rPr>
        <w:t>10.4 社会效益</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_Toc150724311 \h </w:instrText>
      </w:r>
      <w:r>
        <w:rPr>
          <w:rFonts w:cs="Times New Roman"/>
          <w:color w:val="auto"/>
          <w:sz w:val="28"/>
          <w:szCs w:val="28"/>
        </w:rPr>
        <w:fldChar w:fldCharType="separate"/>
      </w:r>
      <w:r>
        <w:rPr>
          <w:rFonts w:cs="Times New Roman"/>
          <w:color w:val="auto"/>
          <w:sz w:val="28"/>
          <w:szCs w:val="28"/>
        </w:rPr>
        <w:t>121</w:t>
      </w:r>
      <w:r>
        <w:rPr>
          <w:rFonts w:cs="Times New Roman"/>
          <w:color w:val="auto"/>
          <w:sz w:val="28"/>
          <w:szCs w:val="28"/>
        </w:rPr>
        <w:fldChar w:fldCharType="end"/>
      </w:r>
      <w:r>
        <w:rPr>
          <w:rFonts w:cs="Times New Roman"/>
          <w:color w:val="auto"/>
          <w:sz w:val="28"/>
          <w:szCs w:val="28"/>
        </w:rPr>
        <w:fldChar w:fldCharType="end"/>
      </w:r>
    </w:p>
    <w:p w14:paraId="377A9261">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"_Toc150724312" </w:instrText>
      </w:r>
      <w:r>
        <w:fldChar w:fldCharType="separate"/>
      </w:r>
      <w:r>
        <w:rPr>
          <w:rStyle w:val="59"/>
          <w:rFonts w:cs="Times New Roman"/>
          <w:color w:val="auto"/>
          <w:sz w:val="28"/>
          <w:szCs w:val="28"/>
        </w:rPr>
        <w:t>10.5 社会管理与公共服务能力提升效果分析</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_Toc150724312 \h </w:instrText>
      </w:r>
      <w:r>
        <w:rPr>
          <w:rFonts w:cs="Times New Roman"/>
          <w:color w:val="auto"/>
          <w:sz w:val="28"/>
          <w:szCs w:val="28"/>
        </w:rPr>
        <w:fldChar w:fldCharType="separate"/>
      </w:r>
      <w:r>
        <w:rPr>
          <w:rFonts w:cs="Times New Roman"/>
          <w:color w:val="auto"/>
          <w:sz w:val="28"/>
          <w:szCs w:val="28"/>
        </w:rPr>
        <w:t>122</w:t>
      </w:r>
      <w:r>
        <w:rPr>
          <w:rFonts w:cs="Times New Roman"/>
          <w:color w:val="auto"/>
          <w:sz w:val="28"/>
          <w:szCs w:val="28"/>
        </w:rPr>
        <w:fldChar w:fldCharType="end"/>
      </w:r>
      <w:r>
        <w:rPr>
          <w:rFonts w:cs="Times New Roman"/>
          <w:color w:val="auto"/>
          <w:sz w:val="28"/>
          <w:szCs w:val="28"/>
        </w:rPr>
        <w:fldChar w:fldCharType="end"/>
      </w:r>
    </w:p>
    <w:p w14:paraId="744E6C40">
      <w:pPr>
        <w:pStyle w:val="30"/>
        <w:spacing w:beforeLines="0" w:line="360" w:lineRule="auto"/>
        <w:ind w:firstLine="0" w:firstLineChars="0"/>
        <w:rPr>
          <w:rFonts w:eastAsia="仿宋_GB2312" w:cs="Times New Roman"/>
          <w:b w:val="0"/>
          <w:kern w:val="2"/>
          <w:szCs w:val="28"/>
          <w14:ligatures w14:val="standardContextual"/>
        </w:rPr>
      </w:pPr>
      <w:r>
        <w:fldChar w:fldCharType="begin"/>
      </w:r>
      <w:r>
        <w:instrText xml:space="preserve"> HYPERLINK \l "_Toc150724313" </w:instrText>
      </w:r>
      <w:r>
        <w:fldChar w:fldCharType="separate"/>
      </w:r>
      <w:r>
        <w:rPr>
          <w:rStyle w:val="59"/>
          <w:rFonts w:eastAsia="仿宋_GB2312" w:cs="Times New Roman"/>
          <w:color w:val="auto"/>
          <w:szCs w:val="28"/>
        </w:rPr>
        <w:t>11实施保障措施</w:t>
      </w:r>
      <w:r>
        <w:rPr>
          <w:rFonts w:eastAsia="仿宋_GB2312" w:cs="Times New Roman"/>
          <w:szCs w:val="28"/>
        </w:rPr>
        <w:tab/>
      </w:r>
      <w:r>
        <w:rPr>
          <w:rFonts w:eastAsia="仿宋_GB2312" w:cs="Times New Roman"/>
          <w:szCs w:val="28"/>
        </w:rPr>
        <w:fldChar w:fldCharType="begin"/>
      </w:r>
      <w:r>
        <w:rPr>
          <w:rFonts w:eastAsia="仿宋_GB2312" w:cs="Times New Roman"/>
          <w:szCs w:val="28"/>
        </w:rPr>
        <w:instrText xml:space="preserve"> PAGEREF _Toc150724313 \h </w:instrText>
      </w:r>
      <w:r>
        <w:rPr>
          <w:rFonts w:eastAsia="仿宋_GB2312" w:cs="Times New Roman"/>
          <w:szCs w:val="28"/>
        </w:rPr>
        <w:fldChar w:fldCharType="separate"/>
      </w:r>
      <w:r>
        <w:rPr>
          <w:rFonts w:eastAsia="仿宋_GB2312" w:cs="Times New Roman"/>
          <w:szCs w:val="28"/>
        </w:rPr>
        <w:t>123</w:t>
      </w:r>
      <w:r>
        <w:rPr>
          <w:rFonts w:eastAsia="仿宋_GB2312" w:cs="Times New Roman"/>
          <w:szCs w:val="28"/>
        </w:rPr>
        <w:fldChar w:fldCharType="end"/>
      </w:r>
      <w:r>
        <w:rPr>
          <w:rFonts w:eastAsia="仿宋_GB2312" w:cs="Times New Roman"/>
          <w:szCs w:val="28"/>
        </w:rPr>
        <w:fldChar w:fldCharType="end"/>
      </w:r>
    </w:p>
    <w:p w14:paraId="7F9BCB5B">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"_Toc150724314" </w:instrText>
      </w:r>
      <w:r>
        <w:fldChar w:fldCharType="separate"/>
      </w:r>
      <w:r>
        <w:rPr>
          <w:rStyle w:val="59"/>
          <w:rFonts w:cs="Times New Roman"/>
          <w:color w:val="auto"/>
          <w:sz w:val="28"/>
          <w:szCs w:val="28"/>
        </w:rPr>
        <w:t>11.1 组织管理保障</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_Toc150724314 \h </w:instrText>
      </w:r>
      <w:r>
        <w:rPr>
          <w:rFonts w:cs="Times New Roman"/>
          <w:color w:val="auto"/>
          <w:sz w:val="28"/>
          <w:szCs w:val="28"/>
        </w:rPr>
        <w:fldChar w:fldCharType="separate"/>
      </w:r>
      <w:r>
        <w:rPr>
          <w:rFonts w:cs="Times New Roman"/>
          <w:color w:val="auto"/>
          <w:sz w:val="28"/>
          <w:szCs w:val="28"/>
        </w:rPr>
        <w:t>123</w:t>
      </w:r>
      <w:r>
        <w:rPr>
          <w:rFonts w:cs="Times New Roman"/>
          <w:color w:val="auto"/>
          <w:sz w:val="28"/>
          <w:szCs w:val="28"/>
        </w:rPr>
        <w:fldChar w:fldCharType="end"/>
      </w:r>
      <w:r>
        <w:rPr>
          <w:rFonts w:cs="Times New Roman"/>
          <w:color w:val="auto"/>
          <w:sz w:val="28"/>
          <w:szCs w:val="28"/>
        </w:rPr>
        <w:fldChar w:fldCharType="end"/>
      </w:r>
    </w:p>
    <w:p w14:paraId="16D568DC">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"_Toc150724315" </w:instrText>
      </w:r>
      <w:r>
        <w:fldChar w:fldCharType="separate"/>
      </w:r>
      <w:r>
        <w:rPr>
          <w:rStyle w:val="59"/>
          <w:rFonts w:cs="Times New Roman"/>
          <w:color w:val="auto"/>
          <w:sz w:val="28"/>
          <w:szCs w:val="28"/>
        </w:rPr>
        <w:t>11.2 政策制度保障</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_Toc150724315 \h </w:instrText>
      </w:r>
      <w:r>
        <w:rPr>
          <w:rFonts w:cs="Times New Roman"/>
          <w:color w:val="auto"/>
          <w:sz w:val="28"/>
          <w:szCs w:val="28"/>
        </w:rPr>
        <w:fldChar w:fldCharType="separate"/>
      </w:r>
      <w:r>
        <w:rPr>
          <w:rFonts w:cs="Times New Roman"/>
          <w:color w:val="auto"/>
          <w:sz w:val="28"/>
          <w:szCs w:val="28"/>
        </w:rPr>
        <w:t>124</w:t>
      </w:r>
      <w:r>
        <w:rPr>
          <w:rFonts w:cs="Times New Roman"/>
          <w:color w:val="auto"/>
          <w:sz w:val="28"/>
          <w:szCs w:val="28"/>
        </w:rPr>
        <w:fldChar w:fldCharType="end"/>
      </w:r>
      <w:r>
        <w:rPr>
          <w:rFonts w:cs="Times New Roman"/>
          <w:color w:val="auto"/>
          <w:sz w:val="28"/>
          <w:szCs w:val="28"/>
        </w:rPr>
        <w:fldChar w:fldCharType="end"/>
      </w:r>
    </w:p>
    <w:p w14:paraId="14246AB5">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"_Toc150724316" </w:instrText>
      </w:r>
      <w:r>
        <w:fldChar w:fldCharType="separate"/>
      </w:r>
      <w:r>
        <w:rPr>
          <w:rStyle w:val="59"/>
          <w:rFonts w:cs="Times New Roman"/>
          <w:color w:val="auto"/>
          <w:sz w:val="28"/>
          <w:szCs w:val="28"/>
        </w:rPr>
        <w:t>11.3 体制机制保障</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_Toc150724316 \h </w:instrText>
      </w:r>
      <w:r>
        <w:rPr>
          <w:rFonts w:cs="Times New Roman"/>
          <w:color w:val="auto"/>
          <w:sz w:val="28"/>
          <w:szCs w:val="28"/>
        </w:rPr>
        <w:fldChar w:fldCharType="separate"/>
      </w:r>
      <w:r>
        <w:rPr>
          <w:rFonts w:cs="Times New Roman"/>
          <w:color w:val="auto"/>
          <w:sz w:val="28"/>
          <w:szCs w:val="28"/>
        </w:rPr>
        <w:t>124</w:t>
      </w:r>
      <w:r>
        <w:rPr>
          <w:rFonts w:cs="Times New Roman"/>
          <w:color w:val="auto"/>
          <w:sz w:val="28"/>
          <w:szCs w:val="28"/>
        </w:rPr>
        <w:fldChar w:fldCharType="end"/>
      </w:r>
      <w:r>
        <w:rPr>
          <w:rFonts w:cs="Times New Roman"/>
          <w:color w:val="auto"/>
          <w:sz w:val="28"/>
          <w:szCs w:val="28"/>
        </w:rPr>
        <w:fldChar w:fldCharType="end"/>
      </w:r>
    </w:p>
    <w:p w14:paraId="541E70BA">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"_Toc150724317" </w:instrText>
      </w:r>
      <w:r>
        <w:fldChar w:fldCharType="separate"/>
      </w:r>
      <w:r>
        <w:rPr>
          <w:rStyle w:val="59"/>
          <w:rFonts w:cs="Times New Roman"/>
          <w:color w:val="auto"/>
          <w:sz w:val="28"/>
          <w:szCs w:val="28"/>
        </w:rPr>
        <w:t>11.4 投入资金保障</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_Toc150724317 \h </w:instrText>
      </w:r>
      <w:r>
        <w:rPr>
          <w:rFonts w:cs="Times New Roman"/>
          <w:color w:val="auto"/>
          <w:sz w:val="28"/>
          <w:szCs w:val="28"/>
        </w:rPr>
        <w:fldChar w:fldCharType="separate"/>
      </w:r>
      <w:r>
        <w:rPr>
          <w:rFonts w:cs="Times New Roman"/>
          <w:color w:val="auto"/>
          <w:sz w:val="28"/>
          <w:szCs w:val="28"/>
        </w:rPr>
        <w:t>125</w:t>
      </w:r>
      <w:r>
        <w:rPr>
          <w:rFonts w:cs="Times New Roman"/>
          <w:color w:val="auto"/>
          <w:sz w:val="28"/>
          <w:szCs w:val="28"/>
        </w:rPr>
        <w:fldChar w:fldCharType="end"/>
      </w:r>
      <w:r>
        <w:rPr>
          <w:rFonts w:cs="Times New Roman"/>
          <w:color w:val="auto"/>
          <w:sz w:val="28"/>
          <w:szCs w:val="28"/>
        </w:rPr>
        <w:fldChar w:fldCharType="end"/>
      </w:r>
    </w:p>
    <w:p w14:paraId="2ED77AA5">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"_Toc150724318" </w:instrText>
      </w:r>
      <w:r>
        <w:fldChar w:fldCharType="separate"/>
      </w:r>
      <w:r>
        <w:rPr>
          <w:rStyle w:val="59"/>
          <w:rFonts w:cs="Times New Roman"/>
          <w:color w:val="auto"/>
          <w:sz w:val="28"/>
          <w:szCs w:val="28"/>
        </w:rPr>
        <w:t>11.5 科技创新保障</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_Toc150724318 \h </w:instrText>
      </w:r>
      <w:r>
        <w:rPr>
          <w:rFonts w:cs="Times New Roman"/>
          <w:color w:val="auto"/>
          <w:sz w:val="28"/>
          <w:szCs w:val="28"/>
        </w:rPr>
        <w:fldChar w:fldCharType="separate"/>
      </w:r>
      <w:r>
        <w:rPr>
          <w:rFonts w:cs="Times New Roman"/>
          <w:color w:val="auto"/>
          <w:sz w:val="28"/>
          <w:szCs w:val="28"/>
        </w:rPr>
        <w:t>126</w:t>
      </w:r>
      <w:r>
        <w:rPr>
          <w:rFonts w:cs="Times New Roman"/>
          <w:color w:val="auto"/>
          <w:sz w:val="28"/>
          <w:szCs w:val="28"/>
        </w:rPr>
        <w:fldChar w:fldCharType="end"/>
      </w:r>
      <w:r>
        <w:rPr>
          <w:rFonts w:cs="Times New Roman"/>
          <w:color w:val="auto"/>
          <w:sz w:val="28"/>
          <w:szCs w:val="28"/>
        </w:rPr>
        <w:fldChar w:fldCharType="end"/>
      </w:r>
    </w:p>
    <w:p w14:paraId="559AA621">
      <w:r>
        <w:br w:type="page"/>
      </w:r>
    </w:p>
    <w:p w14:paraId="1B88D513">
      <w:pPr>
        <w:pStyle w:val="39"/>
        <w:spacing w:line="360" w:lineRule="auto"/>
        <w:ind w:left="0" w:leftChars="0" w:firstLine="480"/>
        <w:rPr>
          <w:rFonts w:cs="Times New Roman"/>
          <w:color w:val="auto"/>
          <w:kern w:val="2"/>
          <w:sz w:val="28"/>
          <w:szCs w:val="28"/>
          <w14:ligatures w14:val="standardContextual"/>
        </w:rPr>
      </w:pPr>
      <w:r>
        <w:fldChar w:fldCharType="begin"/>
      </w:r>
      <w:r>
        <w:instrText xml:space="preserve"> HYPERLINK \l "_Toc150724319" </w:instrText>
      </w:r>
      <w:r>
        <w:fldChar w:fldCharType="separate"/>
      </w:r>
      <w:r>
        <w:rPr>
          <w:rStyle w:val="59"/>
          <w:rFonts w:cs="Times New Roman"/>
          <w:color w:val="auto"/>
          <w:sz w:val="28"/>
          <w:szCs w:val="28"/>
        </w:rPr>
        <w:t>11.6 宣传教育保障</w:t>
      </w:r>
      <w:r>
        <w:rPr>
          <w:rFonts w:cs="Times New Roman"/>
          <w:color w:val="auto"/>
          <w:sz w:val="28"/>
          <w:szCs w:val="28"/>
        </w:rPr>
        <w:tab/>
      </w:r>
      <w:r>
        <w:rPr>
          <w:rFonts w:cs="Times New Roman"/>
          <w:color w:val="auto"/>
          <w:sz w:val="28"/>
          <w:szCs w:val="28"/>
        </w:rPr>
        <w:fldChar w:fldCharType="begin"/>
      </w:r>
      <w:r>
        <w:rPr>
          <w:rFonts w:cs="Times New Roman"/>
          <w:color w:val="auto"/>
          <w:sz w:val="28"/>
          <w:szCs w:val="28"/>
        </w:rPr>
        <w:instrText xml:space="preserve"> PAGEREF _Toc150724319 \h </w:instrText>
      </w:r>
      <w:r>
        <w:rPr>
          <w:rFonts w:cs="Times New Roman"/>
          <w:color w:val="auto"/>
          <w:sz w:val="28"/>
          <w:szCs w:val="28"/>
        </w:rPr>
        <w:fldChar w:fldCharType="separate"/>
      </w:r>
      <w:r>
        <w:rPr>
          <w:rFonts w:cs="Times New Roman"/>
          <w:color w:val="auto"/>
          <w:sz w:val="28"/>
          <w:szCs w:val="28"/>
        </w:rPr>
        <w:t>127</w:t>
      </w:r>
      <w:r>
        <w:rPr>
          <w:rFonts w:cs="Times New Roman"/>
          <w:color w:val="auto"/>
          <w:sz w:val="28"/>
          <w:szCs w:val="28"/>
        </w:rPr>
        <w:fldChar w:fldCharType="end"/>
      </w:r>
      <w:r>
        <w:rPr>
          <w:rFonts w:cs="Times New Roman"/>
          <w:color w:val="auto"/>
          <w:sz w:val="28"/>
          <w:szCs w:val="28"/>
        </w:rPr>
        <w:fldChar w:fldCharType="end"/>
      </w:r>
    </w:p>
    <w:p w14:paraId="63F442CB">
      <w:pPr>
        <w:widowControl w:val="0"/>
        <w:autoSpaceDE w:val="0"/>
        <w:autoSpaceDN w:val="0"/>
        <w:adjustRightInd w:val="0"/>
        <w:snapToGrid w:val="0"/>
        <w:ind w:left="0" w:leftChars="0" w:firstLine="0" w:firstLineChars="0"/>
        <w:jc w:val="both"/>
        <w:rPr>
          <w:rFonts w:cs="Times New Roman"/>
          <w:b/>
          <w:sz w:val="28"/>
          <w:szCs w:val="28"/>
        </w:rPr>
      </w:pPr>
      <w:r>
        <w:rPr>
          <w:rFonts w:cs="Times New Roman"/>
          <w:sz w:val="28"/>
          <w:szCs w:val="28"/>
        </w:rPr>
        <w:fldChar w:fldCharType="end"/>
      </w:r>
      <w:r>
        <w:rPr>
          <w:rFonts w:cs="Times New Roman"/>
          <w:b/>
          <w:sz w:val="28"/>
          <w:szCs w:val="28"/>
          <w:lang w:val="zh-CN"/>
        </w:rPr>
        <w:t>附表</w:t>
      </w:r>
      <w:r>
        <w:rPr>
          <w:rFonts w:cs="Times New Roman"/>
          <w:b/>
          <w:sz w:val="28"/>
          <w:szCs w:val="28"/>
        </w:rPr>
        <w:t>：</w:t>
      </w:r>
    </w:p>
    <w:p w14:paraId="2CB36234">
      <w:pPr>
        <w:widowControl w:val="0"/>
        <w:autoSpaceDE w:val="0"/>
        <w:autoSpaceDN w:val="0"/>
        <w:adjustRightInd w:val="0"/>
        <w:snapToGrid w:val="0"/>
        <w:ind w:left="200" w:firstLine="560"/>
        <w:jc w:val="both"/>
        <w:rPr>
          <w:rFonts w:cs="Times New Roman"/>
          <w:sz w:val="28"/>
          <w:szCs w:val="28"/>
        </w:rPr>
      </w:pPr>
      <w:r>
        <w:rPr>
          <w:rFonts w:cs="Times New Roman"/>
          <w:sz w:val="28"/>
          <w:szCs w:val="28"/>
          <w:lang w:val="zh-CN"/>
        </w:rPr>
        <w:t>附表一</w:t>
      </w:r>
      <w:r>
        <w:rPr>
          <w:rFonts w:cs="Times New Roman"/>
          <w:sz w:val="28"/>
          <w:szCs w:val="28"/>
        </w:rPr>
        <w:t xml:space="preserve"> </w:t>
      </w:r>
      <w:r>
        <w:rPr>
          <w:rFonts w:cs="Times New Roman"/>
          <w:sz w:val="28"/>
          <w:szCs w:val="28"/>
          <w:lang w:val="zh-CN"/>
        </w:rPr>
        <w:t>气象要素特征表</w:t>
      </w:r>
    </w:p>
    <w:p w14:paraId="78CB336A">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附表二 阜康市社会经济现状表</w:t>
      </w:r>
    </w:p>
    <w:p w14:paraId="26805123">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附表三 土地利用现状表</w:t>
      </w:r>
    </w:p>
    <w:p w14:paraId="23B56749">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附表四 阜康市土地坡度组成表</w:t>
      </w:r>
    </w:p>
    <w:p w14:paraId="01481E82">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附表五 阜康市耕地坡度组成表</w:t>
      </w:r>
    </w:p>
    <w:p w14:paraId="46C7238A">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附表六 水土流失现状表</w:t>
      </w:r>
    </w:p>
    <w:p w14:paraId="60AB3575">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附表七 水库基本信息览表</w:t>
      </w:r>
    </w:p>
    <w:p w14:paraId="1CFF13C5">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 xml:space="preserve">附表八 </w:t>
      </w:r>
      <w:r>
        <w:rPr>
          <w:rFonts w:hint="eastAsia" w:cs="Times New Roman"/>
          <w:sz w:val="28"/>
          <w:szCs w:val="28"/>
          <w:lang w:val="zh-CN"/>
        </w:rPr>
        <w:t>水闸</w:t>
      </w:r>
      <w:r>
        <w:rPr>
          <w:rFonts w:cs="Times New Roman"/>
          <w:sz w:val="28"/>
          <w:szCs w:val="28"/>
          <w:lang w:val="zh-CN"/>
        </w:rPr>
        <w:t>统计表</w:t>
      </w:r>
    </w:p>
    <w:p w14:paraId="59E7DB0A">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w:t>
      </w:r>
      <w:r>
        <w:rPr>
          <w:rFonts w:hint="eastAsia" w:cs="Times New Roman"/>
          <w:sz w:val="28"/>
          <w:szCs w:val="28"/>
          <w:lang w:val="zh-CN"/>
        </w:rPr>
        <w:t>九</w:t>
      </w:r>
      <w:r>
        <w:rPr>
          <w:rFonts w:cs="Times New Roman"/>
          <w:sz w:val="28"/>
          <w:szCs w:val="28"/>
          <w:lang w:val="zh-CN"/>
        </w:rPr>
        <w:t xml:space="preserve"> 灌溉渠道统计表</w:t>
      </w:r>
    </w:p>
    <w:p w14:paraId="232EA405">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w:t>
      </w:r>
      <w:r>
        <w:rPr>
          <w:rFonts w:hint="eastAsia" w:cs="Times New Roman"/>
          <w:sz w:val="28"/>
          <w:szCs w:val="28"/>
          <w:lang w:val="zh-CN"/>
        </w:rPr>
        <w:t>十</w:t>
      </w:r>
      <w:r>
        <w:rPr>
          <w:rFonts w:cs="Times New Roman"/>
          <w:sz w:val="28"/>
          <w:szCs w:val="28"/>
          <w:lang w:val="zh-CN"/>
        </w:rPr>
        <w:t xml:space="preserve"> 水土保持区划成果表</w:t>
      </w:r>
    </w:p>
    <w:p w14:paraId="4F57177A">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附表十</w:t>
      </w:r>
      <w:r>
        <w:rPr>
          <w:rFonts w:hint="eastAsia" w:cs="Times New Roman"/>
          <w:sz w:val="28"/>
          <w:szCs w:val="28"/>
          <w:lang w:val="zh-CN"/>
        </w:rPr>
        <w:t>一</w:t>
      </w:r>
      <w:r>
        <w:rPr>
          <w:rFonts w:cs="Times New Roman"/>
          <w:sz w:val="28"/>
          <w:szCs w:val="28"/>
          <w:lang w:val="zh-CN"/>
        </w:rPr>
        <w:t xml:space="preserve"> 水土流失重点预防区成果表</w:t>
      </w:r>
    </w:p>
    <w:p w14:paraId="5B2C7DFB">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附表十</w:t>
      </w:r>
      <w:r>
        <w:rPr>
          <w:rFonts w:hint="eastAsia" w:cs="Times New Roman"/>
          <w:sz w:val="28"/>
          <w:szCs w:val="28"/>
          <w:lang w:val="zh-CN"/>
        </w:rPr>
        <w:t>二</w:t>
      </w:r>
      <w:r>
        <w:rPr>
          <w:rFonts w:cs="Times New Roman"/>
          <w:sz w:val="28"/>
          <w:szCs w:val="28"/>
          <w:lang w:val="zh-CN"/>
        </w:rPr>
        <w:t xml:space="preserve"> 水土流失重点治理区成果表</w:t>
      </w:r>
    </w:p>
    <w:p w14:paraId="54E9FE25">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附表十</w:t>
      </w:r>
      <w:r>
        <w:rPr>
          <w:rFonts w:hint="eastAsia" w:cs="Times New Roman"/>
          <w:sz w:val="28"/>
          <w:szCs w:val="28"/>
          <w:lang w:val="zh-CN"/>
        </w:rPr>
        <w:t>三</w:t>
      </w:r>
      <w:r>
        <w:rPr>
          <w:rFonts w:cs="Times New Roman"/>
          <w:sz w:val="28"/>
          <w:szCs w:val="28"/>
          <w:lang w:val="zh-CN"/>
        </w:rPr>
        <w:t xml:space="preserve"> 水土流失重点项目成果表</w:t>
      </w:r>
    </w:p>
    <w:p w14:paraId="2FC7A3DD">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附表十</w:t>
      </w:r>
      <w:r>
        <w:rPr>
          <w:rFonts w:hint="eastAsia" w:cs="Times New Roman"/>
          <w:sz w:val="28"/>
          <w:szCs w:val="28"/>
          <w:lang w:val="zh-CN"/>
        </w:rPr>
        <w:t>四</w:t>
      </w:r>
      <w:r>
        <w:rPr>
          <w:rFonts w:cs="Times New Roman"/>
          <w:sz w:val="28"/>
          <w:szCs w:val="28"/>
          <w:lang w:val="zh-CN"/>
        </w:rPr>
        <w:t xml:space="preserve"> 水土流失重点预防区规划值</w:t>
      </w:r>
    </w:p>
    <w:p w14:paraId="18E627A2">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附表十</w:t>
      </w:r>
      <w:r>
        <w:rPr>
          <w:rFonts w:hint="eastAsia" w:cs="Times New Roman"/>
          <w:sz w:val="28"/>
          <w:szCs w:val="28"/>
          <w:lang w:val="zh-CN"/>
        </w:rPr>
        <w:t>五</w:t>
      </w:r>
      <w:r>
        <w:rPr>
          <w:rFonts w:cs="Times New Roman"/>
          <w:sz w:val="28"/>
          <w:szCs w:val="28"/>
          <w:lang w:val="zh-CN"/>
        </w:rPr>
        <w:t xml:space="preserve"> 水土流失重点治理区规划值</w:t>
      </w:r>
    </w:p>
    <w:p w14:paraId="72ADCB52">
      <w:pPr>
        <w:keepNext w:val="0"/>
        <w:keepLines w:val="0"/>
        <w:widowControl/>
        <w:suppressLineNumbers w:val="0"/>
        <w:ind w:left="0" w:leftChars="0" w:firstLine="0" w:firstLineChars="0"/>
        <w:jc w:val="left"/>
      </w:pPr>
      <w:r>
        <w:rPr>
          <w:rFonts w:ascii="仿宋_GB2312" w:hAnsi="宋体" w:eastAsia="仿宋_GB2312" w:cs="仿宋_GB2312"/>
          <w:b/>
          <w:bCs/>
          <w:color w:val="000000"/>
          <w:kern w:val="0"/>
          <w:sz w:val="28"/>
          <w:szCs w:val="28"/>
          <w:lang w:val="en-US" w:eastAsia="zh-CN" w:bidi="ar"/>
        </w:rPr>
        <w:t>附件：</w:t>
      </w:r>
    </w:p>
    <w:p w14:paraId="33A70989">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en-US" w:eastAsia="zh-CN"/>
        </w:rPr>
        <w:t xml:space="preserve">附件一 委托书 </w:t>
      </w:r>
    </w:p>
    <w:p w14:paraId="1C280533">
      <w:pPr>
        <w:widowControl w:val="0"/>
        <w:autoSpaceDE w:val="0"/>
        <w:autoSpaceDN w:val="0"/>
        <w:adjustRightInd w:val="0"/>
        <w:snapToGrid w:val="0"/>
        <w:ind w:left="200" w:firstLine="560"/>
        <w:jc w:val="both"/>
        <w:rPr>
          <w:rFonts w:cs="Times New Roman"/>
          <w:sz w:val="28"/>
          <w:szCs w:val="28"/>
          <w:lang w:val="zh-CN"/>
        </w:rPr>
      </w:pPr>
      <w:r>
        <w:rPr>
          <w:rFonts w:hint="eastAsia" w:cs="Times New Roman"/>
          <w:sz w:val="28"/>
          <w:szCs w:val="28"/>
          <w:lang w:val="en-US" w:eastAsia="zh-CN"/>
        </w:rPr>
        <w:t xml:space="preserve">附件二 专家名单 </w:t>
      </w:r>
    </w:p>
    <w:p w14:paraId="41A17E8B">
      <w:pPr>
        <w:widowControl w:val="0"/>
        <w:autoSpaceDE w:val="0"/>
        <w:autoSpaceDN w:val="0"/>
        <w:adjustRightInd w:val="0"/>
        <w:snapToGrid w:val="0"/>
        <w:ind w:left="200" w:firstLine="560"/>
        <w:jc w:val="both"/>
        <w:rPr>
          <w:rFonts w:cs="Times New Roman"/>
          <w:sz w:val="28"/>
          <w:szCs w:val="28"/>
          <w:lang w:val="zh-CN"/>
        </w:rPr>
      </w:pPr>
      <w:r>
        <w:rPr>
          <w:rFonts w:hint="eastAsia" w:cs="Times New Roman"/>
          <w:sz w:val="28"/>
          <w:szCs w:val="28"/>
          <w:lang w:val="en-US" w:eastAsia="zh-CN"/>
        </w:rPr>
        <w:t>附件三 专家个人意见</w:t>
      </w:r>
    </w:p>
    <w:p w14:paraId="0DB05F6C">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en-US" w:eastAsia="zh-CN"/>
        </w:rPr>
        <w:t>附件四 评审汇总意见修改答复</w:t>
      </w:r>
    </w:p>
    <w:p w14:paraId="0B11D11E">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en-US" w:eastAsia="zh-CN"/>
        </w:rPr>
        <w:t>附件</w:t>
      </w:r>
      <w:r>
        <w:rPr>
          <w:rFonts w:hint="eastAsia" w:cs="Times New Roman"/>
          <w:sz w:val="28"/>
          <w:szCs w:val="28"/>
          <w:lang w:val="en-US" w:eastAsia="zh-CN"/>
        </w:rPr>
        <w:t>五</w:t>
      </w:r>
      <w:r>
        <w:rPr>
          <w:rFonts w:cs="Times New Roman"/>
          <w:sz w:val="28"/>
          <w:szCs w:val="28"/>
          <w:lang w:val="en-US" w:eastAsia="zh-CN"/>
        </w:rPr>
        <w:t xml:space="preserve"> </w:t>
      </w:r>
      <w:r>
        <w:rPr>
          <w:rFonts w:hint="eastAsia" w:cs="Times New Roman"/>
          <w:sz w:val="28"/>
          <w:szCs w:val="28"/>
          <w:lang w:val="en-US" w:eastAsia="zh-CN"/>
        </w:rPr>
        <w:t>关于审议《阜康市水土保持规划（2024-2030）》的请示</w:t>
      </w:r>
    </w:p>
    <w:p w14:paraId="3701F6A7">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en-US" w:eastAsia="zh-CN"/>
        </w:rPr>
        <w:t>附件</w:t>
      </w:r>
      <w:r>
        <w:rPr>
          <w:rFonts w:hint="eastAsia" w:cs="Times New Roman"/>
          <w:sz w:val="28"/>
          <w:szCs w:val="28"/>
          <w:lang w:val="en-US" w:eastAsia="zh-CN"/>
        </w:rPr>
        <w:t>六</w:t>
      </w:r>
      <w:r>
        <w:rPr>
          <w:rFonts w:cs="Times New Roman"/>
          <w:sz w:val="28"/>
          <w:szCs w:val="28"/>
          <w:lang w:val="en-US" w:eastAsia="zh-CN"/>
        </w:rPr>
        <w:t xml:space="preserve"> </w:t>
      </w:r>
      <w:r>
        <w:rPr>
          <w:rFonts w:hint="eastAsia" w:cs="Times New Roman"/>
          <w:sz w:val="28"/>
          <w:szCs w:val="28"/>
          <w:lang w:val="en-US" w:eastAsia="zh-CN"/>
        </w:rPr>
        <w:t>阜康市人民政府关于《阜康市水土保持规划（2024-2030）》的批复</w:t>
      </w:r>
    </w:p>
    <w:p w14:paraId="08B8CFF0">
      <w:pPr>
        <w:widowControl w:val="0"/>
        <w:autoSpaceDE w:val="0"/>
        <w:autoSpaceDN w:val="0"/>
        <w:adjustRightInd w:val="0"/>
        <w:snapToGrid w:val="0"/>
        <w:ind w:firstLine="0" w:firstLineChars="0"/>
        <w:jc w:val="both"/>
        <w:rPr>
          <w:rFonts w:cs="Times New Roman"/>
          <w:b/>
          <w:sz w:val="28"/>
          <w:szCs w:val="28"/>
          <w:lang w:val="zh-CN"/>
        </w:rPr>
      </w:pPr>
      <w:r>
        <w:rPr>
          <w:rFonts w:cs="Times New Roman"/>
          <w:b/>
          <w:sz w:val="28"/>
          <w:szCs w:val="28"/>
          <w:lang w:val="zh-CN"/>
        </w:rPr>
        <w:t>附图：</w:t>
      </w:r>
    </w:p>
    <w:p w14:paraId="350DD2F3">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 xml:space="preserve">附图一  </w:t>
      </w:r>
      <w:r>
        <w:rPr>
          <w:rFonts w:hint="eastAsia" w:cs="Times New Roman"/>
          <w:sz w:val="28"/>
          <w:szCs w:val="28"/>
          <w:lang w:val="zh-CN"/>
        </w:rPr>
        <w:t>阜康市行政区划图</w:t>
      </w:r>
    </w:p>
    <w:p w14:paraId="23D511D0">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附图</w:t>
      </w:r>
      <w:r>
        <w:rPr>
          <w:rFonts w:hint="eastAsia" w:cs="Times New Roman"/>
          <w:sz w:val="28"/>
          <w:szCs w:val="28"/>
          <w:lang w:val="zh-CN"/>
        </w:rPr>
        <w:t>二</w:t>
      </w:r>
      <w:r>
        <w:rPr>
          <w:rFonts w:cs="Times New Roman"/>
          <w:sz w:val="28"/>
          <w:szCs w:val="28"/>
          <w:lang w:val="zh-CN"/>
        </w:rPr>
        <w:t xml:space="preserve">  </w:t>
      </w:r>
      <w:r>
        <w:rPr>
          <w:rFonts w:hint="eastAsia" w:cs="Times New Roman"/>
          <w:sz w:val="28"/>
          <w:szCs w:val="28"/>
          <w:lang w:val="zh-CN"/>
        </w:rPr>
        <w:t>阜康市</w:t>
      </w:r>
      <w:r>
        <w:rPr>
          <w:rFonts w:cs="Times New Roman"/>
          <w:sz w:val="28"/>
          <w:szCs w:val="28"/>
          <w:lang w:val="zh-CN"/>
        </w:rPr>
        <w:t>水土流失现状图</w:t>
      </w:r>
    </w:p>
    <w:p w14:paraId="67148F16">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附图</w:t>
      </w:r>
      <w:r>
        <w:rPr>
          <w:rFonts w:hint="eastAsia" w:cs="Times New Roman"/>
          <w:sz w:val="28"/>
          <w:szCs w:val="28"/>
          <w:lang w:val="zh-CN"/>
        </w:rPr>
        <w:t>三</w:t>
      </w:r>
      <w:r>
        <w:rPr>
          <w:rFonts w:cs="Times New Roman"/>
          <w:sz w:val="28"/>
          <w:szCs w:val="28"/>
          <w:lang w:val="zh-CN"/>
        </w:rPr>
        <w:t xml:space="preserve">  </w:t>
      </w:r>
      <w:r>
        <w:rPr>
          <w:rFonts w:hint="eastAsia" w:cs="Times New Roman"/>
          <w:sz w:val="28"/>
          <w:szCs w:val="28"/>
          <w:lang w:val="zh-CN"/>
        </w:rPr>
        <w:t>阜康市水系图</w:t>
      </w:r>
    </w:p>
    <w:p w14:paraId="245D8E48">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附图</w:t>
      </w:r>
      <w:r>
        <w:rPr>
          <w:rFonts w:hint="eastAsia" w:cs="Times New Roman"/>
          <w:sz w:val="28"/>
          <w:szCs w:val="28"/>
          <w:lang w:val="zh-CN"/>
        </w:rPr>
        <w:t>三</w:t>
      </w:r>
      <w:r>
        <w:rPr>
          <w:rFonts w:cs="Times New Roman"/>
          <w:sz w:val="28"/>
          <w:szCs w:val="28"/>
          <w:lang w:val="zh-CN"/>
        </w:rPr>
        <w:t xml:space="preserve">  </w:t>
      </w:r>
      <w:r>
        <w:rPr>
          <w:rFonts w:hint="eastAsia" w:cs="Times New Roman"/>
          <w:sz w:val="28"/>
          <w:szCs w:val="28"/>
          <w:lang w:val="zh-CN"/>
        </w:rPr>
        <w:t>阜康市土地利用现状图</w:t>
      </w:r>
    </w:p>
    <w:p w14:paraId="54DEF2FC">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附图</w:t>
      </w:r>
      <w:r>
        <w:rPr>
          <w:rFonts w:hint="eastAsia" w:cs="Times New Roman"/>
          <w:sz w:val="28"/>
          <w:szCs w:val="28"/>
          <w:lang w:val="zh-CN"/>
        </w:rPr>
        <w:t>五</w:t>
      </w:r>
      <w:r>
        <w:rPr>
          <w:rFonts w:cs="Times New Roman"/>
          <w:sz w:val="28"/>
          <w:szCs w:val="28"/>
          <w:lang w:val="zh-CN"/>
        </w:rPr>
        <w:t xml:space="preserve">  </w:t>
      </w:r>
      <w:r>
        <w:rPr>
          <w:rFonts w:hint="eastAsia" w:cs="Times New Roman"/>
          <w:sz w:val="28"/>
          <w:szCs w:val="28"/>
          <w:lang w:val="zh-CN"/>
        </w:rPr>
        <w:t>阜康市</w:t>
      </w:r>
      <w:r>
        <w:rPr>
          <w:rFonts w:cs="Times New Roman"/>
          <w:sz w:val="28"/>
          <w:szCs w:val="28"/>
          <w:lang w:val="zh-CN"/>
        </w:rPr>
        <w:t>水土保持区划图</w:t>
      </w:r>
    </w:p>
    <w:p w14:paraId="081C9314">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附图</w:t>
      </w:r>
      <w:r>
        <w:rPr>
          <w:rFonts w:hint="eastAsia" w:cs="Times New Roman"/>
          <w:sz w:val="28"/>
          <w:szCs w:val="28"/>
          <w:lang w:val="zh-CN"/>
        </w:rPr>
        <w:t>六</w:t>
      </w:r>
      <w:r>
        <w:rPr>
          <w:rFonts w:cs="Times New Roman"/>
          <w:sz w:val="28"/>
          <w:szCs w:val="28"/>
          <w:lang w:val="zh-CN"/>
        </w:rPr>
        <w:t xml:space="preserve">  </w:t>
      </w:r>
      <w:r>
        <w:rPr>
          <w:rFonts w:hint="eastAsia" w:cs="Times New Roman"/>
          <w:sz w:val="28"/>
          <w:szCs w:val="28"/>
          <w:lang w:val="zh-CN"/>
        </w:rPr>
        <w:t>阜康市</w:t>
      </w:r>
      <w:r>
        <w:rPr>
          <w:rFonts w:cs="Times New Roman"/>
          <w:sz w:val="28"/>
          <w:szCs w:val="28"/>
          <w:lang w:val="zh-CN"/>
        </w:rPr>
        <w:t>水土流失重点预防区和重点治理区分布图</w:t>
      </w:r>
    </w:p>
    <w:p w14:paraId="2271ED04">
      <w:pPr>
        <w:widowControl w:val="0"/>
        <w:autoSpaceDE w:val="0"/>
        <w:autoSpaceDN w:val="0"/>
        <w:adjustRightInd w:val="0"/>
        <w:snapToGrid w:val="0"/>
        <w:ind w:left="200" w:firstLine="560"/>
        <w:jc w:val="both"/>
        <w:rPr>
          <w:rFonts w:cs="Times New Roman"/>
          <w:sz w:val="28"/>
          <w:szCs w:val="28"/>
          <w:lang w:val="zh-CN"/>
        </w:rPr>
      </w:pPr>
      <w:r>
        <w:rPr>
          <w:rFonts w:cs="Times New Roman"/>
          <w:sz w:val="28"/>
          <w:szCs w:val="28"/>
          <w:lang w:val="zh-CN"/>
        </w:rPr>
        <w:t>附图</w:t>
      </w:r>
      <w:r>
        <w:rPr>
          <w:rFonts w:hint="eastAsia" w:cs="Times New Roman"/>
          <w:sz w:val="28"/>
          <w:szCs w:val="28"/>
          <w:lang w:val="zh-CN"/>
        </w:rPr>
        <w:t>七</w:t>
      </w:r>
      <w:r>
        <w:rPr>
          <w:rFonts w:cs="Times New Roman"/>
          <w:sz w:val="28"/>
          <w:szCs w:val="28"/>
          <w:lang w:val="zh-CN"/>
        </w:rPr>
        <w:t xml:space="preserve">  </w:t>
      </w:r>
      <w:r>
        <w:rPr>
          <w:rFonts w:hint="eastAsia" w:cs="Times New Roman"/>
          <w:sz w:val="28"/>
          <w:szCs w:val="28"/>
          <w:lang w:val="zh-CN"/>
        </w:rPr>
        <w:t>阜康市水土保持重点项目布局图</w:t>
      </w:r>
    </w:p>
    <w:p w14:paraId="5F8D6999">
      <w:pPr>
        <w:adjustRightInd w:val="0"/>
        <w:snapToGrid w:val="0"/>
        <w:ind w:firstLine="643"/>
        <w:jc w:val="center"/>
        <w:rPr>
          <w:rFonts w:cs="Times New Roman"/>
          <w:b/>
          <w:sz w:val="32"/>
          <w:szCs w:val="32"/>
        </w:rPr>
        <w:sectPr>
          <w:headerReference r:id="rId7" w:type="first"/>
          <w:footerReference r:id="rId10" w:type="first"/>
          <w:headerReference r:id="rId5" w:type="default"/>
          <w:footerReference r:id="rId8" w:type="default"/>
          <w:headerReference r:id="rId6" w:type="even"/>
          <w:footerReference r:id="rId9" w:type="even"/>
          <w:pgSz w:w="11907" w:h="16840"/>
          <w:pgMar w:top="1440" w:right="1797" w:bottom="1440" w:left="1797" w:header="851" w:footer="992" w:gutter="0"/>
          <w:pgNumType w:start="1"/>
          <w:cols w:space="720" w:num="1"/>
          <w:docGrid w:linePitch="312" w:charSpace="0"/>
        </w:sectPr>
      </w:pPr>
    </w:p>
    <w:bookmarkEnd w:id="0"/>
    <w:bookmarkEnd w:id="1"/>
    <w:bookmarkEnd w:id="2"/>
    <w:p w14:paraId="1C1C3589">
      <w:pPr>
        <w:pStyle w:val="2"/>
        <w:spacing w:before="120" w:after="120"/>
        <w:rPr>
          <w:rFonts w:eastAsia="仿宋_GB2312" w:cs="Times New Roman"/>
          <w:color w:val="auto"/>
        </w:rPr>
      </w:pPr>
      <w:bookmarkStart w:id="4" w:name="_Toc150724261"/>
      <w:r>
        <w:rPr>
          <w:rFonts w:eastAsia="仿宋_GB2312" w:cs="Times New Roman"/>
          <w:color w:val="auto"/>
        </w:rPr>
        <w:t>规划概要</w:t>
      </w:r>
      <w:bookmarkEnd w:id="4"/>
    </w:p>
    <w:p w14:paraId="1E42324B">
      <w:pPr>
        <w:widowControl w:val="0"/>
        <w:adjustRightInd w:val="0"/>
        <w:snapToGrid w:val="0"/>
        <w:ind w:firstLine="480"/>
        <w:jc w:val="both"/>
        <w:rPr>
          <w:rFonts w:cs="Times New Roman"/>
          <w:shd w:val="clear" w:color="auto" w:fill="FFFFFF"/>
        </w:rPr>
      </w:pPr>
      <w:r>
        <w:rPr>
          <w:rFonts w:cs="Times New Roman"/>
          <w:shd w:val="clear" w:color="auto" w:fill="FFFFFF"/>
        </w:rPr>
        <w:t>阜康市地处天山东段（博格达山）北麓、准噶尔盆地南缘，东邻</w:t>
      </w:r>
      <w:r>
        <w:rPr>
          <w:rFonts w:cs="Times New Roman"/>
          <w:shd w:val="clear" w:color="auto" w:fill="FFFFFF"/>
        </w:rPr>
        <w:fldChar w:fldCharType="begin"/>
      </w:r>
      <w:r>
        <w:rPr>
          <w:rFonts w:cs="Times New Roman"/>
          <w:shd w:val="clear" w:color="auto" w:fill="FFFFFF"/>
        </w:rPr>
        <w:instrText xml:space="preserve">HYPERLINK "https://baike.baidu.com/item/吉木萨尔县/0?fromModule=lemma_inlink" \t "_blank"</w:instrText>
      </w:r>
      <w:r>
        <w:rPr>
          <w:rFonts w:cs="Times New Roman"/>
          <w:shd w:val="clear" w:color="auto" w:fill="FFFFFF"/>
        </w:rPr>
        <w:fldChar w:fldCharType="separate"/>
      </w:r>
      <w:r>
        <w:rPr>
          <w:rFonts w:cs="Times New Roman"/>
          <w:shd w:val="clear" w:color="auto" w:fill="FFFFFF"/>
        </w:rPr>
        <w:t>吉木萨尔县</w:t>
      </w:r>
      <w:r>
        <w:rPr>
          <w:rFonts w:cs="Times New Roman"/>
          <w:shd w:val="clear" w:color="auto" w:fill="FFFFFF"/>
        </w:rPr>
        <w:fldChar w:fldCharType="end"/>
      </w:r>
      <w:r>
        <w:rPr>
          <w:rFonts w:cs="Times New Roman"/>
          <w:shd w:val="clear" w:color="auto" w:fill="FFFFFF"/>
        </w:rPr>
        <w:t>，西与</w:t>
      </w:r>
      <w:r>
        <w:fldChar w:fldCharType="begin"/>
      </w:r>
      <w:r>
        <w:instrText xml:space="preserve"> HYPERLINK "https://baike.baidu.com/item/米东区/8586384?fromModule=lemma_inlink" \t "_blank" </w:instrText>
      </w:r>
      <w:r>
        <w:fldChar w:fldCharType="separate"/>
      </w:r>
      <w:r>
        <w:rPr>
          <w:rFonts w:cs="Times New Roman"/>
          <w:shd w:val="clear" w:color="auto" w:fill="FFFFFF"/>
        </w:rPr>
        <w:t>米东区</w:t>
      </w:r>
      <w:r>
        <w:rPr>
          <w:rFonts w:cs="Times New Roman"/>
          <w:shd w:val="clear" w:color="auto" w:fill="FFFFFF"/>
        </w:rPr>
        <w:fldChar w:fldCharType="end"/>
      </w:r>
      <w:r>
        <w:rPr>
          <w:rFonts w:cs="Times New Roman"/>
          <w:shd w:val="clear" w:color="auto" w:fill="FFFFFF"/>
        </w:rPr>
        <w:t>接壤，南与乌鲁木齐县相望，北与</w:t>
      </w:r>
      <w:r>
        <w:fldChar w:fldCharType="begin"/>
      </w:r>
      <w:r>
        <w:instrText xml:space="preserve"> HYPERLINK "https://baike.baidu.com/item/阿勒泰地区/0?fromModule=lemma_inlink" \t "_blank" </w:instrText>
      </w:r>
      <w:r>
        <w:fldChar w:fldCharType="separate"/>
      </w:r>
      <w:r>
        <w:rPr>
          <w:rFonts w:cs="Times New Roman"/>
          <w:shd w:val="clear" w:color="auto" w:fill="FFFFFF"/>
        </w:rPr>
        <w:t>阿勒泰地区</w:t>
      </w:r>
      <w:r>
        <w:rPr>
          <w:rFonts w:cs="Times New Roman"/>
          <w:shd w:val="clear" w:color="auto" w:fill="FFFFFF"/>
        </w:rPr>
        <w:fldChar w:fldCharType="end"/>
      </w:r>
      <w:r>
        <w:rPr>
          <w:rFonts w:cs="Times New Roman"/>
          <w:shd w:val="clear" w:color="auto" w:fill="FFFFFF"/>
        </w:rPr>
        <w:t>富蕴县相连。介于东经87°46′—88°44′，北纬43°45′—45°30′之间，东西最宽处76km，南北最长处198km，总面积8219.11km</w:t>
      </w:r>
      <w:r>
        <w:rPr>
          <w:rFonts w:cs="Times New Roman"/>
          <w:shd w:val="clear" w:color="auto" w:fill="FFFFFF"/>
          <w:vertAlign w:val="superscript"/>
        </w:rPr>
        <w:t>2</w:t>
      </w:r>
      <w:r>
        <w:rPr>
          <w:rFonts w:hint="eastAsia" w:cs="Times New Roman"/>
          <w:shd w:val="clear" w:color="auto" w:fill="FFFFFF"/>
        </w:rPr>
        <w:t>（不含兵团）</w:t>
      </w:r>
      <w:r>
        <w:rPr>
          <w:rFonts w:cs="Times New Roman"/>
          <w:shd w:val="clear" w:color="auto" w:fill="FFFFFF"/>
        </w:rPr>
        <w:t>。西距自治区首府</w:t>
      </w:r>
      <w:r>
        <w:fldChar w:fldCharType="begin"/>
      </w:r>
      <w:r>
        <w:instrText xml:space="preserve"> HYPERLINK "https://baike.baidu.com/item/乌鲁木齐市/14890073?fromModule=lemma_inlink" \t "_blank" </w:instrText>
      </w:r>
      <w:r>
        <w:fldChar w:fldCharType="separate"/>
      </w:r>
      <w:r>
        <w:rPr>
          <w:rFonts w:cs="Times New Roman"/>
          <w:shd w:val="clear" w:color="auto" w:fill="FFFFFF"/>
        </w:rPr>
        <w:t>乌鲁木齐市</w:t>
      </w:r>
      <w:r>
        <w:rPr>
          <w:rFonts w:cs="Times New Roman"/>
          <w:shd w:val="clear" w:color="auto" w:fill="FFFFFF"/>
        </w:rPr>
        <w:fldChar w:fldCharType="end"/>
      </w:r>
      <w:r>
        <w:rPr>
          <w:rFonts w:cs="Times New Roman"/>
          <w:shd w:val="clear" w:color="auto" w:fill="FFFFFF"/>
        </w:rPr>
        <w:t>57km，西距昌吉回族自治州首府</w:t>
      </w:r>
      <w:r>
        <w:rPr>
          <w:rFonts w:cs="Times New Roman"/>
          <w:shd w:val="clear" w:color="auto" w:fill="FFFFFF"/>
        </w:rPr>
        <w:fldChar w:fldCharType="begin"/>
      </w:r>
      <w:r>
        <w:rPr>
          <w:rFonts w:cs="Times New Roman"/>
          <w:shd w:val="clear" w:color="auto" w:fill="FFFFFF"/>
        </w:rPr>
        <w:instrText xml:space="preserve">HYPERLINK "https://baike.baidu.com/item/昌吉市/2283600?fromModule=lemma_inlink" \t "_blank"</w:instrText>
      </w:r>
      <w:r>
        <w:rPr>
          <w:rFonts w:cs="Times New Roman"/>
          <w:shd w:val="clear" w:color="auto" w:fill="FFFFFF"/>
        </w:rPr>
        <w:fldChar w:fldCharType="separate"/>
      </w:r>
      <w:r>
        <w:rPr>
          <w:rFonts w:cs="Times New Roman"/>
          <w:shd w:val="clear" w:color="auto" w:fill="FFFFFF"/>
        </w:rPr>
        <w:t>昌吉市</w:t>
      </w:r>
      <w:r>
        <w:rPr>
          <w:rFonts w:cs="Times New Roman"/>
          <w:shd w:val="clear" w:color="auto" w:fill="FFFFFF"/>
        </w:rPr>
        <w:fldChar w:fldCharType="end"/>
      </w:r>
      <w:r>
        <w:rPr>
          <w:rFonts w:cs="Times New Roman"/>
          <w:shd w:val="clear" w:color="auto" w:fill="FFFFFF"/>
        </w:rPr>
        <w:t>93km。阜康市下辖3个街道、4个镇、3个乡。分别为博峰街道办事处、阜新街道办事处、准东街道办事处，甘河子镇、滋泥泉子镇、九运街镇、城关镇、上户沟乡、三工河乡、水磨沟乡。</w:t>
      </w:r>
    </w:p>
    <w:p w14:paraId="2796F558">
      <w:pPr>
        <w:widowControl w:val="0"/>
        <w:adjustRightInd w:val="0"/>
        <w:snapToGrid w:val="0"/>
        <w:ind w:firstLine="480"/>
        <w:jc w:val="both"/>
        <w:rPr>
          <w:rFonts w:cs="Times New Roman"/>
          <w:shd w:val="clear" w:color="auto" w:fill="FFFFFF"/>
        </w:rPr>
      </w:pPr>
      <w:r>
        <w:rPr>
          <w:rFonts w:cs="Times New Roman"/>
          <w:shd w:val="clear" w:color="auto" w:fill="FFFFFF"/>
        </w:rPr>
        <w:t>党和国家历来一直高度重视水土保持工作，党的十九大将“坚持人与自然和谐共生”纳入新时代坚持和发展中国特色社会主义的基本方略，指出“建设生态文明是中华民族永续发展的千年大计”，具有划时代的意义。习近平总书记在“黄河流域生态保护和高质量发展座谈会”上的讲话中提出，要坚持山水林田湖草综合治理、系统治理、源头治理，统筹推进各项工作，加强协同配合，推动流域高质量发展。要坚持绿水青山就是金山银山的理念，坚持生态优先、绿色发展，以水而定、量水而行，因地制宜、分类施策，上下游、干支流、左右岸统筹谋划，共同抓好大保护，协同推进大治理，着力加强生态保护治理、促进全流域高质量发展、改善人民群众生活</w:t>
      </w:r>
      <w:r>
        <w:rPr>
          <w:rFonts w:hint="eastAsia" w:cs="Times New Roman"/>
          <w:shd w:val="clear" w:color="auto" w:fill="FFFFFF"/>
        </w:rPr>
        <w:t>，</w:t>
      </w:r>
      <w:r>
        <w:rPr>
          <w:rFonts w:cs="Times New Roman"/>
          <w:shd w:val="clear" w:color="auto" w:fill="FFFFFF"/>
        </w:rPr>
        <w:t>要坚持以水定城、以水定地、以水定人、以水定产，把水资源作为最大的刚性约束，合理规划人口、城市和产业发展，坚决抑制不合理用水需求，大力发展节水产业和技术，大力推进农业节水，实施全社会节水行动，推动用水方式由粗放向节约集约转变。这充分体现了党和国家尊重自然、顺应自然、保护自然的发展理念，体现了对生态文明建设的鲜明态度和坚定决心。水土保持是促进生态文明建设、改善农业生产条件，保障经济社会可持续发展的重要基础，是防治水土流失、保护和改良山区水土资源，充分发挥其经济效益和社会效益的重要手段，是构建和谐社会、改善人居环境的必然要求。</w:t>
      </w:r>
    </w:p>
    <w:p w14:paraId="654EE844">
      <w:pPr>
        <w:widowControl w:val="0"/>
        <w:adjustRightInd w:val="0"/>
        <w:snapToGrid w:val="0"/>
        <w:ind w:firstLine="480"/>
        <w:jc w:val="both"/>
        <w:rPr>
          <w:rFonts w:cs="Times New Roman"/>
          <w:shd w:val="clear" w:color="auto" w:fill="FFFFFF"/>
        </w:rPr>
      </w:pPr>
      <w:r>
        <w:rPr>
          <w:rFonts w:cs="Times New Roman"/>
          <w:shd w:val="clear" w:color="auto" w:fill="FFFFFF"/>
        </w:rPr>
        <w:t>为贯彻党中央、国务院重大战略部署，落实《中华人民共和国水土保持法》，全面推进新时期我国水土保持工作，水利部会同发展改革委、财政部、国土资源部、环境保护部、农业部、林业局等部门，成立了全国水土保持规划编制工作领导小组，于2011年5月，全国水土保持规划编制工作正式启动。在深入调查研究、反复论证咨询、广泛征求意见的基础上，编制完成了《全国水土保持规划（2015-2030年）》。2015年10月17日，国务院以国函〔2015〕160号印发了关于全国水土保持规划（2015-2030年）的批复。</w:t>
      </w:r>
    </w:p>
    <w:p w14:paraId="1F31547E">
      <w:pPr>
        <w:widowControl w:val="0"/>
        <w:adjustRightInd w:val="0"/>
        <w:snapToGrid w:val="0"/>
        <w:ind w:firstLine="480"/>
        <w:jc w:val="both"/>
        <w:rPr>
          <w:rFonts w:cs="Times New Roman"/>
          <w:shd w:val="clear" w:color="auto" w:fill="FFFFFF"/>
        </w:rPr>
      </w:pPr>
      <w:r>
        <w:rPr>
          <w:rFonts w:cs="Times New Roman"/>
          <w:shd w:val="clear" w:color="auto" w:fill="FFFFFF"/>
        </w:rPr>
        <w:t>自治区水利厅会同自治区发改委、财政厅、国土资源厅、环境保护厅、农业厅、林业厅、畜牧厅等部门，成立自治区水土保持规划编制工作领导小组，于2011年5月《新疆维吾尔自治区水土保持规划》正式启动。历时三年，编制完成了《新疆维吾尔自治区水土保持规划（送审稿）》，并于2014年7月通过自治区水利厅组织的技术审查。经过多次征求了各地（州、市）人民政府（行政公署）和水利部门的意见和建议，并进行了修改完善。2018年8月17日，自治区人民政府召开常务会议，经研究，审议通过了《新疆维吾尔自治区水土保持规划（2018-2030年）》，昌吉州《新疆维吾尔自治区昌吉回族自治州水土保持规划（2021年-2030年）》现已批复。</w:t>
      </w:r>
    </w:p>
    <w:p w14:paraId="74C278E4">
      <w:pPr>
        <w:widowControl w:val="0"/>
        <w:adjustRightInd w:val="0"/>
        <w:snapToGrid w:val="0"/>
        <w:ind w:firstLine="480"/>
        <w:jc w:val="both"/>
        <w:rPr>
          <w:rFonts w:cs="Times New Roman"/>
        </w:rPr>
      </w:pPr>
      <w:r>
        <w:rPr>
          <w:rFonts w:cs="Times New Roman"/>
          <w:shd w:val="clear" w:color="auto" w:fill="FFFFFF"/>
        </w:rPr>
        <w:t>根据</w:t>
      </w:r>
      <w:r>
        <w:rPr>
          <w:rFonts w:hint="eastAsia" w:cs="Times New Roman"/>
          <w:shd w:val="clear" w:color="auto" w:fill="FFFFFF"/>
        </w:rPr>
        <w:t>《</w:t>
      </w:r>
      <w:r>
        <w:rPr>
          <w:rFonts w:cs="Times New Roman"/>
          <w:shd w:val="clear" w:color="auto" w:fill="FFFFFF"/>
        </w:rPr>
        <w:t>新疆维吾尔自治区2022年水土流失动态监测年报</w:t>
      </w:r>
      <w:r>
        <w:rPr>
          <w:rFonts w:hint="eastAsia" w:cs="Times New Roman"/>
          <w:shd w:val="clear" w:color="auto" w:fill="FFFFFF"/>
        </w:rPr>
        <w:t>》</w:t>
      </w:r>
      <w:r>
        <w:rPr>
          <w:rFonts w:cs="Times New Roman"/>
          <w:shd w:val="clear" w:color="auto" w:fill="FFFFFF"/>
        </w:rPr>
        <w:t>，2022年阜康市轻度以上风力侵蚀和水力侵蚀总面积6598.37km²，占全市土地总面积的77.22%。其中水力侵蚀面积为647.1km²，占土壤侵蚀总面积的9.81%；风力侵蚀面积为5951.27km²，占土壤侵蚀总面积的90.19%。</w:t>
      </w:r>
      <w:r>
        <w:rPr>
          <w:rFonts w:hint="eastAsia" w:cs="Times New Roman"/>
          <w:shd w:val="clear" w:color="auto" w:fill="FFFFFF"/>
        </w:rPr>
        <w:t>水土流失会导致水土资源破坏、生态环境恶化、自然灾害加剧，威胁生态安全、防洪安全及饮水安全等，是制约阜康市经济社会可持续发展不容忽视的突出因素</w:t>
      </w:r>
      <w:r>
        <w:rPr>
          <w:rFonts w:cs="Times New Roman"/>
          <w:shd w:val="clear" w:color="auto" w:fill="FFFFFF"/>
        </w:rPr>
        <w:t>。</w:t>
      </w:r>
    </w:p>
    <w:p w14:paraId="3D5ABC2B">
      <w:pPr>
        <w:widowControl w:val="0"/>
        <w:adjustRightInd w:val="0"/>
        <w:snapToGrid w:val="0"/>
        <w:ind w:firstLine="480"/>
        <w:jc w:val="both"/>
        <w:rPr>
          <w:rFonts w:cs="Times New Roman"/>
          <w:shd w:val="clear" w:color="auto" w:fill="FFFFFF"/>
        </w:rPr>
      </w:pPr>
      <w:bookmarkStart w:id="5" w:name="_Hlk174275997"/>
      <w:r>
        <w:rPr>
          <w:rFonts w:cs="Times New Roman"/>
          <w:shd w:val="clear" w:color="auto" w:fill="FFFFFF"/>
        </w:rPr>
        <w:t>为贯彻党中央、国务院生态文明建设、乡村振兴战略</w:t>
      </w:r>
      <w:r>
        <w:rPr>
          <w:rFonts w:hint="eastAsia" w:cs="Times New Roman"/>
          <w:shd w:val="clear" w:color="auto" w:fill="FFFFFF"/>
        </w:rPr>
        <w:t>等</w:t>
      </w:r>
      <w:r>
        <w:rPr>
          <w:rFonts w:cs="Times New Roman"/>
          <w:shd w:val="clear" w:color="auto" w:fill="FFFFFF"/>
        </w:rPr>
        <w:t>重大部署，落实《中华人民共和国水土保持法》</w:t>
      </w:r>
      <w:bookmarkEnd w:id="5"/>
      <w:r>
        <w:rPr>
          <w:rFonts w:cs="Times New Roman"/>
          <w:shd w:val="clear" w:color="auto" w:fill="FFFFFF"/>
        </w:rPr>
        <w:t>、《中共中央国务院关于加快水利改革发展的决定》（中发[2011]1号）和“水利工程补短板，水利行业强监管”等政策方针的要求，以及完成《全国水土保持规划（2015-2030年）》、《新疆维吾尔自治区水土保持规划（2018-2030年）》和《新疆维吾尔自治区昌吉回族自治州水土保持规划（2021年-2030年）》中目标及任务，推进新时代阜康市水土保持工作，启动了规划编制工作。</w:t>
      </w:r>
    </w:p>
    <w:p w14:paraId="5CF19596">
      <w:pPr>
        <w:widowControl w:val="0"/>
        <w:adjustRightInd w:val="0"/>
        <w:snapToGrid w:val="0"/>
        <w:ind w:firstLine="480"/>
        <w:jc w:val="both"/>
        <w:rPr>
          <w:rFonts w:cs="Times New Roman"/>
          <w:shd w:val="clear" w:color="auto" w:fill="FFFFFF"/>
        </w:rPr>
      </w:pPr>
      <w:r>
        <w:rPr>
          <w:rFonts w:cs="Times New Roman"/>
          <w:shd w:val="clear" w:color="auto" w:fill="FFFFFF"/>
        </w:rPr>
        <w:t>受阜康市水利局的委托，我公司于2024年4月组织专业技术人员进入现场，在阜康市水利局相关技术人员共同参与下，在阜康市范围内进行了详细的野外勘察工作。通过内业和外业的调查整理，在分析水土流失成因、水土流失现状及阜康市各业生产发展规划，并结合《全国水土保持规划（2015-2030年）》、《新疆维吾尔自治区水土保持规划》（2018-2030年）及《新疆维吾尔自治区昌吉回族自治州水土保持规划（2021年-2030年）》等其它相关行业规划的基础上，于2024年6月完成了《新疆维吾尔自治区昌吉回族自治州阜康市水土保持规划》（202</w:t>
      </w:r>
      <w:r>
        <w:rPr>
          <w:rFonts w:hint="eastAsia" w:cs="Times New Roman"/>
          <w:shd w:val="clear" w:color="auto" w:fill="FFFFFF"/>
        </w:rPr>
        <w:t>4</w:t>
      </w:r>
      <w:r>
        <w:rPr>
          <w:rFonts w:cs="Times New Roman"/>
          <w:shd w:val="clear" w:color="auto" w:fill="FFFFFF"/>
        </w:rPr>
        <w:t>-2030年）。</w:t>
      </w:r>
    </w:p>
    <w:p w14:paraId="3B047EC6">
      <w:pPr>
        <w:widowControl w:val="0"/>
        <w:adjustRightInd w:val="0"/>
        <w:snapToGrid w:val="0"/>
        <w:ind w:firstLine="480"/>
        <w:jc w:val="both"/>
        <w:rPr>
          <w:rFonts w:cs="Times New Roman"/>
          <w:shd w:val="clear" w:color="auto" w:fill="FFFFFF"/>
        </w:rPr>
      </w:pPr>
      <w:r>
        <w:rPr>
          <w:rFonts w:cs="Times New Roman"/>
          <w:shd w:val="clear" w:color="auto" w:fill="FFFFFF"/>
        </w:rPr>
        <w:t>本规划现状基准年为2023年，规划期为202</w:t>
      </w:r>
      <w:r>
        <w:rPr>
          <w:rFonts w:hint="eastAsia" w:cs="Times New Roman"/>
          <w:shd w:val="clear" w:color="auto" w:fill="FFFFFF"/>
        </w:rPr>
        <w:t>4</w:t>
      </w:r>
      <w:r>
        <w:rPr>
          <w:rFonts w:cs="Times New Roman"/>
          <w:shd w:val="clear" w:color="auto" w:fill="FFFFFF"/>
        </w:rPr>
        <w:t>年至2030年，近期水平年为2025年，远期水平年为2030年。规划范围为阜康市所辖范围。</w:t>
      </w:r>
    </w:p>
    <w:p w14:paraId="36803F42">
      <w:pPr>
        <w:widowControl w:val="0"/>
        <w:adjustRightInd w:val="0"/>
        <w:snapToGrid w:val="0"/>
        <w:ind w:firstLine="480"/>
        <w:jc w:val="both"/>
        <w:rPr>
          <w:rFonts w:cs="Times New Roman"/>
          <w:shd w:val="clear" w:color="auto" w:fill="FFFFFF"/>
        </w:rPr>
      </w:pPr>
      <w:r>
        <w:rPr>
          <w:rFonts w:cs="Times New Roman"/>
          <w:shd w:val="clear" w:color="auto" w:fill="FFFFFF"/>
        </w:rPr>
        <w:t>本规划是以阜康市功能分区为单元，根据区域自然与社会经济情况，水土流失现状及水土保持需求，对预防和治理水土流失，保护和利用水土资源作出的总体部署，规划内容涵盖预防、治理、监测、监督管理和信息化等。</w:t>
      </w:r>
    </w:p>
    <w:p w14:paraId="71078BD5">
      <w:pPr>
        <w:widowControl w:val="0"/>
        <w:adjustRightInd w:val="0"/>
        <w:snapToGrid w:val="0"/>
        <w:ind w:firstLine="480"/>
        <w:jc w:val="both"/>
        <w:rPr>
          <w:rFonts w:cs="Times New Roman"/>
          <w:shd w:val="clear" w:color="auto" w:fill="FFFFFF"/>
        </w:rPr>
      </w:pPr>
      <w:r>
        <w:rPr>
          <w:rFonts w:cs="Times New Roman"/>
          <w:shd w:val="clear" w:color="auto" w:fill="FFFFFF"/>
        </w:rPr>
        <w:t>规划分析了阜康市水土流失现状，系统总结水土保持治理成效及经验，以阜康市主体功能区划为依据，以水土保持区划为基础，以保护和合理利用水土资源为主线，拟定规划期间阜康市预防和治理水土流失、保护合理利用水土资源的总体目标任务，规划了水土流失预防和治理的对策措施，为维护良好生态、保障饮水安全、改善人居环境、推动经济社会发展提供保障。为阜康市努力实现社会稳定长治久安、乡村振兴、生态环境良好和全面建成小康社会提供有力支撑。阜康市水土保持规划作为指导今后规划期内阜康市水土保持工作发展的重要依据，是贯彻落实国家和自治区生态文明建设总体要求的行动指南。编制阜康市水土保持规划对于水土保持综合防治工作的长远良性发展都具有重要的现实意义和深远的历史意义。</w:t>
      </w:r>
    </w:p>
    <w:p w14:paraId="498C67CF">
      <w:pPr>
        <w:widowControl w:val="0"/>
        <w:adjustRightInd w:val="0"/>
        <w:snapToGrid w:val="0"/>
        <w:ind w:firstLine="480"/>
        <w:jc w:val="both"/>
        <w:rPr>
          <w:rFonts w:cs="Times New Roman"/>
          <w:shd w:val="clear" w:color="auto" w:fill="FFFFFF"/>
        </w:rPr>
      </w:pPr>
      <w:r>
        <w:rPr>
          <w:rFonts w:cs="Times New Roman"/>
        </w:rPr>
        <w:t>规划在编制过程中，得到了昌吉州水利局、阜康市水利局、阜康市</w:t>
      </w:r>
      <w:r>
        <w:rPr>
          <w:rFonts w:hint="eastAsia" w:cs="Times New Roman"/>
        </w:rPr>
        <w:t>发展和改革委员会</w:t>
      </w:r>
      <w:r>
        <w:rPr>
          <w:rFonts w:cs="Times New Roman"/>
        </w:rPr>
        <w:t>、阜康市自然资源局、阜康市林业和草原局、阜康市生态环境局、阜康市</w:t>
      </w:r>
      <w:r>
        <w:rPr>
          <w:rFonts w:hint="eastAsia" w:cs="Times New Roman"/>
          <w:lang w:eastAsia="zh-CN"/>
        </w:rPr>
        <w:t>农业农村</w:t>
      </w:r>
      <w:r>
        <w:rPr>
          <w:rFonts w:cs="Times New Roman"/>
        </w:rPr>
        <w:t>局、阜康市住房和城乡建设局、阜康市文化体育广播电视和旅游局、阜康市各乡镇及各乡镇水利管理部门等有关单位的大力支持，在此一并表示衷心的感谢！</w:t>
      </w:r>
    </w:p>
    <w:p w14:paraId="2A774CBD">
      <w:pPr>
        <w:widowControl w:val="0"/>
        <w:adjustRightInd w:val="0"/>
        <w:snapToGrid w:val="0"/>
        <w:ind w:firstLine="480"/>
        <w:jc w:val="both"/>
        <w:rPr>
          <w:rFonts w:cs="Times New Roman"/>
          <w:shd w:val="clear" w:color="auto" w:fill="FFFFFF"/>
        </w:rPr>
      </w:pPr>
    </w:p>
    <w:p w14:paraId="65011603">
      <w:pPr>
        <w:pStyle w:val="2"/>
        <w:spacing w:before="120" w:after="120"/>
        <w:rPr>
          <w:rFonts w:eastAsia="仿宋_GB2312" w:cs="Times New Roman"/>
          <w:color w:val="auto"/>
        </w:rPr>
        <w:sectPr>
          <w:headerReference r:id="rId11" w:type="default"/>
          <w:footerReference r:id="rId12" w:type="default"/>
          <w:pgSz w:w="11907" w:h="16840"/>
          <w:pgMar w:top="1440" w:right="1797" w:bottom="1440" w:left="1797" w:header="851" w:footer="992" w:gutter="0"/>
          <w:pgNumType w:start="1"/>
          <w:cols w:space="720" w:num="1"/>
          <w:docGrid w:linePitch="312" w:charSpace="0"/>
        </w:sectPr>
      </w:pPr>
    </w:p>
    <w:p w14:paraId="3083F4CA">
      <w:pPr>
        <w:pStyle w:val="2"/>
        <w:spacing w:before="120" w:after="120"/>
        <w:rPr>
          <w:rFonts w:eastAsia="仿宋_GB2312" w:cs="Times New Roman"/>
          <w:color w:val="auto"/>
        </w:rPr>
      </w:pPr>
      <w:bookmarkStart w:id="6" w:name="_Toc150724262"/>
      <w:r>
        <w:rPr>
          <w:rFonts w:eastAsia="仿宋_GB2312" w:cs="Times New Roman"/>
          <w:color w:val="auto"/>
        </w:rPr>
        <w:t>1基本情况</w:t>
      </w:r>
      <w:bookmarkEnd w:id="6"/>
    </w:p>
    <w:p w14:paraId="5152C518">
      <w:pPr>
        <w:pStyle w:val="44"/>
        <w:spacing w:before="120" w:after="120"/>
        <w:rPr>
          <w:rFonts w:eastAsia="仿宋_GB2312" w:cs="Times New Roman"/>
        </w:rPr>
      </w:pPr>
      <w:bookmarkStart w:id="7" w:name="_Toc150724263"/>
      <w:r>
        <w:rPr>
          <w:rFonts w:eastAsia="仿宋_GB2312" w:cs="Times New Roman"/>
        </w:rPr>
        <w:t>1.1自然条件</w:t>
      </w:r>
      <w:bookmarkEnd w:id="7"/>
    </w:p>
    <w:p w14:paraId="6F601025">
      <w:pPr>
        <w:pStyle w:val="5"/>
        <w:rPr>
          <w:rStyle w:val="99"/>
          <w:rFonts w:ascii="Times New Roman" w:hAnsi="Times New Roman"/>
          <w:b/>
        </w:rPr>
      </w:pPr>
      <w:r>
        <w:rPr>
          <w:rStyle w:val="99"/>
          <w:rFonts w:ascii="Times New Roman" w:hAnsi="Times New Roman"/>
          <w:b/>
        </w:rPr>
        <w:t>1.1.1 地理位置及行政区划</w:t>
      </w:r>
    </w:p>
    <w:p w14:paraId="0A19A2AB">
      <w:pPr>
        <w:pStyle w:val="370"/>
        <w:ind w:firstLine="480"/>
        <w:rPr>
          <w:rFonts w:eastAsia="仿宋_GB2312"/>
          <w:snapToGrid/>
          <w:kern w:val="0"/>
          <w:szCs w:val="24"/>
        </w:rPr>
      </w:pPr>
      <w:r>
        <w:rPr>
          <w:rFonts w:eastAsia="仿宋_GB2312"/>
          <w:snapToGrid/>
          <w:kern w:val="0"/>
          <w:szCs w:val="24"/>
        </w:rPr>
        <w:t>阜康市地处天山东段（博格达山）北麓、准噶尔盆地南缘，东邻</w:t>
      </w:r>
      <w:r>
        <w:rPr>
          <w:rFonts w:eastAsia="仿宋_GB2312"/>
          <w:snapToGrid/>
          <w:kern w:val="0"/>
          <w:szCs w:val="24"/>
        </w:rPr>
        <w:fldChar w:fldCharType="begin"/>
      </w:r>
      <w:r>
        <w:rPr>
          <w:rFonts w:eastAsia="仿宋_GB2312"/>
          <w:snapToGrid/>
          <w:kern w:val="0"/>
          <w:szCs w:val="24"/>
        </w:rPr>
        <w:instrText xml:space="preserve">HYPERLINK "https://baike.baidu.com/item/吉木萨尔县/0?fromModule=lemma_inlink" \t "_blank"</w:instrText>
      </w:r>
      <w:r>
        <w:rPr>
          <w:rFonts w:eastAsia="仿宋_GB2312"/>
          <w:snapToGrid/>
          <w:kern w:val="0"/>
          <w:szCs w:val="24"/>
        </w:rPr>
        <w:fldChar w:fldCharType="separate"/>
      </w:r>
      <w:r>
        <w:rPr>
          <w:rFonts w:eastAsia="仿宋_GB2312"/>
          <w:snapToGrid/>
          <w:kern w:val="0"/>
          <w:szCs w:val="24"/>
        </w:rPr>
        <w:t>吉木萨尔县</w:t>
      </w:r>
      <w:r>
        <w:rPr>
          <w:rFonts w:eastAsia="仿宋_GB2312"/>
          <w:snapToGrid/>
          <w:kern w:val="0"/>
          <w:szCs w:val="24"/>
        </w:rPr>
        <w:fldChar w:fldCharType="end"/>
      </w:r>
      <w:r>
        <w:rPr>
          <w:rFonts w:eastAsia="仿宋_GB2312"/>
          <w:snapToGrid/>
          <w:kern w:val="0"/>
          <w:szCs w:val="24"/>
        </w:rPr>
        <w:t>，西与</w:t>
      </w:r>
      <w:r>
        <w:fldChar w:fldCharType="begin"/>
      </w:r>
      <w:r>
        <w:instrText xml:space="preserve"> HYPERLINK "https://baike.baidu.com/item/米东区/8586384?fromModule=lemma_inlink" \t "_blank" </w:instrText>
      </w:r>
      <w:r>
        <w:fldChar w:fldCharType="separate"/>
      </w:r>
      <w:r>
        <w:rPr>
          <w:rFonts w:eastAsia="仿宋_GB2312"/>
          <w:snapToGrid/>
          <w:kern w:val="0"/>
          <w:szCs w:val="24"/>
        </w:rPr>
        <w:t>米东区</w:t>
      </w:r>
      <w:r>
        <w:rPr>
          <w:rFonts w:eastAsia="仿宋_GB2312"/>
          <w:snapToGrid/>
          <w:kern w:val="0"/>
          <w:szCs w:val="24"/>
        </w:rPr>
        <w:fldChar w:fldCharType="end"/>
      </w:r>
      <w:r>
        <w:rPr>
          <w:rFonts w:eastAsia="仿宋_GB2312"/>
          <w:snapToGrid/>
          <w:kern w:val="0"/>
          <w:szCs w:val="24"/>
        </w:rPr>
        <w:t>接壤，南与乌鲁木齐县相望，北与</w:t>
      </w:r>
      <w:r>
        <w:fldChar w:fldCharType="begin"/>
      </w:r>
      <w:r>
        <w:instrText xml:space="preserve"> HYPERLINK "https://baike.baidu.com/item/阿勒泰地区/0?fromModule=lemma_inlink" \t "_blank" </w:instrText>
      </w:r>
      <w:r>
        <w:fldChar w:fldCharType="separate"/>
      </w:r>
      <w:r>
        <w:rPr>
          <w:rFonts w:eastAsia="仿宋_GB2312"/>
          <w:snapToGrid/>
          <w:kern w:val="0"/>
          <w:szCs w:val="24"/>
        </w:rPr>
        <w:t>阿勒泰地区</w:t>
      </w:r>
      <w:r>
        <w:rPr>
          <w:rFonts w:eastAsia="仿宋_GB2312"/>
          <w:snapToGrid/>
          <w:kern w:val="0"/>
          <w:szCs w:val="24"/>
        </w:rPr>
        <w:fldChar w:fldCharType="end"/>
      </w:r>
      <w:r>
        <w:rPr>
          <w:rFonts w:eastAsia="仿宋_GB2312"/>
          <w:snapToGrid/>
          <w:kern w:val="0"/>
          <w:szCs w:val="24"/>
        </w:rPr>
        <w:t>富蕴县相连。介于东经87°46′—88°44′，北纬43°45′—45°30′之间，东西最宽处76km，南北最长处198km，总面积8219.11km</w:t>
      </w:r>
      <w:r>
        <w:rPr>
          <w:rFonts w:eastAsia="仿宋_GB2312"/>
          <w:snapToGrid/>
          <w:kern w:val="0"/>
          <w:szCs w:val="24"/>
          <w:vertAlign w:val="superscript"/>
        </w:rPr>
        <w:t>2</w:t>
      </w:r>
      <w:r>
        <w:rPr>
          <w:rFonts w:hint="eastAsia" w:eastAsia="仿宋_GB2312"/>
          <w:snapToGrid/>
          <w:kern w:val="0"/>
          <w:szCs w:val="24"/>
        </w:rPr>
        <w:t>（不含兵团）</w:t>
      </w:r>
      <w:r>
        <w:rPr>
          <w:rFonts w:eastAsia="仿宋_GB2312"/>
          <w:snapToGrid/>
          <w:kern w:val="0"/>
          <w:szCs w:val="24"/>
        </w:rPr>
        <w:t>。西距自治区首府</w:t>
      </w:r>
      <w:r>
        <w:fldChar w:fldCharType="begin"/>
      </w:r>
      <w:r>
        <w:instrText xml:space="preserve"> HYPERLINK "https://baike.baidu.com/item/乌鲁木齐市/14890073?fromModule=lemma_inlink" \t "_blank" </w:instrText>
      </w:r>
      <w:r>
        <w:fldChar w:fldCharType="separate"/>
      </w:r>
      <w:r>
        <w:rPr>
          <w:rFonts w:eastAsia="仿宋_GB2312"/>
          <w:snapToGrid/>
          <w:kern w:val="0"/>
          <w:szCs w:val="24"/>
        </w:rPr>
        <w:t>乌鲁木齐市</w:t>
      </w:r>
      <w:r>
        <w:rPr>
          <w:rFonts w:eastAsia="仿宋_GB2312"/>
          <w:snapToGrid/>
          <w:kern w:val="0"/>
          <w:szCs w:val="24"/>
        </w:rPr>
        <w:fldChar w:fldCharType="end"/>
      </w:r>
      <w:r>
        <w:rPr>
          <w:rFonts w:eastAsia="仿宋_GB2312"/>
          <w:snapToGrid/>
          <w:kern w:val="0"/>
          <w:szCs w:val="24"/>
        </w:rPr>
        <w:t>57km，西距昌吉回族自治州首府</w:t>
      </w:r>
      <w:r>
        <w:rPr>
          <w:rFonts w:eastAsia="仿宋_GB2312"/>
          <w:snapToGrid/>
          <w:kern w:val="0"/>
          <w:szCs w:val="24"/>
        </w:rPr>
        <w:fldChar w:fldCharType="begin"/>
      </w:r>
      <w:r>
        <w:rPr>
          <w:rFonts w:eastAsia="仿宋_GB2312"/>
          <w:snapToGrid/>
          <w:kern w:val="0"/>
          <w:szCs w:val="24"/>
        </w:rPr>
        <w:instrText xml:space="preserve">HYPERLINK "https://baike.baidu.com/item/昌吉市/2283600?fromModule=lemma_inlink" \t "_blank"</w:instrText>
      </w:r>
      <w:r>
        <w:rPr>
          <w:rFonts w:eastAsia="仿宋_GB2312"/>
          <w:snapToGrid/>
          <w:kern w:val="0"/>
          <w:szCs w:val="24"/>
        </w:rPr>
        <w:fldChar w:fldCharType="separate"/>
      </w:r>
      <w:r>
        <w:rPr>
          <w:rFonts w:eastAsia="仿宋_GB2312"/>
          <w:snapToGrid/>
          <w:kern w:val="0"/>
          <w:szCs w:val="24"/>
        </w:rPr>
        <w:t>昌吉市</w:t>
      </w:r>
      <w:r>
        <w:rPr>
          <w:rFonts w:eastAsia="仿宋_GB2312"/>
          <w:snapToGrid/>
          <w:kern w:val="0"/>
          <w:szCs w:val="24"/>
        </w:rPr>
        <w:fldChar w:fldCharType="end"/>
      </w:r>
      <w:r>
        <w:rPr>
          <w:rFonts w:eastAsia="仿宋_GB2312"/>
          <w:snapToGrid/>
          <w:kern w:val="0"/>
          <w:szCs w:val="24"/>
        </w:rPr>
        <w:t>93km。阜康市下辖3个街道、4个镇、3个乡。分别为博峰街道办事处、阜新街道办事处、准东街道办事处，甘河子镇、滋泥泉子镇、九运街镇、城关镇、上户沟乡、三工河乡、水磨沟乡。</w:t>
      </w:r>
    </w:p>
    <w:p w14:paraId="5ADAFD1B">
      <w:pPr>
        <w:pStyle w:val="370"/>
        <w:ind w:firstLine="0" w:firstLineChars="0"/>
        <w:jc w:val="center"/>
        <w:rPr>
          <w:rFonts w:eastAsia="仿宋_GB2312"/>
          <w:snapToGrid/>
          <w:kern w:val="0"/>
          <w:szCs w:val="24"/>
        </w:rPr>
      </w:pPr>
      <w:r>
        <w:rPr>
          <w:rFonts w:eastAsia="仿宋_GB2312"/>
          <w:snapToGrid/>
          <w:kern w:val="0"/>
          <w:szCs w:val="24"/>
        </w:rPr>
        <w:drawing>
          <wp:inline distT="0" distB="0" distL="0" distR="0">
            <wp:extent cx="4731385" cy="8400415"/>
            <wp:effectExtent l="0" t="0" r="0" b="635"/>
            <wp:docPr id="630225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25716" name="图片 1"/>
                    <pic:cNvPicPr>
                      <a:picLocks noChangeAspect="1"/>
                    </pic:cNvPicPr>
                  </pic:nvPicPr>
                  <pic:blipFill>
                    <a:blip r:embed="rId17" cstate="print">
                      <a:extLst>
                        <a:ext uri="{28A0092B-C50C-407E-A947-70E740481C1C}">
                          <a14:useLocalDpi xmlns:a14="http://schemas.microsoft.com/office/drawing/2010/main" val="0"/>
                        </a:ext>
                      </a:extLst>
                    </a:blip>
                    <a:srcRect l="1112" t="4438" r="886" b="1643"/>
                    <a:stretch>
                      <a:fillRect/>
                    </a:stretch>
                  </pic:blipFill>
                  <pic:spPr>
                    <a:xfrm>
                      <a:off x="0" y="0"/>
                      <a:ext cx="4744271" cy="8423504"/>
                    </a:xfrm>
                    <a:prstGeom prst="rect">
                      <a:avLst/>
                    </a:prstGeom>
                    <a:ln>
                      <a:noFill/>
                    </a:ln>
                  </pic:spPr>
                </pic:pic>
              </a:graphicData>
            </a:graphic>
          </wp:inline>
        </w:drawing>
      </w:r>
    </w:p>
    <w:p w14:paraId="5CFF10FC">
      <w:pPr>
        <w:adjustRightInd w:val="0"/>
        <w:snapToGrid w:val="0"/>
        <w:ind w:firstLine="0" w:firstLineChars="0"/>
        <w:jc w:val="center"/>
        <w:rPr>
          <w:rFonts w:cs="Times New Roman"/>
          <w:b/>
          <w:bCs/>
        </w:rPr>
      </w:pPr>
      <w:r>
        <w:rPr>
          <w:rFonts w:cs="Times New Roman"/>
          <w:b/>
          <w:bCs/>
        </w:rPr>
        <w:t>图1 阜康市行政区划图</w:t>
      </w:r>
    </w:p>
    <w:p w14:paraId="7BBE68EE">
      <w:pPr>
        <w:pStyle w:val="5"/>
        <w:rPr>
          <w:rFonts w:eastAsia="仿宋_GB2312"/>
        </w:rPr>
      </w:pPr>
      <w:r>
        <w:rPr>
          <w:rFonts w:eastAsia="仿宋_GB2312"/>
        </w:rPr>
        <w:t>1.1.2 地形地貌</w:t>
      </w:r>
    </w:p>
    <w:p w14:paraId="0BD0BF3C">
      <w:pPr>
        <w:pStyle w:val="370"/>
        <w:ind w:firstLine="480"/>
        <w:rPr>
          <w:rFonts w:eastAsia="仿宋_GB2312"/>
          <w:snapToGrid/>
          <w:kern w:val="0"/>
          <w:szCs w:val="24"/>
        </w:rPr>
      </w:pPr>
      <w:r>
        <w:rPr>
          <w:rFonts w:eastAsia="仿宋_GB2312"/>
          <w:snapToGrid/>
          <w:kern w:val="0"/>
          <w:szCs w:val="24"/>
        </w:rPr>
        <w:t>阜康市境内地势起伏，高差悬殊，地貌特征由天山的冲积扇、冲积平原和风积沙丘、剥蚀丘陵组成，整个地形南部和东北部高，中间低，南部博格达山最高海拔5445m，中部沙漠、戈壁最低海拔500m。在高山与沙漠之间有广阔的平原、丘陵。阜康市地貌总体可分为山区、平原区以及北部沙漠区3种地貌单元。</w:t>
      </w:r>
    </w:p>
    <w:p w14:paraId="48F15FFC">
      <w:pPr>
        <w:pStyle w:val="370"/>
        <w:ind w:firstLine="480"/>
        <w:rPr>
          <w:rFonts w:eastAsia="仿宋_GB2312"/>
          <w:snapToGrid/>
          <w:kern w:val="0"/>
          <w:szCs w:val="24"/>
        </w:rPr>
      </w:pPr>
      <w:r>
        <w:rPr>
          <w:rFonts w:eastAsia="仿宋_GB2312"/>
          <w:snapToGrid/>
          <w:kern w:val="0"/>
          <w:szCs w:val="24"/>
        </w:rPr>
        <w:t>1、山区</w:t>
      </w:r>
    </w:p>
    <w:p w14:paraId="28626FFE">
      <w:pPr>
        <w:pStyle w:val="370"/>
        <w:ind w:firstLine="480"/>
        <w:rPr>
          <w:rFonts w:eastAsia="仿宋_GB2312"/>
          <w:snapToGrid/>
          <w:kern w:val="0"/>
          <w:szCs w:val="24"/>
        </w:rPr>
      </w:pPr>
      <w:r>
        <w:rPr>
          <w:rFonts w:eastAsia="仿宋_GB2312"/>
          <w:snapToGrid/>
          <w:kern w:val="0"/>
          <w:szCs w:val="24"/>
        </w:rPr>
        <w:t>南部山区位于天山东段的博格达山山脉，海拔700—5445米，属</w:t>
      </w:r>
      <w:r>
        <w:rPr>
          <w:rFonts w:eastAsia="仿宋_GB2312"/>
          <w:snapToGrid/>
          <w:kern w:val="0"/>
          <w:szCs w:val="24"/>
        </w:rPr>
        <w:fldChar w:fldCharType="begin"/>
      </w:r>
      <w:r>
        <w:rPr>
          <w:rFonts w:eastAsia="仿宋_GB2312"/>
          <w:snapToGrid/>
          <w:kern w:val="0"/>
          <w:szCs w:val="24"/>
        </w:rPr>
        <w:instrText xml:space="preserve">HYPERLINK "https://baike.baidu.com/item/天山山脉/0?fromModule=lemma_inlink" \t "_blank"</w:instrText>
      </w:r>
      <w:r>
        <w:rPr>
          <w:rFonts w:eastAsia="仿宋_GB2312"/>
          <w:snapToGrid/>
          <w:kern w:val="0"/>
          <w:szCs w:val="24"/>
        </w:rPr>
        <w:fldChar w:fldCharType="separate"/>
      </w:r>
      <w:r>
        <w:rPr>
          <w:rFonts w:eastAsia="仿宋_GB2312"/>
          <w:snapToGrid/>
          <w:kern w:val="0"/>
          <w:szCs w:val="24"/>
        </w:rPr>
        <w:t>天山山脉</w:t>
      </w:r>
      <w:r>
        <w:rPr>
          <w:rFonts w:eastAsia="仿宋_GB2312"/>
          <w:snapToGrid/>
          <w:kern w:val="0"/>
          <w:szCs w:val="24"/>
        </w:rPr>
        <w:fldChar w:fldCharType="end"/>
      </w:r>
      <w:r>
        <w:rPr>
          <w:rFonts w:eastAsia="仿宋_GB2312"/>
          <w:snapToGrid/>
          <w:kern w:val="0"/>
          <w:szCs w:val="24"/>
        </w:rPr>
        <w:t>，主脉东西走向，海拔5445米的博格达峰屹立于群峰南侧；海拔2800米以上为高山区，终年积雪，孕育着发达的现代冰川，是阜康市各条河流的发源地；海拔2800—1700m为中山带，自山地森林草甸中上线至高山区，坡度随高度而变化，一般在30°左右，山势相对高差在百米以上，河流上端悬崖陡壁，山顶岩峰林立，坡顶牧草稀疏，河谷及坡地牧草低矮，是阜康市天然林区及主要夏牧场。海拔1700—700m为前山丘陵地带，富含矿藏，是阜康市牧林农矿结合，开展多种经营的重要区域。风化侵蚀作用强烈，岩石裂隙发育，剥蚀严重，大的梁谷向北倾斜，沟梁交错，山丘起伏高差50-150m，坡度一般在20°左右，靠近山麓有15-20m厚的黄土层覆盖。</w:t>
      </w:r>
    </w:p>
    <w:p w14:paraId="3C1863C3">
      <w:pPr>
        <w:pStyle w:val="370"/>
        <w:ind w:firstLine="480"/>
        <w:rPr>
          <w:rFonts w:eastAsia="仿宋_GB2312"/>
          <w:snapToGrid/>
          <w:kern w:val="0"/>
          <w:szCs w:val="24"/>
        </w:rPr>
      </w:pPr>
      <w:r>
        <w:rPr>
          <w:rFonts w:eastAsia="仿宋_GB2312"/>
          <w:snapToGrid/>
          <w:kern w:val="0"/>
          <w:szCs w:val="24"/>
        </w:rPr>
        <w:t xml:space="preserve">2、平原区 </w:t>
      </w:r>
    </w:p>
    <w:p w14:paraId="50BE76C7">
      <w:pPr>
        <w:pStyle w:val="370"/>
        <w:ind w:firstLine="480"/>
        <w:rPr>
          <w:rFonts w:eastAsia="仿宋_GB2312"/>
          <w:snapToGrid/>
          <w:kern w:val="0"/>
          <w:szCs w:val="24"/>
        </w:rPr>
      </w:pPr>
      <w:r>
        <w:rPr>
          <w:rFonts w:eastAsia="仿宋_GB2312"/>
          <w:snapToGrid/>
          <w:kern w:val="0"/>
          <w:szCs w:val="24"/>
        </w:rPr>
        <w:t>该区海拔700—450m，由各河流冲积、洪积而成，地势由东南向西北倾斜，平均坡度2.5%，是全市社会经济发展最为活跃的区域，该区地势平坦，土层较厚，是粮油主产区，也是基本农田的集中分布区。</w:t>
      </w:r>
    </w:p>
    <w:p w14:paraId="12348396">
      <w:pPr>
        <w:pStyle w:val="370"/>
        <w:ind w:firstLine="480"/>
        <w:rPr>
          <w:rFonts w:eastAsia="仿宋_GB2312"/>
          <w:snapToGrid/>
          <w:kern w:val="0"/>
          <w:szCs w:val="24"/>
        </w:rPr>
      </w:pPr>
      <w:r>
        <w:rPr>
          <w:rFonts w:eastAsia="仿宋_GB2312"/>
          <w:snapToGrid/>
          <w:kern w:val="0"/>
          <w:szCs w:val="24"/>
        </w:rPr>
        <w:t xml:space="preserve">（1）山前冲洪积倾斜平原区 </w:t>
      </w:r>
    </w:p>
    <w:p w14:paraId="14B3D8E6">
      <w:pPr>
        <w:pStyle w:val="370"/>
        <w:ind w:firstLine="480"/>
        <w:rPr>
          <w:rFonts w:eastAsia="仿宋_GB2312"/>
          <w:snapToGrid/>
          <w:kern w:val="0"/>
          <w:szCs w:val="24"/>
        </w:rPr>
      </w:pPr>
      <w:r>
        <w:rPr>
          <w:rFonts w:eastAsia="仿宋_GB2312"/>
          <w:snapToGrid/>
          <w:kern w:val="0"/>
          <w:szCs w:val="24"/>
        </w:rPr>
        <w:t>山前平原位于县域南部丘陵下部，由各河流冲积扇相互联接而成，南自丘陵边缘， 北至扇缘泉水溢出带，南北宽约20-25km。地势南高北低，由南向北倾斜，地面坡降1.8-2.4%，由深厚砂砾石和土砾石交互松散堆积而成。由于在新构造运动中未曾受到抬升和隆起，不存在垄岗和深切河谷，使整个平原显得格外开阔平坦。</w:t>
      </w:r>
    </w:p>
    <w:p w14:paraId="2C2796B4">
      <w:pPr>
        <w:pStyle w:val="370"/>
        <w:ind w:firstLine="480"/>
        <w:rPr>
          <w:rFonts w:eastAsia="仿宋_GB2312"/>
          <w:snapToGrid/>
          <w:kern w:val="0"/>
          <w:szCs w:val="24"/>
        </w:rPr>
      </w:pPr>
      <w:r>
        <w:rPr>
          <w:rFonts w:eastAsia="仿宋_GB2312"/>
          <w:snapToGrid/>
          <w:kern w:val="0"/>
          <w:szCs w:val="24"/>
        </w:rPr>
        <w:t>（2）冲积平原</w:t>
      </w:r>
    </w:p>
    <w:p w14:paraId="3CE74F20">
      <w:pPr>
        <w:pStyle w:val="370"/>
        <w:ind w:firstLine="480"/>
        <w:rPr>
          <w:rFonts w:eastAsia="仿宋_GB2312"/>
          <w:snapToGrid/>
          <w:kern w:val="0"/>
          <w:szCs w:val="24"/>
        </w:rPr>
      </w:pPr>
      <w:r>
        <w:rPr>
          <w:rFonts w:eastAsia="仿宋_GB2312"/>
          <w:snapToGrid/>
          <w:kern w:val="0"/>
          <w:szCs w:val="24"/>
        </w:rPr>
        <w:t>冲积平原位于县域中部、准噶尔盆地东南边缘，南自扇缘泉水溢出带，北至沙漠边缘，南北宽10-15km，地面平均坡降小于0.4%，由深厚冲积洪积物交互沉积而成，地势低平，土质较细，土层较厚，宜耕性好，径流缓慢，成为农区地下水积聚带，该区为阜康市主要生产基地。</w:t>
      </w:r>
    </w:p>
    <w:p w14:paraId="07105F15">
      <w:pPr>
        <w:pStyle w:val="370"/>
        <w:ind w:firstLine="480"/>
        <w:rPr>
          <w:rFonts w:eastAsia="仿宋_GB2312"/>
          <w:snapToGrid/>
          <w:kern w:val="0"/>
          <w:szCs w:val="24"/>
        </w:rPr>
      </w:pPr>
      <w:r>
        <w:rPr>
          <w:rFonts w:eastAsia="仿宋_GB2312"/>
          <w:snapToGrid/>
          <w:kern w:val="0"/>
          <w:szCs w:val="24"/>
        </w:rPr>
        <w:t>3、北部沙漠区</w:t>
      </w:r>
    </w:p>
    <w:p w14:paraId="121672E5">
      <w:pPr>
        <w:pStyle w:val="370"/>
        <w:ind w:firstLine="480"/>
        <w:rPr>
          <w:rFonts w:eastAsia="仿宋_GB2312"/>
          <w:snapToGrid/>
          <w:kern w:val="0"/>
          <w:szCs w:val="24"/>
        </w:rPr>
      </w:pPr>
      <w:r>
        <w:rPr>
          <w:rFonts w:eastAsia="仿宋_GB2312"/>
          <w:snapToGrid/>
          <w:kern w:val="0"/>
          <w:szCs w:val="24"/>
        </w:rPr>
        <w:t>该区为古尔班通古特大沙漠的一部分，海拔高度450—800m，该区位于冲积平原北缘，多为砾质戈壁和流动、半流动沙丘，垅状沙丘比例较大，其次是新月形沙丘。总的地势由东南向西北倾斜，最低处是盆地中心的沙丘河，海拔506m，大部分地区被沙丘环绕，沙丘高度一般3-15m。沙漠深处为当地冬牧场。植被为梭梭、柽柳等灌木及稀疏的沙生植物，是本市的辅助冬牧场。</w:t>
      </w:r>
    </w:p>
    <w:p w14:paraId="3FC88CD2">
      <w:pPr>
        <w:pStyle w:val="5"/>
        <w:rPr>
          <w:rFonts w:eastAsia="仿宋_GB2312"/>
        </w:rPr>
      </w:pPr>
      <w:r>
        <w:rPr>
          <w:rFonts w:eastAsia="仿宋_GB2312"/>
        </w:rPr>
        <w:t>1.1.3 区域地质和水文地质</w:t>
      </w:r>
    </w:p>
    <w:p w14:paraId="0BCF2DAF">
      <w:pPr>
        <w:ind w:firstLine="480"/>
        <w:rPr>
          <w:rFonts w:cs="Times New Roman"/>
        </w:rPr>
      </w:pPr>
      <w:r>
        <w:rPr>
          <w:rFonts w:cs="Times New Roman"/>
        </w:rPr>
        <w:t>1、区域地质</w:t>
      </w:r>
    </w:p>
    <w:p w14:paraId="76786CFC">
      <w:pPr>
        <w:ind w:firstLine="480"/>
        <w:rPr>
          <w:rFonts w:cs="Times New Roman"/>
        </w:rPr>
      </w:pPr>
      <w:r>
        <w:rPr>
          <w:rFonts w:cs="Times New Roman"/>
        </w:rPr>
        <w:t>古生界以前的地质时期</w:t>
      </w:r>
      <w:r>
        <w:rPr>
          <w:rFonts w:hint="eastAsia" w:cs="Times New Roman"/>
        </w:rPr>
        <w:t>阜康市</w:t>
      </w:r>
      <w:r>
        <w:rPr>
          <w:rFonts w:cs="Times New Roman"/>
        </w:rPr>
        <w:t>属西部地槽区，在早古生界志留纪末期发生的加里东运动，使天山地槽受到了一定影响，由于岩浆侵入而发生褶皱，但未隆起成山。晚古生界末的海西运动使先成地层强烈褶皱、断裂，隆起和大规模岩浆活动，使天山褶皱带的大地构造格局基本形成。后期燕山运动和喜玛拉雅运动，不仅使中新生界坳陷区隆起，并扩大了隆起范围，而且在隆起区的北部边缘又形成了新的坳陷区，从而奠定了现状的地貌雏形。而晚第三系以后的新构造运动，使天山山区进一步隆起，山前坳陷区相对下降，扩大了两区的地形高差，使河水侵蚀、搬运和沉积作用加剧，再加上第四纪以来的冰川活动和盆地内部干旱地区的风沙作用等诸多外动力因素对原地形的改造，便形成了阜康市境内南高北低的地形特征及雄伟多姿的地貌形态。</w:t>
      </w:r>
    </w:p>
    <w:p w14:paraId="77F834C8">
      <w:pPr>
        <w:ind w:firstLine="480"/>
        <w:rPr>
          <w:rFonts w:cs="Times New Roman"/>
        </w:rPr>
      </w:pPr>
      <w:r>
        <w:rPr>
          <w:rFonts w:cs="Times New Roman"/>
        </w:rPr>
        <w:t>2、地层岩性</w:t>
      </w:r>
    </w:p>
    <w:p w14:paraId="570BB36A">
      <w:pPr>
        <w:ind w:firstLine="480"/>
        <w:rPr>
          <w:rFonts w:cs="Times New Roman"/>
        </w:rPr>
      </w:pPr>
      <w:r>
        <w:rPr>
          <w:rFonts w:cs="Times New Roman"/>
        </w:rPr>
        <w:t>南山区出露的地层主要为下古生界志留系、上古生界泥盆系、石炭系，其中石炭系分布最广，约占南部中、高山区面积的40%，还出露有中、新生界的三叠系、侏罗系、白垩系及第三系，并零星出露有侵入岩；山前丘陵区则由上第三系昌吉河组构成。山区地层岩性：志留系以灰岩、结晶灰岩及大理岩化灰岩为主；泥盆系以灰岩、砂质灰岩及凝灰质粉砂岩为主；石炭系以凝灰岩、凝灰质砂岩、砾岩为主；中、新生代地层岩性主要由砂岩、砾岩、粉砂岩、页岩、泥岩组成。平原区和沙漠区由第四纪松散堆积物构成。</w:t>
      </w:r>
      <w:r>
        <w:rPr>
          <w:rFonts w:hint="eastAsia" w:cs="Times New Roman"/>
        </w:rPr>
        <w:t>阜康市</w:t>
      </w:r>
      <w:r>
        <w:rPr>
          <w:rFonts w:cs="Times New Roman"/>
        </w:rPr>
        <w:t>山前平原在大地构造上为准噶尔拗陷区南缘乌鲁木齐山前拗陷东段的一部分，其南部为天山博格达山区东段，属天山褶皱系、北天山褶皱带，深断裂构造。北天山褶皱带曾是古生界地槽，加里东运动使地槽褶皱隆起，华力西运动加剧了造山过程。北天山东段则为晚石炭纪一二叠纪末期隆起，其构造线与天山走向一致，为复背斜和复向斜构造，南部隆起，山前拗陷带以北接受第四纪沉积，山前与第四纪的接触关系主要为不整合逆断层接触。</w:t>
      </w:r>
    </w:p>
    <w:p w14:paraId="2E4F2921">
      <w:pPr>
        <w:ind w:firstLine="480"/>
        <w:rPr>
          <w:rFonts w:cs="Times New Roman"/>
        </w:rPr>
      </w:pPr>
      <w:r>
        <w:rPr>
          <w:rFonts w:cs="Times New Roman"/>
        </w:rPr>
        <w:t>3、水文地质</w:t>
      </w:r>
    </w:p>
    <w:p w14:paraId="0A770B5E">
      <w:pPr>
        <w:ind w:firstLine="480"/>
        <w:rPr>
          <w:color w:val="000000" w:themeColor="text1"/>
          <w14:textFill>
            <w14:solidFill>
              <w14:schemeClr w14:val="tx1"/>
            </w14:solidFill>
          </w14:textFill>
        </w:rPr>
      </w:pPr>
      <w:r>
        <w:rPr>
          <w:color w:val="000000" w:themeColor="text1"/>
          <w14:textFill>
            <w14:solidFill>
              <w14:schemeClr w14:val="tx1"/>
            </w14:solidFill>
          </w14:textFill>
        </w:rPr>
        <w:t>阜康市从构造单元上，由南到北可划分为天山褶皱带、山前拗陷带和准噶尔地块三个单元，这三个地质单元基本相当于地貌单元的南部山区、中部冲洪积平原区和北部古尔班通古特沙漠区。</w:t>
      </w:r>
    </w:p>
    <w:p w14:paraId="13FBC9AD">
      <w:pPr>
        <w:ind w:firstLine="480"/>
        <w:rPr>
          <w:color w:val="000000" w:themeColor="text1"/>
          <w14:textFill>
            <w14:solidFill>
              <w14:schemeClr w14:val="tx1"/>
            </w14:solidFill>
          </w14:textFill>
        </w:rPr>
      </w:pPr>
      <w:r>
        <w:rPr>
          <w:color w:val="000000" w:themeColor="text1"/>
          <w14:textFill>
            <w14:solidFill>
              <w14:schemeClr w14:val="tx1"/>
            </w14:solidFill>
          </w14:textFill>
        </w:rPr>
        <w:t>南部海拔2500m以上的中高山区，由古生界的沉积—变质岩和中生界沉积岩组成，山势陡峻，裂隙发育。</w:t>
      </w:r>
    </w:p>
    <w:p w14:paraId="3D74B1FD">
      <w:pPr>
        <w:ind w:firstLine="480"/>
        <w:rPr>
          <w:color w:val="000000" w:themeColor="text1"/>
          <w14:textFill>
            <w14:solidFill>
              <w14:schemeClr w14:val="tx1"/>
            </w14:solidFill>
          </w14:textFill>
        </w:rPr>
      </w:pPr>
      <w:r>
        <w:rPr>
          <w:color w:val="000000" w:themeColor="text1"/>
          <w14:textFill>
            <w14:solidFill>
              <w14:schemeClr w14:val="tx1"/>
            </w14:solidFill>
          </w14:textFill>
        </w:rPr>
        <w:t>海拔1500~2500m之间的中山区，降水丰沛，气候湿润，丰富的大气降水及融雪水除补给基岩裂隙水外，也成为地表水的主要补给源。</w:t>
      </w:r>
    </w:p>
    <w:p w14:paraId="40DCFCF8">
      <w:pPr>
        <w:ind w:firstLine="480"/>
        <w:rPr>
          <w:color w:val="000000" w:themeColor="text1"/>
          <w14:textFill>
            <w14:solidFill>
              <w14:schemeClr w14:val="tx1"/>
            </w14:solidFill>
          </w14:textFill>
        </w:rPr>
      </w:pPr>
      <w:r>
        <w:rPr>
          <w:color w:val="000000" w:themeColor="text1"/>
          <w14:textFill>
            <w14:solidFill>
              <w14:schemeClr w14:val="tx1"/>
            </w14:solidFill>
          </w14:textFill>
        </w:rPr>
        <w:t>海拔700~1500m之间的中低山丘陵区，气候干燥，降水量少，蒸发量大，地表土质疏松，植被差，是下游河道泥沙的主要来源，但这一地区地层透水性好。</w:t>
      </w:r>
    </w:p>
    <w:p w14:paraId="78E18990">
      <w:pPr>
        <w:ind w:firstLine="480"/>
        <w:rPr>
          <w:color w:val="000000" w:themeColor="text1"/>
          <w14:textFill>
            <w14:solidFill>
              <w14:schemeClr w14:val="tx1"/>
            </w14:solidFill>
          </w14:textFill>
        </w:rPr>
      </w:pPr>
      <w:r>
        <w:rPr>
          <w:color w:val="000000" w:themeColor="text1"/>
          <w14:textFill>
            <w14:solidFill>
              <w14:schemeClr w14:val="tx1"/>
            </w14:solidFill>
          </w14:textFill>
        </w:rPr>
        <w:t>海拔450~700m之间位于拗陷带的山前冲洪积扇区的广大区域，沉积着巨厚的第四纪沉积物，并自北向南逐渐增厚，由于年代较近，一般都未胶结，松散多孔，为地下水赋存、补给、排泄提供了良好的空间。</w:t>
      </w:r>
    </w:p>
    <w:p w14:paraId="36CF2E74">
      <w:pPr>
        <w:ind w:firstLine="480"/>
        <w:rPr>
          <w:rFonts w:cs="Times New Roman"/>
        </w:rPr>
      </w:pPr>
      <w:r>
        <w:rPr>
          <w:color w:val="000000" w:themeColor="text1"/>
          <w14:textFill>
            <w14:solidFill>
              <w14:schemeClr w14:val="tx1"/>
            </w14:solidFill>
          </w14:textFill>
        </w:rPr>
        <w:t>位于准噶尔地块的古尔班通古特沙漠区，海拔高度在450~800m之间。由于地处冲洪积平原的末端，又远离阜康市河流河床，沉积物多为粉沙，富水性弱，承压水埋藏一般较深。</w:t>
      </w:r>
    </w:p>
    <w:p w14:paraId="314F683E">
      <w:pPr>
        <w:pStyle w:val="5"/>
        <w:rPr>
          <w:rFonts w:eastAsia="仿宋_GB2312"/>
        </w:rPr>
      </w:pPr>
      <w:r>
        <w:rPr>
          <w:rFonts w:eastAsia="仿宋_GB2312"/>
        </w:rPr>
        <w:t>1.1.4 气候</w:t>
      </w:r>
    </w:p>
    <w:p w14:paraId="67575CF3">
      <w:pPr>
        <w:ind w:firstLine="480"/>
        <w:rPr>
          <w:rFonts w:cs="Times New Roman"/>
        </w:rPr>
      </w:pPr>
      <w:r>
        <w:rPr>
          <w:rFonts w:cs="Times New Roman"/>
        </w:rPr>
        <w:t>阜康市地处中纬度地区，受到低温天气系统和北冰洋空气的影响，加之深处亚欧大陆腹地盆地边缘，远离海洋，形成了典型的中温带大陆性荒漠气候。其特点是四季分明，夏季干旱炎热；冬季严寒漫长；春季温度变化剧烈；冷空气活动频繁，秋季降温迅速等。降水量年际变化大，季节分配不均，多集中在春夏两季。光照充足，热量丰富，气温年较差、日较差大。</w:t>
      </w:r>
    </w:p>
    <w:p w14:paraId="1D95B36A">
      <w:pPr>
        <w:ind w:firstLine="480"/>
        <w:rPr>
          <w:rFonts w:cs="Times New Roman"/>
          <w:szCs w:val="22"/>
        </w:rPr>
      </w:pPr>
      <w:r>
        <w:rPr>
          <w:rFonts w:cs="Times New Roman"/>
          <w:szCs w:val="22"/>
        </w:rPr>
        <w:t>本次分析收集到了阜康市气象站1981年至2020年实测气温、降水、蒸发以及冻土资料，气象站主要气象要素统计见表1.1-1。</w:t>
      </w:r>
    </w:p>
    <w:p w14:paraId="1310BAE2">
      <w:pPr>
        <w:ind w:firstLine="480"/>
        <w:rPr>
          <w:rFonts w:cs="Times New Roman"/>
        </w:rPr>
      </w:pPr>
      <w:r>
        <w:rPr>
          <w:rFonts w:cs="Times New Roman"/>
        </w:rPr>
        <w:t>（1）气温</w:t>
      </w:r>
    </w:p>
    <w:p w14:paraId="03DE2D9F">
      <w:pPr>
        <w:ind w:firstLine="480"/>
        <w:rPr>
          <w:rFonts w:cs="Times New Roman"/>
          <w:szCs w:val="22"/>
        </w:rPr>
      </w:pPr>
      <w:r>
        <w:rPr>
          <w:rFonts w:cs="Times New Roman"/>
          <w:szCs w:val="22"/>
        </w:rPr>
        <w:t>阜康气象站年平均气温7.4℃，历年最高气温41.5℃，最低气温-37℃，最热月平均气温25.4℃，最冷月平均气温-15.9℃， 负温期在11月份至次年2月份。</w:t>
      </w:r>
    </w:p>
    <w:p w14:paraId="7D88E51B">
      <w:pPr>
        <w:ind w:firstLine="480"/>
        <w:rPr>
          <w:rFonts w:cs="Times New Roman"/>
        </w:rPr>
      </w:pPr>
      <w:r>
        <w:rPr>
          <w:rFonts w:cs="Times New Roman"/>
        </w:rPr>
        <w:t>（2）降水</w:t>
      </w:r>
    </w:p>
    <w:p w14:paraId="07CA2D6E">
      <w:pPr>
        <w:ind w:firstLine="480"/>
        <w:rPr>
          <w:rFonts w:cs="Times New Roman"/>
          <w:szCs w:val="22"/>
        </w:rPr>
      </w:pPr>
      <w:r>
        <w:rPr>
          <w:rFonts w:cs="Times New Roman"/>
          <w:szCs w:val="22"/>
        </w:rPr>
        <w:t>阜康市属典型的中温带大陆性干旱气候，年降水量稀少，季节差异大，降水变化率大，全年降水日数不多，根据阜康市气象站降水资料，年平均降雨量237.6mm，全年平均最大降水量出现在5月，最小降水量出现在1月，连续最大四月降水量为4～7月。</w:t>
      </w:r>
    </w:p>
    <w:p w14:paraId="723D88BC">
      <w:pPr>
        <w:ind w:firstLine="480"/>
        <w:rPr>
          <w:rFonts w:cs="Times New Roman"/>
        </w:rPr>
      </w:pPr>
      <w:r>
        <w:rPr>
          <w:rFonts w:cs="Times New Roman"/>
        </w:rPr>
        <w:t>（3）蒸发</w:t>
      </w:r>
    </w:p>
    <w:p w14:paraId="3DB381D8">
      <w:pPr>
        <w:ind w:firstLine="480"/>
        <w:rPr>
          <w:rFonts w:cs="Times New Roman"/>
        </w:rPr>
      </w:pPr>
      <w:r>
        <w:rPr>
          <w:rFonts w:cs="Times New Roman"/>
        </w:rPr>
        <w:t>阜康气象站年蒸发量为1620.7mm，全年蒸发量最高月份为6月，最低月份为12月至次年1月。</w:t>
      </w:r>
    </w:p>
    <w:p w14:paraId="2A890487">
      <w:pPr>
        <w:ind w:firstLine="480"/>
        <w:rPr>
          <w:rFonts w:cs="Times New Roman"/>
        </w:rPr>
      </w:pPr>
      <w:r>
        <w:rPr>
          <w:rFonts w:cs="Times New Roman"/>
        </w:rPr>
        <w:t>（4）风向、风速</w:t>
      </w:r>
    </w:p>
    <w:p w14:paraId="657F6657">
      <w:pPr>
        <w:ind w:firstLine="480"/>
        <w:rPr>
          <w:rFonts w:cs="Times New Roman"/>
          <w:szCs w:val="22"/>
        </w:rPr>
      </w:pPr>
      <w:r>
        <w:rPr>
          <w:rFonts w:cs="Times New Roman"/>
          <w:szCs w:val="22"/>
        </w:rPr>
        <w:t>据阜康市气象站观测资料，阜康市常年平均风速1.8m/s，冬季风速1.3m/s，夏季风速3.4m/s，全年最多风向为西风。冬季最多风向西风占39％，南风占15％；夏季最多风向南风占22％，北风占13％，多年平均最大风速15.7 m/s。</w:t>
      </w:r>
    </w:p>
    <w:p w14:paraId="6385F364">
      <w:pPr>
        <w:ind w:firstLine="480"/>
        <w:rPr>
          <w:rFonts w:cs="Times New Roman"/>
        </w:rPr>
      </w:pPr>
      <w:r>
        <w:rPr>
          <w:rFonts w:cs="Times New Roman"/>
        </w:rPr>
        <w:t>（5）冻土、日照</w:t>
      </w:r>
    </w:p>
    <w:p w14:paraId="24D730BA">
      <w:pPr>
        <w:ind w:firstLine="480"/>
        <w:rPr>
          <w:rFonts w:cs="Times New Roman"/>
        </w:rPr>
      </w:pPr>
      <w:r>
        <w:rPr>
          <w:rFonts w:cs="Times New Roman"/>
        </w:rPr>
        <w:t>最大冻土深度为144cm，年平均日照时间为2931.3小时。</w:t>
      </w:r>
    </w:p>
    <w:p w14:paraId="7E3358AC">
      <w:pPr>
        <w:pStyle w:val="380"/>
        <w:spacing w:line="360" w:lineRule="auto"/>
        <w:rPr>
          <w:rFonts w:cs="Times New Roman"/>
          <w:sz w:val="24"/>
          <w:szCs w:val="24"/>
          <w:lang w:val="zh-CN"/>
        </w:rPr>
      </w:pPr>
      <w:r>
        <w:rPr>
          <w:rFonts w:cs="Times New Roman"/>
          <w:sz w:val="24"/>
          <w:szCs w:val="24"/>
        </w:rPr>
        <w:t xml:space="preserve">表1.1-1  </w:t>
      </w:r>
      <w:r>
        <w:rPr>
          <w:rFonts w:cs="Times New Roman"/>
          <w:b/>
          <w:snapToGrid w:val="0"/>
          <w:sz w:val="24"/>
          <w:szCs w:val="24"/>
        </w:rPr>
        <w:t>气象站气象要素一览表</w:t>
      </w:r>
    </w:p>
    <w:tbl>
      <w:tblPr>
        <w:tblStyle w:val="48"/>
        <w:tblW w:w="4999" w:type="pct"/>
        <w:tblInd w:w="0" w:type="dxa"/>
        <w:tblLayout w:type="autofit"/>
        <w:tblCellMar>
          <w:top w:w="0" w:type="dxa"/>
          <w:left w:w="108" w:type="dxa"/>
          <w:bottom w:w="0" w:type="dxa"/>
          <w:right w:w="108" w:type="dxa"/>
        </w:tblCellMar>
      </w:tblPr>
      <w:tblGrid>
        <w:gridCol w:w="1898"/>
        <w:gridCol w:w="946"/>
        <w:gridCol w:w="946"/>
        <w:gridCol w:w="946"/>
        <w:gridCol w:w="946"/>
        <w:gridCol w:w="947"/>
        <w:gridCol w:w="947"/>
        <w:gridCol w:w="951"/>
      </w:tblGrid>
      <w:tr w14:paraId="6A89854E">
        <w:tblPrEx>
          <w:tblCellMar>
            <w:top w:w="0" w:type="dxa"/>
            <w:left w:w="108" w:type="dxa"/>
            <w:bottom w:w="0" w:type="dxa"/>
            <w:right w:w="108" w:type="dxa"/>
          </w:tblCellMar>
        </w:tblPrEx>
        <w:trPr>
          <w:trHeight w:val="151" w:hRule="atLeast"/>
        </w:trPr>
        <w:tc>
          <w:tcPr>
            <w:tcW w:w="1113" w:type="pct"/>
            <w:tcBorders>
              <w:top w:val="single" w:color="auto" w:sz="4" w:space="0"/>
              <w:left w:val="single" w:color="auto" w:sz="4" w:space="0"/>
              <w:bottom w:val="single" w:color="auto" w:sz="4" w:space="0"/>
              <w:right w:val="single" w:color="auto" w:sz="4" w:space="0"/>
            </w:tcBorders>
            <w:vAlign w:val="center"/>
          </w:tcPr>
          <w:p w14:paraId="6F04F007">
            <w:pPr>
              <w:spacing w:line="240" w:lineRule="auto"/>
              <w:ind w:firstLine="0" w:firstLineChars="0"/>
              <w:jc w:val="center"/>
              <w:rPr>
                <w:rFonts w:cs="Times New Roman"/>
                <w:sz w:val="21"/>
                <w:szCs w:val="21"/>
              </w:rPr>
            </w:pPr>
            <w:bookmarkStart w:id="8" w:name="_Toc303354509"/>
            <w:bookmarkStart w:id="9" w:name="_Toc232850925"/>
            <w:r>
              <w:rPr>
                <w:rFonts w:cs="Times New Roman"/>
                <w:sz w:val="21"/>
                <w:szCs w:val="21"/>
              </w:rPr>
              <w:t>项  目</w:t>
            </w:r>
          </w:p>
        </w:tc>
        <w:tc>
          <w:tcPr>
            <w:tcW w:w="555" w:type="pct"/>
            <w:tcBorders>
              <w:top w:val="single" w:color="auto" w:sz="4" w:space="0"/>
              <w:left w:val="nil"/>
              <w:bottom w:val="single" w:color="auto" w:sz="4" w:space="0"/>
              <w:right w:val="single" w:color="auto" w:sz="4" w:space="0"/>
            </w:tcBorders>
            <w:vAlign w:val="center"/>
          </w:tcPr>
          <w:p w14:paraId="2B793F98">
            <w:pPr>
              <w:spacing w:line="240" w:lineRule="auto"/>
              <w:ind w:firstLine="0" w:firstLineChars="0"/>
              <w:jc w:val="center"/>
              <w:rPr>
                <w:rFonts w:cs="Times New Roman"/>
                <w:sz w:val="21"/>
                <w:szCs w:val="21"/>
              </w:rPr>
            </w:pPr>
            <w:r>
              <w:rPr>
                <w:rFonts w:cs="Times New Roman"/>
                <w:sz w:val="21"/>
                <w:szCs w:val="21"/>
              </w:rPr>
              <w:t>1月</w:t>
            </w:r>
          </w:p>
        </w:tc>
        <w:tc>
          <w:tcPr>
            <w:tcW w:w="555" w:type="pct"/>
            <w:tcBorders>
              <w:top w:val="single" w:color="auto" w:sz="4" w:space="0"/>
              <w:left w:val="nil"/>
              <w:bottom w:val="single" w:color="auto" w:sz="4" w:space="0"/>
              <w:right w:val="single" w:color="auto" w:sz="4" w:space="0"/>
            </w:tcBorders>
            <w:vAlign w:val="center"/>
          </w:tcPr>
          <w:p w14:paraId="65897838">
            <w:pPr>
              <w:spacing w:line="240" w:lineRule="auto"/>
              <w:ind w:firstLine="0" w:firstLineChars="0"/>
              <w:jc w:val="center"/>
              <w:rPr>
                <w:rFonts w:cs="Times New Roman"/>
                <w:sz w:val="21"/>
                <w:szCs w:val="21"/>
              </w:rPr>
            </w:pPr>
            <w:r>
              <w:rPr>
                <w:rFonts w:cs="Times New Roman"/>
                <w:sz w:val="21"/>
                <w:szCs w:val="21"/>
              </w:rPr>
              <w:t>2月</w:t>
            </w:r>
          </w:p>
        </w:tc>
        <w:tc>
          <w:tcPr>
            <w:tcW w:w="555" w:type="pct"/>
            <w:tcBorders>
              <w:top w:val="single" w:color="auto" w:sz="4" w:space="0"/>
              <w:left w:val="nil"/>
              <w:bottom w:val="single" w:color="auto" w:sz="4" w:space="0"/>
              <w:right w:val="single" w:color="auto" w:sz="4" w:space="0"/>
            </w:tcBorders>
            <w:vAlign w:val="center"/>
          </w:tcPr>
          <w:p w14:paraId="65D5D98D">
            <w:pPr>
              <w:spacing w:line="240" w:lineRule="auto"/>
              <w:ind w:firstLine="0" w:firstLineChars="0"/>
              <w:jc w:val="center"/>
              <w:rPr>
                <w:rFonts w:cs="Times New Roman"/>
                <w:sz w:val="21"/>
                <w:szCs w:val="21"/>
              </w:rPr>
            </w:pPr>
            <w:r>
              <w:rPr>
                <w:rFonts w:cs="Times New Roman"/>
                <w:sz w:val="21"/>
                <w:szCs w:val="21"/>
              </w:rPr>
              <w:t>3月</w:t>
            </w:r>
          </w:p>
        </w:tc>
        <w:tc>
          <w:tcPr>
            <w:tcW w:w="555" w:type="pct"/>
            <w:tcBorders>
              <w:top w:val="single" w:color="auto" w:sz="4" w:space="0"/>
              <w:left w:val="nil"/>
              <w:bottom w:val="single" w:color="auto" w:sz="4" w:space="0"/>
              <w:right w:val="single" w:color="auto" w:sz="4" w:space="0"/>
            </w:tcBorders>
            <w:vAlign w:val="center"/>
          </w:tcPr>
          <w:p w14:paraId="5807F4ED">
            <w:pPr>
              <w:spacing w:line="240" w:lineRule="auto"/>
              <w:ind w:firstLine="0" w:firstLineChars="0"/>
              <w:jc w:val="center"/>
              <w:rPr>
                <w:rFonts w:cs="Times New Roman"/>
                <w:sz w:val="21"/>
                <w:szCs w:val="21"/>
              </w:rPr>
            </w:pPr>
            <w:r>
              <w:rPr>
                <w:rFonts w:cs="Times New Roman"/>
                <w:sz w:val="21"/>
                <w:szCs w:val="21"/>
              </w:rPr>
              <w:t>4月</w:t>
            </w:r>
          </w:p>
        </w:tc>
        <w:tc>
          <w:tcPr>
            <w:tcW w:w="555" w:type="pct"/>
            <w:tcBorders>
              <w:top w:val="single" w:color="auto" w:sz="4" w:space="0"/>
              <w:left w:val="nil"/>
              <w:bottom w:val="single" w:color="auto" w:sz="4" w:space="0"/>
              <w:right w:val="single" w:color="auto" w:sz="4" w:space="0"/>
            </w:tcBorders>
            <w:vAlign w:val="center"/>
          </w:tcPr>
          <w:p w14:paraId="444C07DB">
            <w:pPr>
              <w:spacing w:line="240" w:lineRule="auto"/>
              <w:ind w:firstLine="0" w:firstLineChars="0"/>
              <w:jc w:val="center"/>
              <w:rPr>
                <w:rFonts w:cs="Times New Roman"/>
                <w:sz w:val="21"/>
                <w:szCs w:val="21"/>
              </w:rPr>
            </w:pPr>
            <w:r>
              <w:rPr>
                <w:rFonts w:cs="Times New Roman"/>
                <w:sz w:val="21"/>
                <w:szCs w:val="21"/>
              </w:rPr>
              <w:t>5月</w:t>
            </w:r>
          </w:p>
        </w:tc>
        <w:tc>
          <w:tcPr>
            <w:tcW w:w="555" w:type="pct"/>
            <w:tcBorders>
              <w:top w:val="single" w:color="auto" w:sz="4" w:space="0"/>
              <w:left w:val="nil"/>
              <w:bottom w:val="single" w:color="auto" w:sz="4" w:space="0"/>
              <w:right w:val="single" w:color="auto" w:sz="4" w:space="0"/>
            </w:tcBorders>
            <w:vAlign w:val="center"/>
          </w:tcPr>
          <w:p w14:paraId="33D63BA5">
            <w:pPr>
              <w:spacing w:line="240" w:lineRule="auto"/>
              <w:ind w:firstLine="0" w:firstLineChars="0"/>
              <w:jc w:val="center"/>
              <w:rPr>
                <w:rFonts w:cs="Times New Roman"/>
                <w:sz w:val="21"/>
                <w:szCs w:val="21"/>
              </w:rPr>
            </w:pPr>
            <w:r>
              <w:rPr>
                <w:rFonts w:cs="Times New Roman"/>
                <w:sz w:val="21"/>
                <w:szCs w:val="21"/>
              </w:rPr>
              <w:t>6月</w:t>
            </w:r>
          </w:p>
        </w:tc>
        <w:tc>
          <w:tcPr>
            <w:tcW w:w="555" w:type="pct"/>
            <w:tcBorders>
              <w:top w:val="single" w:color="auto" w:sz="4" w:space="0"/>
              <w:left w:val="nil"/>
              <w:bottom w:val="single" w:color="auto" w:sz="4" w:space="0"/>
              <w:right w:val="single" w:color="auto" w:sz="4" w:space="0"/>
            </w:tcBorders>
            <w:vAlign w:val="center"/>
          </w:tcPr>
          <w:p w14:paraId="3CBAEFAD">
            <w:pPr>
              <w:spacing w:line="240" w:lineRule="auto"/>
              <w:ind w:firstLine="0" w:firstLineChars="0"/>
              <w:jc w:val="center"/>
              <w:rPr>
                <w:rFonts w:cs="Times New Roman"/>
                <w:sz w:val="21"/>
                <w:szCs w:val="21"/>
              </w:rPr>
            </w:pPr>
            <w:r>
              <w:rPr>
                <w:rFonts w:cs="Times New Roman"/>
                <w:sz w:val="21"/>
                <w:szCs w:val="21"/>
              </w:rPr>
              <w:t>7月</w:t>
            </w:r>
          </w:p>
        </w:tc>
      </w:tr>
      <w:tr w14:paraId="51C434C9">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38CBE9C9">
            <w:pPr>
              <w:spacing w:line="240" w:lineRule="auto"/>
              <w:ind w:firstLine="0" w:firstLineChars="0"/>
              <w:jc w:val="center"/>
              <w:rPr>
                <w:rFonts w:cs="Times New Roman"/>
                <w:sz w:val="21"/>
                <w:szCs w:val="21"/>
              </w:rPr>
            </w:pPr>
            <w:r>
              <w:rPr>
                <w:rFonts w:cs="Times New Roman"/>
                <w:sz w:val="21"/>
                <w:szCs w:val="21"/>
              </w:rPr>
              <w:t>气温（℃）</w:t>
            </w:r>
          </w:p>
        </w:tc>
        <w:tc>
          <w:tcPr>
            <w:tcW w:w="555" w:type="pct"/>
            <w:tcBorders>
              <w:top w:val="nil"/>
              <w:left w:val="nil"/>
              <w:bottom w:val="single" w:color="auto" w:sz="4" w:space="0"/>
              <w:right w:val="single" w:color="auto" w:sz="4" w:space="0"/>
            </w:tcBorders>
            <w:vAlign w:val="center"/>
          </w:tcPr>
          <w:p w14:paraId="01D4A5CE">
            <w:pPr>
              <w:spacing w:line="240" w:lineRule="auto"/>
              <w:ind w:firstLine="0" w:firstLineChars="0"/>
              <w:jc w:val="center"/>
              <w:rPr>
                <w:rFonts w:cs="Times New Roman"/>
                <w:sz w:val="21"/>
                <w:szCs w:val="21"/>
              </w:rPr>
            </w:pPr>
            <w:r>
              <w:rPr>
                <w:rFonts w:cs="Times New Roman"/>
                <w:sz w:val="21"/>
                <w:szCs w:val="21"/>
              </w:rPr>
              <w:t>-15.9</w:t>
            </w:r>
          </w:p>
        </w:tc>
        <w:tc>
          <w:tcPr>
            <w:tcW w:w="555" w:type="pct"/>
            <w:tcBorders>
              <w:top w:val="nil"/>
              <w:left w:val="nil"/>
              <w:bottom w:val="single" w:color="auto" w:sz="4" w:space="0"/>
              <w:right w:val="single" w:color="auto" w:sz="4" w:space="0"/>
            </w:tcBorders>
            <w:vAlign w:val="center"/>
          </w:tcPr>
          <w:p w14:paraId="55E984E2">
            <w:pPr>
              <w:spacing w:line="240" w:lineRule="auto"/>
              <w:ind w:firstLine="0" w:firstLineChars="0"/>
              <w:jc w:val="center"/>
              <w:rPr>
                <w:rFonts w:cs="Times New Roman"/>
                <w:sz w:val="21"/>
                <w:szCs w:val="21"/>
              </w:rPr>
            </w:pPr>
            <w:r>
              <w:rPr>
                <w:rFonts w:cs="Times New Roman"/>
                <w:sz w:val="21"/>
                <w:szCs w:val="21"/>
              </w:rPr>
              <w:t>-11.9</w:t>
            </w:r>
          </w:p>
        </w:tc>
        <w:tc>
          <w:tcPr>
            <w:tcW w:w="555" w:type="pct"/>
            <w:tcBorders>
              <w:top w:val="nil"/>
              <w:left w:val="nil"/>
              <w:bottom w:val="single" w:color="auto" w:sz="4" w:space="0"/>
              <w:right w:val="single" w:color="auto" w:sz="4" w:space="0"/>
            </w:tcBorders>
            <w:vAlign w:val="center"/>
          </w:tcPr>
          <w:p w14:paraId="7A9BC305">
            <w:pPr>
              <w:spacing w:line="240" w:lineRule="auto"/>
              <w:ind w:firstLine="0" w:firstLineChars="0"/>
              <w:jc w:val="center"/>
              <w:rPr>
                <w:rFonts w:cs="Times New Roman"/>
                <w:sz w:val="21"/>
                <w:szCs w:val="21"/>
              </w:rPr>
            </w:pPr>
            <w:r>
              <w:rPr>
                <w:rFonts w:cs="Times New Roman"/>
                <w:sz w:val="21"/>
                <w:szCs w:val="21"/>
              </w:rPr>
              <w:t>0.1</w:t>
            </w:r>
          </w:p>
        </w:tc>
        <w:tc>
          <w:tcPr>
            <w:tcW w:w="555" w:type="pct"/>
            <w:tcBorders>
              <w:top w:val="nil"/>
              <w:left w:val="nil"/>
              <w:bottom w:val="single" w:color="auto" w:sz="4" w:space="0"/>
              <w:right w:val="single" w:color="auto" w:sz="4" w:space="0"/>
            </w:tcBorders>
            <w:vAlign w:val="center"/>
          </w:tcPr>
          <w:p w14:paraId="44957D65">
            <w:pPr>
              <w:spacing w:line="240" w:lineRule="auto"/>
              <w:ind w:firstLine="0" w:firstLineChars="0"/>
              <w:jc w:val="center"/>
              <w:rPr>
                <w:rFonts w:cs="Times New Roman"/>
                <w:sz w:val="21"/>
                <w:szCs w:val="21"/>
              </w:rPr>
            </w:pPr>
            <w:r>
              <w:rPr>
                <w:rFonts w:cs="Times New Roman"/>
                <w:sz w:val="21"/>
                <w:szCs w:val="21"/>
              </w:rPr>
              <w:t>12.1</w:t>
            </w:r>
          </w:p>
        </w:tc>
        <w:tc>
          <w:tcPr>
            <w:tcW w:w="555" w:type="pct"/>
            <w:tcBorders>
              <w:top w:val="nil"/>
              <w:left w:val="nil"/>
              <w:bottom w:val="single" w:color="auto" w:sz="4" w:space="0"/>
              <w:right w:val="single" w:color="auto" w:sz="4" w:space="0"/>
            </w:tcBorders>
            <w:vAlign w:val="center"/>
          </w:tcPr>
          <w:p w14:paraId="35F858CB">
            <w:pPr>
              <w:spacing w:line="240" w:lineRule="auto"/>
              <w:ind w:firstLine="0" w:firstLineChars="0"/>
              <w:jc w:val="center"/>
              <w:rPr>
                <w:rFonts w:cs="Times New Roman"/>
                <w:sz w:val="21"/>
                <w:szCs w:val="21"/>
              </w:rPr>
            </w:pPr>
            <w:r>
              <w:rPr>
                <w:rFonts w:cs="Times New Roman"/>
                <w:sz w:val="21"/>
                <w:szCs w:val="21"/>
              </w:rPr>
              <w:t>19</w:t>
            </w:r>
          </w:p>
        </w:tc>
        <w:tc>
          <w:tcPr>
            <w:tcW w:w="555" w:type="pct"/>
            <w:tcBorders>
              <w:top w:val="nil"/>
              <w:left w:val="nil"/>
              <w:bottom w:val="single" w:color="auto" w:sz="4" w:space="0"/>
              <w:right w:val="single" w:color="auto" w:sz="4" w:space="0"/>
            </w:tcBorders>
            <w:vAlign w:val="center"/>
          </w:tcPr>
          <w:p w14:paraId="13733A11">
            <w:pPr>
              <w:spacing w:line="240" w:lineRule="auto"/>
              <w:ind w:firstLine="0" w:firstLineChars="0"/>
              <w:jc w:val="center"/>
              <w:rPr>
                <w:rFonts w:cs="Times New Roman"/>
                <w:sz w:val="21"/>
                <w:szCs w:val="21"/>
              </w:rPr>
            </w:pPr>
            <w:r>
              <w:rPr>
                <w:rFonts w:cs="Times New Roman"/>
                <w:sz w:val="21"/>
                <w:szCs w:val="21"/>
              </w:rPr>
              <w:t>24</w:t>
            </w:r>
          </w:p>
        </w:tc>
        <w:tc>
          <w:tcPr>
            <w:tcW w:w="555" w:type="pct"/>
            <w:tcBorders>
              <w:top w:val="nil"/>
              <w:left w:val="nil"/>
              <w:bottom w:val="single" w:color="auto" w:sz="4" w:space="0"/>
              <w:right w:val="single" w:color="auto" w:sz="4" w:space="0"/>
            </w:tcBorders>
            <w:vAlign w:val="center"/>
          </w:tcPr>
          <w:p w14:paraId="46875B3E">
            <w:pPr>
              <w:spacing w:line="240" w:lineRule="auto"/>
              <w:ind w:firstLine="0" w:firstLineChars="0"/>
              <w:jc w:val="center"/>
              <w:rPr>
                <w:rFonts w:cs="Times New Roman"/>
                <w:sz w:val="21"/>
                <w:szCs w:val="21"/>
              </w:rPr>
            </w:pPr>
            <w:r>
              <w:rPr>
                <w:rFonts w:cs="Times New Roman"/>
                <w:sz w:val="21"/>
                <w:szCs w:val="21"/>
              </w:rPr>
              <w:t>25.4</w:t>
            </w:r>
          </w:p>
        </w:tc>
      </w:tr>
      <w:tr w14:paraId="327CADFE">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6F29E5FF">
            <w:pPr>
              <w:spacing w:line="240" w:lineRule="auto"/>
              <w:ind w:firstLine="0" w:firstLineChars="0"/>
              <w:jc w:val="center"/>
              <w:rPr>
                <w:rFonts w:cs="Times New Roman"/>
                <w:sz w:val="21"/>
                <w:szCs w:val="21"/>
              </w:rPr>
            </w:pPr>
            <w:r>
              <w:rPr>
                <w:rFonts w:cs="Times New Roman"/>
                <w:sz w:val="21"/>
                <w:szCs w:val="21"/>
              </w:rPr>
              <w:t>降水量（mm）</w:t>
            </w:r>
          </w:p>
        </w:tc>
        <w:tc>
          <w:tcPr>
            <w:tcW w:w="555" w:type="pct"/>
            <w:tcBorders>
              <w:top w:val="nil"/>
              <w:left w:val="nil"/>
              <w:bottom w:val="single" w:color="auto" w:sz="4" w:space="0"/>
              <w:right w:val="single" w:color="auto" w:sz="4" w:space="0"/>
            </w:tcBorders>
            <w:vAlign w:val="center"/>
          </w:tcPr>
          <w:p w14:paraId="356965D1">
            <w:pPr>
              <w:spacing w:line="240" w:lineRule="auto"/>
              <w:ind w:firstLine="0" w:firstLineChars="0"/>
              <w:jc w:val="center"/>
              <w:rPr>
                <w:rFonts w:cs="Times New Roman"/>
                <w:sz w:val="21"/>
                <w:szCs w:val="21"/>
              </w:rPr>
            </w:pPr>
            <w:r>
              <w:rPr>
                <w:rFonts w:cs="Times New Roman"/>
                <w:sz w:val="21"/>
                <w:szCs w:val="21"/>
              </w:rPr>
              <w:t>7.7</w:t>
            </w:r>
          </w:p>
        </w:tc>
        <w:tc>
          <w:tcPr>
            <w:tcW w:w="555" w:type="pct"/>
            <w:tcBorders>
              <w:top w:val="nil"/>
              <w:left w:val="nil"/>
              <w:bottom w:val="single" w:color="auto" w:sz="4" w:space="0"/>
              <w:right w:val="single" w:color="auto" w:sz="4" w:space="0"/>
            </w:tcBorders>
            <w:vAlign w:val="center"/>
          </w:tcPr>
          <w:p w14:paraId="2773D845">
            <w:pPr>
              <w:spacing w:line="240" w:lineRule="auto"/>
              <w:ind w:firstLine="0" w:firstLineChars="0"/>
              <w:jc w:val="center"/>
              <w:rPr>
                <w:rFonts w:cs="Times New Roman"/>
                <w:sz w:val="21"/>
                <w:szCs w:val="21"/>
              </w:rPr>
            </w:pPr>
            <w:r>
              <w:rPr>
                <w:rFonts w:cs="Times New Roman"/>
                <w:sz w:val="21"/>
                <w:szCs w:val="21"/>
              </w:rPr>
              <w:t>7.2</w:t>
            </w:r>
          </w:p>
        </w:tc>
        <w:tc>
          <w:tcPr>
            <w:tcW w:w="555" w:type="pct"/>
            <w:tcBorders>
              <w:top w:val="nil"/>
              <w:left w:val="nil"/>
              <w:bottom w:val="single" w:color="auto" w:sz="4" w:space="0"/>
              <w:right w:val="single" w:color="auto" w:sz="4" w:space="0"/>
            </w:tcBorders>
            <w:vAlign w:val="center"/>
          </w:tcPr>
          <w:p w14:paraId="223CA4A3">
            <w:pPr>
              <w:spacing w:line="240" w:lineRule="auto"/>
              <w:ind w:firstLine="0" w:firstLineChars="0"/>
              <w:jc w:val="center"/>
              <w:rPr>
                <w:rFonts w:cs="Times New Roman"/>
                <w:sz w:val="21"/>
                <w:szCs w:val="21"/>
              </w:rPr>
            </w:pPr>
            <w:r>
              <w:rPr>
                <w:rFonts w:cs="Times New Roman"/>
                <w:sz w:val="21"/>
                <w:szCs w:val="21"/>
              </w:rPr>
              <w:t>11.6</w:t>
            </w:r>
          </w:p>
        </w:tc>
        <w:tc>
          <w:tcPr>
            <w:tcW w:w="555" w:type="pct"/>
            <w:tcBorders>
              <w:top w:val="nil"/>
              <w:left w:val="nil"/>
              <w:bottom w:val="single" w:color="auto" w:sz="4" w:space="0"/>
              <w:right w:val="single" w:color="auto" w:sz="4" w:space="0"/>
            </w:tcBorders>
            <w:vAlign w:val="center"/>
          </w:tcPr>
          <w:p w14:paraId="0B84C554">
            <w:pPr>
              <w:spacing w:line="240" w:lineRule="auto"/>
              <w:ind w:firstLine="0" w:firstLineChars="0"/>
              <w:jc w:val="center"/>
              <w:rPr>
                <w:rFonts w:cs="Times New Roman"/>
                <w:sz w:val="21"/>
                <w:szCs w:val="21"/>
              </w:rPr>
            </w:pPr>
            <w:r>
              <w:rPr>
                <w:rFonts w:cs="Times New Roman"/>
                <w:sz w:val="21"/>
                <w:szCs w:val="21"/>
              </w:rPr>
              <w:t>29.1</w:t>
            </w:r>
          </w:p>
        </w:tc>
        <w:tc>
          <w:tcPr>
            <w:tcW w:w="555" w:type="pct"/>
            <w:tcBorders>
              <w:top w:val="nil"/>
              <w:left w:val="nil"/>
              <w:bottom w:val="single" w:color="auto" w:sz="4" w:space="0"/>
              <w:right w:val="single" w:color="auto" w:sz="4" w:space="0"/>
            </w:tcBorders>
            <w:vAlign w:val="center"/>
          </w:tcPr>
          <w:p w14:paraId="7F92DF42">
            <w:pPr>
              <w:spacing w:line="240" w:lineRule="auto"/>
              <w:ind w:firstLine="0" w:firstLineChars="0"/>
              <w:jc w:val="center"/>
              <w:rPr>
                <w:rFonts w:cs="Times New Roman"/>
                <w:sz w:val="21"/>
                <w:szCs w:val="21"/>
              </w:rPr>
            </w:pPr>
            <w:r>
              <w:rPr>
                <w:rFonts w:cs="Times New Roman"/>
                <w:sz w:val="21"/>
                <w:szCs w:val="21"/>
              </w:rPr>
              <w:t>33.4</w:t>
            </w:r>
          </w:p>
        </w:tc>
        <w:tc>
          <w:tcPr>
            <w:tcW w:w="555" w:type="pct"/>
            <w:tcBorders>
              <w:top w:val="nil"/>
              <w:left w:val="nil"/>
              <w:bottom w:val="single" w:color="auto" w:sz="4" w:space="0"/>
              <w:right w:val="single" w:color="auto" w:sz="4" w:space="0"/>
            </w:tcBorders>
            <w:vAlign w:val="center"/>
          </w:tcPr>
          <w:p w14:paraId="408BEC93">
            <w:pPr>
              <w:spacing w:line="240" w:lineRule="auto"/>
              <w:ind w:firstLine="0" w:firstLineChars="0"/>
              <w:jc w:val="center"/>
              <w:rPr>
                <w:rFonts w:cs="Times New Roman"/>
                <w:sz w:val="21"/>
                <w:szCs w:val="21"/>
              </w:rPr>
            </w:pPr>
            <w:r>
              <w:rPr>
                <w:rFonts w:cs="Times New Roman"/>
                <w:sz w:val="21"/>
                <w:szCs w:val="21"/>
              </w:rPr>
              <w:t>26.7</w:t>
            </w:r>
          </w:p>
        </w:tc>
        <w:tc>
          <w:tcPr>
            <w:tcW w:w="555" w:type="pct"/>
            <w:tcBorders>
              <w:top w:val="nil"/>
              <w:left w:val="nil"/>
              <w:bottom w:val="single" w:color="auto" w:sz="4" w:space="0"/>
              <w:right w:val="single" w:color="auto" w:sz="4" w:space="0"/>
            </w:tcBorders>
            <w:vAlign w:val="center"/>
          </w:tcPr>
          <w:p w14:paraId="52FF9825">
            <w:pPr>
              <w:spacing w:line="240" w:lineRule="auto"/>
              <w:ind w:firstLine="0" w:firstLineChars="0"/>
              <w:jc w:val="center"/>
              <w:rPr>
                <w:rFonts w:cs="Times New Roman"/>
                <w:sz w:val="21"/>
                <w:szCs w:val="21"/>
              </w:rPr>
            </w:pPr>
            <w:r>
              <w:rPr>
                <w:rFonts w:cs="Times New Roman"/>
                <w:sz w:val="21"/>
                <w:szCs w:val="21"/>
              </w:rPr>
              <w:t>32.4</w:t>
            </w:r>
          </w:p>
        </w:tc>
      </w:tr>
      <w:tr w14:paraId="4EE8FED9">
        <w:tblPrEx>
          <w:tblCellMar>
            <w:top w:w="0" w:type="dxa"/>
            <w:left w:w="108" w:type="dxa"/>
            <w:bottom w:w="0" w:type="dxa"/>
            <w:right w:w="108" w:type="dxa"/>
          </w:tblCellMar>
        </w:tblPrEx>
        <w:trPr>
          <w:trHeight w:val="121" w:hRule="atLeast"/>
        </w:trPr>
        <w:tc>
          <w:tcPr>
            <w:tcW w:w="1113" w:type="pct"/>
            <w:tcBorders>
              <w:top w:val="nil"/>
              <w:left w:val="single" w:color="auto" w:sz="4" w:space="0"/>
              <w:bottom w:val="single" w:color="auto" w:sz="4" w:space="0"/>
              <w:right w:val="single" w:color="auto" w:sz="4" w:space="0"/>
            </w:tcBorders>
            <w:vAlign w:val="center"/>
          </w:tcPr>
          <w:p w14:paraId="742BA7FC">
            <w:pPr>
              <w:spacing w:line="240" w:lineRule="auto"/>
              <w:ind w:firstLine="0" w:firstLineChars="0"/>
              <w:jc w:val="center"/>
              <w:rPr>
                <w:rFonts w:cs="Times New Roman"/>
                <w:sz w:val="21"/>
                <w:szCs w:val="21"/>
              </w:rPr>
            </w:pPr>
            <w:r>
              <w:rPr>
                <w:rFonts w:cs="Times New Roman"/>
                <w:sz w:val="21"/>
                <w:szCs w:val="21"/>
              </w:rPr>
              <w:t>蒸发量（mm）</w:t>
            </w:r>
          </w:p>
        </w:tc>
        <w:tc>
          <w:tcPr>
            <w:tcW w:w="555" w:type="pct"/>
            <w:tcBorders>
              <w:top w:val="nil"/>
              <w:left w:val="nil"/>
              <w:bottom w:val="single" w:color="auto" w:sz="4" w:space="0"/>
              <w:right w:val="single" w:color="auto" w:sz="4" w:space="0"/>
            </w:tcBorders>
            <w:vAlign w:val="center"/>
          </w:tcPr>
          <w:p w14:paraId="49D87006">
            <w:pPr>
              <w:spacing w:line="240" w:lineRule="auto"/>
              <w:ind w:firstLine="0" w:firstLineChars="0"/>
              <w:jc w:val="center"/>
              <w:rPr>
                <w:rFonts w:cs="Times New Roman"/>
                <w:sz w:val="21"/>
                <w:szCs w:val="21"/>
              </w:rPr>
            </w:pPr>
            <w:r>
              <w:rPr>
                <w:rFonts w:cs="Times New Roman"/>
                <w:sz w:val="21"/>
                <w:szCs w:val="21"/>
              </w:rPr>
              <w:t>6.7</w:t>
            </w:r>
          </w:p>
        </w:tc>
        <w:tc>
          <w:tcPr>
            <w:tcW w:w="555" w:type="pct"/>
            <w:tcBorders>
              <w:top w:val="nil"/>
              <w:left w:val="nil"/>
              <w:bottom w:val="single" w:color="auto" w:sz="4" w:space="0"/>
              <w:right w:val="single" w:color="auto" w:sz="4" w:space="0"/>
            </w:tcBorders>
            <w:vAlign w:val="center"/>
          </w:tcPr>
          <w:p w14:paraId="0F4E6B3A">
            <w:pPr>
              <w:spacing w:line="240" w:lineRule="auto"/>
              <w:ind w:firstLine="0" w:firstLineChars="0"/>
              <w:jc w:val="center"/>
              <w:rPr>
                <w:rFonts w:cs="Times New Roman"/>
                <w:sz w:val="21"/>
                <w:szCs w:val="21"/>
              </w:rPr>
            </w:pPr>
            <w:r>
              <w:rPr>
                <w:rFonts w:cs="Times New Roman"/>
                <w:sz w:val="21"/>
                <w:szCs w:val="21"/>
              </w:rPr>
              <w:t>13.4</w:t>
            </w:r>
          </w:p>
        </w:tc>
        <w:tc>
          <w:tcPr>
            <w:tcW w:w="555" w:type="pct"/>
            <w:tcBorders>
              <w:top w:val="nil"/>
              <w:left w:val="nil"/>
              <w:bottom w:val="single" w:color="auto" w:sz="4" w:space="0"/>
              <w:right w:val="single" w:color="auto" w:sz="4" w:space="0"/>
            </w:tcBorders>
            <w:vAlign w:val="center"/>
          </w:tcPr>
          <w:p w14:paraId="4E7449C4">
            <w:pPr>
              <w:spacing w:line="240" w:lineRule="auto"/>
              <w:ind w:firstLine="0" w:firstLineChars="0"/>
              <w:jc w:val="center"/>
              <w:rPr>
                <w:rFonts w:cs="Times New Roman"/>
                <w:sz w:val="21"/>
                <w:szCs w:val="21"/>
              </w:rPr>
            </w:pPr>
            <w:r>
              <w:rPr>
                <w:rFonts w:cs="Times New Roman"/>
                <w:sz w:val="21"/>
                <w:szCs w:val="21"/>
              </w:rPr>
              <w:t>61.2</w:t>
            </w:r>
          </w:p>
        </w:tc>
        <w:tc>
          <w:tcPr>
            <w:tcW w:w="555" w:type="pct"/>
            <w:tcBorders>
              <w:top w:val="nil"/>
              <w:left w:val="nil"/>
              <w:bottom w:val="single" w:color="auto" w:sz="4" w:space="0"/>
              <w:right w:val="single" w:color="auto" w:sz="4" w:space="0"/>
            </w:tcBorders>
            <w:vAlign w:val="center"/>
          </w:tcPr>
          <w:p w14:paraId="5E3EB8CC">
            <w:pPr>
              <w:spacing w:line="240" w:lineRule="auto"/>
              <w:ind w:firstLine="0" w:firstLineChars="0"/>
              <w:jc w:val="center"/>
              <w:rPr>
                <w:rFonts w:cs="Times New Roman"/>
                <w:sz w:val="21"/>
                <w:szCs w:val="21"/>
              </w:rPr>
            </w:pPr>
            <w:r>
              <w:rPr>
                <w:rFonts w:cs="Times New Roman"/>
                <w:sz w:val="21"/>
                <w:szCs w:val="21"/>
              </w:rPr>
              <w:t>175.8</w:t>
            </w:r>
          </w:p>
        </w:tc>
        <w:tc>
          <w:tcPr>
            <w:tcW w:w="555" w:type="pct"/>
            <w:tcBorders>
              <w:top w:val="nil"/>
              <w:left w:val="nil"/>
              <w:bottom w:val="single" w:color="auto" w:sz="4" w:space="0"/>
              <w:right w:val="single" w:color="auto" w:sz="4" w:space="0"/>
            </w:tcBorders>
            <w:vAlign w:val="center"/>
          </w:tcPr>
          <w:p w14:paraId="274446B9">
            <w:pPr>
              <w:spacing w:line="240" w:lineRule="auto"/>
              <w:ind w:firstLine="0" w:firstLineChars="0"/>
              <w:jc w:val="center"/>
              <w:rPr>
                <w:rFonts w:cs="Times New Roman"/>
                <w:sz w:val="21"/>
                <w:szCs w:val="21"/>
              </w:rPr>
            </w:pPr>
            <w:r>
              <w:rPr>
                <w:rFonts w:cs="Times New Roman"/>
                <w:sz w:val="21"/>
                <w:szCs w:val="21"/>
              </w:rPr>
              <w:t>247.5</w:t>
            </w:r>
          </w:p>
        </w:tc>
        <w:tc>
          <w:tcPr>
            <w:tcW w:w="555" w:type="pct"/>
            <w:tcBorders>
              <w:top w:val="nil"/>
              <w:left w:val="nil"/>
              <w:bottom w:val="single" w:color="auto" w:sz="4" w:space="0"/>
              <w:right w:val="single" w:color="auto" w:sz="4" w:space="0"/>
            </w:tcBorders>
            <w:vAlign w:val="center"/>
          </w:tcPr>
          <w:p w14:paraId="0159EE2B">
            <w:pPr>
              <w:spacing w:line="240" w:lineRule="auto"/>
              <w:ind w:firstLine="0" w:firstLineChars="0"/>
              <w:jc w:val="center"/>
              <w:rPr>
                <w:rFonts w:cs="Times New Roman"/>
                <w:sz w:val="21"/>
                <w:szCs w:val="21"/>
              </w:rPr>
            </w:pPr>
            <w:r>
              <w:rPr>
                <w:rFonts w:cs="Times New Roman"/>
                <w:sz w:val="21"/>
                <w:szCs w:val="21"/>
              </w:rPr>
              <w:t>285.4</w:t>
            </w:r>
          </w:p>
        </w:tc>
        <w:tc>
          <w:tcPr>
            <w:tcW w:w="555" w:type="pct"/>
            <w:tcBorders>
              <w:top w:val="nil"/>
              <w:left w:val="nil"/>
              <w:bottom w:val="single" w:color="auto" w:sz="4" w:space="0"/>
              <w:right w:val="single" w:color="auto" w:sz="4" w:space="0"/>
            </w:tcBorders>
            <w:vAlign w:val="center"/>
          </w:tcPr>
          <w:p w14:paraId="72129B9E">
            <w:pPr>
              <w:spacing w:line="240" w:lineRule="auto"/>
              <w:ind w:firstLine="0" w:firstLineChars="0"/>
              <w:jc w:val="center"/>
              <w:rPr>
                <w:rFonts w:cs="Times New Roman"/>
                <w:sz w:val="21"/>
                <w:szCs w:val="21"/>
              </w:rPr>
            </w:pPr>
            <w:r>
              <w:rPr>
                <w:rFonts w:cs="Times New Roman"/>
                <w:sz w:val="21"/>
                <w:szCs w:val="21"/>
              </w:rPr>
              <w:t>281.4</w:t>
            </w:r>
          </w:p>
        </w:tc>
      </w:tr>
      <w:tr w14:paraId="689E324A">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5B85B95A">
            <w:pPr>
              <w:spacing w:line="240" w:lineRule="auto"/>
              <w:ind w:firstLine="0" w:firstLineChars="0"/>
              <w:jc w:val="center"/>
              <w:rPr>
                <w:rFonts w:cs="Times New Roman"/>
                <w:sz w:val="21"/>
                <w:szCs w:val="21"/>
              </w:rPr>
            </w:pPr>
            <w:r>
              <w:rPr>
                <w:rFonts w:cs="Times New Roman"/>
                <w:sz w:val="21"/>
                <w:szCs w:val="21"/>
              </w:rPr>
              <w:t>项  目</w:t>
            </w:r>
          </w:p>
        </w:tc>
        <w:tc>
          <w:tcPr>
            <w:tcW w:w="555" w:type="pct"/>
            <w:tcBorders>
              <w:top w:val="nil"/>
              <w:left w:val="nil"/>
              <w:bottom w:val="single" w:color="auto" w:sz="4" w:space="0"/>
              <w:right w:val="single" w:color="auto" w:sz="4" w:space="0"/>
            </w:tcBorders>
            <w:vAlign w:val="center"/>
          </w:tcPr>
          <w:p w14:paraId="34248877">
            <w:pPr>
              <w:spacing w:line="240" w:lineRule="auto"/>
              <w:ind w:firstLine="0" w:firstLineChars="0"/>
              <w:jc w:val="center"/>
              <w:rPr>
                <w:rFonts w:cs="Times New Roman"/>
                <w:sz w:val="21"/>
                <w:szCs w:val="21"/>
              </w:rPr>
            </w:pPr>
            <w:r>
              <w:rPr>
                <w:rFonts w:cs="Times New Roman"/>
                <w:sz w:val="21"/>
                <w:szCs w:val="21"/>
              </w:rPr>
              <w:t>8月</w:t>
            </w:r>
          </w:p>
        </w:tc>
        <w:tc>
          <w:tcPr>
            <w:tcW w:w="555" w:type="pct"/>
            <w:tcBorders>
              <w:top w:val="nil"/>
              <w:left w:val="nil"/>
              <w:bottom w:val="single" w:color="auto" w:sz="4" w:space="0"/>
              <w:right w:val="single" w:color="auto" w:sz="4" w:space="0"/>
            </w:tcBorders>
            <w:vAlign w:val="center"/>
          </w:tcPr>
          <w:p w14:paraId="7893FDBE">
            <w:pPr>
              <w:spacing w:line="240" w:lineRule="auto"/>
              <w:ind w:firstLine="0" w:firstLineChars="0"/>
              <w:jc w:val="center"/>
              <w:rPr>
                <w:rFonts w:cs="Times New Roman"/>
                <w:sz w:val="21"/>
                <w:szCs w:val="21"/>
              </w:rPr>
            </w:pPr>
            <w:r>
              <w:rPr>
                <w:rFonts w:cs="Times New Roman"/>
                <w:sz w:val="21"/>
                <w:szCs w:val="21"/>
              </w:rPr>
              <w:t>9月</w:t>
            </w:r>
          </w:p>
        </w:tc>
        <w:tc>
          <w:tcPr>
            <w:tcW w:w="555" w:type="pct"/>
            <w:tcBorders>
              <w:top w:val="nil"/>
              <w:left w:val="nil"/>
              <w:bottom w:val="single" w:color="auto" w:sz="4" w:space="0"/>
              <w:right w:val="single" w:color="auto" w:sz="4" w:space="0"/>
            </w:tcBorders>
            <w:vAlign w:val="center"/>
          </w:tcPr>
          <w:p w14:paraId="607A4AEC">
            <w:pPr>
              <w:spacing w:line="240" w:lineRule="auto"/>
              <w:ind w:firstLine="0" w:firstLineChars="0"/>
              <w:jc w:val="center"/>
              <w:rPr>
                <w:rFonts w:cs="Times New Roman"/>
                <w:sz w:val="21"/>
                <w:szCs w:val="21"/>
              </w:rPr>
            </w:pPr>
            <w:r>
              <w:rPr>
                <w:rFonts w:cs="Times New Roman"/>
                <w:sz w:val="21"/>
                <w:szCs w:val="21"/>
              </w:rPr>
              <w:t>10月</w:t>
            </w:r>
          </w:p>
        </w:tc>
        <w:tc>
          <w:tcPr>
            <w:tcW w:w="555" w:type="pct"/>
            <w:tcBorders>
              <w:top w:val="nil"/>
              <w:left w:val="nil"/>
              <w:bottom w:val="single" w:color="auto" w:sz="4" w:space="0"/>
              <w:right w:val="single" w:color="auto" w:sz="4" w:space="0"/>
            </w:tcBorders>
            <w:vAlign w:val="center"/>
          </w:tcPr>
          <w:p w14:paraId="4E9924F6">
            <w:pPr>
              <w:spacing w:line="240" w:lineRule="auto"/>
              <w:ind w:firstLine="0" w:firstLineChars="0"/>
              <w:jc w:val="center"/>
              <w:rPr>
                <w:rFonts w:cs="Times New Roman"/>
                <w:sz w:val="21"/>
                <w:szCs w:val="21"/>
              </w:rPr>
            </w:pPr>
            <w:r>
              <w:rPr>
                <w:rFonts w:cs="Times New Roman"/>
                <w:sz w:val="21"/>
                <w:szCs w:val="21"/>
              </w:rPr>
              <w:t>11月</w:t>
            </w:r>
          </w:p>
        </w:tc>
        <w:tc>
          <w:tcPr>
            <w:tcW w:w="555" w:type="pct"/>
            <w:tcBorders>
              <w:top w:val="nil"/>
              <w:left w:val="nil"/>
              <w:bottom w:val="single" w:color="auto" w:sz="4" w:space="0"/>
              <w:right w:val="single" w:color="auto" w:sz="4" w:space="0"/>
            </w:tcBorders>
            <w:vAlign w:val="center"/>
          </w:tcPr>
          <w:p w14:paraId="642BDA6A">
            <w:pPr>
              <w:spacing w:line="240" w:lineRule="auto"/>
              <w:ind w:firstLine="0" w:firstLineChars="0"/>
              <w:jc w:val="center"/>
              <w:rPr>
                <w:rFonts w:cs="Times New Roman"/>
                <w:sz w:val="21"/>
                <w:szCs w:val="21"/>
              </w:rPr>
            </w:pPr>
            <w:r>
              <w:rPr>
                <w:rFonts w:cs="Times New Roman"/>
                <w:sz w:val="21"/>
                <w:szCs w:val="21"/>
              </w:rPr>
              <w:t>12月</w:t>
            </w:r>
          </w:p>
        </w:tc>
        <w:tc>
          <w:tcPr>
            <w:tcW w:w="1110" w:type="pct"/>
            <w:gridSpan w:val="2"/>
            <w:tcBorders>
              <w:top w:val="single" w:color="auto" w:sz="4" w:space="0"/>
              <w:left w:val="nil"/>
              <w:bottom w:val="single" w:color="auto" w:sz="4" w:space="0"/>
              <w:right w:val="single" w:color="auto" w:sz="4" w:space="0"/>
            </w:tcBorders>
            <w:vAlign w:val="center"/>
          </w:tcPr>
          <w:p w14:paraId="016707AD">
            <w:pPr>
              <w:spacing w:line="240" w:lineRule="auto"/>
              <w:ind w:firstLine="0" w:firstLineChars="0"/>
              <w:jc w:val="center"/>
              <w:rPr>
                <w:rFonts w:cs="Times New Roman"/>
                <w:sz w:val="21"/>
                <w:szCs w:val="21"/>
              </w:rPr>
            </w:pPr>
            <w:r>
              <w:rPr>
                <w:rFonts w:cs="Times New Roman"/>
                <w:sz w:val="21"/>
                <w:szCs w:val="21"/>
              </w:rPr>
              <w:t>年</w:t>
            </w:r>
          </w:p>
        </w:tc>
      </w:tr>
      <w:tr w14:paraId="34135E74">
        <w:tblPrEx>
          <w:tblCellMar>
            <w:top w:w="0" w:type="dxa"/>
            <w:left w:w="108" w:type="dxa"/>
            <w:bottom w:w="0" w:type="dxa"/>
            <w:right w:w="108" w:type="dxa"/>
          </w:tblCellMar>
        </w:tblPrEx>
        <w:trPr>
          <w:trHeight w:val="102" w:hRule="atLeast"/>
        </w:trPr>
        <w:tc>
          <w:tcPr>
            <w:tcW w:w="1113" w:type="pct"/>
            <w:tcBorders>
              <w:top w:val="nil"/>
              <w:left w:val="single" w:color="auto" w:sz="4" w:space="0"/>
              <w:bottom w:val="single" w:color="auto" w:sz="4" w:space="0"/>
              <w:right w:val="single" w:color="auto" w:sz="4" w:space="0"/>
            </w:tcBorders>
            <w:vAlign w:val="center"/>
          </w:tcPr>
          <w:p w14:paraId="17FC34CD">
            <w:pPr>
              <w:spacing w:line="240" w:lineRule="auto"/>
              <w:ind w:firstLine="0" w:firstLineChars="0"/>
              <w:jc w:val="center"/>
              <w:rPr>
                <w:rFonts w:cs="Times New Roman"/>
                <w:sz w:val="21"/>
                <w:szCs w:val="21"/>
              </w:rPr>
            </w:pPr>
            <w:r>
              <w:rPr>
                <w:rFonts w:cs="Times New Roman"/>
                <w:sz w:val="21"/>
                <w:szCs w:val="21"/>
              </w:rPr>
              <w:t>气温（℃）</w:t>
            </w:r>
          </w:p>
        </w:tc>
        <w:tc>
          <w:tcPr>
            <w:tcW w:w="555" w:type="pct"/>
            <w:tcBorders>
              <w:top w:val="nil"/>
              <w:left w:val="nil"/>
              <w:bottom w:val="single" w:color="auto" w:sz="4" w:space="0"/>
              <w:right w:val="single" w:color="auto" w:sz="4" w:space="0"/>
            </w:tcBorders>
            <w:vAlign w:val="center"/>
          </w:tcPr>
          <w:p w14:paraId="41825B56">
            <w:pPr>
              <w:spacing w:line="240" w:lineRule="auto"/>
              <w:ind w:firstLine="0" w:firstLineChars="0"/>
              <w:jc w:val="center"/>
              <w:rPr>
                <w:rFonts w:cs="Times New Roman"/>
                <w:sz w:val="21"/>
                <w:szCs w:val="21"/>
              </w:rPr>
            </w:pPr>
            <w:r>
              <w:rPr>
                <w:rFonts w:cs="Times New Roman"/>
                <w:sz w:val="21"/>
                <w:szCs w:val="21"/>
              </w:rPr>
              <w:t>23.7</w:t>
            </w:r>
          </w:p>
        </w:tc>
        <w:tc>
          <w:tcPr>
            <w:tcW w:w="555" w:type="pct"/>
            <w:tcBorders>
              <w:top w:val="nil"/>
              <w:left w:val="nil"/>
              <w:bottom w:val="single" w:color="auto" w:sz="4" w:space="0"/>
              <w:right w:val="single" w:color="auto" w:sz="4" w:space="0"/>
            </w:tcBorders>
            <w:vAlign w:val="center"/>
          </w:tcPr>
          <w:p w14:paraId="40F6DB4B">
            <w:pPr>
              <w:spacing w:line="240" w:lineRule="auto"/>
              <w:ind w:firstLine="0" w:firstLineChars="0"/>
              <w:jc w:val="center"/>
              <w:rPr>
                <w:rFonts w:cs="Times New Roman"/>
                <w:sz w:val="21"/>
                <w:szCs w:val="21"/>
              </w:rPr>
            </w:pPr>
            <w:r>
              <w:rPr>
                <w:rFonts w:cs="Times New Roman"/>
                <w:sz w:val="21"/>
                <w:szCs w:val="21"/>
              </w:rPr>
              <w:t>17.7</w:t>
            </w:r>
          </w:p>
        </w:tc>
        <w:tc>
          <w:tcPr>
            <w:tcW w:w="555" w:type="pct"/>
            <w:tcBorders>
              <w:top w:val="nil"/>
              <w:left w:val="nil"/>
              <w:bottom w:val="single" w:color="auto" w:sz="4" w:space="0"/>
              <w:right w:val="single" w:color="auto" w:sz="4" w:space="0"/>
            </w:tcBorders>
            <w:vAlign w:val="center"/>
          </w:tcPr>
          <w:p w14:paraId="5947990C">
            <w:pPr>
              <w:spacing w:line="240" w:lineRule="auto"/>
              <w:ind w:firstLine="0" w:firstLineChars="0"/>
              <w:jc w:val="center"/>
              <w:rPr>
                <w:rFonts w:cs="Times New Roman"/>
                <w:sz w:val="21"/>
                <w:szCs w:val="21"/>
              </w:rPr>
            </w:pPr>
            <w:r>
              <w:rPr>
                <w:rFonts w:cs="Times New Roman"/>
                <w:sz w:val="21"/>
                <w:szCs w:val="21"/>
              </w:rPr>
              <w:t>8.8</w:t>
            </w:r>
          </w:p>
        </w:tc>
        <w:tc>
          <w:tcPr>
            <w:tcW w:w="555" w:type="pct"/>
            <w:tcBorders>
              <w:top w:val="nil"/>
              <w:left w:val="nil"/>
              <w:bottom w:val="single" w:color="auto" w:sz="4" w:space="0"/>
              <w:right w:val="single" w:color="auto" w:sz="4" w:space="0"/>
            </w:tcBorders>
            <w:vAlign w:val="center"/>
          </w:tcPr>
          <w:p w14:paraId="2AC7422B">
            <w:pPr>
              <w:spacing w:line="240" w:lineRule="auto"/>
              <w:ind w:firstLine="0" w:firstLineChars="0"/>
              <w:jc w:val="center"/>
              <w:rPr>
                <w:rFonts w:cs="Times New Roman"/>
                <w:sz w:val="21"/>
                <w:szCs w:val="21"/>
              </w:rPr>
            </w:pPr>
            <w:r>
              <w:rPr>
                <w:rFonts w:cs="Times New Roman"/>
                <w:sz w:val="21"/>
                <w:szCs w:val="21"/>
              </w:rPr>
              <w:t>-1.8</w:t>
            </w:r>
          </w:p>
        </w:tc>
        <w:tc>
          <w:tcPr>
            <w:tcW w:w="555" w:type="pct"/>
            <w:tcBorders>
              <w:top w:val="nil"/>
              <w:left w:val="nil"/>
              <w:bottom w:val="single" w:color="auto" w:sz="4" w:space="0"/>
              <w:right w:val="single" w:color="auto" w:sz="4" w:space="0"/>
            </w:tcBorders>
            <w:vAlign w:val="center"/>
          </w:tcPr>
          <w:p w14:paraId="3942392C">
            <w:pPr>
              <w:spacing w:line="240" w:lineRule="auto"/>
              <w:ind w:firstLine="0" w:firstLineChars="0"/>
              <w:jc w:val="center"/>
              <w:rPr>
                <w:rFonts w:cs="Times New Roman"/>
                <w:sz w:val="21"/>
                <w:szCs w:val="21"/>
              </w:rPr>
            </w:pPr>
            <w:r>
              <w:rPr>
                <w:rFonts w:cs="Times New Roman"/>
                <w:sz w:val="21"/>
                <w:szCs w:val="21"/>
              </w:rPr>
              <w:t>-12.4</w:t>
            </w:r>
          </w:p>
        </w:tc>
        <w:tc>
          <w:tcPr>
            <w:tcW w:w="1110" w:type="pct"/>
            <w:gridSpan w:val="2"/>
            <w:tcBorders>
              <w:top w:val="single" w:color="auto" w:sz="4" w:space="0"/>
              <w:left w:val="nil"/>
              <w:bottom w:val="single" w:color="auto" w:sz="4" w:space="0"/>
              <w:right w:val="single" w:color="auto" w:sz="4" w:space="0"/>
            </w:tcBorders>
            <w:vAlign w:val="center"/>
          </w:tcPr>
          <w:p w14:paraId="3C9826C0">
            <w:pPr>
              <w:spacing w:line="240" w:lineRule="auto"/>
              <w:ind w:firstLine="0" w:firstLineChars="0"/>
              <w:jc w:val="center"/>
              <w:rPr>
                <w:rFonts w:cs="Times New Roman"/>
                <w:sz w:val="21"/>
                <w:szCs w:val="21"/>
              </w:rPr>
            </w:pPr>
            <w:r>
              <w:rPr>
                <w:rFonts w:cs="Times New Roman"/>
                <w:sz w:val="21"/>
                <w:szCs w:val="21"/>
              </w:rPr>
              <w:t>7.4</w:t>
            </w:r>
          </w:p>
        </w:tc>
      </w:tr>
      <w:tr w14:paraId="3BEBC53A">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661B65A6">
            <w:pPr>
              <w:spacing w:line="240" w:lineRule="auto"/>
              <w:ind w:firstLine="0" w:firstLineChars="0"/>
              <w:jc w:val="center"/>
              <w:rPr>
                <w:rFonts w:cs="Times New Roman"/>
                <w:sz w:val="21"/>
                <w:szCs w:val="21"/>
              </w:rPr>
            </w:pPr>
            <w:r>
              <w:rPr>
                <w:rFonts w:cs="Times New Roman"/>
                <w:sz w:val="21"/>
                <w:szCs w:val="21"/>
              </w:rPr>
              <w:t>降水量（mm）</w:t>
            </w:r>
          </w:p>
        </w:tc>
        <w:tc>
          <w:tcPr>
            <w:tcW w:w="555" w:type="pct"/>
            <w:tcBorders>
              <w:top w:val="nil"/>
              <w:left w:val="nil"/>
              <w:bottom w:val="single" w:color="auto" w:sz="4" w:space="0"/>
              <w:right w:val="single" w:color="auto" w:sz="4" w:space="0"/>
            </w:tcBorders>
            <w:vAlign w:val="center"/>
          </w:tcPr>
          <w:p w14:paraId="44178585">
            <w:pPr>
              <w:spacing w:line="240" w:lineRule="auto"/>
              <w:ind w:firstLine="0" w:firstLineChars="0"/>
              <w:jc w:val="center"/>
              <w:rPr>
                <w:rFonts w:cs="Times New Roman"/>
                <w:sz w:val="21"/>
                <w:szCs w:val="21"/>
              </w:rPr>
            </w:pPr>
            <w:r>
              <w:rPr>
                <w:rFonts w:cs="Times New Roman"/>
                <w:sz w:val="21"/>
                <w:szCs w:val="21"/>
              </w:rPr>
              <w:t>23.3</w:t>
            </w:r>
          </w:p>
        </w:tc>
        <w:tc>
          <w:tcPr>
            <w:tcW w:w="555" w:type="pct"/>
            <w:tcBorders>
              <w:top w:val="nil"/>
              <w:left w:val="nil"/>
              <w:bottom w:val="single" w:color="auto" w:sz="4" w:space="0"/>
              <w:right w:val="single" w:color="auto" w:sz="4" w:space="0"/>
            </w:tcBorders>
            <w:vAlign w:val="center"/>
          </w:tcPr>
          <w:p w14:paraId="556A0E97">
            <w:pPr>
              <w:spacing w:line="240" w:lineRule="auto"/>
              <w:ind w:firstLine="0" w:firstLineChars="0"/>
              <w:jc w:val="center"/>
              <w:rPr>
                <w:rFonts w:cs="Times New Roman"/>
                <w:sz w:val="21"/>
                <w:szCs w:val="21"/>
              </w:rPr>
            </w:pPr>
            <w:r>
              <w:rPr>
                <w:rFonts w:cs="Times New Roman"/>
                <w:sz w:val="21"/>
                <w:szCs w:val="21"/>
              </w:rPr>
              <w:t>20.9</w:t>
            </w:r>
          </w:p>
        </w:tc>
        <w:tc>
          <w:tcPr>
            <w:tcW w:w="555" w:type="pct"/>
            <w:tcBorders>
              <w:top w:val="nil"/>
              <w:left w:val="nil"/>
              <w:bottom w:val="single" w:color="auto" w:sz="4" w:space="0"/>
              <w:right w:val="single" w:color="auto" w:sz="4" w:space="0"/>
            </w:tcBorders>
            <w:vAlign w:val="center"/>
          </w:tcPr>
          <w:p w14:paraId="60BE9770">
            <w:pPr>
              <w:spacing w:line="240" w:lineRule="auto"/>
              <w:ind w:firstLine="0" w:firstLineChars="0"/>
              <w:jc w:val="center"/>
              <w:rPr>
                <w:rFonts w:cs="Times New Roman"/>
                <w:sz w:val="21"/>
                <w:szCs w:val="21"/>
              </w:rPr>
            </w:pPr>
            <w:r>
              <w:rPr>
                <w:rFonts w:cs="Times New Roman"/>
                <w:sz w:val="21"/>
                <w:szCs w:val="21"/>
              </w:rPr>
              <w:t>21</w:t>
            </w:r>
          </w:p>
        </w:tc>
        <w:tc>
          <w:tcPr>
            <w:tcW w:w="555" w:type="pct"/>
            <w:tcBorders>
              <w:top w:val="nil"/>
              <w:left w:val="nil"/>
              <w:bottom w:val="single" w:color="auto" w:sz="4" w:space="0"/>
              <w:right w:val="single" w:color="auto" w:sz="4" w:space="0"/>
            </w:tcBorders>
            <w:vAlign w:val="center"/>
          </w:tcPr>
          <w:p w14:paraId="0AC482B3">
            <w:pPr>
              <w:spacing w:line="240" w:lineRule="auto"/>
              <w:ind w:firstLine="0" w:firstLineChars="0"/>
              <w:jc w:val="center"/>
              <w:rPr>
                <w:rFonts w:cs="Times New Roman"/>
                <w:sz w:val="21"/>
                <w:szCs w:val="21"/>
              </w:rPr>
            </w:pPr>
            <w:r>
              <w:rPr>
                <w:rFonts w:cs="Times New Roman"/>
                <w:sz w:val="21"/>
                <w:szCs w:val="21"/>
              </w:rPr>
              <w:t>14.7</w:t>
            </w:r>
          </w:p>
        </w:tc>
        <w:tc>
          <w:tcPr>
            <w:tcW w:w="555" w:type="pct"/>
            <w:tcBorders>
              <w:top w:val="nil"/>
              <w:left w:val="nil"/>
              <w:bottom w:val="single" w:color="auto" w:sz="4" w:space="0"/>
              <w:right w:val="single" w:color="auto" w:sz="4" w:space="0"/>
            </w:tcBorders>
            <w:vAlign w:val="center"/>
          </w:tcPr>
          <w:p w14:paraId="2FD6CCCB">
            <w:pPr>
              <w:spacing w:line="240" w:lineRule="auto"/>
              <w:ind w:firstLine="0" w:firstLineChars="0"/>
              <w:jc w:val="center"/>
              <w:rPr>
                <w:rFonts w:cs="Times New Roman"/>
                <w:sz w:val="21"/>
                <w:szCs w:val="21"/>
              </w:rPr>
            </w:pPr>
            <w:r>
              <w:rPr>
                <w:rFonts w:cs="Times New Roman"/>
                <w:sz w:val="21"/>
                <w:szCs w:val="21"/>
              </w:rPr>
              <w:t>9.6</w:t>
            </w:r>
          </w:p>
        </w:tc>
        <w:tc>
          <w:tcPr>
            <w:tcW w:w="1110" w:type="pct"/>
            <w:gridSpan w:val="2"/>
            <w:tcBorders>
              <w:top w:val="single" w:color="auto" w:sz="4" w:space="0"/>
              <w:left w:val="nil"/>
              <w:bottom w:val="single" w:color="auto" w:sz="4" w:space="0"/>
              <w:right w:val="single" w:color="auto" w:sz="4" w:space="0"/>
            </w:tcBorders>
            <w:vAlign w:val="center"/>
          </w:tcPr>
          <w:p w14:paraId="5E7B5153">
            <w:pPr>
              <w:spacing w:line="240" w:lineRule="auto"/>
              <w:ind w:firstLine="0" w:firstLineChars="0"/>
              <w:jc w:val="center"/>
              <w:rPr>
                <w:rFonts w:cs="Times New Roman"/>
                <w:sz w:val="21"/>
                <w:szCs w:val="21"/>
              </w:rPr>
            </w:pPr>
            <w:r>
              <w:rPr>
                <w:rFonts w:cs="Times New Roman"/>
                <w:sz w:val="21"/>
                <w:szCs w:val="21"/>
              </w:rPr>
              <w:t>237.6</w:t>
            </w:r>
          </w:p>
        </w:tc>
      </w:tr>
      <w:tr w14:paraId="74EFB7C0">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5EFA275F">
            <w:pPr>
              <w:spacing w:line="240" w:lineRule="auto"/>
              <w:ind w:firstLine="0" w:firstLineChars="0"/>
              <w:jc w:val="center"/>
              <w:rPr>
                <w:rFonts w:cs="Times New Roman"/>
                <w:sz w:val="21"/>
                <w:szCs w:val="21"/>
              </w:rPr>
            </w:pPr>
            <w:r>
              <w:rPr>
                <w:rFonts w:cs="Times New Roman"/>
                <w:sz w:val="21"/>
                <w:szCs w:val="21"/>
              </w:rPr>
              <w:t>蒸发量（mm）</w:t>
            </w:r>
          </w:p>
        </w:tc>
        <w:tc>
          <w:tcPr>
            <w:tcW w:w="555" w:type="pct"/>
            <w:tcBorders>
              <w:top w:val="nil"/>
              <w:left w:val="nil"/>
              <w:bottom w:val="single" w:color="auto" w:sz="4" w:space="0"/>
              <w:right w:val="single" w:color="auto" w:sz="4" w:space="0"/>
            </w:tcBorders>
            <w:vAlign w:val="center"/>
          </w:tcPr>
          <w:p w14:paraId="3DC55788">
            <w:pPr>
              <w:spacing w:line="240" w:lineRule="auto"/>
              <w:ind w:firstLine="0" w:firstLineChars="0"/>
              <w:jc w:val="center"/>
              <w:rPr>
                <w:rFonts w:cs="Times New Roman"/>
                <w:sz w:val="21"/>
                <w:szCs w:val="21"/>
              </w:rPr>
            </w:pPr>
            <w:r>
              <w:rPr>
                <w:rFonts w:cs="Times New Roman"/>
                <w:sz w:val="21"/>
                <w:szCs w:val="21"/>
              </w:rPr>
              <w:t>253.4</w:t>
            </w:r>
          </w:p>
        </w:tc>
        <w:tc>
          <w:tcPr>
            <w:tcW w:w="555" w:type="pct"/>
            <w:tcBorders>
              <w:top w:val="nil"/>
              <w:left w:val="nil"/>
              <w:bottom w:val="single" w:color="auto" w:sz="4" w:space="0"/>
              <w:right w:val="single" w:color="auto" w:sz="4" w:space="0"/>
            </w:tcBorders>
            <w:vAlign w:val="center"/>
          </w:tcPr>
          <w:p w14:paraId="56BBC516">
            <w:pPr>
              <w:spacing w:line="240" w:lineRule="auto"/>
              <w:ind w:firstLine="0" w:firstLineChars="0"/>
              <w:jc w:val="center"/>
              <w:rPr>
                <w:rFonts w:cs="Times New Roman"/>
                <w:sz w:val="21"/>
                <w:szCs w:val="21"/>
              </w:rPr>
            </w:pPr>
            <w:r>
              <w:rPr>
                <w:rFonts w:cs="Times New Roman"/>
                <w:sz w:val="21"/>
                <w:szCs w:val="21"/>
              </w:rPr>
              <w:t>176.5</w:t>
            </w:r>
          </w:p>
        </w:tc>
        <w:tc>
          <w:tcPr>
            <w:tcW w:w="555" w:type="pct"/>
            <w:tcBorders>
              <w:top w:val="nil"/>
              <w:left w:val="nil"/>
              <w:bottom w:val="single" w:color="auto" w:sz="4" w:space="0"/>
              <w:right w:val="single" w:color="auto" w:sz="4" w:space="0"/>
            </w:tcBorders>
            <w:vAlign w:val="center"/>
          </w:tcPr>
          <w:p w14:paraId="7C84BE2C">
            <w:pPr>
              <w:spacing w:line="240" w:lineRule="auto"/>
              <w:ind w:firstLine="0" w:firstLineChars="0"/>
              <w:jc w:val="center"/>
              <w:rPr>
                <w:rFonts w:cs="Times New Roman"/>
                <w:sz w:val="21"/>
                <w:szCs w:val="21"/>
              </w:rPr>
            </w:pPr>
            <w:r>
              <w:rPr>
                <w:rFonts w:cs="Times New Roman"/>
                <w:sz w:val="21"/>
                <w:szCs w:val="21"/>
              </w:rPr>
              <w:t>88.7</w:t>
            </w:r>
          </w:p>
        </w:tc>
        <w:tc>
          <w:tcPr>
            <w:tcW w:w="555" w:type="pct"/>
            <w:tcBorders>
              <w:top w:val="nil"/>
              <w:left w:val="nil"/>
              <w:bottom w:val="single" w:color="auto" w:sz="4" w:space="0"/>
              <w:right w:val="single" w:color="auto" w:sz="4" w:space="0"/>
            </w:tcBorders>
            <w:vAlign w:val="center"/>
          </w:tcPr>
          <w:p w14:paraId="0B808E61">
            <w:pPr>
              <w:spacing w:line="240" w:lineRule="auto"/>
              <w:ind w:firstLine="0" w:firstLineChars="0"/>
              <w:jc w:val="center"/>
              <w:rPr>
                <w:rFonts w:cs="Times New Roman"/>
                <w:sz w:val="21"/>
                <w:szCs w:val="21"/>
              </w:rPr>
            </w:pPr>
            <w:r>
              <w:rPr>
                <w:rFonts w:cs="Times New Roman"/>
                <w:sz w:val="21"/>
                <w:szCs w:val="21"/>
              </w:rPr>
              <w:t>24</w:t>
            </w:r>
          </w:p>
        </w:tc>
        <w:tc>
          <w:tcPr>
            <w:tcW w:w="555" w:type="pct"/>
            <w:tcBorders>
              <w:top w:val="nil"/>
              <w:left w:val="nil"/>
              <w:bottom w:val="single" w:color="auto" w:sz="4" w:space="0"/>
              <w:right w:val="single" w:color="auto" w:sz="4" w:space="0"/>
            </w:tcBorders>
            <w:vAlign w:val="center"/>
          </w:tcPr>
          <w:p w14:paraId="5DE2E465">
            <w:pPr>
              <w:spacing w:line="240" w:lineRule="auto"/>
              <w:ind w:firstLine="0" w:firstLineChars="0"/>
              <w:jc w:val="center"/>
              <w:rPr>
                <w:rFonts w:cs="Times New Roman"/>
                <w:sz w:val="21"/>
                <w:szCs w:val="21"/>
              </w:rPr>
            </w:pPr>
            <w:r>
              <w:rPr>
                <w:rFonts w:cs="Times New Roman"/>
                <w:sz w:val="21"/>
                <w:szCs w:val="21"/>
              </w:rPr>
              <w:t>6.7</w:t>
            </w:r>
          </w:p>
        </w:tc>
        <w:tc>
          <w:tcPr>
            <w:tcW w:w="1110" w:type="pct"/>
            <w:gridSpan w:val="2"/>
            <w:tcBorders>
              <w:top w:val="single" w:color="auto" w:sz="4" w:space="0"/>
              <w:left w:val="nil"/>
              <w:bottom w:val="single" w:color="auto" w:sz="4" w:space="0"/>
              <w:right w:val="single" w:color="auto" w:sz="4" w:space="0"/>
            </w:tcBorders>
            <w:vAlign w:val="center"/>
          </w:tcPr>
          <w:p w14:paraId="6460E9A1">
            <w:pPr>
              <w:spacing w:line="240" w:lineRule="auto"/>
              <w:ind w:firstLine="0" w:firstLineChars="0"/>
              <w:jc w:val="center"/>
              <w:rPr>
                <w:rFonts w:cs="Times New Roman"/>
                <w:sz w:val="21"/>
                <w:szCs w:val="21"/>
              </w:rPr>
            </w:pPr>
            <w:r>
              <w:rPr>
                <w:rFonts w:cs="Times New Roman"/>
                <w:sz w:val="21"/>
                <w:szCs w:val="21"/>
              </w:rPr>
              <w:t>1620.7</w:t>
            </w:r>
          </w:p>
        </w:tc>
      </w:tr>
      <w:tr w14:paraId="7FF0822E">
        <w:tblPrEx>
          <w:tblCellMar>
            <w:top w:w="0" w:type="dxa"/>
            <w:left w:w="108" w:type="dxa"/>
            <w:bottom w:w="0" w:type="dxa"/>
            <w:right w:w="108" w:type="dxa"/>
          </w:tblCellMar>
        </w:tblPrEx>
        <w:trPr>
          <w:trHeight w:val="285"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2B694107">
            <w:pPr>
              <w:spacing w:line="240" w:lineRule="auto"/>
              <w:ind w:firstLine="0" w:firstLineChars="0"/>
              <w:rPr>
                <w:rFonts w:cs="Times New Roman"/>
                <w:sz w:val="21"/>
                <w:szCs w:val="21"/>
              </w:rPr>
            </w:pPr>
            <w:r>
              <w:rPr>
                <w:rFonts w:cs="Times New Roman"/>
                <w:sz w:val="21"/>
                <w:szCs w:val="21"/>
              </w:rPr>
              <w:t>资料系列：平均气温、降水量、蒸发量1981-20</w:t>
            </w:r>
            <w:r>
              <w:rPr>
                <w:rFonts w:hint="eastAsia" w:cs="Times New Roman"/>
                <w:sz w:val="21"/>
                <w:szCs w:val="21"/>
              </w:rPr>
              <w:t>2</w:t>
            </w:r>
            <w:r>
              <w:rPr>
                <w:rFonts w:cs="Times New Roman"/>
                <w:sz w:val="21"/>
                <w:szCs w:val="21"/>
              </w:rPr>
              <w:t>0年。</w:t>
            </w:r>
          </w:p>
        </w:tc>
      </w:tr>
    </w:tbl>
    <w:p w14:paraId="12DDC116">
      <w:pPr>
        <w:pStyle w:val="380"/>
        <w:jc w:val="both"/>
        <w:rPr>
          <w:rFonts w:cs="Times New Roman"/>
          <w:sz w:val="24"/>
          <w:szCs w:val="24"/>
        </w:rPr>
      </w:pPr>
    </w:p>
    <w:bookmarkEnd w:id="8"/>
    <w:bookmarkEnd w:id="9"/>
    <w:p w14:paraId="6045338B">
      <w:pPr>
        <w:pStyle w:val="5"/>
        <w:rPr>
          <w:rFonts w:eastAsia="仿宋_GB2312"/>
        </w:rPr>
      </w:pPr>
      <w:r>
        <w:rPr>
          <w:rFonts w:eastAsia="仿宋_GB2312"/>
        </w:rPr>
        <w:t>1.1.5 水资源</w:t>
      </w:r>
    </w:p>
    <w:p w14:paraId="59D7516F">
      <w:pPr>
        <w:adjustRightInd w:val="0"/>
        <w:snapToGrid w:val="0"/>
        <w:ind w:firstLine="480"/>
        <w:rPr>
          <w:rFonts w:cs="Times New Roman"/>
          <w:snapToGrid w:val="0"/>
        </w:rPr>
      </w:pPr>
      <w:r>
        <w:rPr>
          <w:rFonts w:cs="Times New Roman"/>
          <w:snapToGrid w:val="0"/>
        </w:rPr>
        <w:t>（一）地表水资源</w:t>
      </w:r>
    </w:p>
    <w:p w14:paraId="288710C5">
      <w:pPr>
        <w:adjustRightInd w:val="0"/>
        <w:snapToGrid w:val="0"/>
        <w:ind w:firstLine="600" w:firstLineChars="250"/>
        <w:rPr>
          <w:rFonts w:cs="Times New Roman"/>
        </w:rPr>
      </w:pPr>
      <w:r>
        <w:rPr>
          <w:rFonts w:cs="Times New Roman"/>
        </w:rPr>
        <w:t>阜康市有七条河流，自西向东为：水磨河、三工河、四工河、甘河子河、白杨河、西沟河、黄山河，各河流均发源于市境内天山北坡。水源主要依赖高山冰川和积雪融化及大气降水补给。</w:t>
      </w:r>
    </w:p>
    <w:p w14:paraId="3291EF0A">
      <w:pPr>
        <w:ind w:firstLine="480"/>
        <w:rPr>
          <w:color w:val="000000" w:themeColor="text1"/>
          <w14:textFill>
            <w14:solidFill>
              <w14:schemeClr w14:val="tx1"/>
            </w14:solidFill>
          </w14:textFill>
        </w:rPr>
      </w:pPr>
      <w:r>
        <w:rPr>
          <w:rFonts w:cs="Times New Roman"/>
        </w:rPr>
        <w:t>（1）水磨河：</w:t>
      </w:r>
      <w:r>
        <w:rPr>
          <w:color w:val="000000" w:themeColor="text1"/>
          <w14:textFill>
            <w14:solidFill>
              <w14:schemeClr w14:val="tx1"/>
            </w14:solidFill>
          </w14:textFill>
        </w:rPr>
        <w:t>清乾隆年间称</w:t>
      </w:r>
      <w:r>
        <w:rPr>
          <w:rFonts w:hint="eastAsia"/>
          <w:color w:val="000000" w:themeColor="text1"/>
          <w14:textFill>
            <w14:solidFill>
              <w14:schemeClr w14:val="tx1"/>
            </w14:solidFill>
          </w14:textFill>
        </w:rPr>
        <w:t>特</w:t>
      </w:r>
      <w:r>
        <w:rPr>
          <w:color w:val="000000" w:themeColor="text1"/>
          <w14:textFill>
            <w14:solidFill>
              <w14:schemeClr w14:val="tx1"/>
            </w14:solidFill>
          </w14:textFill>
        </w:rPr>
        <w:t>纳格尔河，清朝末年沿河建有水磨，后称水磨河。该河为乌鲁木齐与阜康市的界河，发源于阜康市西南的阿布加哈斯木达拉山，流域总面积1241km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，由二大人萨依、小大人萨依、琼库尔沟、玉塔斯沟、依热克和铁热克萨依等大小支流汇合而成，出山口以上流域面积220km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，河长40km，由冰雪融水、降水及沿程地下水补给。1960-2016年平均年径流量0.2312×10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，最大年径流量为2016年0.4142×10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，最小年径流量为1974年0.0905×10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。1975年在出山口红沙湾处建有红山拦河水库1座。水磨河除供上游水磨河乡灌溉用水外，主要向城关镇、阜北农场（222团）提供城镇饮用水和农场部分灌溉水源。</w:t>
      </w:r>
    </w:p>
    <w:p w14:paraId="42DF3209">
      <w:pPr>
        <w:ind w:firstLine="480"/>
        <w:rPr>
          <w:color w:val="000000" w:themeColor="text1"/>
          <w14:textFill>
            <w14:solidFill>
              <w14:schemeClr w14:val="tx1"/>
            </w14:solidFill>
          </w14:textFill>
        </w:rPr>
      </w:pPr>
      <w:r>
        <w:rPr>
          <w:rFonts w:cs="Times New Roman"/>
        </w:rPr>
        <w:t>（2）三工河：</w:t>
      </w:r>
      <w:r>
        <w:rPr>
          <w:color w:val="000000" w:themeColor="text1"/>
          <w14:textFill>
            <w14:solidFill>
              <w14:schemeClr w14:val="tx1"/>
            </w14:solidFill>
          </w14:textFill>
        </w:rPr>
        <w:t>古称德</w:t>
      </w:r>
      <w:r>
        <w:rPr>
          <w:rFonts w:hint="eastAsia"/>
          <w:color w:val="000000" w:themeColor="text1"/>
          <w14:textFill>
            <w14:solidFill>
              <w14:schemeClr w14:val="tx1"/>
            </w14:solidFill>
          </w14:textFill>
        </w:rPr>
        <w:t>伦</w:t>
      </w:r>
      <w:r>
        <w:rPr>
          <w:color w:val="000000" w:themeColor="text1"/>
          <w14:textFill>
            <w14:solidFill>
              <w14:schemeClr w14:val="tx1"/>
            </w14:solidFill>
          </w14:textFill>
        </w:rPr>
        <w:t>河（蒙语意为温暖的河流），发源于阜康市东南的天山博格达峰西北侧的福寿山，河水由海南马路沟、吉沿坚、哈热木萨克、大东沟、小东沟等汇于天池，经天池调节后，又汇入大、小黑沟，白杨沟水量也下泄至三工河。流域总面积488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，河道全长48km，河流出山口渠首以上流域面积295km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，河长36km，以冰雪融水、降水及沿程地下水为补给源。三工河实测多年平均年径流量0.5161×10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，最大年径流量为1961年0.8059×10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，最小年径流量为1968年0.3251×10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（图1.2-3）。该河来水主要用于城关镇、三工河乡、九运街镇的城镇生活、工业生产和农业灌溉。</w:t>
      </w:r>
    </w:p>
    <w:p w14:paraId="068035CC">
      <w:pPr>
        <w:ind w:firstLine="480"/>
        <w:rPr>
          <w:color w:val="000000" w:themeColor="text1"/>
          <w14:textFill>
            <w14:solidFill>
              <w14:schemeClr w14:val="tx1"/>
            </w14:solidFill>
          </w14:textFill>
        </w:rPr>
      </w:pPr>
      <w:r>
        <w:rPr>
          <w:rFonts w:cs="Times New Roman"/>
        </w:rPr>
        <w:t>（3）四工河：</w:t>
      </w:r>
      <w:r>
        <w:rPr>
          <w:color w:val="000000" w:themeColor="text1"/>
          <w14:textFill>
            <w14:solidFill>
              <w14:schemeClr w14:val="tx1"/>
            </w14:solidFill>
          </w14:textFill>
        </w:rPr>
        <w:t>四工河发源于博格达峰两侧冰川，由四工河主流与力孜沟、火烧沟、白杨河等支流汇集而成，流域总面积876km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，河道全长40km，河流出山口渠首以上流域面积131km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，河长35km，河流以冰雪融水及沿程地下水补给为主。实测多年平均年径流量0.2408×10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，最大年径流量为1966年的0.4316×10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，最小年径流量为2014年的0.1261×10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。四工河河水通过四工河渠首及干渠分别向城关镇、九运街镇、六运湖农场等供水。</w:t>
      </w:r>
    </w:p>
    <w:p w14:paraId="7E572AFD">
      <w:pPr>
        <w:ind w:firstLine="480"/>
        <w:rPr>
          <w:rFonts w:cs="Times New Roman"/>
        </w:rPr>
      </w:pPr>
      <w:r>
        <w:rPr>
          <w:rFonts w:cs="Times New Roman"/>
        </w:rPr>
        <w:t>（4）甘河子河：</w:t>
      </w:r>
      <w:r>
        <w:rPr>
          <w:color w:val="000000" w:themeColor="text1"/>
          <w14:textFill>
            <w14:solidFill>
              <w14:schemeClr w14:val="tx1"/>
            </w14:solidFill>
          </w14:textFill>
        </w:rPr>
        <w:t>古称土墩河，因河流经土墩子而得名，又因河水具有季节性的干枯，称为干河子，后雅称甘河子。该河发源于博格达峰北侧乔拉克达拉山，由吾肯达拉、却拉克达拉、可可莫依那克、哈熊沟、哈因沟等支流汇集而成，流域总面积1216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，河道全长70km，出山口以上集水面积209km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，河长32km，河流补给以冰雪融水为主，其次为泉水和降水。实测多年平均年径流量0.2795×10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，最大年径流量为1963年的0.4629×10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，最小年径流量为1978年的0.1545×10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。甘河子河由兵团</w:t>
      </w:r>
      <w:r>
        <w:rPr>
          <w:rFonts w:hint="eastAsia"/>
          <w:color w:val="000000" w:themeColor="text1"/>
          <w14:textFill>
            <w14:solidFill>
              <w14:schemeClr w14:val="tx1"/>
            </w14:solidFill>
          </w14:textFill>
        </w:rPr>
        <w:t>第</w:t>
      </w:r>
      <w:r>
        <w:rPr>
          <w:color w:val="000000" w:themeColor="text1"/>
          <w14:textFill>
            <w14:solidFill>
              <w14:schemeClr w14:val="tx1"/>
            </w14:solidFill>
          </w14:textFill>
        </w:rPr>
        <w:t>六师甘河子水管站管理，大部分河水由兵团土墩子农场灌溉利用。</w:t>
      </w:r>
      <w:r>
        <w:rPr>
          <w:rFonts w:cs="Times New Roman"/>
        </w:rPr>
        <w:t>保灌区域为：甘河子镇、上户沟乡。</w:t>
      </w:r>
    </w:p>
    <w:p w14:paraId="71191A6D">
      <w:pPr>
        <w:adjustRightInd w:val="0"/>
        <w:snapToGrid w:val="0"/>
        <w:ind w:firstLine="600" w:firstLineChars="250"/>
        <w:rPr>
          <w:rFonts w:cs="Times New Roman"/>
        </w:rPr>
      </w:pPr>
      <w:r>
        <w:rPr>
          <w:rFonts w:cs="Times New Roman"/>
        </w:rPr>
        <w:t>（5）白杨河：</w:t>
      </w:r>
      <w:r>
        <w:rPr>
          <w:color w:val="000000" w:themeColor="text1"/>
          <w14:textFill>
            <w14:solidFill>
              <w14:schemeClr w14:val="tx1"/>
            </w14:solidFill>
          </w14:textFill>
        </w:rPr>
        <w:t>白杨河是阜康市境内最大河流，发源于博格达峰东北阔克括力冰川，其源头由东西两支组成。流域总面积1253km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，河道全长60km，河流出山口白杨河水文站以上流域面积252km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，河长32km，是典型的冰雪消融补给型河流，在当地</w:t>
      </w:r>
      <w:r>
        <w:rPr>
          <w:rFonts w:ascii="宋体" w:hAnsi="宋体"/>
          <w:color w:val="000000" w:themeColor="text1"/>
          <w14:textFill>
            <w14:solidFill>
              <w14:schemeClr w14:val="tx1"/>
            </w14:solidFill>
          </w14:textFill>
        </w:rPr>
        <w:t>有“天晴天热大水流，阴天冷天守干沟”的</w:t>
      </w:r>
      <w:r>
        <w:rPr>
          <w:color w:val="000000" w:themeColor="text1"/>
          <w14:textFill>
            <w14:solidFill>
              <w14:schemeClr w14:val="tx1"/>
            </w14:solidFill>
          </w14:textFill>
        </w:rPr>
        <w:t>说法。实测多年平均年径流量0.6778×10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，最大为2016年的0.9652×10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，最小为1984年的0.4321×10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rFonts w:cs="Times New Roman"/>
        </w:rPr>
        <w:t>保灌区域为：滋泥泉子镇、上户沟乡。</w:t>
      </w:r>
    </w:p>
    <w:p w14:paraId="6B17C4CD">
      <w:pPr>
        <w:ind w:firstLine="480"/>
        <w:rPr>
          <w:rFonts w:cs="Times New Roman"/>
        </w:rPr>
      </w:pPr>
      <w:r>
        <w:rPr>
          <w:rFonts w:cs="Times New Roman"/>
        </w:rPr>
        <w:t>（6）西沟河：</w:t>
      </w:r>
      <w:r>
        <w:rPr>
          <w:color w:val="000000" w:themeColor="text1"/>
          <w14:textFill>
            <w14:solidFill>
              <w14:schemeClr w14:val="tx1"/>
            </w14:solidFill>
          </w14:textFill>
        </w:rPr>
        <w:t>西沟河发源于博格达峰山吉恩什克苏达拉冰川，地处大黄山以西的山沟，故称西沟河。西沟河由三条无名沟汇集而成，流域总面积118km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，河道全长30km，河流不长，水量较小，主要由冰雪融水补给。西沟河没有实测径流资料。</w:t>
      </w:r>
      <w:r>
        <w:rPr>
          <w:rFonts w:cs="Times New Roman"/>
        </w:rPr>
        <w:t>保灌区域为：</w:t>
      </w:r>
      <w:r>
        <w:fldChar w:fldCharType="begin"/>
      </w:r>
      <w:r>
        <w:instrText xml:space="preserve"> HYPERLINK "https://baike.baidu.com/item/滋泥泉子镇/0?fromModule=lemma_inlink" \t "_blank" </w:instrText>
      </w:r>
      <w:r>
        <w:fldChar w:fldCharType="separate"/>
      </w:r>
      <w:r>
        <w:rPr>
          <w:rFonts w:cs="Times New Roman"/>
        </w:rPr>
        <w:t>滋泥泉子镇</w:t>
      </w:r>
      <w:r>
        <w:rPr>
          <w:rFonts w:cs="Times New Roman"/>
        </w:rPr>
        <w:fldChar w:fldCharType="end"/>
      </w:r>
      <w:r>
        <w:rPr>
          <w:rFonts w:cs="Times New Roman"/>
        </w:rPr>
        <w:t>、上户沟乡。</w:t>
      </w:r>
    </w:p>
    <w:p w14:paraId="09E5DA65">
      <w:pPr>
        <w:ind w:firstLine="480"/>
        <w:rPr>
          <w:color w:val="000000" w:themeColor="text1"/>
          <w14:textFill>
            <w14:solidFill>
              <w14:schemeClr w14:val="tx1"/>
            </w14:solidFill>
          </w14:textFill>
        </w:rPr>
      </w:pPr>
      <w:r>
        <w:rPr>
          <w:rFonts w:cs="Times New Roman"/>
        </w:rPr>
        <w:t>（7）黄山河：</w:t>
      </w:r>
      <w:r>
        <w:rPr>
          <w:color w:val="000000" w:themeColor="text1"/>
          <w14:textFill>
            <w14:solidFill>
              <w14:schemeClr w14:val="tx1"/>
            </w14:solidFill>
          </w14:textFill>
        </w:rPr>
        <w:t>黄山河发源于博格达山开来巴义达西侧冰川，因流经大黄山而得名。黄山河流域面积474km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，河道全长30km，出山口以上集水面积88km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，以冰雪融水补给为主。黄山河实测多年平均年径流量0.0322×10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，最大为1970年的0.1188×10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，最小为2014年的0.0012×10</w:t>
      </w:r>
      <w:r>
        <w:rPr>
          <w:color w:val="000000" w:themeColor="text1"/>
          <w:vertAlign w:val="superscript"/>
          <w14:textFill>
            <w14:solidFill>
              <w14:schemeClr w14:val="tx1"/>
            </w14:solidFill>
          </w14:textFill>
        </w:rPr>
        <w:t>8</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r>
        <w:rPr>
          <w:rFonts w:cs="Times New Roman"/>
        </w:rPr>
        <w:t>保灌区域为：滋泥泉子镇、上户沟乡。</w:t>
      </w:r>
    </w:p>
    <w:p w14:paraId="690A0EF6">
      <w:pPr>
        <w:adjustRightInd w:val="0"/>
        <w:snapToGrid w:val="0"/>
        <w:ind w:firstLine="600" w:firstLineChars="250"/>
        <w:rPr>
          <w:rFonts w:cs="Times New Roman"/>
        </w:rPr>
      </w:pPr>
    </w:p>
    <w:p w14:paraId="3655273C">
      <w:pPr>
        <w:adjustRightInd w:val="0"/>
        <w:snapToGrid w:val="0"/>
        <w:ind w:firstLine="600" w:firstLineChars="250"/>
        <w:rPr>
          <w:rFonts w:cs="Times New Roman"/>
        </w:rPr>
      </w:pPr>
    </w:p>
    <w:p w14:paraId="4E7FC614">
      <w:pPr>
        <w:adjustRightInd w:val="0"/>
        <w:snapToGrid w:val="0"/>
        <w:ind w:firstLine="600" w:firstLineChars="250"/>
        <w:rPr>
          <w:rFonts w:cs="Times New Roman"/>
        </w:rPr>
      </w:pPr>
    </w:p>
    <w:p w14:paraId="7B38AC19">
      <w:pPr>
        <w:adjustRightInd w:val="0"/>
        <w:snapToGrid w:val="0"/>
        <w:ind w:firstLine="600" w:firstLineChars="250"/>
        <w:rPr>
          <w:rFonts w:cs="Times New Roman"/>
        </w:rPr>
      </w:pPr>
    </w:p>
    <w:p w14:paraId="2D9C0A48">
      <w:pPr>
        <w:ind w:firstLine="0" w:firstLineChars="0"/>
        <w:jc w:val="center"/>
        <w:rPr>
          <w:color w:val="000000" w:themeColor="text1"/>
          <w14:textFill>
            <w14:solidFill>
              <w14:schemeClr w14:val="tx1"/>
            </w14:solidFill>
          </w14:textFill>
        </w:rPr>
      </w:pPr>
      <w:r>
        <w:drawing>
          <wp:inline distT="0" distB="0" distL="0" distR="0">
            <wp:extent cx="5179695" cy="7238365"/>
            <wp:effectExtent l="0" t="0" r="1905" b="635"/>
            <wp:docPr id="1768013139" name="图片 176801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013139" name="图片 1768013139"/>
                    <pic:cNvPicPr>
                      <a:picLocks noChangeAspect="1" noChangeArrowheads="1"/>
                    </pic:cNvPicPr>
                  </pic:nvPicPr>
                  <pic:blipFill>
                    <a:blip r:embed="rId18" cstate="print">
                      <a:extLst>
                        <a:ext uri="{28A0092B-C50C-407E-A947-70E740481C1C}">
                          <a14:useLocalDpi xmlns:a14="http://schemas.microsoft.com/office/drawing/2010/main" val="0"/>
                        </a:ext>
                      </a:extLst>
                    </a:blip>
                    <a:srcRect t="1262"/>
                    <a:stretch>
                      <a:fillRect/>
                    </a:stretch>
                  </pic:blipFill>
                  <pic:spPr>
                    <a:xfrm>
                      <a:off x="0" y="0"/>
                      <a:ext cx="5186956" cy="7248667"/>
                    </a:xfrm>
                    <a:prstGeom prst="rect">
                      <a:avLst/>
                    </a:prstGeom>
                    <a:noFill/>
                    <a:ln>
                      <a:noFill/>
                    </a:ln>
                  </pic:spPr>
                </pic:pic>
              </a:graphicData>
            </a:graphic>
          </wp:inline>
        </w:drawing>
      </w:r>
    </w:p>
    <w:p w14:paraId="56433583">
      <w:pPr>
        <w:ind w:firstLine="480"/>
        <w:jc w:val="center"/>
        <w:rPr>
          <w:rFonts w:eastAsia="黑体"/>
          <w:color w:val="000000" w:themeColor="text1"/>
          <w:szCs w:val="21"/>
          <w14:textFill>
            <w14:solidFill>
              <w14:schemeClr w14:val="tx1"/>
            </w14:solidFill>
          </w14:textFill>
        </w:rPr>
      </w:pPr>
      <w:r>
        <w:rPr>
          <w:rFonts w:eastAsia="黑体"/>
          <w:color w:val="000000" w:themeColor="text1"/>
          <w:szCs w:val="21"/>
          <w14:textFill>
            <w14:solidFill>
              <w14:schemeClr w14:val="tx1"/>
            </w14:solidFill>
          </w14:textFill>
        </w:rPr>
        <w:t>图</w:t>
      </w:r>
      <w:r>
        <w:rPr>
          <w:rFonts w:hint="eastAsia" w:eastAsia="黑体"/>
          <w:color w:val="000000" w:themeColor="text1"/>
          <w:szCs w:val="21"/>
          <w14:textFill>
            <w14:solidFill>
              <w14:schemeClr w14:val="tx1"/>
            </w14:solidFill>
          </w14:textFill>
        </w:rPr>
        <w:t>2</w:t>
      </w:r>
      <w:r>
        <w:rPr>
          <w:rFonts w:eastAsia="黑体"/>
          <w:color w:val="000000" w:themeColor="text1"/>
          <w:szCs w:val="21"/>
          <w14:textFill>
            <w14:solidFill>
              <w14:schemeClr w14:val="tx1"/>
            </w14:solidFill>
          </w14:textFill>
        </w:rPr>
        <w:t xml:space="preserve">  阜康市水系分布图</w:t>
      </w:r>
    </w:p>
    <w:p w14:paraId="0BB7F252">
      <w:pPr>
        <w:adjustRightInd w:val="0"/>
        <w:snapToGrid w:val="0"/>
        <w:spacing w:line="336" w:lineRule="auto"/>
        <w:ind w:firstLine="480"/>
        <w:rPr>
          <w:rFonts w:cs="Times New Roman"/>
        </w:rPr>
      </w:pPr>
      <w:r>
        <w:rPr>
          <w:rFonts w:cs="Times New Roman"/>
        </w:rPr>
        <w:t>（二）地下水资源</w:t>
      </w:r>
    </w:p>
    <w:p w14:paraId="5A626C60">
      <w:pPr>
        <w:adjustRightInd w:val="0"/>
        <w:snapToGrid w:val="0"/>
        <w:ind w:firstLine="600" w:firstLineChars="250"/>
        <w:rPr>
          <w:rFonts w:cs="Times New Roman"/>
        </w:rPr>
      </w:pPr>
      <w:r>
        <w:rPr>
          <w:rFonts w:cs="Times New Roman"/>
          <w:snapToGrid w:val="0"/>
        </w:rPr>
        <w:t>根据《阜康市水资源调查评价报告》</w:t>
      </w:r>
      <w:r>
        <w:rPr>
          <w:rFonts w:hint="eastAsia" w:cs="Times New Roman"/>
          <w:snapToGrid w:val="0"/>
        </w:rPr>
        <w:t>（2022年版）</w:t>
      </w:r>
      <w:r>
        <w:rPr>
          <w:rFonts w:cs="Times New Roman"/>
          <w:snapToGrid w:val="0"/>
        </w:rPr>
        <w:t>，</w:t>
      </w:r>
      <w:r>
        <w:rPr>
          <w:color w:val="000000" w:themeColor="text1"/>
          <w14:textFill>
            <w14:solidFill>
              <w14:schemeClr w14:val="tx1"/>
            </w14:solidFill>
          </w14:textFill>
        </w:rPr>
        <w:t>阜康市地下水资源量为18423万m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其中</w:t>
      </w:r>
      <w:r>
        <w:rPr>
          <w:color w:val="000000" w:themeColor="text1"/>
          <w14:textFill>
            <w14:solidFill>
              <w14:schemeClr w14:val="tx1"/>
            </w14:solidFill>
          </w14:textFill>
        </w:rPr>
        <w:t>山丘区</w:t>
      </w:r>
      <w:r>
        <w:rPr>
          <w:rFonts w:hint="eastAsia"/>
          <w:color w:val="000000" w:themeColor="text1"/>
          <w14:textFill>
            <w14:solidFill>
              <w14:schemeClr w14:val="tx1"/>
            </w14:solidFill>
          </w14:textFill>
        </w:rPr>
        <w:t>水资源量为</w:t>
      </w:r>
      <w:r>
        <w:rPr>
          <w:color w:val="000000" w:themeColor="text1"/>
          <w14:textFill>
            <w14:solidFill>
              <w14:schemeClr w14:val="tx1"/>
            </w14:solidFill>
          </w14:textFill>
        </w:rPr>
        <w:t>11352万m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，平原区地下水资源量为</w:t>
      </w:r>
      <w:r>
        <w:rPr>
          <w:color w:val="000000" w:themeColor="text1"/>
          <w14:textFill>
            <w14:solidFill>
              <w14:schemeClr w14:val="tx1"/>
            </w14:solidFill>
          </w14:textFill>
        </w:rPr>
        <w:t>14733万m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山丘区</w:t>
      </w:r>
      <w:r>
        <w:rPr>
          <w:rFonts w:hint="eastAsia"/>
          <w:color w:val="000000" w:themeColor="text1"/>
          <w14:textFill>
            <w14:solidFill>
              <w14:schemeClr w14:val="tx1"/>
            </w14:solidFill>
          </w14:textFill>
        </w:rPr>
        <w:t>与平原区地下水重复资源量为</w:t>
      </w:r>
      <w:r>
        <w:rPr>
          <w:color w:val="000000" w:themeColor="text1"/>
          <w14:textFill>
            <w14:solidFill>
              <w14:schemeClr w14:val="tx1"/>
            </w14:solidFill>
          </w14:textFill>
        </w:rPr>
        <w:t>7662万m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p>
    <w:p w14:paraId="7958B95F">
      <w:pPr>
        <w:adjustRightInd w:val="0"/>
        <w:snapToGrid w:val="0"/>
        <w:ind w:firstLine="600" w:firstLineChars="250"/>
        <w:rPr>
          <w:rFonts w:cs="Times New Roman"/>
          <w:snapToGrid w:val="0"/>
        </w:rPr>
      </w:pPr>
      <w:r>
        <w:rPr>
          <w:rFonts w:cs="Times New Roman"/>
          <w:snapToGrid w:val="0"/>
        </w:rPr>
        <w:t>（三）水利工程现状</w:t>
      </w:r>
    </w:p>
    <w:p w14:paraId="5BCC6F51">
      <w:pPr>
        <w:adjustRightInd w:val="0"/>
        <w:snapToGrid w:val="0"/>
        <w:ind w:firstLine="600" w:firstLineChars="250"/>
        <w:rPr>
          <w:rFonts w:cs="Times New Roman"/>
          <w:snapToGrid w:val="0"/>
        </w:rPr>
      </w:pPr>
      <w:r>
        <w:rPr>
          <w:rFonts w:cs="Times New Roman"/>
          <w:snapToGrid w:val="0"/>
        </w:rPr>
        <w:t>1、水库工程</w:t>
      </w:r>
    </w:p>
    <w:p w14:paraId="76D096BC">
      <w:pPr>
        <w:adjustRightInd w:val="0"/>
        <w:snapToGrid w:val="0"/>
        <w:ind w:firstLine="600" w:firstLineChars="250"/>
        <w:rPr>
          <w:rFonts w:cs="Times New Roman"/>
        </w:rPr>
      </w:pPr>
      <w:r>
        <w:rPr>
          <w:rFonts w:cs="Times New Roman"/>
        </w:rPr>
        <w:t>我市现有水库</w:t>
      </w:r>
      <w:r>
        <w:rPr>
          <w:rFonts w:hint="eastAsia" w:cs="Times New Roman"/>
        </w:rPr>
        <w:t>8</w:t>
      </w:r>
      <w:r>
        <w:rPr>
          <w:rFonts w:cs="Times New Roman"/>
        </w:rPr>
        <w:t>座，其中：中型水库1座，小（</w:t>
      </w:r>
      <w:r>
        <w:rPr>
          <w:rFonts w:hint="eastAsia" w:cs="Times New Roman"/>
        </w:rPr>
        <w:t>1</w:t>
      </w:r>
      <w:r>
        <w:rPr>
          <w:rFonts w:cs="Times New Roman"/>
        </w:rPr>
        <w:t>）型水库</w:t>
      </w:r>
      <w:r>
        <w:rPr>
          <w:rFonts w:hint="eastAsia" w:cs="Times New Roman"/>
        </w:rPr>
        <w:t>7</w:t>
      </w:r>
      <w:r>
        <w:rPr>
          <w:rFonts w:cs="Times New Roman"/>
        </w:rPr>
        <w:t>座，蓄水总库容</w:t>
      </w:r>
      <w:r>
        <w:rPr>
          <w:rFonts w:cs="Times New Roman"/>
        </w:rPr>
        <w:fldChar w:fldCharType="begin"/>
      </w:r>
      <w:r>
        <w:rPr>
          <w:rFonts w:cs="Times New Roman"/>
        </w:rPr>
        <w:instrText xml:space="preserve"> =SUM(ABOVE) </w:instrText>
      </w:r>
      <w:r>
        <w:rPr>
          <w:rFonts w:cs="Times New Roman"/>
        </w:rPr>
        <w:fldChar w:fldCharType="separate"/>
      </w:r>
      <w:r>
        <w:rPr>
          <w:rFonts w:cs="Times New Roman"/>
        </w:rPr>
        <w:t>3497.7</w:t>
      </w:r>
      <w:r>
        <w:rPr>
          <w:rFonts w:cs="Times New Roman"/>
        </w:rPr>
        <w:fldChar w:fldCharType="end"/>
      </w:r>
      <w:r>
        <w:rPr>
          <w:rFonts w:cs="Times New Roman"/>
        </w:rPr>
        <w:t>8万方；白杨河水库和红山水库为上游拦河型水库。</w:t>
      </w:r>
      <w:r>
        <w:rPr>
          <w:rFonts w:hint="eastAsia" w:cs="Times New Roman"/>
        </w:rPr>
        <w:t>具体见表1.1-2。</w:t>
      </w:r>
    </w:p>
    <w:p w14:paraId="4C1F040B">
      <w:pPr>
        <w:adjustRightInd w:val="0"/>
        <w:snapToGrid w:val="0"/>
        <w:ind w:firstLine="480"/>
        <w:rPr>
          <w:rFonts w:cs="Times New Roman"/>
        </w:rPr>
      </w:pPr>
      <w:r>
        <w:rPr>
          <w:rFonts w:hint="eastAsia" w:cs="Times New Roman"/>
        </w:rPr>
        <w:t>2</w:t>
      </w:r>
      <w:r>
        <w:rPr>
          <w:rFonts w:cs="Times New Roman"/>
        </w:rPr>
        <w:t>、渠首</w:t>
      </w:r>
    </w:p>
    <w:p w14:paraId="5CEAE812">
      <w:pPr>
        <w:adjustRightInd w:val="0"/>
        <w:snapToGrid w:val="0"/>
        <w:ind w:firstLine="480"/>
        <w:rPr>
          <w:rFonts w:cs="Times New Roman"/>
        </w:rPr>
      </w:pPr>
      <w:r>
        <w:rPr>
          <w:rFonts w:cs="Times New Roman"/>
        </w:rPr>
        <w:t>阜康市现有中型水闸2座，为三工河渠首、四工河渠首。其中三工河渠首始建于1976年，2006年水毁修复，2022年完成安全鉴定工作，鉴定结果为三类闸，2024年进行除险加固；四工河渠首始建于1967年，1981年水毁修复。</w:t>
      </w:r>
    </w:p>
    <w:p w14:paraId="3AD5EA2F">
      <w:pPr>
        <w:adjustRightInd w:val="0"/>
        <w:snapToGrid w:val="0"/>
        <w:ind w:firstLine="480"/>
        <w:rPr>
          <w:rFonts w:cs="Times New Roman"/>
          <w:snapToGrid w:val="0"/>
        </w:rPr>
      </w:pPr>
      <w:r>
        <w:rPr>
          <w:rFonts w:hint="eastAsia" w:cs="Times New Roman"/>
          <w:snapToGrid w:val="0"/>
        </w:rPr>
        <w:t>3</w:t>
      </w:r>
      <w:r>
        <w:rPr>
          <w:rFonts w:cs="Times New Roman"/>
          <w:snapToGrid w:val="0"/>
        </w:rPr>
        <w:t>、渠道工程</w:t>
      </w:r>
    </w:p>
    <w:p w14:paraId="3B85D947">
      <w:pPr>
        <w:adjustRightInd w:val="0"/>
        <w:snapToGrid w:val="0"/>
        <w:ind w:firstLine="480"/>
        <w:rPr>
          <w:rFonts w:cs="Times New Roman"/>
        </w:rPr>
      </w:pPr>
      <w:r>
        <w:rPr>
          <w:rFonts w:cs="Times New Roman"/>
        </w:rPr>
        <w:t>阜康市现有6个灌区，各灌区干支渠情况如下</w:t>
      </w:r>
    </w:p>
    <w:p w14:paraId="18ED4838">
      <w:pPr>
        <w:adjustRightInd w:val="0"/>
        <w:snapToGrid w:val="0"/>
        <w:ind w:firstLine="480"/>
        <w:rPr>
          <w:rFonts w:cs="Times New Roman"/>
        </w:rPr>
      </w:pPr>
      <w:r>
        <w:rPr>
          <w:rFonts w:cs="Times New Roman"/>
        </w:rPr>
        <w:t>（1）白杨河灌区</w:t>
      </w:r>
    </w:p>
    <w:p w14:paraId="61F8547F">
      <w:pPr>
        <w:adjustRightInd w:val="0"/>
        <w:snapToGrid w:val="0"/>
        <w:ind w:firstLine="480"/>
        <w:rPr>
          <w:rFonts w:cs="Times New Roman"/>
        </w:rPr>
      </w:pPr>
      <w:r>
        <w:rPr>
          <w:rFonts w:cs="Times New Roman"/>
        </w:rPr>
        <w:t>白杨河灌区干、支渠道长86.42km，防渗长度86.42km。</w:t>
      </w:r>
    </w:p>
    <w:p w14:paraId="0ECE8945">
      <w:pPr>
        <w:adjustRightInd w:val="0"/>
        <w:snapToGrid w:val="0"/>
        <w:ind w:firstLine="480"/>
        <w:rPr>
          <w:rFonts w:cs="Times New Roman"/>
        </w:rPr>
      </w:pPr>
      <w:r>
        <w:rPr>
          <w:rFonts w:cs="Times New Roman"/>
        </w:rPr>
        <w:t>（2）水磨河灌区</w:t>
      </w:r>
    </w:p>
    <w:p w14:paraId="2474DC95">
      <w:pPr>
        <w:adjustRightInd w:val="0"/>
        <w:snapToGrid w:val="0"/>
        <w:ind w:firstLine="480"/>
        <w:rPr>
          <w:rFonts w:cs="Times New Roman"/>
        </w:rPr>
      </w:pPr>
      <w:r>
        <w:rPr>
          <w:rFonts w:cs="Times New Roman"/>
        </w:rPr>
        <w:t>水磨河灌区干、支渠道长27.77km，防渗长度26.17km。</w:t>
      </w:r>
    </w:p>
    <w:p w14:paraId="323F02AB">
      <w:pPr>
        <w:adjustRightInd w:val="0"/>
        <w:snapToGrid w:val="0"/>
        <w:ind w:firstLine="480"/>
        <w:rPr>
          <w:rFonts w:cs="Times New Roman"/>
        </w:rPr>
      </w:pPr>
      <w:r>
        <w:rPr>
          <w:rFonts w:cs="Times New Roman"/>
        </w:rPr>
        <w:t>（3）三工河灌区</w:t>
      </w:r>
    </w:p>
    <w:p w14:paraId="365618FD">
      <w:pPr>
        <w:adjustRightInd w:val="0"/>
        <w:snapToGrid w:val="0"/>
        <w:ind w:firstLine="480"/>
        <w:rPr>
          <w:rFonts w:cs="Times New Roman"/>
        </w:rPr>
      </w:pPr>
      <w:r>
        <w:rPr>
          <w:rFonts w:cs="Times New Roman"/>
        </w:rPr>
        <w:t>三工河灌区干、支渠道长89.07km，防渗长度85.38km；</w:t>
      </w:r>
    </w:p>
    <w:p w14:paraId="20096499">
      <w:pPr>
        <w:adjustRightInd w:val="0"/>
        <w:snapToGrid w:val="0"/>
        <w:ind w:firstLine="480"/>
        <w:rPr>
          <w:rFonts w:cs="Times New Roman"/>
        </w:rPr>
      </w:pPr>
      <w:r>
        <w:rPr>
          <w:rFonts w:cs="Times New Roman"/>
        </w:rPr>
        <w:t>（4）四工河灌区</w:t>
      </w:r>
    </w:p>
    <w:p w14:paraId="23650E63">
      <w:pPr>
        <w:adjustRightInd w:val="0"/>
        <w:snapToGrid w:val="0"/>
        <w:ind w:firstLine="480"/>
        <w:rPr>
          <w:rFonts w:cs="Times New Roman"/>
        </w:rPr>
      </w:pPr>
      <w:r>
        <w:rPr>
          <w:rFonts w:cs="Times New Roman"/>
        </w:rPr>
        <w:t>四工河灌区干、支渠道长20.74km，防渗长度20.74km。</w:t>
      </w:r>
    </w:p>
    <w:p w14:paraId="76E5A668">
      <w:pPr>
        <w:adjustRightInd w:val="0"/>
        <w:snapToGrid w:val="0"/>
        <w:ind w:firstLine="480"/>
        <w:rPr>
          <w:rFonts w:cs="Times New Roman"/>
        </w:rPr>
      </w:pPr>
      <w:r>
        <w:rPr>
          <w:rFonts w:cs="Times New Roman"/>
        </w:rPr>
        <w:t>（5）黄山河灌区</w:t>
      </w:r>
    </w:p>
    <w:p w14:paraId="632DD7B2">
      <w:pPr>
        <w:adjustRightInd w:val="0"/>
        <w:snapToGrid w:val="0"/>
        <w:ind w:firstLine="480"/>
        <w:rPr>
          <w:rFonts w:cs="Times New Roman"/>
        </w:rPr>
      </w:pPr>
      <w:r>
        <w:rPr>
          <w:rFonts w:cs="Times New Roman"/>
        </w:rPr>
        <w:t>黄山河灌区干、支渠道长13.6，防渗长度6km。</w:t>
      </w:r>
    </w:p>
    <w:p w14:paraId="70B8A180">
      <w:pPr>
        <w:adjustRightInd w:val="0"/>
        <w:snapToGrid w:val="0"/>
        <w:ind w:firstLine="480"/>
        <w:rPr>
          <w:rFonts w:cs="Times New Roman"/>
        </w:rPr>
      </w:pPr>
      <w:r>
        <w:rPr>
          <w:rFonts w:hint="eastAsia" w:cs="Times New Roman"/>
        </w:rPr>
        <w:t>（</w:t>
      </w:r>
      <w:r>
        <w:rPr>
          <w:rFonts w:cs="Times New Roman"/>
        </w:rPr>
        <w:t>6）西沟河灌区</w:t>
      </w:r>
    </w:p>
    <w:p w14:paraId="7618A388">
      <w:pPr>
        <w:adjustRightInd w:val="0"/>
        <w:snapToGrid w:val="0"/>
        <w:ind w:firstLine="480"/>
        <w:rPr>
          <w:rFonts w:cs="Times New Roman"/>
        </w:rPr>
      </w:pPr>
      <w:r>
        <w:rPr>
          <w:rFonts w:cs="Times New Roman"/>
        </w:rPr>
        <w:t>西沟河灌区支渠道长21.81km，防渗长度19.59km。</w:t>
      </w:r>
    </w:p>
    <w:p w14:paraId="2A46984F">
      <w:pPr>
        <w:adjustRightInd w:val="0"/>
        <w:snapToGrid w:val="0"/>
        <w:ind w:firstLine="480"/>
        <w:rPr>
          <w:rFonts w:cs="Times New Roman"/>
        </w:rPr>
      </w:pPr>
      <w:r>
        <w:rPr>
          <w:rFonts w:hint="eastAsia" w:cs="Times New Roman"/>
        </w:rPr>
        <w:t>4</w:t>
      </w:r>
      <w:r>
        <w:rPr>
          <w:rFonts w:cs="Times New Roman"/>
        </w:rPr>
        <w:t>、机井现状</w:t>
      </w:r>
    </w:p>
    <w:p w14:paraId="714DEAEF">
      <w:pPr>
        <w:adjustRightInd w:val="0"/>
        <w:snapToGrid w:val="0"/>
        <w:ind w:firstLine="480"/>
        <w:rPr>
          <w:rFonts w:cs="Times New Roman"/>
        </w:rPr>
      </w:pPr>
      <w:r>
        <w:rPr>
          <w:rFonts w:hint="eastAsia" w:cs="Times New Roman"/>
        </w:rPr>
        <w:t>根据昌吉州机井普查成果资料，截止到2020年，阜康市境内拥有机电井1315眼，其中：各乡镇挂牌机井数1147眼（其中：计划内机井数655眼，计划外机井数492眼），企事业单位自备井168眼，2020年许可水量8543.00万m</w:t>
      </w:r>
      <w:r>
        <w:rPr>
          <w:rFonts w:hint="eastAsia" w:cs="Times New Roman"/>
          <w:vertAlign w:val="superscript"/>
        </w:rPr>
        <w:t>3</w:t>
      </w:r>
      <w:r>
        <w:rPr>
          <w:rFonts w:hint="eastAsia" w:cs="Times New Roman"/>
        </w:rPr>
        <w:t>。</w:t>
      </w:r>
    </w:p>
    <w:p w14:paraId="00A81AF6">
      <w:pPr>
        <w:adjustRightInd w:val="0"/>
        <w:snapToGrid w:val="0"/>
        <w:ind w:firstLine="600" w:firstLineChars="250"/>
        <w:rPr>
          <w:rFonts w:cs="Times New Roman"/>
        </w:rPr>
      </w:pPr>
    </w:p>
    <w:p w14:paraId="7E1ADD5E">
      <w:pPr>
        <w:pStyle w:val="41"/>
        <w:adjustRightInd w:val="0"/>
        <w:snapToGrid w:val="0"/>
        <w:ind w:firstLine="1200" w:firstLineChars="500"/>
        <w:rPr>
          <w:rFonts w:cs="Times New Roman"/>
          <w:snapToGrid w:val="0"/>
          <w:color w:val="auto"/>
          <w:sz w:val="24"/>
          <w:szCs w:val="24"/>
        </w:rPr>
        <w:sectPr>
          <w:footerReference r:id="rId13" w:type="default"/>
          <w:pgSz w:w="11907" w:h="16840"/>
          <w:pgMar w:top="1440" w:right="1797" w:bottom="1440" w:left="1797" w:header="851" w:footer="992" w:gutter="0"/>
          <w:cols w:space="720" w:num="1"/>
          <w:docGrid w:linePitch="312" w:charSpace="0"/>
        </w:sectPr>
      </w:pPr>
    </w:p>
    <w:p w14:paraId="59250E1F">
      <w:pPr>
        <w:pStyle w:val="41"/>
        <w:adjustRightInd w:val="0"/>
        <w:snapToGrid w:val="0"/>
        <w:ind w:firstLine="1200" w:firstLineChars="500"/>
        <w:rPr>
          <w:rFonts w:cs="Times New Roman"/>
          <w:b/>
          <w:snapToGrid w:val="0"/>
          <w:color w:val="auto"/>
          <w:sz w:val="24"/>
          <w:szCs w:val="24"/>
        </w:rPr>
      </w:pPr>
      <w:r>
        <w:rPr>
          <w:rFonts w:cs="Times New Roman"/>
          <w:snapToGrid w:val="0"/>
          <w:color w:val="auto"/>
          <w:sz w:val="24"/>
          <w:szCs w:val="24"/>
        </w:rPr>
        <w:t xml:space="preserve">表1.1-2 </w:t>
      </w:r>
      <w:r>
        <w:rPr>
          <w:rFonts w:cs="Times New Roman"/>
          <w:snapToGrid w:val="0"/>
          <w:color w:val="auto"/>
          <w:sz w:val="21"/>
          <w:szCs w:val="21"/>
        </w:rPr>
        <w:t xml:space="preserve">    </w:t>
      </w:r>
      <w:r>
        <w:rPr>
          <w:rFonts w:hint="eastAsia" w:cs="Times New Roman"/>
          <w:snapToGrid w:val="0"/>
          <w:color w:val="auto"/>
          <w:sz w:val="21"/>
          <w:szCs w:val="21"/>
        </w:rPr>
        <w:t xml:space="preserve">                            </w:t>
      </w:r>
      <w:r>
        <w:rPr>
          <w:rFonts w:cs="Times New Roman"/>
          <w:snapToGrid w:val="0"/>
          <w:color w:val="auto"/>
          <w:sz w:val="21"/>
          <w:szCs w:val="21"/>
        </w:rPr>
        <w:t xml:space="preserve">    </w:t>
      </w:r>
      <w:r>
        <w:rPr>
          <w:rFonts w:cs="Times New Roman"/>
          <w:snapToGrid w:val="0"/>
          <w:color w:val="auto"/>
          <w:sz w:val="24"/>
          <w:szCs w:val="24"/>
        </w:rPr>
        <w:t xml:space="preserve"> </w:t>
      </w:r>
      <w:r>
        <w:rPr>
          <w:rFonts w:cs="Times New Roman"/>
          <w:b/>
          <w:snapToGrid w:val="0"/>
          <w:color w:val="auto"/>
          <w:sz w:val="24"/>
          <w:szCs w:val="24"/>
        </w:rPr>
        <w:t>水库工程现状表</w:t>
      </w:r>
    </w:p>
    <w:tbl>
      <w:tblPr>
        <w:tblStyle w:val="48"/>
        <w:tblW w:w="5000" w:type="pct"/>
        <w:tblInd w:w="0" w:type="dxa"/>
        <w:tblLayout w:type="autofit"/>
        <w:tblCellMar>
          <w:top w:w="0" w:type="dxa"/>
          <w:left w:w="108" w:type="dxa"/>
          <w:bottom w:w="0" w:type="dxa"/>
          <w:right w:w="108" w:type="dxa"/>
        </w:tblCellMar>
      </w:tblPr>
      <w:tblGrid>
        <w:gridCol w:w="975"/>
        <w:gridCol w:w="1386"/>
        <w:gridCol w:w="1100"/>
        <w:gridCol w:w="1290"/>
        <w:gridCol w:w="1732"/>
        <w:gridCol w:w="1100"/>
        <w:gridCol w:w="1097"/>
        <w:gridCol w:w="1097"/>
        <w:gridCol w:w="1100"/>
        <w:gridCol w:w="1100"/>
        <w:gridCol w:w="1098"/>
        <w:gridCol w:w="1101"/>
      </w:tblGrid>
      <w:tr w14:paraId="1BB0444D">
        <w:tblPrEx>
          <w:tblCellMar>
            <w:top w:w="0" w:type="dxa"/>
            <w:left w:w="108" w:type="dxa"/>
            <w:bottom w:w="0" w:type="dxa"/>
            <w:right w:w="108" w:type="dxa"/>
          </w:tblCellMar>
        </w:tblPrEx>
        <w:trPr>
          <w:trHeight w:val="890" w:hRule="atLeast"/>
        </w:trPr>
        <w:tc>
          <w:tcPr>
            <w:tcW w:w="344" w:type="pct"/>
            <w:tcBorders>
              <w:top w:val="single" w:color="auto" w:sz="4" w:space="0"/>
              <w:left w:val="single" w:color="auto" w:sz="4" w:space="0"/>
              <w:bottom w:val="single" w:color="auto" w:sz="4" w:space="0"/>
              <w:right w:val="single" w:color="auto" w:sz="4" w:space="0"/>
            </w:tcBorders>
            <w:shd w:val="clear" w:color="auto" w:fill="auto"/>
            <w:vAlign w:val="center"/>
          </w:tcPr>
          <w:p w14:paraId="4827563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序号</w:t>
            </w:r>
          </w:p>
        </w:tc>
        <w:tc>
          <w:tcPr>
            <w:tcW w:w="489" w:type="pct"/>
            <w:tcBorders>
              <w:top w:val="single" w:color="auto" w:sz="4" w:space="0"/>
              <w:left w:val="nil"/>
              <w:bottom w:val="single" w:color="auto" w:sz="4" w:space="0"/>
              <w:right w:val="single" w:color="auto" w:sz="4" w:space="0"/>
            </w:tcBorders>
            <w:shd w:val="clear" w:color="auto" w:fill="auto"/>
            <w:vAlign w:val="center"/>
          </w:tcPr>
          <w:p w14:paraId="2822CDE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水库名称</w:t>
            </w:r>
          </w:p>
        </w:tc>
        <w:tc>
          <w:tcPr>
            <w:tcW w:w="388" w:type="pct"/>
            <w:tcBorders>
              <w:top w:val="single" w:color="auto" w:sz="4" w:space="0"/>
              <w:left w:val="nil"/>
              <w:bottom w:val="single" w:color="auto" w:sz="4" w:space="0"/>
              <w:right w:val="single" w:color="auto" w:sz="4" w:space="0"/>
            </w:tcBorders>
            <w:shd w:val="clear" w:color="auto" w:fill="auto"/>
            <w:vAlign w:val="center"/>
          </w:tcPr>
          <w:p w14:paraId="5A41D58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类型</w:t>
            </w:r>
          </w:p>
        </w:tc>
        <w:tc>
          <w:tcPr>
            <w:tcW w:w="455" w:type="pct"/>
            <w:tcBorders>
              <w:top w:val="single" w:color="auto" w:sz="4" w:space="0"/>
              <w:left w:val="nil"/>
              <w:bottom w:val="single" w:color="auto" w:sz="4" w:space="0"/>
              <w:right w:val="single" w:color="auto" w:sz="4" w:space="0"/>
            </w:tcBorders>
            <w:shd w:val="clear" w:color="auto" w:fill="auto"/>
            <w:vAlign w:val="center"/>
          </w:tcPr>
          <w:p w14:paraId="2AAAA31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总库容（万m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611" w:type="pct"/>
            <w:tcBorders>
              <w:top w:val="single" w:color="auto" w:sz="4" w:space="0"/>
              <w:left w:val="nil"/>
              <w:bottom w:val="single" w:color="auto" w:sz="4" w:space="0"/>
              <w:right w:val="single" w:color="auto" w:sz="4" w:space="0"/>
            </w:tcBorders>
            <w:shd w:val="clear" w:color="auto" w:fill="auto"/>
            <w:vAlign w:val="center"/>
          </w:tcPr>
          <w:p w14:paraId="6F3FA8E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调洪库容（万m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388" w:type="pct"/>
            <w:tcBorders>
              <w:top w:val="single" w:color="auto" w:sz="4" w:space="0"/>
              <w:left w:val="nil"/>
              <w:bottom w:val="single" w:color="auto" w:sz="4" w:space="0"/>
              <w:right w:val="single" w:color="auto" w:sz="4" w:space="0"/>
            </w:tcBorders>
            <w:shd w:val="clear" w:color="auto" w:fill="auto"/>
            <w:vAlign w:val="center"/>
          </w:tcPr>
          <w:p w14:paraId="783EC5C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兴利库容（万m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387" w:type="pct"/>
            <w:tcBorders>
              <w:top w:val="single" w:color="auto" w:sz="4" w:space="0"/>
              <w:left w:val="nil"/>
              <w:bottom w:val="single" w:color="auto" w:sz="4" w:space="0"/>
              <w:right w:val="single" w:color="auto" w:sz="4" w:space="0"/>
            </w:tcBorders>
            <w:shd w:val="clear" w:color="auto" w:fill="auto"/>
            <w:vAlign w:val="center"/>
          </w:tcPr>
          <w:p w14:paraId="1B36883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死库容（万m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387" w:type="pct"/>
            <w:tcBorders>
              <w:top w:val="single" w:color="auto" w:sz="4" w:space="0"/>
              <w:left w:val="nil"/>
              <w:bottom w:val="single" w:color="auto" w:sz="4" w:space="0"/>
              <w:right w:val="single" w:color="auto" w:sz="4" w:space="0"/>
            </w:tcBorders>
            <w:shd w:val="clear" w:color="auto" w:fill="auto"/>
            <w:vAlign w:val="center"/>
          </w:tcPr>
          <w:p w14:paraId="1614518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坝型</w:t>
            </w:r>
          </w:p>
        </w:tc>
        <w:tc>
          <w:tcPr>
            <w:tcW w:w="388" w:type="pct"/>
            <w:tcBorders>
              <w:top w:val="single" w:color="auto" w:sz="4" w:space="0"/>
              <w:left w:val="nil"/>
              <w:bottom w:val="single" w:color="auto" w:sz="4" w:space="0"/>
              <w:right w:val="single" w:color="auto" w:sz="4" w:space="0"/>
            </w:tcBorders>
            <w:shd w:val="clear" w:color="auto" w:fill="auto"/>
            <w:vAlign w:val="center"/>
          </w:tcPr>
          <w:p w14:paraId="2487FCE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最大坝高（m）</w:t>
            </w:r>
          </w:p>
        </w:tc>
        <w:tc>
          <w:tcPr>
            <w:tcW w:w="388" w:type="pct"/>
            <w:tcBorders>
              <w:top w:val="single" w:color="auto" w:sz="4" w:space="0"/>
              <w:left w:val="nil"/>
              <w:bottom w:val="single" w:color="auto" w:sz="4" w:space="0"/>
              <w:right w:val="single" w:color="auto" w:sz="4" w:space="0"/>
            </w:tcBorders>
            <w:shd w:val="clear" w:color="auto" w:fill="auto"/>
            <w:vAlign w:val="center"/>
          </w:tcPr>
          <w:p w14:paraId="0FFD525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坝长（m）</w:t>
            </w:r>
          </w:p>
        </w:tc>
        <w:tc>
          <w:tcPr>
            <w:tcW w:w="387" w:type="pct"/>
            <w:tcBorders>
              <w:top w:val="single" w:color="auto" w:sz="4" w:space="0"/>
              <w:left w:val="nil"/>
              <w:bottom w:val="single" w:color="auto" w:sz="4" w:space="0"/>
              <w:right w:val="single" w:color="auto" w:sz="4" w:space="0"/>
            </w:tcBorders>
            <w:shd w:val="clear" w:color="auto" w:fill="auto"/>
            <w:vAlign w:val="center"/>
          </w:tcPr>
          <w:p w14:paraId="044C2D6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控制灌溉面积（万亩）</w:t>
            </w:r>
          </w:p>
        </w:tc>
        <w:tc>
          <w:tcPr>
            <w:tcW w:w="388" w:type="pct"/>
            <w:tcBorders>
              <w:top w:val="single" w:color="auto" w:sz="4" w:space="0"/>
              <w:left w:val="nil"/>
              <w:bottom w:val="single" w:color="auto" w:sz="4" w:space="0"/>
              <w:right w:val="single" w:color="auto" w:sz="4" w:space="0"/>
            </w:tcBorders>
            <w:shd w:val="clear" w:color="auto" w:fill="auto"/>
            <w:vAlign w:val="center"/>
          </w:tcPr>
          <w:p w14:paraId="79763D1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输水洞最大流量（m</w:t>
            </w:r>
            <w:r>
              <w:rPr>
                <w:rFonts w:hint="eastAsia" w:ascii="仿宋_GB2312" w:hAnsi="等线"/>
                <w:color w:val="000000"/>
                <w:sz w:val="21"/>
                <w:szCs w:val="21"/>
                <w:vertAlign w:val="superscript"/>
              </w:rPr>
              <w:t>3</w:t>
            </w:r>
            <w:r>
              <w:rPr>
                <w:rFonts w:hint="eastAsia" w:ascii="仿宋_GB2312" w:hAnsi="等线"/>
                <w:color w:val="000000"/>
                <w:sz w:val="21"/>
                <w:szCs w:val="21"/>
              </w:rPr>
              <w:t>/s）</w:t>
            </w:r>
          </w:p>
        </w:tc>
      </w:tr>
      <w:tr w14:paraId="5ABB5C2E">
        <w:tblPrEx>
          <w:tblCellMar>
            <w:top w:w="0" w:type="dxa"/>
            <w:left w:w="108" w:type="dxa"/>
            <w:bottom w:w="0" w:type="dxa"/>
            <w:right w:w="108" w:type="dxa"/>
          </w:tblCellMar>
        </w:tblPrEx>
        <w:trPr>
          <w:trHeight w:val="56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5439052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w:t>
            </w:r>
          </w:p>
        </w:tc>
        <w:tc>
          <w:tcPr>
            <w:tcW w:w="489" w:type="pct"/>
            <w:tcBorders>
              <w:top w:val="nil"/>
              <w:left w:val="nil"/>
              <w:bottom w:val="single" w:color="auto" w:sz="4" w:space="0"/>
              <w:right w:val="single" w:color="auto" w:sz="4" w:space="0"/>
            </w:tcBorders>
            <w:shd w:val="clear" w:color="auto" w:fill="auto"/>
            <w:vAlign w:val="center"/>
          </w:tcPr>
          <w:p w14:paraId="2A87987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白杨河水库</w:t>
            </w:r>
          </w:p>
        </w:tc>
        <w:tc>
          <w:tcPr>
            <w:tcW w:w="388" w:type="pct"/>
            <w:tcBorders>
              <w:top w:val="nil"/>
              <w:left w:val="nil"/>
              <w:bottom w:val="single" w:color="auto" w:sz="4" w:space="0"/>
              <w:right w:val="single" w:color="auto" w:sz="4" w:space="0"/>
            </w:tcBorders>
            <w:shd w:val="clear" w:color="auto" w:fill="auto"/>
            <w:vAlign w:val="center"/>
          </w:tcPr>
          <w:p w14:paraId="2EEFD06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中型</w:t>
            </w:r>
          </w:p>
        </w:tc>
        <w:tc>
          <w:tcPr>
            <w:tcW w:w="455" w:type="pct"/>
            <w:tcBorders>
              <w:top w:val="nil"/>
              <w:left w:val="nil"/>
              <w:bottom w:val="single" w:color="auto" w:sz="4" w:space="0"/>
              <w:right w:val="single" w:color="auto" w:sz="4" w:space="0"/>
            </w:tcBorders>
            <w:shd w:val="clear" w:color="auto" w:fill="auto"/>
            <w:vAlign w:val="center"/>
          </w:tcPr>
          <w:p w14:paraId="411B302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1270.6</w:t>
            </w:r>
          </w:p>
        </w:tc>
        <w:tc>
          <w:tcPr>
            <w:tcW w:w="611" w:type="pct"/>
            <w:tcBorders>
              <w:top w:val="nil"/>
              <w:left w:val="nil"/>
              <w:bottom w:val="single" w:color="auto" w:sz="4" w:space="0"/>
              <w:right w:val="single" w:color="auto" w:sz="4" w:space="0"/>
            </w:tcBorders>
            <w:shd w:val="clear" w:color="auto" w:fill="auto"/>
            <w:vAlign w:val="center"/>
          </w:tcPr>
          <w:p w14:paraId="4B13F4A1">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1112</w:t>
            </w:r>
          </w:p>
        </w:tc>
        <w:tc>
          <w:tcPr>
            <w:tcW w:w="388" w:type="pct"/>
            <w:tcBorders>
              <w:top w:val="nil"/>
              <w:left w:val="nil"/>
              <w:bottom w:val="single" w:color="auto" w:sz="4" w:space="0"/>
              <w:right w:val="single" w:color="auto" w:sz="4" w:space="0"/>
            </w:tcBorders>
            <w:shd w:val="clear" w:color="auto" w:fill="auto"/>
            <w:vAlign w:val="center"/>
          </w:tcPr>
          <w:p w14:paraId="579CACD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1111.9</w:t>
            </w:r>
          </w:p>
        </w:tc>
        <w:tc>
          <w:tcPr>
            <w:tcW w:w="387" w:type="pct"/>
            <w:tcBorders>
              <w:top w:val="nil"/>
              <w:left w:val="nil"/>
              <w:bottom w:val="single" w:color="auto" w:sz="4" w:space="0"/>
              <w:right w:val="single" w:color="auto" w:sz="4" w:space="0"/>
            </w:tcBorders>
            <w:shd w:val="clear" w:color="auto" w:fill="auto"/>
            <w:vAlign w:val="center"/>
          </w:tcPr>
          <w:p w14:paraId="30A0751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86.8</w:t>
            </w:r>
          </w:p>
        </w:tc>
        <w:tc>
          <w:tcPr>
            <w:tcW w:w="387" w:type="pct"/>
            <w:tcBorders>
              <w:top w:val="nil"/>
              <w:left w:val="nil"/>
              <w:bottom w:val="single" w:color="auto" w:sz="4" w:space="0"/>
              <w:right w:val="single" w:color="auto" w:sz="4" w:space="0"/>
            </w:tcBorders>
            <w:shd w:val="clear" w:color="auto" w:fill="auto"/>
            <w:vAlign w:val="center"/>
          </w:tcPr>
          <w:p w14:paraId="16B91F9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粘土心墙</w:t>
            </w:r>
          </w:p>
        </w:tc>
        <w:tc>
          <w:tcPr>
            <w:tcW w:w="388" w:type="pct"/>
            <w:tcBorders>
              <w:top w:val="nil"/>
              <w:left w:val="nil"/>
              <w:bottom w:val="single" w:color="auto" w:sz="4" w:space="0"/>
              <w:right w:val="single" w:color="auto" w:sz="4" w:space="0"/>
            </w:tcBorders>
            <w:shd w:val="clear" w:color="auto" w:fill="auto"/>
            <w:vAlign w:val="center"/>
          </w:tcPr>
          <w:p w14:paraId="56FEBA9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70.5</w:t>
            </w:r>
          </w:p>
        </w:tc>
        <w:tc>
          <w:tcPr>
            <w:tcW w:w="388" w:type="pct"/>
            <w:tcBorders>
              <w:top w:val="nil"/>
              <w:left w:val="nil"/>
              <w:bottom w:val="single" w:color="auto" w:sz="4" w:space="0"/>
              <w:right w:val="single" w:color="auto" w:sz="4" w:space="0"/>
            </w:tcBorders>
            <w:shd w:val="clear" w:color="auto" w:fill="auto"/>
            <w:vAlign w:val="center"/>
          </w:tcPr>
          <w:p w14:paraId="054892D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729.5</w:t>
            </w:r>
          </w:p>
        </w:tc>
        <w:tc>
          <w:tcPr>
            <w:tcW w:w="387" w:type="pct"/>
            <w:tcBorders>
              <w:top w:val="nil"/>
              <w:left w:val="nil"/>
              <w:bottom w:val="single" w:color="auto" w:sz="4" w:space="0"/>
              <w:right w:val="single" w:color="auto" w:sz="4" w:space="0"/>
            </w:tcBorders>
            <w:shd w:val="clear" w:color="auto" w:fill="auto"/>
            <w:vAlign w:val="center"/>
          </w:tcPr>
          <w:p w14:paraId="4C36EC9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15.49</w:t>
            </w:r>
          </w:p>
        </w:tc>
        <w:tc>
          <w:tcPr>
            <w:tcW w:w="388" w:type="pct"/>
            <w:tcBorders>
              <w:top w:val="nil"/>
              <w:left w:val="nil"/>
              <w:bottom w:val="single" w:color="auto" w:sz="4" w:space="0"/>
              <w:right w:val="single" w:color="auto" w:sz="4" w:space="0"/>
            </w:tcBorders>
            <w:shd w:val="clear" w:color="auto" w:fill="auto"/>
            <w:vAlign w:val="center"/>
          </w:tcPr>
          <w:p w14:paraId="72205C6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76.52</w:t>
            </w:r>
          </w:p>
        </w:tc>
      </w:tr>
      <w:tr w14:paraId="65BA699E">
        <w:tblPrEx>
          <w:tblCellMar>
            <w:top w:w="0" w:type="dxa"/>
            <w:left w:w="108" w:type="dxa"/>
            <w:bottom w:w="0" w:type="dxa"/>
            <w:right w:w="108" w:type="dxa"/>
          </w:tblCellMar>
        </w:tblPrEx>
        <w:trPr>
          <w:trHeight w:val="66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60CC37A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w:t>
            </w:r>
          </w:p>
        </w:tc>
        <w:tc>
          <w:tcPr>
            <w:tcW w:w="489" w:type="pct"/>
            <w:tcBorders>
              <w:top w:val="nil"/>
              <w:left w:val="nil"/>
              <w:bottom w:val="single" w:color="auto" w:sz="4" w:space="0"/>
              <w:right w:val="single" w:color="auto" w:sz="4" w:space="0"/>
            </w:tcBorders>
            <w:shd w:val="clear" w:color="auto" w:fill="auto"/>
            <w:vAlign w:val="center"/>
          </w:tcPr>
          <w:p w14:paraId="15803E4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红山水库</w:t>
            </w:r>
          </w:p>
        </w:tc>
        <w:tc>
          <w:tcPr>
            <w:tcW w:w="388" w:type="pct"/>
            <w:tcBorders>
              <w:top w:val="nil"/>
              <w:left w:val="nil"/>
              <w:bottom w:val="single" w:color="auto" w:sz="4" w:space="0"/>
              <w:right w:val="single" w:color="auto" w:sz="4" w:space="0"/>
            </w:tcBorders>
            <w:shd w:val="clear" w:color="auto" w:fill="auto"/>
            <w:vAlign w:val="center"/>
          </w:tcPr>
          <w:p w14:paraId="73E1717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455" w:type="pct"/>
            <w:tcBorders>
              <w:top w:val="nil"/>
              <w:left w:val="nil"/>
              <w:bottom w:val="single" w:color="auto" w:sz="4" w:space="0"/>
              <w:right w:val="single" w:color="auto" w:sz="4" w:space="0"/>
            </w:tcBorders>
            <w:shd w:val="clear" w:color="auto" w:fill="auto"/>
            <w:vAlign w:val="center"/>
          </w:tcPr>
          <w:p w14:paraId="2ACA0BD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vertAlign w:val="subscript"/>
              </w:rPr>
              <w:t>375.56</w:t>
            </w:r>
          </w:p>
        </w:tc>
        <w:tc>
          <w:tcPr>
            <w:tcW w:w="611" w:type="pct"/>
            <w:tcBorders>
              <w:top w:val="nil"/>
              <w:left w:val="nil"/>
              <w:bottom w:val="single" w:color="auto" w:sz="4" w:space="0"/>
              <w:right w:val="single" w:color="auto" w:sz="4" w:space="0"/>
            </w:tcBorders>
            <w:shd w:val="clear" w:color="auto" w:fill="auto"/>
            <w:vAlign w:val="center"/>
          </w:tcPr>
          <w:p w14:paraId="2435007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144</w:t>
            </w:r>
          </w:p>
        </w:tc>
        <w:tc>
          <w:tcPr>
            <w:tcW w:w="388" w:type="pct"/>
            <w:tcBorders>
              <w:top w:val="nil"/>
              <w:left w:val="nil"/>
              <w:bottom w:val="single" w:color="auto" w:sz="4" w:space="0"/>
              <w:right w:val="single" w:color="auto" w:sz="4" w:space="0"/>
            </w:tcBorders>
            <w:shd w:val="clear" w:color="auto" w:fill="auto"/>
            <w:vAlign w:val="center"/>
          </w:tcPr>
          <w:p w14:paraId="205F820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226.64</w:t>
            </w:r>
          </w:p>
        </w:tc>
        <w:tc>
          <w:tcPr>
            <w:tcW w:w="387" w:type="pct"/>
            <w:tcBorders>
              <w:top w:val="nil"/>
              <w:left w:val="nil"/>
              <w:bottom w:val="single" w:color="auto" w:sz="4" w:space="0"/>
              <w:right w:val="single" w:color="auto" w:sz="4" w:space="0"/>
            </w:tcBorders>
            <w:shd w:val="clear" w:color="auto" w:fill="auto"/>
            <w:vAlign w:val="center"/>
          </w:tcPr>
          <w:p w14:paraId="0B0C84F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4.86</w:t>
            </w:r>
          </w:p>
        </w:tc>
        <w:tc>
          <w:tcPr>
            <w:tcW w:w="387" w:type="pct"/>
            <w:tcBorders>
              <w:top w:val="nil"/>
              <w:left w:val="nil"/>
              <w:bottom w:val="single" w:color="auto" w:sz="4" w:space="0"/>
              <w:right w:val="single" w:color="auto" w:sz="4" w:space="0"/>
            </w:tcBorders>
            <w:shd w:val="clear" w:color="auto" w:fill="auto"/>
            <w:vAlign w:val="center"/>
          </w:tcPr>
          <w:p w14:paraId="7A54B3B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粘土心墙砂壳</w:t>
            </w:r>
          </w:p>
        </w:tc>
        <w:tc>
          <w:tcPr>
            <w:tcW w:w="388" w:type="pct"/>
            <w:tcBorders>
              <w:top w:val="nil"/>
              <w:left w:val="nil"/>
              <w:bottom w:val="single" w:color="auto" w:sz="4" w:space="0"/>
              <w:right w:val="single" w:color="auto" w:sz="4" w:space="0"/>
            </w:tcBorders>
            <w:shd w:val="clear" w:color="auto" w:fill="auto"/>
            <w:vAlign w:val="center"/>
          </w:tcPr>
          <w:p w14:paraId="1E7F6D1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32</w:t>
            </w:r>
          </w:p>
        </w:tc>
        <w:tc>
          <w:tcPr>
            <w:tcW w:w="388" w:type="pct"/>
            <w:tcBorders>
              <w:top w:val="nil"/>
              <w:left w:val="nil"/>
              <w:bottom w:val="single" w:color="auto" w:sz="4" w:space="0"/>
              <w:right w:val="single" w:color="auto" w:sz="4" w:space="0"/>
            </w:tcBorders>
            <w:shd w:val="clear" w:color="auto" w:fill="auto"/>
            <w:vAlign w:val="center"/>
          </w:tcPr>
          <w:p w14:paraId="1988DDB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506</w:t>
            </w:r>
          </w:p>
        </w:tc>
        <w:tc>
          <w:tcPr>
            <w:tcW w:w="387" w:type="pct"/>
            <w:tcBorders>
              <w:top w:val="nil"/>
              <w:left w:val="nil"/>
              <w:bottom w:val="single" w:color="auto" w:sz="4" w:space="0"/>
              <w:right w:val="single" w:color="auto" w:sz="4" w:space="0"/>
            </w:tcBorders>
            <w:shd w:val="clear" w:color="auto" w:fill="auto"/>
            <w:vAlign w:val="center"/>
          </w:tcPr>
          <w:p w14:paraId="32AE0DC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2.09</w:t>
            </w:r>
          </w:p>
        </w:tc>
        <w:tc>
          <w:tcPr>
            <w:tcW w:w="388" w:type="pct"/>
            <w:tcBorders>
              <w:top w:val="nil"/>
              <w:left w:val="nil"/>
              <w:bottom w:val="single" w:color="auto" w:sz="4" w:space="0"/>
              <w:right w:val="single" w:color="auto" w:sz="4" w:space="0"/>
            </w:tcBorders>
            <w:shd w:val="clear" w:color="auto" w:fill="auto"/>
            <w:vAlign w:val="center"/>
          </w:tcPr>
          <w:p w14:paraId="5A530E1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13</w:t>
            </w:r>
          </w:p>
        </w:tc>
      </w:tr>
      <w:tr w14:paraId="291C5B0E">
        <w:tblPrEx>
          <w:tblCellMar>
            <w:top w:w="0" w:type="dxa"/>
            <w:left w:w="108" w:type="dxa"/>
            <w:bottom w:w="0" w:type="dxa"/>
            <w:right w:w="108" w:type="dxa"/>
          </w:tblCellMar>
        </w:tblPrEx>
        <w:trPr>
          <w:trHeight w:val="24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3B72B9A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w:t>
            </w:r>
          </w:p>
        </w:tc>
        <w:tc>
          <w:tcPr>
            <w:tcW w:w="489" w:type="pct"/>
            <w:tcBorders>
              <w:top w:val="nil"/>
              <w:left w:val="nil"/>
              <w:bottom w:val="single" w:color="auto" w:sz="4" w:space="0"/>
              <w:right w:val="single" w:color="auto" w:sz="4" w:space="0"/>
            </w:tcBorders>
            <w:shd w:val="clear" w:color="auto" w:fill="auto"/>
            <w:vAlign w:val="center"/>
          </w:tcPr>
          <w:p w14:paraId="3B48FAA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红星水库</w:t>
            </w:r>
          </w:p>
        </w:tc>
        <w:tc>
          <w:tcPr>
            <w:tcW w:w="388" w:type="pct"/>
            <w:tcBorders>
              <w:top w:val="nil"/>
              <w:left w:val="nil"/>
              <w:bottom w:val="single" w:color="auto" w:sz="4" w:space="0"/>
              <w:right w:val="single" w:color="auto" w:sz="4" w:space="0"/>
            </w:tcBorders>
            <w:shd w:val="clear" w:color="auto" w:fill="auto"/>
            <w:vAlign w:val="center"/>
          </w:tcPr>
          <w:p w14:paraId="79C5DC3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455" w:type="pct"/>
            <w:tcBorders>
              <w:top w:val="nil"/>
              <w:left w:val="nil"/>
              <w:bottom w:val="single" w:color="auto" w:sz="4" w:space="0"/>
              <w:right w:val="single" w:color="auto" w:sz="4" w:space="0"/>
            </w:tcBorders>
            <w:shd w:val="clear" w:color="auto" w:fill="auto"/>
            <w:vAlign w:val="center"/>
          </w:tcPr>
          <w:p w14:paraId="369D551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100</w:t>
            </w:r>
          </w:p>
        </w:tc>
        <w:tc>
          <w:tcPr>
            <w:tcW w:w="611" w:type="pct"/>
            <w:tcBorders>
              <w:top w:val="nil"/>
              <w:left w:val="nil"/>
              <w:bottom w:val="single" w:color="auto" w:sz="4" w:space="0"/>
              <w:right w:val="single" w:color="auto" w:sz="4" w:space="0"/>
            </w:tcBorders>
            <w:shd w:val="clear" w:color="auto" w:fill="auto"/>
            <w:vAlign w:val="center"/>
          </w:tcPr>
          <w:p w14:paraId="4CD60EA0">
            <w:pPr>
              <w:adjustRightInd w:val="0"/>
              <w:snapToGrid w:val="0"/>
              <w:spacing w:line="240" w:lineRule="auto"/>
              <w:ind w:firstLine="0" w:firstLineChars="0"/>
              <w:jc w:val="center"/>
              <w:rPr>
                <w:rFonts w:hint="eastAsia" w:ascii="仿宋_GB2312" w:hAnsi="等线"/>
                <w:color w:val="000000"/>
                <w:sz w:val="21"/>
                <w:szCs w:val="21"/>
              </w:rPr>
            </w:pPr>
          </w:p>
        </w:tc>
        <w:tc>
          <w:tcPr>
            <w:tcW w:w="388" w:type="pct"/>
            <w:tcBorders>
              <w:top w:val="nil"/>
              <w:left w:val="nil"/>
              <w:bottom w:val="single" w:color="auto" w:sz="4" w:space="0"/>
              <w:right w:val="single" w:color="auto" w:sz="4" w:space="0"/>
            </w:tcBorders>
            <w:shd w:val="clear" w:color="auto" w:fill="auto"/>
            <w:vAlign w:val="center"/>
          </w:tcPr>
          <w:p w14:paraId="4AFBDD9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92.5</w:t>
            </w:r>
          </w:p>
        </w:tc>
        <w:tc>
          <w:tcPr>
            <w:tcW w:w="387" w:type="pct"/>
            <w:tcBorders>
              <w:top w:val="nil"/>
              <w:left w:val="nil"/>
              <w:bottom w:val="single" w:color="auto" w:sz="4" w:space="0"/>
              <w:right w:val="single" w:color="auto" w:sz="4" w:space="0"/>
            </w:tcBorders>
            <w:shd w:val="clear" w:color="auto" w:fill="auto"/>
            <w:vAlign w:val="center"/>
          </w:tcPr>
          <w:p w14:paraId="3B712FB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7.5</w:t>
            </w:r>
          </w:p>
        </w:tc>
        <w:tc>
          <w:tcPr>
            <w:tcW w:w="387" w:type="pct"/>
            <w:tcBorders>
              <w:top w:val="nil"/>
              <w:left w:val="nil"/>
              <w:bottom w:val="single" w:color="auto" w:sz="4" w:space="0"/>
              <w:right w:val="single" w:color="auto" w:sz="4" w:space="0"/>
            </w:tcBorders>
            <w:shd w:val="clear" w:color="auto" w:fill="auto"/>
            <w:vAlign w:val="center"/>
          </w:tcPr>
          <w:p w14:paraId="00415AD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8" w:type="pct"/>
            <w:tcBorders>
              <w:top w:val="nil"/>
              <w:left w:val="nil"/>
              <w:bottom w:val="single" w:color="auto" w:sz="4" w:space="0"/>
              <w:right w:val="single" w:color="auto" w:sz="4" w:space="0"/>
            </w:tcBorders>
            <w:shd w:val="clear" w:color="auto" w:fill="auto"/>
            <w:vAlign w:val="center"/>
          </w:tcPr>
          <w:p w14:paraId="664713F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13.6</w:t>
            </w:r>
          </w:p>
        </w:tc>
        <w:tc>
          <w:tcPr>
            <w:tcW w:w="388" w:type="pct"/>
            <w:tcBorders>
              <w:top w:val="nil"/>
              <w:left w:val="nil"/>
              <w:bottom w:val="single" w:color="auto" w:sz="4" w:space="0"/>
              <w:right w:val="single" w:color="auto" w:sz="4" w:space="0"/>
            </w:tcBorders>
            <w:shd w:val="clear" w:color="auto" w:fill="auto"/>
            <w:vAlign w:val="center"/>
          </w:tcPr>
          <w:p w14:paraId="4FD5E27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1727</w:t>
            </w:r>
          </w:p>
        </w:tc>
        <w:tc>
          <w:tcPr>
            <w:tcW w:w="387" w:type="pct"/>
            <w:tcBorders>
              <w:top w:val="nil"/>
              <w:left w:val="nil"/>
              <w:bottom w:val="single" w:color="auto" w:sz="4" w:space="0"/>
              <w:right w:val="single" w:color="auto" w:sz="4" w:space="0"/>
            </w:tcBorders>
            <w:shd w:val="clear" w:color="auto" w:fill="auto"/>
            <w:vAlign w:val="center"/>
          </w:tcPr>
          <w:p w14:paraId="5B5DE17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工业</w:t>
            </w:r>
          </w:p>
        </w:tc>
        <w:tc>
          <w:tcPr>
            <w:tcW w:w="388" w:type="pct"/>
            <w:tcBorders>
              <w:top w:val="nil"/>
              <w:left w:val="nil"/>
              <w:bottom w:val="single" w:color="auto" w:sz="4" w:space="0"/>
              <w:right w:val="single" w:color="auto" w:sz="4" w:space="0"/>
            </w:tcBorders>
            <w:shd w:val="clear" w:color="auto" w:fill="auto"/>
            <w:vAlign w:val="center"/>
          </w:tcPr>
          <w:p w14:paraId="3BA09F0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w:t>
            </w:r>
          </w:p>
        </w:tc>
      </w:tr>
      <w:tr w14:paraId="68A9C456">
        <w:tblPrEx>
          <w:tblCellMar>
            <w:top w:w="0" w:type="dxa"/>
            <w:left w:w="108" w:type="dxa"/>
            <w:bottom w:w="0" w:type="dxa"/>
            <w:right w:w="108" w:type="dxa"/>
          </w:tblCellMar>
        </w:tblPrEx>
        <w:trPr>
          <w:trHeight w:val="56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3FDDF6B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w:t>
            </w:r>
          </w:p>
        </w:tc>
        <w:tc>
          <w:tcPr>
            <w:tcW w:w="489" w:type="pct"/>
            <w:tcBorders>
              <w:top w:val="nil"/>
              <w:left w:val="nil"/>
              <w:bottom w:val="single" w:color="auto" w:sz="4" w:space="0"/>
              <w:right w:val="single" w:color="auto" w:sz="4" w:space="0"/>
            </w:tcBorders>
            <w:shd w:val="clear" w:color="auto" w:fill="auto"/>
            <w:vAlign w:val="center"/>
          </w:tcPr>
          <w:p w14:paraId="414D862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黄土梁水库</w:t>
            </w:r>
          </w:p>
        </w:tc>
        <w:tc>
          <w:tcPr>
            <w:tcW w:w="388" w:type="pct"/>
            <w:tcBorders>
              <w:top w:val="nil"/>
              <w:left w:val="nil"/>
              <w:bottom w:val="single" w:color="auto" w:sz="4" w:space="0"/>
              <w:right w:val="single" w:color="auto" w:sz="4" w:space="0"/>
            </w:tcBorders>
            <w:shd w:val="clear" w:color="auto" w:fill="auto"/>
            <w:vAlign w:val="center"/>
          </w:tcPr>
          <w:p w14:paraId="5620FD5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455" w:type="pct"/>
            <w:tcBorders>
              <w:top w:val="nil"/>
              <w:left w:val="nil"/>
              <w:bottom w:val="single" w:color="auto" w:sz="4" w:space="0"/>
              <w:right w:val="single" w:color="auto" w:sz="4" w:space="0"/>
            </w:tcBorders>
            <w:shd w:val="clear" w:color="auto" w:fill="auto"/>
            <w:vAlign w:val="center"/>
          </w:tcPr>
          <w:p w14:paraId="4AA46ED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310</w:t>
            </w:r>
          </w:p>
        </w:tc>
        <w:tc>
          <w:tcPr>
            <w:tcW w:w="611" w:type="pct"/>
            <w:tcBorders>
              <w:top w:val="nil"/>
              <w:left w:val="nil"/>
              <w:bottom w:val="single" w:color="auto" w:sz="4" w:space="0"/>
              <w:right w:val="single" w:color="auto" w:sz="4" w:space="0"/>
            </w:tcBorders>
            <w:shd w:val="clear" w:color="auto" w:fill="auto"/>
            <w:vAlign w:val="center"/>
          </w:tcPr>
          <w:p w14:paraId="213C0AD7">
            <w:pPr>
              <w:adjustRightInd w:val="0"/>
              <w:snapToGrid w:val="0"/>
              <w:spacing w:line="240" w:lineRule="auto"/>
              <w:ind w:firstLine="0" w:firstLineChars="0"/>
              <w:jc w:val="center"/>
              <w:rPr>
                <w:rFonts w:hint="eastAsia" w:ascii="仿宋_GB2312" w:hAnsi="等线"/>
                <w:color w:val="000000"/>
                <w:sz w:val="21"/>
                <w:szCs w:val="21"/>
              </w:rPr>
            </w:pPr>
          </w:p>
        </w:tc>
        <w:tc>
          <w:tcPr>
            <w:tcW w:w="388" w:type="pct"/>
            <w:tcBorders>
              <w:top w:val="nil"/>
              <w:left w:val="nil"/>
              <w:bottom w:val="single" w:color="auto" w:sz="4" w:space="0"/>
              <w:right w:val="single" w:color="auto" w:sz="4" w:space="0"/>
            </w:tcBorders>
            <w:shd w:val="clear" w:color="auto" w:fill="auto"/>
            <w:vAlign w:val="center"/>
          </w:tcPr>
          <w:p w14:paraId="1778957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284</w:t>
            </w:r>
          </w:p>
        </w:tc>
        <w:tc>
          <w:tcPr>
            <w:tcW w:w="387" w:type="pct"/>
            <w:tcBorders>
              <w:top w:val="nil"/>
              <w:left w:val="nil"/>
              <w:bottom w:val="single" w:color="auto" w:sz="4" w:space="0"/>
              <w:right w:val="single" w:color="auto" w:sz="4" w:space="0"/>
            </w:tcBorders>
            <w:shd w:val="clear" w:color="auto" w:fill="auto"/>
            <w:vAlign w:val="center"/>
          </w:tcPr>
          <w:p w14:paraId="080A313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26</w:t>
            </w:r>
          </w:p>
        </w:tc>
        <w:tc>
          <w:tcPr>
            <w:tcW w:w="387" w:type="pct"/>
            <w:tcBorders>
              <w:top w:val="nil"/>
              <w:left w:val="nil"/>
              <w:bottom w:val="single" w:color="auto" w:sz="4" w:space="0"/>
              <w:right w:val="single" w:color="auto" w:sz="4" w:space="0"/>
            </w:tcBorders>
            <w:shd w:val="clear" w:color="auto" w:fill="auto"/>
            <w:vAlign w:val="center"/>
          </w:tcPr>
          <w:p w14:paraId="0A0F266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8" w:type="pct"/>
            <w:tcBorders>
              <w:top w:val="nil"/>
              <w:left w:val="nil"/>
              <w:bottom w:val="single" w:color="auto" w:sz="4" w:space="0"/>
              <w:right w:val="single" w:color="auto" w:sz="4" w:space="0"/>
            </w:tcBorders>
            <w:shd w:val="clear" w:color="auto" w:fill="auto"/>
            <w:vAlign w:val="center"/>
          </w:tcPr>
          <w:p w14:paraId="02404CC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7.5</w:t>
            </w:r>
          </w:p>
        </w:tc>
        <w:tc>
          <w:tcPr>
            <w:tcW w:w="388" w:type="pct"/>
            <w:tcBorders>
              <w:top w:val="nil"/>
              <w:left w:val="nil"/>
              <w:bottom w:val="single" w:color="auto" w:sz="4" w:space="0"/>
              <w:right w:val="single" w:color="auto" w:sz="4" w:space="0"/>
            </w:tcBorders>
            <w:shd w:val="clear" w:color="auto" w:fill="auto"/>
            <w:vAlign w:val="center"/>
          </w:tcPr>
          <w:p w14:paraId="77CF2E1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3790</w:t>
            </w:r>
          </w:p>
        </w:tc>
        <w:tc>
          <w:tcPr>
            <w:tcW w:w="387" w:type="pct"/>
            <w:tcBorders>
              <w:top w:val="nil"/>
              <w:left w:val="nil"/>
              <w:bottom w:val="single" w:color="auto" w:sz="4" w:space="0"/>
              <w:right w:val="single" w:color="auto" w:sz="4" w:space="0"/>
            </w:tcBorders>
            <w:shd w:val="clear" w:color="auto" w:fill="auto"/>
            <w:vAlign w:val="center"/>
          </w:tcPr>
          <w:p w14:paraId="6227E51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1.8</w:t>
            </w:r>
          </w:p>
        </w:tc>
        <w:tc>
          <w:tcPr>
            <w:tcW w:w="388" w:type="pct"/>
            <w:tcBorders>
              <w:top w:val="nil"/>
              <w:left w:val="nil"/>
              <w:bottom w:val="single" w:color="auto" w:sz="4" w:space="0"/>
              <w:right w:val="single" w:color="auto" w:sz="4" w:space="0"/>
            </w:tcBorders>
            <w:shd w:val="clear" w:color="auto" w:fill="auto"/>
            <w:vAlign w:val="center"/>
          </w:tcPr>
          <w:p w14:paraId="2F8DD30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1.2</w:t>
            </w:r>
          </w:p>
        </w:tc>
      </w:tr>
      <w:tr w14:paraId="4CE7AAD8">
        <w:tblPrEx>
          <w:tblCellMar>
            <w:top w:w="0" w:type="dxa"/>
            <w:left w:w="108" w:type="dxa"/>
            <w:bottom w:w="0" w:type="dxa"/>
            <w:right w:w="108" w:type="dxa"/>
          </w:tblCellMar>
        </w:tblPrEx>
        <w:trPr>
          <w:trHeight w:val="56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53DDFAA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w:t>
            </w:r>
          </w:p>
        </w:tc>
        <w:tc>
          <w:tcPr>
            <w:tcW w:w="489" w:type="pct"/>
            <w:tcBorders>
              <w:top w:val="nil"/>
              <w:left w:val="nil"/>
              <w:bottom w:val="single" w:color="auto" w:sz="4" w:space="0"/>
              <w:right w:val="single" w:color="auto" w:sz="4" w:space="0"/>
            </w:tcBorders>
            <w:shd w:val="clear" w:color="auto" w:fill="auto"/>
            <w:vAlign w:val="center"/>
          </w:tcPr>
          <w:p w14:paraId="05E673C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三工草原水库</w:t>
            </w:r>
          </w:p>
        </w:tc>
        <w:tc>
          <w:tcPr>
            <w:tcW w:w="388" w:type="pct"/>
            <w:tcBorders>
              <w:top w:val="nil"/>
              <w:left w:val="nil"/>
              <w:bottom w:val="single" w:color="auto" w:sz="4" w:space="0"/>
              <w:right w:val="single" w:color="auto" w:sz="4" w:space="0"/>
            </w:tcBorders>
            <w:shd w:val="clear" w:color="auto" w:fill="auto"/>
            <w:vAlign w:val="center"/>
          </w:tcPr>
          <w:p w14:paraId="74F3495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455" w:type="pct"/>
            <w:tcBorders>
              <w:top w:val="nil"/>
              <w:left w:val="nil"/>
              <w:bottom w:val="single" w:color="auto" w:sz="4" w:space="0"/>
              <w:right w:val="single" w:color="auto" w:sz="4" w:space="0"/>
            </w:tcBorders>
            <w:shd w:val="clear" w:color="auto" w:fill="auto"/>
            <w:vAlign w:val="center"/>
          </w:tcPr>
          <w:p w14:paraId="345272F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421.4</w:t>
            </w:r>
          </w:p>
        </w:tc>
        <w:tc>
          <w:tcPr>
            <w:tcW w:w="611" w:type="pct"/>
            <w:tcBorders>
              <w:top w:val="nil"/>
              <w:left w:val="nil"/>
              <w:bottom w:val="single" w:color="auto" w:sz="4" w:space="0"/>
              <w:right w:val="single" w:color="auto" w:sz="4" w:space="0"/>
            </w:tcBorders>
            <w:shd w:val="clear" w:color="auto" w:fill="auto"/>
            <w:vAlign w:val="center"/>
          </w:tcPr>
          <w:p w14:paraId="5A114313">
            <w:pPr>
              <w:adjustRightInd w:val="0"/>
              <w:snapToGrid w:val="0"/>
              <w:spacing w:line="240" w:lineRule="auto"/>
              <w:ind w:firstLine="0" w:firstLineChars="0"/>
              <w:jc w:val="center"/>
              <w:rPr>
                <w:rFonts w:hint="eastAsia" w:ascii="仿宋_GB2312" w:hAnsi="等线"/>
                <w:color w:val="000000"/>
                <w:sz w:val="21"/>
                <w:szCs w:val="21"/>
              </w:rPr>
            </w:pPr>
          </w:p>
        </w:tc>
        <w:tc>
          <w:tcPr>
            <w:tcW w:w="388" w:type="pct"/>
            <w:tcBorders>
              <w:top w:val="nil"/>
              <w:left w:val="nil"/>
              <w:bottom w:val="single" w:color="auto" w:sz="4" w:space="0"/>
              <w:right w:val="single" w:color="auto" w:sz="4" w:space="0"/>
            </w:tcBorders>
            <w:shd w:val="clear" w:color="auto" w:fill="auto"/>
            <w:vAlign w:val="center"/>
          </w:tcPr>
          <w:p w14:paraId="6347057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410.4</w:t>
            </w:r>
          </w:p>
        </w:tc>
        <w:tc>
          <w:tcPr>
            <w:tcW w:w="387" w:type="pct"/>
            <w:tcBorders>
              <w:top w:val="nil"/>
              <w:left w:val="nil"/>
              <w:bottom w:val="single" w:color="auto" w:sz="4" w:space="0"/>
              <w:right w:val="single" w:color="auto" w:sz="4" w:space="0"/>
            </w:tcBorders>
            <w:shd w:val="clear" w:color="auto" w:fill="auto"/>
            <w:vAlign w:val="center"/>
          </w:tcPr>
          <w:p w14:paraId="36A9B711">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11.3</w:t>
            </w:r>
          </w:p>
        </w:tc>
        <w:tc>
          <w:tcPr>
            <w:tcW w:w="387" w:type="pct"/>
            <w:tcBorders>
              <w:top w:val="nil"/>
              <w:left w:val="nil"/>
              <w:bottom w:val="single" w:color="auto" w:sz="4" w:space="0"/>
              <w:right w:val="single" w:color="auto" w:sz="4" w:space="0"/>
            </w:tcBorders>
            <w:shd w:val="clear" w:color="auto" w:fill="auto"/>
            <w:vAlign w:val="center"/>
          </w:tcPr>
          <w:p w14:paraId="27E0E54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8" w:type="pct"/>
            <w:tcBorders>
              <w:top w:val="nil"/>
              <w:left w:val="nil"/>
              <w:bottom w:val="single" w:color="auto" w:sz="4" w:space="0"/>
              <w:right w:val="single" w:color="auto" w:sz="4" w:space="0"/>
            </w:tcBorders>
            <w:shd w:val="clear" w:color="auto" w:fill="auto"/>
            <w:vAlign w:val="center"/>
          </w:tcPr>
          <w:p w14:paraId="79C900C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w:t>
            </w:r>
          </w:p>
        </w:tc>
        <w:tc>
          <w:tcPr>
            <w:tcW w:w="388" w:type="pct"/>
            <w:tcBorders>
              <w:top w:val="nil"/>
              <w:left w:val="nil"/>
              <w:bottom w:val="single" w:color="auto" w:sz="4" w:space="0"/>
              <w:right w:val="single" w:color="auto" w:sz="4" w:space="0"/>
            </w:tcBorders>
            <w:shd w:val="clear" w:color="auto" w:fill="auto"/>
            <w:vAlign w:val="center"/>
          </w:tcPr>
          <w:p w14:paraId="2F2EC0C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4300</w:t>
            </w:r>
          </w:p>
        </w:tc>
        <w:tc>
          <w:tcPr>
            <w:tcW w:w="387" w:type="pct"/>
            <w:tcBorders>
              <w:top w:val="nil"/>
              <w:left w:val="nil"/>
              <w:bottom w:val="single" w:color="auto" w:sz="4" w:space="0"/>
              <w:right w:val="single" w:color="auto" w:sz="4" w:space="0"/>
            </w:tcBorders>
            <w:shd w:val="clear" w:color="auto" w:fill="auto"/>
            <w:vAlign w:val="center"/>
          </w:tcPr>
          <w:p w14:paraId="2FA69C6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2.3</w:t>
            </w:r>
          </w:p>
        </w:tc>
        <w:tc>
          <w:tcPr>
            <w:tcW w:w="388" w:type="pct"/>
            <w:tcBorders>
              <w:top w:val="nil"/>
              <w:left w:val="nil"/>
              <w:bottom w:val="single" w:color="auto" w:sz="4" w:space="0"/>
              <w:right w:val="single" w:color="auto" w:sz="4" w:space="0"/>
            </w:tcBorders>
            <w:shd w:val="clear" w:color="auto" w:fill="auto"/>
            <w:vAlign w:val="center"/>
          </w:tcPr>
          <w:p w14:paraId="25CA52B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2.37</w:t>
            </w:r>
          </w:p>
        </w:tc>
      </w:tr>
      <w:tr w14:paraId="42D872C0">
        <w:tblPrEx>
          <w:tblCellMar>
            <w:top w:w="0" w:type="dxa"/>
            <w:left w:w="108" w:type="dxa"/>
            <w:bottom w:w="0" w:type="dxa"/>
            <w:right w:w="108" w:type="dxa"/>
          </w:tblCellMar>
        </w:tblPrEx>
        <w:trPr>
          <w:trHeight w:val="28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6E920E1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6</w:t>
            </w:r>
          </w:p>
        </w:tc>
        <w:tc>
          <w:tcPr>
            <w:tcW w:w="489" w:type="pct"/>
            <w:tcBorders>
              <w:top w:val="nil"/>
              <w:left w:val="nil"/>
              <w:bottom w:val="single" w:color="auto" w:sz="4" w:space="0"/>
              <w:right w:val="single" w:color="auto" w:sz="4" w:space="0"/>
            </w:tcBorders>
            <w:shd w:val="clear" w:color="auto" w:fill="auto"/>
            <w:vAlign w:val="center"/>
          </w:tcPr>
          <w:p w14:paraId="7433583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南泉水库</w:t>
            </w:r>
          </w:p>
        </w:tc>
        <w:tc>
          <w:tcPr>
            <w:tcW w:w="388" w:type="pct"/>
            <w:tcBorders>
              <w:top w:val="nil"/>
              <w:left w:val="nil"/>
              <w:bottom w:val="single" w:color="auto" w:sz="4" w:space="0"/>
              <w:right w:val="single" w:color="auto" w:sz="4" w:space="0"/>
            </w:tcBorders>
            <w:shd w:val="clear" w:color="auto" w:fill="auto"/>
            <w:vAlign w:val="center"/>
          </w:tcPr>
          <w:p w14:paraId="70CC9B2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455" w:type="pct"/>
            <w:tcBorders>
              <w:top w:val="nil"/>
              <w:left w:val="nil"/>
              <w:bottom w:val="single" w:color="auto" w:sz="4" w:space="0"/>
              <w:right w:val="single" w:color="auto" w:sz="4" w:space="0"/>
            </w:tcBorders>
            <w:shd w:val="clear" w:color="auto" w:fill="auto"/>
            <w:vAlign w:val="center"/>
          </w:tcPr>
          <w:p w14:paraId="746A4C7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250</w:t>
            </w:r>
          </w:p>
        </w:tc>
        <w:tc>
          <w:tcPr>
            <w:tcW w:w="611" w:type="pct"/>
            <w:tcBorders>
              <w:top w:val="nil"/>
              <w:left w:val="nil"/>
              <w:bottom w:val="single" w:color="auto" w:sz="4" w:space="0"/>
              <w:right w:val="single" w:color="auto" w:sz="4" w:space="0"/>
            </w:tcBorders>
            <w:shd w:val="clear" w:color="auto" w:fill="auto"/>
            <w:vAlign w:val="center"/>
          </w:tcPr>
          <w:p w14:paraId="2D053F5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10</w:t>
            </w:r>
          </w:p>
        </w:tc>
        <w:tc>
          <w:tcPr>
            <w:tcW w:w="388" w:type="pct"/>
            <w:tcBorders>
              <w:top w:val="nil"/>
              <w:left w:val="nil"/>
              <w:bottom w:val="single" w:color="auto" w:sz="4" w:space="0"/>
              <w:right w:val="single" w:color="auto" w:sz="4" w:space="0"/>
            </w:tcBorders>
            <w:shd w:val="clear" w:color="auto" w:fill="auto"/>
            <w:vAlign w:val="center"/>
          </w:tcPr>
          <w:p w14:paraId="3D5B9DA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210</w:t>
            </w:r>
          </w:p>
        </w:tc>
        <w:tc>
          <w:tcPr>
            <w:tcW w:w="387" w:type="pct"/>
            <w:tcBorders>
              <w:top w:val="nil"/>
              <w:left w:val="nil"/>
              <w:bottom w:val="single" w:color="auto" w:sz="4" w:space="0"/>
              <w:right w:val="single" w:color="auto" w:sz="4" w:space="0"/>
            </w:tcBorders>
            <w:shd w:val="clear" w:color="auto" w:fill="auto"/>
            <w:vAlign w:val="center"/>
          </w:tcPr>
          <w:p w14:paraId="7EBD1B7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30</w:t>
            </w:r>
          </w:p>
        </w:tc>
        <w:tc>
          <w:tcPr>
            <w:tcW w:w="387" w:type="pct"/>
            <w:tcBorders>
              <w:top w:val="nil"/>
              <w:left w:val="nil"/>
              <w:bottom w:val="single" w:color="auto" w:sz="4" w:space="0"/>
              <w:right w:val="single" w:color="auto" w:sz="4" w:space="0"/>
            </w:tcBorders>
            <w:shd w:val="clear" w:color="auto" w:fill="auto"/>
            <w:vAlign w:val="center"/>
          </w:tcPr>
          <w:p w14:paraId="37D281D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8" w:type="pct"/>
            <w:tcBorders>
              <w:top w:val="nil"/>
              <w:left w:val="nil"/>
              <w:bottom w:val="single" w:color="auto" w:sz="4" w:space="0"/>
              <w:right w:val="single" w:color="auto" w:sz="4" w:space="0"/>
            </w:tcBorders>
            <w:shd w:val="clear" w:color="auto" w:fill="auto"/>
            <w:vAlign w:val="center"/>
          </w:tcPr>
          <w:p w14:paraId="21CCBD9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13.7</w:t>
            </w:r>
          </w:p>
        </w:tc>
        <w:tc>
          <w:tcPr>
            <w:tcW w:w="388" w:type="pct"/>
            <w:tcBorders>
              <w:top w:val="nil"/>
              <w:left w:val="nil"/>
              <w:bottom w:val="single" w:color="auto" w:sz="4" w:space="0"/>
              <w:right w:val="single" w:color="auto" w:sz="4" w:space="0"/>
            </w:tcBorders>
            <w:shd w:val="clear" w:color="auto" w:fill="auto"/>
            <w:vAlign w:val="center"/>
          </w:tcPr>
          <w:p w14:paraId="469266E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1700</w:t>
            </w:r>
          </w:p>
        </w:tc>
        <w:tc>
          <w:tcPr>
            <w:tcW w:w="387" w:type="pct"/>
            <w:tcBorders>
              <w:top w:val="nil"/>
              <w:left w:val="nil"/>
              <w:bottom w:val="single" w:color="auto" w:sz="4" w:space="0"/>
              <w:right w:val="single" w:color="auto" w:sz="4" w:space="0"/>
            </w:tcBorders>
            <w:shd w:val="clear" w:color="auto" w:fill="auto"/>
            <w:vAlign w:val="center"/>
          </w:tcPr>
          <w:p w14:paraId="7982A15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w:t>
            </w:r>
          </w:p>
        </w:tc>
        <w:tc>
          <w:tcPr>
            <w:tcW w:w="388" w:type="pct"/>
            <w:tcBorders>
              <w:top w:val="nil"/>
              <w:left w:val="nil"/>
              <w:bottom w:val="single" w:color="auto" w:sz="4" w:space="0"/>
              <w:right w:val="single" w:color="auto" w:sz="4" w:space="0"/>
            </w:tcBorders>
            <w:shd w:val="clear" w:color="auto" w:fill="auto"/>
            <w:vAlign w:val="center"/>
          </w:tcPr>
          <w:p w14:paraId="2374058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9.7</w:t>
            </w:r>
          </w:p>
        </w:tc>
      </w:tr>
      <w:tr w14:paraId="1F8C6243">
        <w:tblPrEx>
          <w:tblCellMar>
            <w:top w:w="0" w:type="dxa"/>
            <w:left w:w="108" w:type="dxa"/>
            <w:bottom w:w="0" w:type="dxa"/>
            <w:right w:w="108" w:type="dxa"/>
          </w:tblCellMar>
        </w:tblPrEx>
        <w:trPr>
          <w:trHeight w:val="28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04B6FBA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w:t>
            </w:r>
          </w:p>
        </w:tc>
        <w:tc>
          <w:tcPr>
            <w:tcW w:w="489" w:type="pct"/>
            <w:tcBorders>
              <w:top w:val="nil"/>
              <w:left w:val="nil"/>
              <w:bottom w:val="single" w:color="auto" w:sz="4" w:space="0"/>
              <w:right w:val="single" w:color="auto" w:sz="4" w:space="0"/>
            </w:tcBorders>
            <w:shd w:val="clear" w:color="auto" w:fill="auto"/>
            <w:noWrap/>
            <w:vAlign w:val="center"/>
          </w:tcPr>
          <w:p w14:paraId="7AE10F9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小泉水库</w:t>
            </w:r>
          </w:p>
        </w:tc>
        <w:tc>
          <w:tcPr>
            <w:tcW w:w="388" w:type="pct"/>
            <w:tcBorders>
              <w:top w:val="nil"/>
              <w:left w:val="nil"/>
              <w:bottom w:val="single" w:color="auto" w:sz="4" w:space="0"/>
              <w:right w:val="single" w:color="auto" w:sz="4" w:space="0"/>
            </w:tcBorders>
            <w:shd w:val="clear" w:color="auto" w:fill="auto"/>
            <w:vAlign w:val="center"/>
          </w:tcPr>
          <w:p w14:paraId="271F9FC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455" w:type="pct"/>
            <w:tcBorders>
              <w:top w:val="nil"/>
              <w:left w:val="nil"/>
              <w:bottom w:val="single" w:color="auto" w:sz="4" w:space="0"/>
              <w:right w:val="single" w:color="auto" w:sz="4" w:space="0"/>
            </w:tcBorders>
            <w:shd w:val="clear" w:color="auto" w:fill="auto"/>
            <w:noWrap/>
            <w:vAlign w:val="center"/>
          </w:tcPr>
          <w:p w14:paraId="03411DE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125</w:t>
            </w:r>
          </w:p>
        </w:tc>
        <w:tc>
          <w:tcPr>
            <w:tcW w:w="611" w:type="pct"/>
            <w:tcBorders>
              <w:top w:val="nil"/>
              <w:left w:val="nil"/>
              <w:bottom w:val="single" w:color="auto" w:sz="4" w:space="0"/>
              <w:right w:val="single" w:color="auto" w:sz="4" w:space="0"/>
            </w:tcBorders>
            <w:shd w:val="clear" w:color="auto" w:fill="auto"/>
            <w:noWrap/>
            <w:vAlign w:val="center"/>
          </w:tcPr>
          <w:p w14:paraId="74254936">
            <w:pPr>
              <w:adjustRightInd w:val="0"/>
              <w:snapToGrid w:val="0"/>
              <w:spacing w:line="240" w:lineRule="auto"/>
              <w:ind w:firstLine="0" w:firstLineChars="0"/>
              <w:jc w:val="center"/>
              <w:rPr>
                <w:rFonts w:hint="eastAsia" w:ascii="仿宋_GB2312" w:hAnsi="等线"/>
                <w:color w:val="000000"/>
                <w:sz w:val="21"/>
                <w:szCs w:val="21"/>
              </w:rPr>
            </w:pPr>
          </w:p>
        </w:tc>
        <w:tc>
          <w:tcPr>
            <w:tcW w:w="388" w:type="pct"/>
            <w:tcBorders>
              <w:top w:val="nil"/>
              <w:left w:val="nil"/>
              <w:bottom w:val="single" w:color="auto" w:sz="4" w:space="0"/>
              <w:right w:val="single" w:color="auto" w:sz="4" w:space="0"/>
            </w:tcBorders>
            <w:shd w:val="clear" w:color="auto" w:fill="auto"/>
            <w:noWrap/>
            <w:vAlign w:val="center"/>
          </w:tcPr>
          <w:p w14:paraId="5576871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110</w:t>
            </w:r>
          </w:p>
        </w:tc>
        <w:tc>
          <w:tcPr>
            <w:tcW w:w="387" w:type="pct"/>
            <w:tcBorders>
              <w:top w:val="nil"/>
              <w:left w:val="nil"/>
              <w:bottom w:val="single" w:color="auto" w:sz="4" w:space="0"/>
              <w:right w:val="single" w:color="auto" w:sz="4" w:space="0"/>
            </w:tcBorders>
            <w:shd w:val="clear" w:color="auto" w:fill="auto"/>
            <w:noWrap/>
            <w:vAlign w:val="center"/>
          </w:tcPr>
          <w:p w14:paraId="3F29727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15</w:t>
            </w:r>
          </w:p>
        </w:tc>
        <w:tc>
          <w:tcPr>
            <w:tcW w:w="387" w:type="pct"/>
            <w:tcBorders>
              <w:top w:val="nil"/>
              <w:left w:val="nil"/>
              <w:bottom w:val="single" w:color="auto" w:sz="4" w:space="0"/>
              <w:right w:val="single" w:color="auto" w:sz="4" w:space="0"/>
            </w:tcBorders>
            <w:shd w:val="clear" w:color="auto" w:fill="auto"/>
            <w:vAlign w:val="center"/>
          </w:tcPr>
          <w:p w14:paraId="34193BC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8" w:type="pct"/>
            <w:tcBorders>
              <w:top w:val="nil"/>
              <w:left w:val="nil"/>
              <w:bottom w:val="single" w:color="auto" w:sz="4" w:space="0"/>
              <w:right w:val="single" w:color="auto" w:sz="4" w:space="0"/>
            </w:tcBorders>
            <w:shd w:val="clear" w:color="auto" w:fill="auto"/>
            <w:noWrap/>
            <w:vAlign w:val="center"/>
          </w:tcPr>
          <w:p w14:paraId="47167D5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4.5</w:t>
            </w:r>
          </w:p>
        </w:tc>
        <w:tc>
          <w:tcPr>
            <w:tcW w:w="388" w:type="pct"/>
            <w:tcBorders>
              <w:top w:val="nil"/>
              <w:left w:val="nil"/>
              <w:bottom w:val="single" w:color="auto" w:sz="4" w:space="0"/>
              <w:right w:val="single" w:color="auto" w:sz="4" w:space="0"/>
            </w:tcBorders>
            <w:shd w:val="clear" w:color="auto" w:fill="auto"/>
            <w:noWrap/>
            <w:vAlign w:val="center"/>
          </w:tcPr>
          <w:p w14:paraId="44D3096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2203</w:t>
            </w:r>
          </w:p>
        </w:tc>
        <w:tc>
          <w:tcPr>
            <w:tcW w:w="387" w:type="pct"/>
            <w:tcBorders>
              <w:top w:val="nil"/>
              <w:left w:val="nil"/>
              <w:bottom w:val="single" w:color="auto" w:sz="4" w:space="0"/>
              <w:right w:val="single" w:color="auto" w:sz="4" w:space="0"/>
            </w:tcBorders>
            <w:shd w:val="clear" w:color="auto" w:fill="auto"/>
            <w:noWrap/>
            <w:vAlign w:val="center"/>
          </w:tcPr>
          <w:p w14:paraId="6F1BD6D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1.5</w:t>
            </w:r>
          </w:p>
        </w:tc>
        <w:tc>
          <w:tcPr>
            <w:tcW w:w="388" w:type="pct"/>
            <w:tcBorders>
              <w:top w:val="nil"/>
              <w:left w:val="nil"/>
              <w:bottom w:val="single" w:color="auto" w:sz="4" w:space="0"/>
              <w:right w:val="single" w:color="auto" w:sz="4" w:space="0"/>
            </w:tcBorders>
            <w:shd w:val="clear" w:color="auto" w:fill="auto"/>
            <w:noWrap/>
            <w:vAlign w:val="center"/>
          </w:tcPr>
          <w:p w14:paraId="1A0D883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w:t>
            </w:r>
          </w:p>
        </w:tc>
      </w:tr>
      <w:tr w14:paraId="4AB668ED">
        <w:tblPrEx>
          <w:tblCellMar>
            <w:top w:w="0" w:type="dxa"/>
            <w:left w:w="108" w:type="dxa"/>
            <w:bottom w:w="0" w:type="dxa"/>
            <w:right w:w="108" w:type="dxa"/>
          </w:tblCellMar>
        </w:tblPrEx>
        <w:trPr>
          <w:trHeight w:val="280" w:hRule="atLeast"/>
        </w:trPr>
        <w:tc>
          <w:tcPr>
            <w:tcW w:w="344" w:type="pct"/>
            <w:tcBorders>
              <w:top w:val="nil"/>
              <w:left w:val="single" w:color="auto" w:sz="4" w:space="0"/>
              <w:bottom w:val="single" w:color="auto" w:sz="4" w:space="0"/>
              <w:right w:val="single" w:color="auto" w:sz="4" w:space="0"/>
            </w:tcBorders>
            <w:shd w:val="clear" w:color="auto" w:fill="auto"/>
            <w:vAlign w:val="center"/>
          </w:tcPr>
          <w:p w14:paraId="67A25D0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8</w:t>
            </w:r>
          </w:p>
        </w:tc>
        <w:tc>
          <w:tcPr>
            <w:tcW w:w="489" w:type="pct"/>
            <w:tcBorders>
              <w:top w:val="nil"/>
              <w:left w:val="nil"/>
              <w:bottom w:val="single" w:color="auto" w:sz="4" w:space="0"/>
              <w:right w:val="single" w:color="auto" w:sz="4" w:space="0"/>
            </w:tcBorders>
            <w:shd w:val="clear" w:color="auto" w:fill="auto"/>
            <w:noWrap/>
            <w:vAlign w:val="center"/>
          </w:tcPr>
          <w:p w14:paraId="5AD8F58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水磨河水库</w:t>
            </w:r>
          </w:p>
        </w:tc>
        <w:tc>
          <w:tcPr>
            <w:tcW w:w="388" w:type="pct"/>
            <w:tcBorders>
              <w:top w:val="nil"/>
              <w:left w:val="nil"/>
              <w:bottom w:val="single" w:color="auto" w:sz="4" w:space="0"/>
              <w:right w:val="single" w:color="auto" w:sz="4" w:space="0"/>
            </w:tcBorders>
            <w:shd w:val="clear" w:color="auto" w:fill="auto"/>
            <w:vAlign w:val="center"/>
          </w:tcPr>
          <w:p w14:paraId="5050C151">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455" w:type="pct"/>
            <w:tcBorders>
              <w:top w:val="nil"/>
              <w:left w:val="nil"/>
              <w:bottom w:val="single" w:color="auto" w:sz="4" w:space="0"/>
              <w:right w:val="single" w:color="auto" w:sz="4" w:space="0"/>
            </w:tcBorders>
            <w:shd w:val="clear" w:color="auto" w:fill="auto"/>
            <w:noWrap/>
            <w:vAlign w:val="center"/>
          </w:tcPr>
          <w:p w14:paraId="451528E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101.65</w:t>
            </w:r>
          </w:p>
        </w:tc>
        <w:tc>
          <w:tcPr>
            <w:tcW w:w="611" w:type="pct"/>
            <w:tcBorders>
              <w:top w:val="nil"/>
              <w:left w:val="nil"/>
              <w:bottom w:val="single" w:color="auto" w:sz="4" w:space="0"/>
              <w:right w:val="single" w:color="auto" w:sz="4" w:space="0"/>
            </w:tcBorders>
            <w:shd w:val="clear" w:color="auto" w:fill="auto"/>
            <w:noWrap/>
            <w:vAlign w:val="center"/>
          </w:tcPr>
          <w:p w14:paraId="57CDFB28">
            <w:pPr>
              <w:adjustRightInd w:val="0"/>
              <w:snapToGrid w:val="0"/>
              <w:spacing w:line="240" w:lineRule="auto"/>
              <w:ind w:firstLine="0" w:firstLineChars="0"/>
              <w:jc w:val="center"/>
              <w:rPr>
                <w:rFonts w:hint="eastAsia" w:ascii="仿宋_GB2312" w:hAnsi="等线"/>
                <w:color w:val="000000"/>
                <w:sz w:val="21"/>
                <w:szCs w:val="21"/>
              </w:rPr>
            </w:pPr>
          </w:p>
        </w:tc>
        <w:tc>
          <w:tcPr>
            <w:tcW w:w="388" w:type="pct"/>
            <w:tcBorders>
              <w:top w:val="nil"/>
              <w:left w:val="nil"/>
              <w:bottom w:val="single" w:color="auto" w:sz="4" w:space="0"/>
              <w:right w:val="single" w:color="auto" w:sz="4" w:space="0"/>
            </w:tcBorders>
            <w:shd w:val="clear" w:color="auto" w:fill="auto"/>
            <w:noWrap/>
            <w:vAlign w:val="center"/>
          </w:tcPr>
          <w:p w14:paraId="142908F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93.93</w:t>
            </w:r>
          </w:p>
        </w:tc>
        <w:tc>
          <w:tcPr>
            <w:tcW w:w="387" w:type="pct"/>
            <w:tcBorders>
              <w:top w:val="nil"/>
              <w:left w:val="nil"/>
              <w:bottom w:val="single" w:color="auto" w:sz="4" w:space="0"/>
              <w:right w:val="single" w:color="auto" w:sz="4" w:space="0"/>
            </w:tcBorders>
            <w:shd w:val="clear" w:color="auto" w:fill="auto"/>
            <w:noWrap/>
            <w:vAlign w:val="center"/>
          </w:tcPr>
          <w:p w14:paraId="0548F67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7.72</w:t>
            </w:r>
          </w:p>
        </w:tc>
        <w:tc>
          <w:tcPr>
            <w:tcW w:w="387" w:type="pct"/>
            <w:tcBorders>
              <w:top w:val="nil"/>
              <w:left w:val="nil"/>
              <w:bottom w:val="single" w:color="auto" w:sz="4" w:space="0"/>
              <w:right w:val="single" w:color="auto" w:sz="4" w:space="0"/>
            </w:tcBorders>
            <w:shd w:val="clear" w:color="auto" w:fill="auto"/>
            <w:vAlign w:val="center"/>
          </w:tcPr>
          <w:p w14:paraId="5B24292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8" w:type="pct"/>
            <w:tcBorders>
              <w:top w:val="nil"/>
              <w:left w:val="nil"/>
              <w:bottom w:val="single" w:color="auto" w:sz="4" w:space="0"/>
              <w:right w:val="single" w:color="auto" w:sz="4" w:space="0"/>
            </w:tcBorders>
            <w:shd w:val="clear" w:color="auto" w:fill="auto"/>
            <w:noWrap/>
            <w:vAlign w:val="center"/>
          </w:tcPr>
          <w:p w14:paraId="154C2CB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5.5</w:t>
            </w:r>
          </w:p>
        </w:tc>
        <w:tc>
          <w:tcPr>
            <w:tcW w:w="388" w:type="pct"/>
            <w:tcBorders>
              <w:top w:val="nil"/>
              <w:left w:val="nil"/>
              <w:bottom w:val="single" w:color="auto" w:sz="4" w:space="0"/>
              <w:right w:val="single" w:color="auto" w:sz="4" w:space="0"/>
            </w:tcBorders>
            <w:shd w:val="clear" w:color="auto" w:fill="auto"/>
            <w:noWrap/>
            <w:vAlign w:val="center"/>
          </w:tcPr>
          <w:p w14:paraId="265C370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1678.3</w:t>
            </w:r>
          </w:p>
        </w:tc>
        <w:tc>
          <w:tcPr>
            <w:tcW w:w="387" w:type="pct"/>
            <w:tcBorders>
              <w:top w:val="nil"/>
              <w:left w:val="nil"/>
              <w:bottom w:val="single" w:color="auto" w:sz="4" w:space="0"/>
              <w:right w:val="single" w:color="auto" w:sz="4" w:space="0"/>
            </w:tcBorders>
            <w:shd w:val="clear" w:color="auto" w:fill="auto"/>
            <w:noWrap/>
            <w:vAlign w:val="center"/>
          </w:tcPr>
          <w:p w14:paraId="3AB708F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0.7</w:t>
            </w:r>
          </w:p>
        </w:tc>
        <w:tc>
          <w:tcPr>
            <w:tcW w:w="388" w:type="pct"/>
            <w:tcBorders>
              <w:top w:val="nil"/>
              <w:left w:val="nil"/>
              <w:bottom w:val="single" w:color="auto" w:sz="4" w:space="0"/>
              <w:right w:val="single" w:color="auto" w:sz="4" w:space="0"/>
            </w:tcBorders>
            <w:shd w:val="clear" w:color="auto" w:fill="auto"/>
            <w:noWrap/>
            <w:vAlign w:val="center"/>
          </w:tcPr>
          <w:p w14:paraId="1AE0B3C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0.5</w:t>
            </w:r>
          </w:p>
        </w:tc>
      </w:tr>
    </w:tbl>
    <w:p w14:paraId="75DBE66E">
      <w:pPr>
        <w:pStyle w:val="41"/>
        <w:adjustRightInd w:val="0"/>
        <w:snapToGrid w:val="0"/>
        <w:ind w:firstLine="0" w:firstLineChars="0"/>
        <w:rPr>
          <w:rFonts w:cs="Times New Roman"/>
          <w:b/>
          <w:snapToGrid w:val="0"/>
          <w:color w:val="auto"/>
          <w:sz w:val="24"/>
          <w:szCs w:val="24"/>
        </w:rPr>
        <w:sectPr>
          <w:pgSz w:w="16840" w:h="11907" w:orient="landscape"/>
          <w:pgMar w:top="1797" w:right="1440" w:bottom="1797" w:left="1440" w:header="851" w:footer="992" w:gutter="0"/>
          <w:cols w:space="720" w:num="1"/>
          <w:docGrid w:linePitch="312" w:charSpace="0"/>
        </w:sectPr>
      </w:pPr>
    </w:p>
    <w:p w14:paraId="114EEDDC">
      <w:pPr>
        <w:adjustRightInd w:val="0"/>
        <w:snapToGrid w:val="0"/>
        <w:ind w:firstLine="480"/>
        <w:rPr>
          <w:rFonts w:cs="Times New Roman"/>
        </w:rPr>
      </w:pPr>
      <w:r>
        <w:rPr>
          <w:rFonts w:hint="eastAsia" w:cs="Times New Roman"/>
        </w:rPr>
        <w:t>5</w:t>
      </w:r>
      <w:r>
        <w:rPr>
          <w:rFonts w:cs="Times New Roman"/>
        </w:rPr>
        <w:t>、城乡供水工程</w:t>
      </w:r>
    </w:p>
    <w:p w14:paraId="640653CA">
      <w:pPr>
        <w:adjustRightInd w:val="0"/>
        <w:snapToGrid w:val="0"/>
        <w:ind w:firstLine="480"/>
        <w:rPr>
          <w:rFonts w:cs="Times New Roman"/>
        </w:rPr>
      </w:pPr>
      <w:r>
        <w:rPr>
          <w:rFonts w:cs="Times New Roman"/>
        </w:rPr>
        <w:t>阜康市现有城市水厂三座</w:t>
      </w:r>
      <w:r>
        <w:rPr>
          <w:rFonts w:hint="eastAsia" w:cs="Times New Roman"/>
        </w:rPr>
        <w:t>，其中阜康市第一水厂已关停，正常运行水厂为阜康市城关水厂和阜康市第二水厂</w:t>
      </w:r>
      <w:r>
        <w:rPr>
          <w:rFonts w:cs="Times New Roman"/>
        </w:rPr>
        <w:t>，二水厂调蓄能力为1.9万m³，日处理能力为6万m³/d；备用水厂调蓄能力为1.36万m³，日供水能力1.5万m³/d。共有供水管网200.6km（包含城区121.45km，准东片区79.15km），排水管网144.06km（包含城区103.88km，准东片区40.18km）。阜康市现有农村水厂4座，从东往西依次是白杨河水厂，水源为白杨河水库库水，设计供水规模0.8万m³/d，实际供水规模0.49万m³/d；甘河子水厂，水源为甘河子水库库水，设计供水规模0.46万m³/d，实际供水规模0.35万m³/d；四工水厂，水源为四工河截潜流，设计供水规模0.51万m³/d，实际供水规模0.49万m³/d；城关水厂，水源为地下水，设计供水规模0.29万m³/d，实际供水规模0.16万m³/d。2023年阜康市农村自来水普及率达到99.97%、集中供水率达到99.97%，供水保障率99.6%以上，各乡镇累积已建各级管道长度1200km左右。</w:t>
      </w:r>
    </w:p>
    <w:p w14:paraId="1A612E85">
      <w:pPr>
        <w:pStyle w:val="4"/>
        <w:adjustRightInd w:val="0"/>
        <w:snapToGrid w:val="0"/>
        <w:ind w:firstLine="480"/>
        <w:rPr>
          <w:snapToGrid w:val="0"/>
          <w:sz w:val="24"/>
          <w:szCs w:val="24"/>
        </w:rPr>
      </w:pPr>
      <w:r>
        <w:rPr>
          <w:rFonts w:hint="eastAsia"/>
          <w:snapToGrid w:val="0"/>
          <w:sz w:val="24"/>
          <w:szCs w:val="24"/>
        </w:rPr>
        <w:t>6</w:t>
      </w:r>
      <w:r>
        <w:rPr>
          <w:snapToGrid w:val="0"/>
          <w:sz w:val="24"/>
          <w:szCs w:val="24"/>
        </w:rPr>
        <w:t>、防洪减灾工程</w:t>
      </w:r>
    </w:p>
    <w:p w14:paraId="41A7FCCC">
      <w:pPr>
        <w:pStyle w:val="4"/>
        <w:adjustRightInd w:val="0"/>
        <w:snapToGrid w:val="0"/>
        <w:ind w:firstLine="480"/>
        <w:rPr>
          <w:snapToGrid w:val="0"/>
          <w:sz w:val="24"/>
          <w:szCs w:val="24"/>
        </w:rPr>
      </w:pPr>
      <w:r>
        <w:rPr>
          <w:snapToGrid w:val="0"/>
          <w:sz w:val="24"/>
          <w:szCs w:val="24"/>
        </w:rPr>
        <w:t>阜康市常年有水河流共7条，其中州级河流3条，自西向东依次是三工河、四工河、甘河子河，县级河流4条，自西向东依次是水磨河、白杨河、西沟河、黄山河。各河系共实施防洪工程项目9个，已治理长度50.31km，完成目标任务治理长度的37.5%，尚需治理河长85.58km，共建设堤防长度5.58km，建设护岸长度77.794km，建设排洪渠长度6.994km，实际建设防洪标准均符合规划防洪标准，达到10年一遇至20年一遇，部分河段防洪标准达到20年一遇至50年一遇，目前均已正常投入使用，对流域下游7个乡镇万余人民群众及数万亩耕地的防洪安全起着至关重要的作用。阜康市境内河系复杂，有多条山洪冲沟，已治理山洪冲沟一段，位于阜康市干沟城区段，治理长度1.1km，建设护岸2.2km，防洪标准达到20年一遇至50年一遇，有效提升城区段防洪能力。同时，2012年阜康市按照水利部及新疆水利厅的要求启动了阜康市山洪灾害防治市级非工程措施项目建设，截止2024年1月，阜康市共建设25个山洪灾害监测站点，包括11个自动雨量监测站、9个自动水位监测站、4个图像监测站及1个视频监测站，均匀分布于各河系上游，通过水旱灾害监测预警平台为下游7个乡镇发布山洪灾害预警，有效提升山洪灾害预警能力。</w:t>
      </w:r>
    </w:p>
    <w:p w14:paraId="3D8F2A92">
      <w:pPr>
        <w:pStyle w:val="5"/>
        <w:rPr>
          <w:rFonts w:eastAsia="仿宋_GB2312"/>
        </w:rPr>
      </w:pPr>
      <w:r>
        <w:rPr>
          <w:rFonts w:eastAsia="仿宋_GB2312"/>
        </w:rPr>
        <w:t>1.1.6 土壤植被</w:t>
      </w:r>
    </w:p>
    <w:p w14:paraId="3860F9A8">
      <w:pPr>
        <w:adjustRightInd w:val="0"/>
        <w:snapToGrid w:val="0"/>
        <w:ind w:firstLine="480"/>
        <w:rPr>
          <w:rFonts w:cs="Times New Roman"/>
          <w:snapToGrid w:val="0"/>
        </w:rPr>
      </w:pPr>
      <w:r>
        <w:rPr>
          <w:rFonts w:cs="Times New Roman"/>
          <w:snapToGrid w:val="0"/>
        </w:rPr>
        <w:t>（一）土壤</w:t>
      </w:r>
    </w:p>
    <w:p w14:paraId="4C6E1BC5">
      <w:pPr>
        <w:pStyle w:val="4"/>
        <w:adjustRightInd w:val="0"/>
        <w:snapToGrid w:val="0"/>
        <w:ind w:firstLine="480"/>
        <w:rPr>
          <w:snapToGrid w:val="0"/>
          <w:sz w:val="24"/>
          <w:szCs w:val="24"/>
        </w:rPr>
      </w:pPr>
      <w:r>
        <w:rPr>
          <w:snapToGrid w:val="0"/>
          <w:sz w:val="24"/>
          <w:szCs w:val="24"/>
        </w:rPr>
        <w:t>阜康市境内的土壤在3个不同的地貌区域内类型不同，从南到北有3个土壤区域，即山地土壤、平原土壤、沙漠土壤。</w:t>
      </w:r>
    </w:p>
    <w:p w14:paraId="372C3214">
      <w:pPr>
        <w:pStyle w:val="4"/>
        <w:adjustRightInd w:val="0"/>
        <w:snapToGrid w:val="0"/>
        <w:ind w:firstLine="480"/>
        <w:rPr>
          <w:snapToGrid w:val="0"/>
          <w:sz w:val="24"/>
          <w:szCs w:val="24"/>
        </w:rPr>
      </w:pPr>
      <w:r>
        <w:rPr>
          <w:snapToGrid w:val="0"/>
          <w:sz w:val="24"/>
          <w:szCs w:val="24"/>
        </w:rPr>
        <w:t>（1）山地土壤</w:t>
      </w:r>
    </w:p>
    <w:p w14:paraId="3589F71E">
      <w:pPr>
        <w:pStyle w:val="4"/>
        <w:adjustRightInd w:val="0"/>
        <w:snapToGrid w:val="0"/>
        <w:ind w:firstLine="480"/>
        <w:rPr>
          <w:snapToGrid w:val="0"/>
          <w:sz w:val="24"/>
          <w:szCs w:val="24"/>
        </w:rPr>
      </w:pPr>
      <w:r>
        <w:rPr>
          <w:snapToGrid w:val="0"/>
          <w:sz w:val="24"/>
          <w:szCs w:val="24"/>
        </w:rPr>
        <w:t>山地土壤分布在南部海拔700米以上的山区，在不同的海拔高度上分布的土壤也不相同。随海拔高度的降低依次分布着高山寒漠土、高山草甸土、亚高山草甸土、中山森林草原土、山地栗钙土、山地棕钙土。</w:t>
      </w:r>
    </w:p>
    <w:p w14:paraId="08DA092D">
      <w:pPr>
        <w:pStyle w:val="4"/>
        <w:adjustRightInd w:val="0"/>
        <w:snapToGrid w:val="0"/>
        <w:ind w:firstLine="480"/>
        <w:rPr>
          <w:snapToGrid w:val="0"/>
          <w:sz w:val="24"/>
          <w:szCs w:val="24"/>
        </w:rPr>
      </w:pPr>
      <w:r>
        <w:rPr>
          <w:snapToGrid w:val="0"/>
          <w:sz w:val="24"/>
          <w:szCs w:val="24"/>
        </w:rPr>
        <w:t>（2）平原土壤</w:t>
      </w:r>
    </w:p>
    <w:p w14:paraId="2F9EBD91">
      <w:pPr>
        <w:pStyle w:val="4"/>
        <w:adjustRightInd w:val="0"/>
        <w:snapToGrid w:val="0"/>
        <w:ind w:firstLine="480"/>
        <w:rPr>
          <w:snapToGrid w:val="0"/>
          <w:sz w:val="24"/>
          <w:szCs w:val="24"/>
        </w:rPr>
      </w:pPr>
      <w:r>
        <w:rPr>
          <w:snapToGrid w:val="0"/>
          <w:sz w:val="24"/>
          <w:szCs w:val="24"/>
        </w:rPr>
        <w:t>平原土壤分布在海拔450—700米的冲积洪积倾斜平原上。</w:t>
      </w:r>
    </w:p>
    <w:p w14:paraId="77DB42AF">
      <w:pPr>
        <w:pStyle w:val="4"/>
        <w:adjustRightInd w:val="0"/>
        <w:snapToGrid w:val="0"/>
        <w:ind w:firstLine="480"/>
        <w:rPr>
          <w:snapToGrid w:val="0"/>
          <w:sz w:val="24"/>
          <w:szCs w:val="24"/>
        </w:rPr>
      </w:pPr>
      <w:r>
        <w:rPr>
          <w:snapToGrid w:val="0"/>
          <w:sz w:val="24"/>
          <w:szCs w:val="24"/>
        </w:rPr>
        <w:t>耕作区土壤类型由南至北依次为灌溉灰漠土、灌耕土、潮土、退潮土、灌淤土、盐渍化土。</w:t>
      </w:r>
    </w:p>
    <w:p w14:paraId="319A19B4">
      <w:pPr>
        <w:pStyle w:val="4"/>
        <w:adjustRightInd w:val="0"/>
        <w:snapToGrid w:val="0"/>
        <w:ind w:firstLine="480"/>
        <w:rPr>
          <w:snapToGrid w:val="0"/>
          <w:sz w:val="24"/>
          <w:szCs w:val="24"/>
        </w:rPr>
      </w:pPr>
      <w:r>
        <w:rPr>
          <w:snapToGrid w:val="0"/>
          <w:sz w:val="24"/>
          <w:szCs w:val="24"/>
        </w:rPr>
        <w:t>1）灌溉灰漠土、灌耕土</w:t>
      </w:r>
    </w:p>
    <w:p w14:paraId="7FD8D80B">
      <w:pPr>
        <w:pStyle w:val="4"/>
        <w:adjustRightInd w:val="0"/>
        <w:snapToGrid w:val="0"/>
        <w:ind w:firstLine="480"/>
        <w:rPr>
          <w:snapToGrid w:val="0"/>
          <w:sz w:val="24"/>
          <w:szCs w:val="24"/>
        </w:rPr>
      </w:pPr>
      <w:r>
        <w:rPr>
          <w:snapToGrid w:val="0"/>
          <w:sz w:val="24"/>
          <w:szCs w:val="24"/>
        </w:rPr>
        <w:t>分布在冲积洪积平原南部，包括白板土、黄土、黄沙土、灰板土、灰土。土壤易板结，保水性差，遇洪水冲刷时，水土易流失。有机质含量低，为1.2—1.6%，全氮含量0.07—0.09%，全磷含量0.04—0.06%，速效性碱解氮0.03—0.04‰，速磷0.001—0.002‰，速钾0.12—0.16‰。</w:t>
      </w:r>
    </w:p>
    <w:p w14:paraId="3CE50D0A">
      <w:pPr>
        <w:pStyle w:val="4"/>
        <w:adjustRightInd w:val="0"/>
        <w:snapToGrid w:val="0"/>
        <w:ind w:firstLine="480"/>
        <w:rPr>
          <w:snapToGrid w:val="0"/>
          <w:sz w:val="24"/>
          <w:szCs w:val="24"/>
        </w:rPr>
      </w:pPr>
      <w:r>
        <w:rPr>
          <w:snapToGrid w:val="0"/>
          <w:sz w:val="24"/>
          <w:szCs w:val="24"/>
        </w:rPr>
        <w:t>2）退潮土、灌淤土</w:t>
      </w:r>
    </w:p>
    <w:p w14:paraId="3A3219F7">
      <w:pPr>
        <w:pStyle w:val="4"/>
        <w:adjustRightInd w:val="0"/>
        <w:snapToGrid w:val="0"/>
        <w:ind w:firstLine="480"/>
        <w:rPr>
          <w:snapToGrid w:val="0"/>
          <w:sz w:val="24"/>
          <w:szCs w:val="24"/>
        </w:rPr>
      </w:pPr>
      <w:r>
        <w:rPr>
          <w:snapToGrid w:val="0"/>
          <w:sz w:val="24"/>
          <w:szCs w:val="24"/>
        </w:rPr>
        <w:t>分布在洪积平原中部，包括黑土、灰土、红土、灰板土。土层深厚，板结，保水保肥力强。有机质含量为1.6—2.7%，全氮含量0.08—0.14%，全磷含量0.06—0.09%，速效性碱解氮0.04—0.05‰，速磷0.001—0.002‰，速钾0.25—0.3‰。</w:t>
      </w:r>
    </w:p>
    <w:p w14:paraId="2F1AF0B3">
      <w:pPr>
        <w:pStyle w:val="4"/>
        <w:adjustRightInd w:val="0"/>
        <w:snapToGrid w:val="0"/>
        <w:ind w:firstLine="480"/>
        <w:rPr>
          <w:snapToGrid w:val="0"/>
          <w:sz w:val="24"/>
          <w:szCs w:val="24"/>
        </w:rPr>
      </w:pPr>
      <w:r>
        <w:rPr>
          <w:snapToGrid w:val="0"/>
          <w:sz w:val="24"/>
          <w:szCs w:val="24"/>
        </w:rPr>
        <w:t>3）潮土、灌淤土</w:t>
      </w:r>
    </w:p>
    <w:p w14:paraId="3790BFF2">
      <w:pPr>
        <w:pStyle w:val="4"/>
        <w:adjustRightInd w:val="0"/>
        <w:snapToGrid w:val="0"/>
        <w:ind w:firstLine="480"/>
        <w:rPr>
          <w:snapToGrid w:val="0"/>
          <w:sz w:val="24"/>
          <w:szCs w:val="24"/>
        </w:rPr>
      </w:pPr>
      <w:r>
        <w:rPr>
          <w:snapToGrid w:val="0"/>
          <w:sz w:val="24"/>
          <w:szCs w:val="24"/>
        </w:rPr>
        <w:t>分布在洪积平原中部，包括黑土、灰土、</w:t>
      </w:r>
      <w:r>
        <w:fldChar w:fldCharType="begin"/>
      </w:r>
      <w:r>
        <w:instrText xml:space="preserve"> HYPERLINK "https://baike.baidu.com/item/红土/1399105?fromModule=lemma_inlink" \t "_blank" </w:instrText>
      </w:r>
      <w:r>
        <w:fldChar w:fldCharType="separate"/>
      </w:r>
      <w:r>
        <w:rPr>
          <w:snapToGrid w:val="0"/>
          <w:sz w:val="24"/>
          <w:szCs w:val="24"/>
        </w:rPr>
        <w:t>红土</w:t>
      </w:r>
      <w:r>
        <w:rPr>
          <w:snapToGrid w:val="0"/>
          <w:sz w:val="24"/>
          <w:szCs w:val="24"/>
        </w:rPr>
        <w:fldChar w:fldCharType="end"/>
      </w:r>
      <w:r>
        <w:rPr>
          <w:snapToGrid w:val="0"/>
          <w:sz w:val="24"/>
          <w:szCs w:val="24"/>
        </w:rPr>
        <w:t>。土层深厚，板结，质地适中。有机质含量为2.5—3.6%，全氮含量0.14—0.26%，全磷含量0.06—0.09%，速效性碱解氮0.052—0.08‰，速磷0.002—0.005‰，速钾0.26—0.32‰。</w:t>
      </w:r>
    </w:p>
    <w:p w14:paraId="4720743D">
      <w:pPr>
        <w:pStyle w:val="4"/>
        <w:adjustRightInd w:val="0"/>
        <w:snapToGrid w:val="0"/>
        <w:ind w:firstLine="480"/>
        <w:rPr>
          <w:snapToGrid w:val="0"/>
          <w:sz w:val="24"/>
          <w:szCs w:val="24"/>
        </w:rPr>
      </w:pPr>
      <w:r>
        <w:rPr>
          <w:snapToGrid w:val="0"/>
          <w:sz w:val="24"/>
          <w:szCs w:val="24"/>
        </w:rPr>
        <w:t>4）潮土、灌溉灰漠土</w:t>
      </w:r>
    </w:p>
    <w:p w14:paraId="43183362">
      <w:pPr>
        <w:pStyle w:val="4"/>
        <w:adjustRightInd w:val="0"/>
        <w:snapToGrid w:val="0"/>
        <w:ind w:firstLine="480"/>
        <w:rPr>
          <w:snapToGrid w:val="0"/>
          <w:sz w:val="24"/>
          <w:szCs w:val="24"/>
        </w:rPr>
      </w:pPr>
      <w:r>
        <w:rPr>
          <w:snapToGrid w:val="0"/>
          <w:sz w:val="24"/>
          <w:szCs w:val="24"/>
        </w:rPr>
        <w:t>分布在洪积平原北部，包括</w:t>
      </w:r>
      <w:r>
        <w:fldChar w:fldCharType="begin"/>
      </w:r>
      <w:r>
        <w:instrText xml:space="preserve"> HYPERLINK "https://baike.baidu.com/item/黑土/8274?fromModule=lemma_inlink" \t "_blank" </w:instrText>
      </w:r>
      <w:r>
        <w:fldChar w:fldCharType="separate"/>
      </w:r>
      <w:r>
        <w:rPr>
          <w:snapToGrid w:val="0"/>
          <w:sz w:val="24"/>
          <w:szCs w:val="24"/>
        </w:rPr>
        <w:t>黑土</w:t>
      </w:r>
      <w:r>
        <w:rPr>
          <w:snapToGrid w:val="0"/>
          <w:sz w:val="24"/>
          <w:szCs w:val="24"/>
        </w:rPr>
        <w:fldChar w:fldCharType="end"/>
      </w:r>
      <w:r>
        <w:rPr>
          <w:snapToGrid w:val="0"/>
          <w:sz w:val="24"/>
          <w:szCs w:val="24"/>
        </w:rPr>
        <w:t>、黄土、灰黄土、灰土。土壤湿润，易板结，部分地区发生严重的次生盐渍化，质地偏重。有机质含量为2.2—2.7%，全氮含量0.11—0.13%，全磷含量0.07—0.09%，速效性碱解氮0.025—0.04‰，速磷0.002—0.006‰，速钾0.12—0.2‰。</w:t>
      </w:r>
    </w:p>
    <w:p w14:paraId="12780DAC">
      <w:pPr>
        <w:pStyle w:val="4"/>
        <w:adjustRightInd w:val="0"/>
        <w:snapToGrid w:val="0"/>
        <w:ind w:firstLine="480"/>
        <w:rPr>
          <w:snapToGrid w:val="0"/>
          <w:sz w:val="24"/>
          <w:szCs w:val="24"/>
        </w:rPr>
      </w:pPr>
      <w:r>
        <w:rPr>
          <w:snapToGrid w:val="0"/>
          <w:sz w:val="24"/>
          <w:szCs w:val="24"/>
        </w:rPr>
        <w:t>5）盐渍化土</w:t>
      </w:r>
    </w:p>
    <w:p w14:paraId="22B13583">
      <w:pPr>
        <w:pStyle w:val="4"/>
        <w:adjustRightInd w:val="0"/>
        <w:snapToGrid w:val="0"/>
        <w:ind w:firstLine="480"/>
        <w:rPr>
          <w:snapToGrid w:val="0"/>
          <w:sz w:val="24"/>
          <w:szCs w:val="24"/>
        </w:rPr>
      </w:pPr>
      <w:r>
        <w:rPr>
          <w:snapToGrid w:val="0"/>
          <w:sz w:val="24"/>
          <w:szCs w:val="24"/>
        </w:rPr>
        <w:t>分布在洪积冲积平原北部泉水溢出带、水库周围，包括盐化潮土、盐化灰漠土。土层深厚，保水保肥力强，湿润，嫌气性还原作用强。有机质含量为1.5—3.0%，全氮含量0.03—0.27%，全磷含量0.09—0.11%，速效性碱解氮0.03—0.05‰，速磷0.003—0.004‰，速钾0.2—0.26‰。</w:t>
      </w:r>
    </w:p>
    <w:p w14:paraId="035E94A5">
      <w:pPr>
        <w:pStyle w:val="4"/>
        <w:adjustRightInd w:val="0"/>
        <w:snapToGrid w:val="0"/>
        <w:ind w:firstLine="480"/>
        <w:rPr>
          <w:snapToGrid w:val="0"/>
          <w:sz w:val="24"/>
          <w:szCs w:val="24"/>
        </w:rPr>
      </w:pPr>
      <w:r>
        <w:rPr>
          <w:snapToGrid w:val="0"/>
          <w:sz w:val="24"/>
          <w:szCs w:val="24"/>
        </w:rPr>
        <w:t>（3）沙漠土壤</w:t>
      </w:r>
    </w:p>
    <w:p w14:paraId="5E793E4E">
      <w:pPr>
        <w:pStyle w:val="4"/>
        <w:adjustRightInd w:val="0"/>
        <w:snapToGrid w:val="0"/>
        <w:ind w:firstLine="480"/>
        <w:rPr>
          <w:snapToGrid w:val="0"/>
          <w:sz w:val="24"/>
          <w:szCs w:val="24"/>
        </w:rPr>
      </w:pPr>
      <w:r>
        <w:rPr>
          <w:snapToGrid w:val="0"/>
          <w:sz w:val="24"/>
          <w:szCs w:val="24"/>
        </w:rPr>
        <w:t>分布在县境北部海拔450—800米的沙漠地区。发育在梭梭、</w:t>
      </w:r>
      <w:r>
        <w:fldChar w:fldCharType="begin"/>
      </w:r>
      <w:r>
        <w:instrText xml:space="preserve">HYPERLINK "https://baike.baidu.com/item/红柳/318384?fromModule=lemma_inlink" \t "_blank"</w:instrText>
      </w:r>
      <w:r>
        <w:fldChar w:fldCharType="separate"/>
      </w:r>
      <w:r>
        <w:rPr>
          <w:snapToGrid w:val="0"/>
          <w:sz w:val="24"/>
          <w:szCs w:val="24"/>
        </w:rPr>
        <w:t>红柳</w:t>
      </w:r>
      <w:r>
        <w:rPr>
          <w:snapToGrid w:val="0"/>
          <w:sz w:val="24"/>
          <w:szCs w:val="24"/>
        </w:rPr>
        <w:fldChar w:fldCharType="end"/>
      </w:r>
      <w:r>
        <w:rPr>
          <w:snapToGrid w:val="0"/>
          <w:sz w:val="24"/>
          <w:szCs w:val="24"/>
        </w:rPr>
        <w:t>、沙拐枣、三芒草等组成的沙生植被下，有沙质灰漠土、原始灰漠土、龟裂土。在成片生长的梭梭、红柳灌木林下还发育有平原林土。土层紧实、板结，微生物作用微弱，养分含量最低。原始灰漠土有机质含量0.67—1.0%，全氮含量0.02—0.04%，磷易被固定而失效，有效磷含量0.004—0.006‰。石灰性很强，碳酸钙含量5—10%。</w:t>
      </w:r>
    </w:p>
    <w:p w14:paraId="7E28E41B">
      <w:pPr>
        <w:adjustRightInd w:val="0"/>
        <w:snapToGrid w:val="0"/>
        <w:ind w:firstLine="480"/>
        <w:rPr>
          <w:rFonts w:cs="Times New Roman"/>
          <w:snapToGrid w:val="0"/>
        </w:rPr>
      </w:pPr>
      <w:r>
        <w:rPr>
          <w:rFonts w:cs="Times New Roman"/>
          <w:snapToGrid w:val="0"/>
        </w:rPr>
        <w:t>（二）植被</w:t>
      </w:r>
    </w:p>
    <w:p w14:paraId="27B09C22">
      <w:pPr>
        <w:pStyle w:val="4"/>
        <w:adjustRightInd w:val="0"/>
        <w:snapToGrid w:val="0"/>
        <w:ind w:firstLine="480"/>
        <w:rPr>
          <w:snapToGrid w:val="0"/>
          <w:sz w:val="24"/>
          <w:szCs w:val="24"/>
        </w:rPr>
      </w:pPr>
      <w:r>
        <w:rPr>
          <w:snapToGrid w:val="0"/>
          <w:sz w:val="24"/>
          <w:szCs w:val="24"/>
        </w:rPr>
        <w:t>受降水量的垂直分布规律影响，植被也具有明显的垂直分布规律。南部雪线以上高山植被为高山草甸带，中、低山区以云杉为主，也有少量的桦树、白杨、牧草，低山丘陵地带为山地干草原和半荒漠地带，植被稀疏；中部平原区主要分布在渠道、道路两旁和条田、村庄、住宅庭院周围的平原林木；北部沙漠区主要为梭梭和红柳。</w:t>
      </w:r>
    </w:p>
    <w:p w14:paraId="21032F33">
      <w:pPr>
        <w:pStyle w:val="4"/>
        <w:adjustRightInd w:val="0"/>
        <w:snapToGrid w:val="0"/>
        <w:ind w:firstLine="480"/>
        <w:rPr>
          <w:snapToGrid w:val="0"/>
          <w:sz w:val="24"/>
          <w:szCs w:val="24"/>
        </w:rPr>
      </w:pPr>
      <w:r>
        <w:rPr>
          <w:snapToGrid w:val="0"/>
          <w:sz w:val="24"/>
          <w:szCs w:val="24"/>
        </w:rPr>
        <w:t>植被类型主要为山地森林草原、平原荒漠植被，种类丰富。天然植被乔木主要有天山云杉、胡杨、白桦、榆树、新疆杨等；灌木主要有沙拐枣、白梭梭、白刺、多枝柽柳、梭梭柴等；草本植物主要有沙蒿、苦艾蒿、驼绒葱、木地肤、冷蒿、芦苇、芨芨草、沙蓬、猪毛菜、小车前、博乐绢蒿、短叶假木贼、角果黎等。不同的区域土壤和植被表现为如下特征：阜康市南部山地丘陵海拔2800-5445m为冰雪作用的高山带，仅发育了石骨土和雪山原始草甸土，生长着少量的石生垫状植被。海拔2000-2700m为中山带，主要土壤为黑钙土，牧草丰盛，海拔1500-2000m为以侵蚀、剥蚀作用为主的低山带，土壤为山地栗钙土，植被以针茅为主，混有蒿属植物，低地河谷多阔叶林带。海拔700-1500m为前山丘陵带，土壤主要为山地棕钙土。中部平原，海拔450-700m，南起丘陵下部，北至北沙窝南缘，包括整个冲积－洪积平原，土壤主要有灰漠土、潮土、灌耕土等，植被以蒿属、羽茅、莎草、芨芨草等为主。北部沙漠戈壁，海拔650-1100m，南起冲积－洪积平原北缘，包括古尔班通古特沙漠，植被仅有梭梭、麻黄、三芒草、驼绒藜、沙拐枣、胡杨等旱生、超旱生植物生长。</w:t>
      </w:r>
    </w:p>
    <w:p w14:paraId="530DFDE8">
      <w:pPr>
        <w:pStyle w:val="5"/>
        <w:rPr>
          <w:rFonts w:eastAsia="仿宋_GB2312"/>
        </w:rPr>
      </w:pPr>
      <w:r>
        <w:rPr>
          <w:rFonts w:eastAsia="仿宋_GB2312"/>
        </w:rPr>
        <w:t>1.1.7 森林、草原资源现状</w:t>
      </w:r>
    </w:p>
    <w:p w14:paraId="314E99C9">
      <w:pPr>
        <w:pStyle w:val="4"/>
        <w:adjustRightInd w:val="0"/>
        <w:snapToGrid w:val="0"/>
        <w:ind w:firstLine="480"/>
        <w:rPr>
          <w:snapToGrid w:val="0"/>
          <w:sz w:val="24"/>
          <w:szCs w:val="24"/>
        </w:rPr>
      </w:pPr>
      <w:r>
        <w:rPr>
          <w:rFonts w:hint="eastAsia"/>
          <w:snapToGrid w:val="0"/>
          <w:sz w:val="24"/>
          <w:szCs w:val="24"/>
        </w:rPr>
        <w:t>根据</w:t>
      </w:r>
      <w:bookmarkStart w:id="10" w:name="_Hlk173066007"/>
      <w:r>
        <w:rPr>
          <w:rFonts w:hint="eastAsia"/>
          <w:snapToGrid w:val="0"/>
          <w:sz w:val="24"/>
          <w:szCs w:val="24"/>
        </w:rPr>
        <w:t>《阜康市林业和草原保护发展“十四五”规划》（2023年9月）</w:t>
      </w:r>
      <w:bookmarkEnd w:id="10"/>
      <w:r>
        <w:rPr>
          <w:rFonts w:hint="eastAsia"/>
          <w:snapToGrid w:val="0"/>
          <w:sz w:val="24"/>
          <w:szCs w:val="24"/>
        </w:rPr>
        <w:t>数据，</w:t>
      </w:r>
      <w:r>
        <w:rPr>
          <w:snapToGrid w:val="0"/>
          <w:sz w:val="24"/>
          <w:szCs w:val="24"/>
        </w:rPr>
        <w:t>阜康市</w:t>
      </w:r>
      <w:r>
        <w:rPr>
          <w:rFonts w:hint="eastAsia"/>
          <w:snapToGrid w:val="0"/>
          <w:sz w:val="24"/>
          <w:szCs w:val="24"/>
        </w:rPr>
        <w:t>现有</w:t>
      </w:r>
      <w:r>
        <w:rPr>
          <w:snapToGrid w:val="0"/>
          <w:sz w:val="24"/>
          <w:szCs w:val="24"/>
        </w:rPr>
        <w:t>林地总面积</w:t>
      </w:r>
      <w:r>
        <w:rPr>
          <w:rFonts w:hint="eastAsia"/>
          <w:snapToGrid w:val="0"/>
          <w:sz w:val="24"/>
          <w:szCs w:val="24"/>
        </w:rPr>
        <w:t>378.77万亩</w:t>
      </w:r>
      <w:r>
        <w:rPr>
          <w:snapToGrid w:val="0"/>
          <w:sz w:val="24"/>
          <w:szCs w:val="24"/>
        </w:rPr>
        <w:t>，</w:t>
      </w:r>
      <w:r>
        <w:rPr>
          <w:rFonts w:hint="eastAsia"/>
          <w:snapToGrid w:val="0"/>
          <w:sz w:val="24"/>
          <w:szCs w:val="24"/>
        </w:rPr>
        <w:t>森林面积187.30万亩，</w:t>
      </w:r>
      <w:r>
        <w:rPr>
          <w:snapToGrid w:val="0"/>
          <w:sz w:val="24"/>
          <w:szCs w:val="24"/>
        </w:rPr>
        <w:t>森林覆盖量</w:t>
      </w:r>
      <w:r>
        <w:rPr>
          <w:rFonts w:hint="eastAsia"/>
          <w:snapToGrid w:val="0"/>
          <w:sz w:val="24"/>
          <w:szCs w:val="24"/>
        </w:rPr>
        <w:t>15.06</w:t>
      </w:r>
      <w:r>
        <w:rPr>
          <w:snapToGrid w:val="0"/>
          <w:sz w:val="24"/>
          <w:szCs w:val="24"/>
        </w:rPr>
        <w:t>%</w:t>
      </w:r>
      <w:r>
        <w:rPr>
          <w:rFonts w:hint="eastAsia"/>
          <w:snapToGrid w:val="0"/>
          <w:sz w:val="24"/>
          <w:szCs w:val="24"/>
        </w:rPr>
        <w:t>（不含兵团）</w:t>
      </w:r>
      <w:r>
        <w:rPr>
          <w:snapToGrid w:val="0"/>
          <w:sz w:val="24"/>
          <w:szCs w:val="24"/>
        </w:rPr>
        <w:t>，森林蓄积量235.7万立方米，</w:t>
      </w:r>
      <w:r>
        <w:rPr>
          <w:rFonts w:hint="eastAsia"/>
          <w:snapToGrid w:val="0"/>
          <w:sz w:val="24"/>
          <w:szCs w:val="24"/>
        </w:rPr>
        <w:t>草原</w:t>
      </w:r>
      <w:r>
        <w:rPr>
          <w:snapToGrid w:val="0"/>
          <w:sz w:val="24"/>
          <w:szCs w:val="24"/>
        </w:rPr>
        <w:t>综合植被覆盖率63.2%，人均公共绿地面积（城镇）82.8立方米。自然保护区</w:t>
      </w:r>
      <w:r>
        <w:rPr>
          <w:rFonts w:hint="eastAsia"/>
          <w:snapToGrid w:val="0"/>
          <w:sz w:val="24"/>
          <w:szCs w:val="24"/>
        </w:rPr>
        <w:t>57万亩</w:t>
      </w:r>
      <w:r>
        <w:rPr>
          <w:snapToGrid w:val="0"/>
          <w:sz w:val="24"/>
          <w:szCs w:val="24"/>
        </w:rPr>
        <w:t>，野生动物保护区</w:t>
      </w:r>
      <w:r>
        <w:rPr>
          <w:rFonts w:hint="eastAsia"/>
          <w:snapToGrid w:val="0"/>
          <w:sz w:val="24"/>
          <w:szCs w:val="24"/>
        </w:rPr>
        <w:t>99.90万亩</w:t>
      </w:r>
      <w:r>
        <w:rPr>
          <w:snapToGrid w:val="0"/>
          <w:sz w:val="24"/>
          <w:szCs w:val="24"/>
        </w:rPr>
        <w:t>。全市天然草地面积</w:t>
      </w:r>
      <w:r>
        <w:rPr>
          <w:rFonts w:hint="eastAsia"/>
          <w:snapToGrid w:val="0"/>
          <w:sz w:val="24"/>
          <w:szCs w:val="24"/>
        </w:rPr>
        <w:t>785.90</w:t>
      </w:r>
      <w:r>
        <w:rPr>
          <w:snapToGrid w:val="0"/>
          <w:sz w:val="24"/>
          <w:szCs w:val="24"/>
        </w:rPr>
        <w:t>万亩</w:t>
      </w:r>
      <w:r>
        <w:rPr>
          <w:rFonts w:hint="eastAsia"/>
          <w:snapToGrid w:val="0"/>
          <w:sz w:val="24"/>
          <w:szCs w:val="24"/>
        </w:rPr>
        <w:t>（不含兵团）</w:t>
      </w:r>
      <w:r>
        <w:rPr>
          <w:snapToGrid w:val="0"/>
          <w:sz w:val="24"/>
          <w:szCs w:val="24"/>
        </w:rPr>
        <w:t>。</w:t>
      </w:r>
    </w:p>
    <w:p w14:paraId="33554EFA">
      <w:pPr>
        <w:pStyle w:val="5"/>
        <w:rPr>
          <w:rFonts w:eastAsia="仿宋_GB2312"/>
        </w:rPr>
      </w:pPr>
      <w:r>
        <w:rPr>
          <w:rFonts w:eastAsia="仿宋_GB2312"/>
        </w:rPr>
        <w:t>1.1.8 旅游资源</w:t>
      </w:r>
    </w:p>
    <w:p w14:paraId="71CCA646">
      <w:pPr>
        <w:adjustRightInd w:val="0"/>
        <w:snapToGrid w:val="0"/>
        <w:ind w:firstLine="480"/>
        <w:rPr>
          <w:rFonts w:cs="Times New Roman"/>
        </w:rPr>
      </w:pPr>
      <w:r>
        <w:rPr>
          <w:rFonts w:cs="Times New Roman"/>
        </w:rPr>
        <w:t>阜康市旅游资源丰富，民族风情浓郁，历史文化厚重，汉唐时期是古丝绸之路上的重要驿站。拥有十分独特的自然旅游资源，从南部山区到北部沙漠的80公里直线距离之内，呈现出雪域冰川、高山湖泊、森林草甸、戈壁荒漠等不同的自然景观，形成了国内外罕见的垂直自然景观带。以天山天池景区、梧桐沟沙漠景区为代表的自然景观，以六运古城、五运清真寺等为代表的人文景观，以西王母瑶池史话为主旨形成的道教文化，以哈萨克族为代表的民族民俗文化，以展示近3.5亿年地球历史的“时光隧道”和生物多样性为代表的科普文化、以新天冰湖国家工农业旅游示范园为代表的葡萄酒文化、以“唐朝路”为代表的古丝绸之路文化等组成了阜康市丰富的旅游资源和文化底蕴，使旅游业具有无与伦比的发展和竞争优势，以世界自然遗产“新疆天山”和国家5A级风景旅游区天山天池为代表的旅游业在全疆旅游业中占据龙头地位，每年吸引了近400万海内外游客观光游览。</w:t>
      </w:r>
    </w:p>
    <w:p w14:paraId="5313AD36">
      <w:pPr>
        <w:pStyle w:val="5"/>
        <w:rPr>
          <w:rFonts w:eastAsia="仿宋_GB2312"/>
        </w:rPr>
      </w:pPr>
      <w:r>
        <w:rPr>
          <w:rFonts w:eastAsia="仿宋_GB2312"/>
        </w:rPr>
        <w:t>1.1.9 土地资源</w:t>
      </w:r>
    </w:p>
    <w:p w14:paraId="34E8CC1B">
      <w:pPr>
        <w:pStyle w:val="41"/>
        <w:adjustRightInd w:val="0"/>
        <w:snapToGrid w:val="0"/>
        <w:ind w:firstLine="480"/>
        <w:rPr>
          <w:rFonts w:cs="Times New Roman"/>
          <w:snapToGrid w:val="0"/>
          <w:color w:val="auto"/>
          <w:sz w:val="24"/>
        </w:rPr>
      </w:pPr>
      <w:r>
        <w:rPr>
          <w:rFonts w:hint="eastAsia" w:cs="Times New Roman"/>
          <w:snapToGrid w:val="0"/>
          <w:color w:val="auto"/>
          <w:sz w:val="24"/>
        </w:rPr>
        <w:t>根据自然资源局第三次土地普查数据，</w:t>
      </w:r>
      <w:r>
        <w:rPr>
          <w:rFonts w:cs="Times New Roman"/>
          <w:snapToGrid w:val="0"/>
          <w:color w:val="auto"/>
          <w:sz w:val="24"/>
        </w:rPr>
        <w:t>阜康市土地总面积:</w:t>
      </w:r>
      <w:r>
        <w:rPr>
          <w:rFonts w:hint="eastAsia" w:cs="Times New Roman"/>
          <w:snapToGrid w:val="0"/>
          <w:color w:val="auto"/>
          <w:sz w:val="24"/>
        </w:rPr>
        <w:t>821911.21</w:t>
      </w:r>
      <w:r>
        <w:rPr>
          <w:rFonts w:cs="Times New Roman"/>
          <w:snapToGrid w:val="0"/>
          <w:color w:val="auto"/>
          <w:sz w:val="24"/>
        </w:rPr>
        <w:t>hm</w:t>
      </w:r>
      <w:r>
        <w:rPr>
          <w:rFonts w:cs="Times New Roman"/>
          <w:snapToGrid w:val="0"/>
          <w:color w:val="auto"/>
          <w:sz w:val="24"/>
          <w:vertAlign w:val="superscript"/>
        </w:rPr>
        <w:t>2</w:t>
      </w:r>
      <w:r>
        <w:rPr>
          <w:rFonts w:hint="eastAsia" w:cs="Times New Roman"/>
          <w:snapToGrid w:val="0"/>
          <w:color w:val="auto"/>
          <w:sz w:val="24"/>
        </w:rPr>
        <w:t>（不含兵团）</w:t>
      </w:r>
      <w:r>
        <w:rPr>
          <w:rFonts w:cs="Times New Roman"/>
          <w:snapToGrid w:val="0"/>
          <w:color w:val="auto"/>
          <w:sz w:val="24"/>
        </w:rPr>
        <w:t>，其中耕地面积为</w:t>
      </w:r>
      <w:r>
        <w:rPr>
          <w:rFonts w:hint="eastAsia" w:cs="Times New Roman"/>
          <w:snapToGrid w:val="0"/>
          <w:color w:val="auto"/>
          <w:sz w:val="24"/>
        </w:rPr>
        <w:t>58196.96</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，园地</w:t>
      </w:r>
      <w:r>
        <w:rPr>
          <w:rFonts w:hint="eastAsia" w:cs="Times New Roman"/>
          <w:snapToGrid w:val="0"/>
          <w:color w:val="auto"/>
          <w:sz w:val="24"/>
        </w:rPr>
        <w:t>837.23</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，林地面积为</w:t>
      </w:r>
      <w:r>
        <w:rPr>
          <w:rFonts w:hint="eastAsia" w:cs="Times New Roman"/>
          <w:snapToGrid w:val="0"/>
          <w:color w:val="auto"/>
          <w:sz w:val="24"/>
        </w:rPr>
        <w:t>216688.68</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，草地面积为</w:t>
      </w:r>
      <w:r>
        <w:rPr>
          <w:rFonts w:hint="eastAsia" w:cs="Times New Roman"/>
          <w:snapToGrid w:val="0"/>
          <w:color w:val="auto"/>
          <w:sz w:val="24"/>
        </w:rPr>
        <w:t>473654.29</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，商业服务业用地</w:t>
      </w:r>
      <w:r>
        <w:rPr>
          <w:rFonts w:hint="eastAsia" w:cs="Times New Roman"/>
          <w:snapToGrid w:val="0"/>
          <w:color w:val="auto"/>
          <w:sz w:val="24"/>
        </w:rPr>
        <w:t>793.76</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，工矿用地</w:t>
      </w:r>
      <w:r>
        <w:rPr>
          <w:rFonts w:hint="eastAsia" w:cs="Times New Roman"/>
          <w:snapToGrid w:val="0"/>
          <w:color w:val="auto"/>
          <w:sz w:val="24"/>
        </w:rPr>
        <w:t>8369.94</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，住宅用地</w:t>
      </w:r>
      <w:r>
        <w:rPr>
          <w:rFonts w:hint="eastAsia" w:cs="Times New Roman"/>
          <w:snapToGrid w:val="0"/>
          <w:color w:val="auto"/>
          <w:sz w:val="24"/>
        </w:rPr>
        <w:t>3954.57</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，公共管理与公共服务用地</w:t>
      </w:r>
      <w:r>
        <w:rPr>
          <w:rFonts w:hint="eastAsia" w:cs="Times New Roman"/>
          <w:snapToGrid w:val="0"/>
          <w:color w:val="auto"/>
          <w:sz w:val="24"/>
        </w:rPr>
        <w:t>805.64</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，特殊用地</w:t>
      </w:r>
      <w:r>
        <w:rPr>
          <w:rFonts w:hint="eastAsia" w:cs="Times New Roman"/>
          <w:snapToGrid w:val="0"/>
          <w:color w:val="auto"/>
          <w:sz w:val="24"/>
        </w:rPr>
        <w:t>1090.99</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，交通运输用地面积为</w:t>
      </w:r>
      <w:r>
        <w:rPr>
          <w:rFonts w:hint="eastAsia" w:cs="Times New Roman"/>
          <w:snapToGrid w:val="0"/>
          <w:color w:val="auto"/>
          <w:sz w:val="24"/>
        </w:rPr>
        <w:t>6704.86</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，水利及水利设施用地面积为</w:t>
      </w:r>
      <w:r>
        <w:rPr>
          <w:rFonts w:hint="eastAsia" w:cs="Times New Roman"/>
          <w:snapToGrid w:val="0"/>
          <w:color w:val="auto"/>
          <w:sz w:val="24"/>
        </w:rPr>
        <w:t>13671.05</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，其他土地面积为</w:t>
      </w:r>
      <w:r>
        <w:rPr>
          <w:rFonts w:hint="eastAsia" w:cs="Times New Roman"/>
          <w:snapToGrid w:val="0"/>
          <w:color w:val="auto"/>
          <w:sz w:val="24"/>
        </w:rPr>
        <w:t>35322.20</w:t>
      </w:r>
      <w:r>
        <w:rPr>
          <w:rFonts w:cs="Times New Roman"/>
          <w:snapToGrid w:val="0"/>
          <w:color w:val="auto"/>
          <w:sz w:val="24"/>
        </w:rPr>
        <w:t>hm</w:t>
      </w:r>
      <w:r>
        <w:rPr>
          <w:rFonts w:cs="Times New Roman"/>
          <w:snapToGrid w:val="0"/>
          <w:color w:val="auto"/>
          <w:sz w:val="24"/>
          <w:vertAlign w:val="superscript"/>
        </w:rPr>
        <w:t>2</w:t>
      </w:r>
      <w:r>
        <w:rPr>
          <w:rFonts w:cs="Times New Roman"/>
          <w:snapToGrid w:val="0"/>
          <w:color w:val="auto"/>
          <w:sz w:val="24"/>
        </w:rPr>
        <w:t>，湿地面积为1821.04hm</w:t>
      </w:r>
      <w:r>
        <w:rPr>
          <w:rFonts w:cs="Times New Roman"/>
          <w:snapToGrid w:val="0"/>
          <w:color w:val="auto"/>
          <w:sz w:val="24"/>
          <w:vertAlign w:val="superscript"/>
        </w:rPr>
        <w:t>2</w:t>
      </w:r>
      <w:r>
        <w:rPr>
          <w:rFonts w:cs="Times New Roman"/>
          <w:snapToGrid w:val="0"/>
          <w:color w:val="auto"/>
          <w:sz w:val="24"/>
        </w:rPr>
        <w:t>。阜康市土地利用现状见表1.1-3。</w:t>
      </w:r>
    </w:p>
    <w:p w14:paraId="5E5F5044">
      <w:pPr>
        <w:pStyle w:val="5"/>
        <w:rPr>
          <w:rStyle w:val="94"/>
          <w:rFonts w:eastAsia="仿宋_GB2312"/>
          <w:b/>
          <w:kern w:val="0"/>
          <w:sz w:val="30"/>
        </w:rPr>
      </w:pPr>
      <w:r>
        <w:rPr>
          <w:rFonts w:eastAsia="仿宋_GB2312"/>
        </w:rPr>
        <w:t>1.1.10 矿产资源</w:t>
      </w:r>
    </w:p>
    <w:p w14:paraId="099731EC">
      <w:pPr>
        <w:adjustRightInd w:val="0"/>
        <w:snapToGrid w:val="0"/>
        <w:ind w:firstLine="480"/>
        <w:rPr>
          <w:rFonts w:cs="Times New Roman"/>
        </w:rPr>
      </w:pPr>
      <w:r>
        <w:rPr>
          <w:rFonts w:cs="Times New Roman"/>
        </w:rPr>
        <w:t>阜康市矿产资源主要有煤、石油、铁、溶剂石灰岩、白矾、石灰石、芒硝、石膏、油页岩、硼砂等，其中煤和石油的储量极为丰富。煤矿位于区域内海拔800～l100米的丘陵山区，东起大黄山，西至水磨沟，东西长53km，南北宽5km，矿区面积280k</w:t>
      </w:r>
      <w:r>
        <w:rPr>
          <w:rFonts w:eastAsia="Segoe UI Symbol" w:cs="Times New Roman"/>
        </w:rPr>
        <w:t>㎡</w:t>
      </w:r>
      <w:r>
        <w:rPr>
          <w:rFonts w:cs="Times New Roman"/>
        </w:rPr>
        <w:t>。全市煤炭远景储量达84亿吨，其中：炼焦配煤(焦煤)56亿吨，占总储量的66．7％，其主要分布在四工河以东、大黄山以西范围内。动力煤为28亿吨，主要分布在黄草沟至水磨沟之间。煤矿煤层气（瓦斯）储量450亿立方米。新疆准东油田开发基地位于阜康境内，油田储量2．1亿吨，预测储量15亿吨；天然气预测储量1502亿立方米。其他矿产储量：菱铁矿7亿吨，溶剂石灰岩2717万吨，石灰石2068万吨，油页岩11．87亿吨，芒硝2126万吨，磷矿325万吨。</w:t>
      </w:r>
    </w:p>
    <w:p w14:paraId="16C8E612">
      <w:pPr>
        <w:pStyle w:val="41"/>
        <w:adjustRightInd w:val="0"/>
        <w:snapToGrid w:val="0"/>
        <w:ind w:firstLine="480"/>
        <w:rPr>
          <w:rFonts w:cs="Times New Roman"/>
          <w:snapToGrid w:val="0"/>
          <w:color w:val="auto"/>
          <w:sz w:val="24"/>
        </w:rPr>
      </w:pPr>
    </w:p>
    <w:p w14:paraId="2549FD71">
      <w:pPr>
        <w:pStyle w:val="41"/>
        <w:adjustRightInd w:val="0"/>
        <w:snapToGrid w:val="0"/>
        <w:ind w:firstLine="480"/>
        <w:rPr>
          <w:rFonts w:cs="Times New Roman"/>
          <w:snapToGrid w:val="0"/>
          <w:color w:val="auto"/>
          <w:sz w:val="24"/>
          <w:szCs w:val="24"/>
        </w:rPr>
        <w:sectPr>
          <w:pgSz w:w="11907" w:h="16840"/>
          <w:pgMar w:top="1440" w:right="1797" w:bottom="1440" w:left="1797" w:header="851" w:footer="992" w:gutter="0"/>
          <w:cols w:space="720" w:num="1"/>
          <w:docGrid w:linePitch="312" w:charSpace="0"/>
        </w:sectPr>
      </w:pPr>
    </w:p>
    <w:p w14:paraId="61EAF954">
      <w:pPr>
        <w:pStyle w:val="41"/>
        <w:adjustRightInd w:val="0"/>
        <w:snapToGrid w:val="0"/>
        <w:ind w:firstLine="480"/>
        <w:rPr>
          <w:rFonts w:cs="Times New Roman"/>
          <w:b/>
          <w:snapToGrid w:val="0"/>
          <w:color w:val="auto"/>
          <w:sz w:val="24"/>
          <w:szCs w:val="24"/>
        </w:rPr>
      </w:pPr>
      <w:r>
        <w:rPr>
          <w:rFonts w:cs="Times New Roman"/>
          <w:snapToGrid w:val="0"/>
          <w:color w:val="auto"/>
          <w:sz w:val="24"/>
          <w:szCs w:val="24"/>
        </w:rPr>
        <w:t xml:space="preserve">表1.1-3 </w:t>
      </w:r>
      <w:r>
        <w:rPr>
          <w:rFonts w:cs="Times New Roman"/>
          <w:snapToGrid w:val="0"/>
          <w:color w:val="auto"/>
          <w:sz w:val="21"/>
          <w:szCs w:val="21"/>
        </w:rPr>
        <w:t xml:space="preserve">        </w:t>
      </w:r>
      <w:r>
        <w:rPr>
          <w:rFonts w:cs="Times New Roman"/>
          <w:snapToGrid w:val="0"/>
          <w:color w:val="auto"/>
          <w:sz w:val="24"/>
          <w:szCs w:val="24"/>
        </w:rPr>
        <w:t xml:space="preserve">                                    </w:t>
      </w:r>
      <w:r>
        <w:rPr>
          <w:rFonts w:cs="Times New Roman"/>
          <w:b/>
          <w:snapToGrid w:val="0"/>
          <w:color w:val="auto"/>
          <w:sz w:val="24"/>
          <w:szCs w:val="24"/>
        </w:rPr>
        <w:t>阜康市土地利用现状表                        单位：hm</w:t>
      </w:r>
      <w:r>
        <w:rPr>
          <w:rFonts w:cs="Times New Roman"/>
          <w:b/>
          <w:snapToGrid w:val="0"/>
          <w:color w:val="auto"/>
          <w:sz w:val="24"/>
          <w:szCs w:val="24"/>
          <w:vertAlign w:val="superscript"/>
        </w:rPr>
        <w:t>2</w:t>
      </w:r>
    </w:p>
    <w:tbl>
      <w:tblPr>
        <w:tblStyle w:val="48"/>
        <w:tblW w:w="5000" w:type="pct"/>
        <w:tblInd w:w="0" w:type="dxa"/>
        <w:tblLayout w:type="autofit"/>
        <w:tblCellMar>
          <w:top w:w="0" w:type="dxa"/>
          <w:left w:w="108" w:type="dxa"/>
          <w:bottom w:w="0" w:type="dxa"/>
          <w:right w:w="108" w:type="dxa"/>
        </w:tblCellMar>
      </w:tblPr>
      <w:tblGrid>
        <w:gridCol w:w="1836"/>
        <w:gridCol w:w="1076"/>
        <w:gridCol w:w="891"/>
        <w:gridCol w:w="824"/>
        <w:gridCol w:w="981"/>
        <w:gridCol w:w="981"/>
        <w:gridCol w:w="824"/>
        <w:gridCol w:w="838"/>
        <w:gridCol w:w="839"/>
        <w:gridCol w:w="825"/>
        <w:gridCol w:w="839"/>
        <w:gridCol w:w="839"/>
        <w:gridCol w:w="891"/>
        <w:gridCol w:w="891"/>
        <w:gridCol w:w="801"/>
      </w:tblGrid>
      <w:tr w14:paraId="3A51363B">
        <w:tblPrEx>
          <w:tblCellMar>
            <w:top w:w="0" w:type="dxa"/>
            <w:left w:w="108" w:type="dxa"/>
            <w:bottom w:w="0" w:type="dxa"/>
            <w:right w:w="108" w:type="dxa"/>
          </w:tblCellMar>
        </w:tblPrEx>
        <w:trPr>
          <w:trHeight w:val="720" w:hRule="atLeast"/>
        </w:trPr>
        <w:tc>
          <w:tcPr>
            <w:tcW w:w="563" w:type="pct"/>
            <w:tcBorders>
              <w:top w:val="single" w:color="auto" w:sz="4" w:space="0"/>
              <w:left w:val="single" w:color="auto" w:sz="4" w:space="0"/>
              <w:bottom w:val="single" w:color="auto" w:sz="4" w:space="0"/>
              <w:right w:val="single" w:color="auto" w:sz="4" w:space="0"/>
            </w:tcBorders>
            <w:shd w:val="clear" w:color="auto" w:fill="auto"/>
            <w:vAlign w:val="center"/>
          </w:tcPr>
          <w:p w14:paraId="1356E6D9">
            <w:pPr>
              <w:spacing w:line="240" w:lineRule="auto"/>
              <w:ind w:firstLine="0" w:firstLineChars="0"/>
              <w:jc w:val="center"/>
              <w:rPr>
                <w:rFonts w:hint="eastAsia" w:ascii="仿宋_GB2312" w:hAnsi="宋体"/>
                <w:sz w:val="18"/>
                <w:szCs w:val="18"/>
              </w:rPr>
            </w:pPr>
            <w:r>
              <w:rPr>
                <w:rFonts w:hint="eastAsia" w:ascii="仿宋_GB2312" w:hAnsi="宋体"/>
                <w:sz w:val="18"/>
                <w:szCs w:val="18"/>
              </w:rPr>
              <w:t>行政区域</w:t>
            </w:r>
          </w:p>
        </w:tc>
        <w:tc>
          <w:tcPr>
            <w:tcW w:w="394" w:type="pct"/>
            <w:tcBorders>
              <w:top w:val="single" w:color="auto" w:sz="4" w:space="0"/>
              <w:left w:val="nil"/>
              <w:bottom w:val="single" w:color="auto" w:sz="4" w:space="0"/>
              <w:right w:val="single" w:color="auto" w:sz="4" w:space="0"/>
            </w:tcBorders>
            <w:shd w:val="clear" w:color="auto" w:fill="auto"/>
            <w:vAlign w:val="center"/>
          </w:tcPr>
          <w:p w14:paraId="07E2BBBF">
            <w:pPr>
              <w:spacing w:line="240" w:lineRule="auto"/>
              <w:ind w:firstLine="0" w:firstLineChars="0"/>
              <w:jc w:val="center"/>
              <w:rPr>
                <w:rFonts w:hint="eastAsia" w:ascii="仿宋_GB2312" w:hAnsi="宋体"/>
                <w:sz w:val="18"/>
                <w:szCs w:val="18"/>
              </w:rPr>
            </w:pPr>
            <w:r>
              <w:rPr>
                <w:rFonts w:hint="eastAsia" w:ascii="仿宋_GB2312" w:hAnsi="宋体"/>
                <w:sz w:val="18"/>
                <w:szCs w:val="18"/>
              </w:rPr>
              <w:t>国土调查总面积（不含兵团）</w:t>
            </w:r>
          </w:p>
        </w:tc>
        <w:tc>
          <w:tcPr>
            <w:tcW w:w="314" w:type="pct"/>
            <w:tcBorders>
              <w:top w:val="single" w:color="auto" w:sz="4" w:space="0"/>
              <w:left w:val="nil"/>
              <w:bottom w:val="single" w:color="auto" w:sz="4" w:space="0"/>
              <w:right w:val="single" w:color="auto" w:sz="4" w:space="0"/>
            </w:tcBorders>
            <w:shd w:val="clear" w:color="auto" w:fill="auto"/>
            <w:vAlign w:val="center"/>
          </w:tcPr>
          <w:p w14:paraId="2049489C">
            <w:pPr>
              <w:spacing w:line="240" w:lineRule="auto"/>
              <w:ind w:firstLine="0" w:firstLineChars="0"/>
              <w:jc w:val="center"/>
              <w:rPr>
                <w:rFonts w:hint="eastAsia" w:ascii="仿宋_GB2312" w:hAnsi="宋体"/>
                <w:sz w:val="18"/>
                <w:szCs w:val="18"/>
              </w:rPr>
            </w:pPr>
            <w:r>
              <w:rPr>
                <w:rFonts w:hint="eastAsia" w:ascii="仿宋_GB2312" w:hAnsi="宋体"/>
                <w:sz w:val="18"/>
                <w:szCs w:val="18"/>
              </w:rPr>
              <w:t>耕地</w:t>
            </w:r>
          </w:p>
        </w:tc>
        <w:tc>
          <w:tcPr>
            <w:tcW w:w="305" w:type="pct"/>
            <w:tcBorders>
              <w:top w:val="single" w:color="auto" w:sz="4" w:space="0"/>
              <w:left w:val="nil"/>
              <w:bottom w:val="single" w:color="auto" w:sz="4" w:space="0"/>
              <w:right w:val="single" w:color="auto" w:sz="4" w:space="0"/>
            </w:tcBorders>
            <w:shd w:val="clear" w:color="auto" w:fill="auto"/>
            <w:vAlign w:val="center"/>
          </w:tcPr>
          <w:p w14:paraId="36734152">
            <w:pPr>
              <w:spacing w:line="240" w:lineRule="auto"/>
              <w:ind w:firstLine="0" w:firstLineChars="0"/>
              <w:jc w:val="center"/>
              <w:rPr>
                <w:rFonts w:hint="eastAsia" w:ascii="仿宋_GB2312" w:hAnsi="宋体"/>
                <w:sz w:val="18"/>
                <w:szCs w:val="18"/>
              </w:rPr>
            </w:pPr>
            <w:r>
              <w:rPr>
                <w:rFonts w:hint="eastAsia" w:ascii="仿宋_GB2312" w:hAnsi="宋体"/>
                <w:sz w:val="18"/>
                <w:szCs w:val="18"/>
              </w:rPr>
              <w:t>园用</w:t>
            </w:r>
          </w:p>
        </w:tc>
        <w:tc>
          <w:tcPr>
            <w:tcW w:w="335" w:type="pct"/>
            <w:tcBorders>
              <w:top w:val="single" w:color="auto" w:sz="4" w:space="0"/>
              <w:left w:val="nil"/>
              <w:bottom w:val="single" w:color="auto" w:sz="4" w:space="0"/>
              <w:right w:val="single" w:color="auto" w:sz="4" w:space="0"/>
            </w:tcBorders>
            <w:shd w:val="clear" w:color="auto" w:fill="auto"/>
            <w:vAlign w:val="center"/>
          </w:tcPr>
          <w:p w14:paraId="7E9DA68D">
            <w:pPr>
              <w:spacing w:line="240" w:lineRule="auto"/>
              <w:ind w:firstLine="0" w:firstLineChars="0"/>
              <w:jc w:val="center"/>
              <w:rPr>
                <w:rFonts w:hint="eastAsia" w:ascii="仿宋_GB2312" w:hAnsi="宋体"/>
                <w:sz w:val="18"/>
                <w:szCs w:val="18"/>
              </w:rPr>
            </w:pPr>
            <w:r>
              <w:rPr>
                <w:rFonts w:hint="eastAsia" w:ascii="仿宋_GB2312" w:hAnsi="宋体"/>
                <w:sz w:val="18"/>
                <w:szCs w:val="18"/>
              </w:rPr>
              <w:t>林地</w:t>
            </w:r>
          </w:p>
        </w:tc>
        <w:tc>
          <w:tcPr>
            <w:tcW w:w="335" w:type="pct"/>
            <w:tcBorders>
              <w:top w:val="single" w:color="auto" w:sz="4" w:space="0"/>
              <w:left w:val="nil"/>
              <w:bottom w:val="single" w:color="auto" w:sz="4" w:space="0"/>
              <w:right w:val="single" w:color="auto" w:sz="4" w:space="0"/>
            </w:tcBorders>
            <w:shd w:val="clear" w:color="auto" w:fill="auto"/>
            <w:vAlign w:val="center"/>
          </w:tcPr>
          <w:p w14:paraId="010B5F2B">
            <w:pPr>
              <w:spacing w:line="240" w:lineRule="auto"/>
              <w:ind w:firstLine="0" w:firstLineChars="0"/>
              <w:jc w:val="center"/>
              <w:rPr>
                <w:rFonts w:hint="eastAsia" w:ascii="仿宋_GB2312" w:hAnsi="宋体"/>
                <w:sz w:val="18"/>
                <w:szCs w:val="18"/>
              </w:rPr>
            </w:pPr>
            <w:r>
              <w:rPr>
                <w:rFonts w:hint="eastAsia" w:ascii="仿宋_GB2312" w:hAnsi="宋体"/>
                <w:sz w:val="18"/>
                <w:szCs w:val="18"/>
              </w:rPr>
              <w:t>草地</w:t>
            </w:r>
          </w:p>
        </w:tc>
        <w:tc>
          <w:tcPr>
            <w:tcW w:w="305" w:type="pct"/>
            <w:tcBorders>
              <w:top w:val="single" w:color="auto" w:sz="4" w:space="0"/>
              <w:left w:val="nil"/>
              <w:bottom w:val="single" w:color="auto" w:sz="4" w:space="0"/>
              <w:right w:val="single" w:color="auto" w:sz="4" w:space="0"/>
            </w:tcBorders>
            <w:shd w:val="clear" w:color="auto" w:fill="auto"/>
            <w:vAlign w:val="center"/>
          </w:tcPr>
          <w:p w14:paraId="2C4EB67C">
            <w:pPr>
              <w:spacing w:line="240" w:lineRule="auto"/>
              <w:ind w:firstLine="0" w:firstLineChars="0"/>
              <w:jc w:val="center"/>
              <w:rPr>
                <w:rFonts w:hint="eastAsia" w:ascii="仿宋_GB2312" w:hAnsi="宋体"/>
                <w:sz w:val="18"/>
                <w:szCs w:val="18"/>
              </w:rPr>
            </w:pPr>
            <w:r>
              <w:rPr>
                <w:rFonts w:hint="eastAsia" w:ascii="仿宋_GB2312" w:hAnsi="宋体"/>
                <w:sz w:val="18"/>
                <w:szCs w:val="18"/>
              </w:rPr>
              <w:t>商业服务业用地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62BB7FEC">
            <w:pPr>
              <w:spacing w:line="240" w:lineRule="auto"/>
              <w:ind w:firstLine="0" w:firstLineChars="0"/>
              <w:jc w:val="center"/>
              <w:rPr>
                <w:rFonts w:hint="eastAsia" w:ascii="仿宋_GB2312" w:hAnsi="宋体"/>
                <w:sz w:val="18"/>
                <w:szCs w:val="18"/>
              </w:rPr>
            </w:pPr>
            <w:r>
              <w:rPr>
                <w:rFonts w:hint="eastAsia" w:ascii="仿宋_GB2312" w:hAnsi="宋体"/>
                <w:sz w:val="18"/>
                <w:szCs w:val="18"/>
              </w:rPr>
              <w:t>工矿用地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4E277403">
            <w:pPr>
              <w:spacing w:line="240" w:lineRule="auto"/>
              <w:ind w:firstLine="0" w:firstLineChars="0"/>
              <w:jc w:val="center"/>
              <w:rPr>
                <w:rFonts w:hint="eastAsia" w:ascii="仿宋_GB2312" w:hAnsi="宋体"/>
                <w:sz w:val="18"/>
                <w:szCs w:val="18"/>
              </w:rPr>
            </w:pPr>
            <w:r>
              <w:rPr>
                <w:rFonts w:hint="eastAsia" w:ascii="仿宋_GB2312" w:hAnsi="宋体"/>
                <w:sz w:val="18"/>
                <w:szCs w:val="18"/>
              </w:rPr>
              <w:t>住宅用地</w:t>
            </w:r>
          </w:p>
        </w:tc>
        <w:tc>
          <w:tcPr>
            <w:tcW w:w="305" w:type="pct"/>
            <w:tcBorders>
              <w:top w:val="single" w:color="auto" w:sz="4" w:space="0"/>
              <w:left w:val="nil"/>
              <w:bottom w:val="single" w:color="auto" w:sz="4" w:space="0"/>
              <w:right w:val="single" w:color="auto" w:sz="4" w:space="0"/>
            </w:tcBorders>
            <w:shd w:val="clear" w:color="auto" w:fill="auto"/>
            <w:vAlign w:val="center"/>
          </w:tcPr>
          <w:p w14:paraId="5A9A6F34">
            <w:pPr>
              <w:spacing w:line="240" w:lineRule="auto"/>
              <w:ind w:firstLine="0" w:firstLineChars="0"/>
              <w:jc w:val="center"/>
              <w:rPr>
                <w:rFonts w:hint="eastAsia" w:ascii="仿宋_GB2312" w:hAnsi="宋体"/>
                <w:sz w:val="18"/>
                <w:szCs w:val="18"/>
              </w:rPr>
            </w:pPr>
            <w:r>
              <w:rPr>
                <w:rFonts w:hint="eastAsia" w:ascii="仿宋_GB2312" w:hAnsi="宋体"/>
                <w:sz w:val="18"/>
                <w:szCs w:val="18"/>
              </w:rPr>
              <w:t>公共管理与公共服务用地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71A90F1B">
            <w:pPr>
              <w:spacing w:line="240" w:lineRule="auto"/>
              <w:ind w:firstLine="0" w:firstLineChars="0"/>
              <w:jc w:val="center"/>
              <w:rPr>
                <w:rFonts w:hint="eastAsia" w:ascii="仿宋_GB2312" w:hAnsi="宋体"/>
                <w:sz w:val="18"/>
                <w:szCs w:val="18"/>
              </w:rPr>
            </w:pPr>
            <w:r>
              <w:rPr>
                <w:rFonts w:hint="eastAsia" w:ascii="仿宋_GB2312" w:hAnsi="宋体"/>
                <w:sz w:val="18"/>
                <w:szCs w:val="18"/>
              </w:rPr>
              <w:t>特殊用地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7DB56A41">
            <w:pPr>
              <w:spacing w:line="240" w:lineRule="auto"/>
              <w:ind w:firstLine="0" w:firstLineChars="0"/>
              <w:jc w:val="center"/>
              <w:rPr>
                <w:rFonts w:hint="eastAsia" w:ascii="仿宋_GB2312" w:hAnsi="宋体"/>
                <w:sz w:val="18"/>
                <w:szCs w:val="18"/>
              </w:rPr>
            </w:pPr>
            <w:r>
              <w:rPr>
                <w:rFonts w:hint="eastAsia" w:ascii="仿宋_GB2312" w:hAnsi="宋体"/>
                <w:sz w:val="18"/>
                <w:szCs w:val="18"/>
              </w:rPr>
              <w:t>交通运输用地</w:t>
            </w:r>
          </w:p>
        </w:tc>
        <w:tc>
          <w:tcPr>
            <w:tcW w:w="314" w:type="pct"/>
            <w:tcBorders>
              <w:top w:val="single" w:color="auto" w:sz="4" w:space="0"/>
              <w:left w:val="nil"/>
              <w:bottom w:val="single" w:color="auto" w:sz="4" w:space="0"/>
              <w:right w:val="single" w:color="auto" w:sz="4" w:space="0"/>
            </w:tcBorders>
            <w:shd w:val="clear" w:color="auto" w:fill="auto"/>
            <w:vAlign w:val="center"/>
          </w:tcPr>
          <w:p w14:paraId="33BA2BBC">
            <w:pPr>
              <w:spacing w:line="240" w:lineRule="auto"/>
              <w:ind w:firstLine="0" w:firstLineChars="0"/>
              <w:jc w:val="center"/>
              <w:rPr>
                <w:rFonts w:hint="eastAsia" w:ascii="仿宋_GB2312" w:hAnsi="宋体"/>
                <w:sz w:val="18"/>
                <w:szCs w:val="18"/>
              </w:rPr>
            </w:pPr>
            <w:r>
              <w:rPr>
                <w:rFonts w:hint="eastAsia" w:ascii="仿宋_GB2312" w:hAnsi="宋体"/>
                <w:sz w:val="18"/>
                <w:szCs w:val="18"/>
              </w:rPr>
              <w:t>水域及水利设施用地</w:t>
            </w:r>
          </w:p>
        </w:tc>
        <w:tc>
          <w:tcPr>
            <w:tcW w:w="314" w:type="pct"/>
            <w:tcBorders>
              <w:top w:val="single" w:color="auto" w:sz="4" w:space="0"/>
              <w:left w:val="nil"/>
              <w:bottom w:val="single" w:color="auto" w:sz="4" w:space="0"/>
              <w:right w:val="single" w:color="auto" w:sz="4" w:space="0"/>
            </w:tcBorders>
            <w:shd w:val="clear" w:color="auto" w:fill="auto"/>
            <w:vAlign w:val="center"/>
          </w:tcPr>
          <w:p w14:paraId="082CA956">
            <w:pPr>
              <w:spacing w:line="240" w:lineRule="auto"/>
              <w:ind w:firstLine="0" w:firstLineChars="0"/>
              <w:jc w:val="center"/>
              <w:rPr>
                <w:rFonts w:hint="eastAsia" w:ascii="仿宋_GB2312" w:hAnsi="宋体"/>
                <w:sz w:val="18"/>
                <w:szCs w:val="18"/>
              </w:rPr>
            </w:pPr>
            <w:r>
              <w:rPr>
                <w:rFonts w:hint="eastAsia" w:ascii="仿宋_GB2312" w:hAnsi="宋体"/>
                <w:sz w:val="18"/>
                <w:szCs w:val="18"/>
              </w:rPr>
              <w:t>其他土地</w:t>
            </w:r>
          </w:p>
        </w:tc>
        <w:tc>
          <w:tcPr>
            <w:tcW w:w="278" w:type="pct"/>
            <w:tcBorders>
              <w:top w:val="single" w:color="auto" w:sz="4" w:space="0"/>
              <w:left w:val="nil"/>
              <w:bottom w:val="single" w:color="auto" w:sz="4" w:space="0"/>
              <w:right w:val="single" w:color="auto" w:sz="4" w:space="0"/>
            </w:tcBorders>
            <w:shd w:val="clear" w:color="auto" w:fill="auto"/>
            <w:vAlign w:val="center"/>
          </w:tcPr>
          <w:p w14:paraId="3468FA25">
            <w:pPr>
              <w:spacing w:line="240" w:lineRule="auto"/>
              <w:ind w:firstLine="0" w:firstLineChars="0"/>
              <w:jc w:val="center"/>
              <w:rPr>
                <w:rFonts w:hint="eastAsia" w:ascii="仿宋_GB2312" w:hAnsi="宋体"/>
                <w:sz w:val="18"/>
                <w:szCs w:val="18"/>
              </w:rPr>
            </w:pPr>
            <w:r>
              <w:rPr>
                <w:rFonts w:hint="eastAsia" w:ascii="仿宋_GB2312" w:hAnsi="宋体"/>
                <w:sz w:val="18"/>
                <w:szCs w:val="18"/>
              </w:rPr>
              <w:t>湿地</w:t>
            </w:r>
          </w:p>
        </w:tc>
      </w:tr>
      <w:tr w14:paraId="31DF5D88">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vAlign w:val="center"/>
          </w:tcPr>
          <w:p w14:paraId="589A58A3">
            <w:pPr>
              <w:spacing w:line="240" w:lineRule="auto"/>
              <w:ind w:firstLine="0" w:firstLineChars="0"/>
              <w:jc w:val="center"/>
              <w:rPr>
                <w:rFonts w:hint="eastAsia" w:ascii="仿宋_GB2312" w:hAnsi="宋体"/>
                <w:b/>
                <w:bCs/>
                <w:sz w:val="18"/>
                <w:szCs w:val="18"/>
              </w:rPr>
            </w:pPr>
            <w:r>
              <w:rPr>
                <w:rFonts w:hint="eastAsia" w:ascii="仿宋_GB2312" w:hAnsi="宋体"/>
                <w:b/>
                <w:bCs/>
                <w:sz w:val="18"/>
                <w:szCs w:val="18"/>
              </w:rPr>
              <w:t>阜康市</w:t>
            </w:r>
          </w:p>
        </w:tc>
        <w:tc>
          <w:tcPr>
            <w:tcW w:w="394" w:type="pct"/>
            <w:tcBorders>
              <w:top w:val="nil"/>
              <w:left w:val="nil"/>
              <w:bottom w:val="single" w:color="auto" w:sz="4" w:space="0"/>
              <w:right w:val="single" w:color="auto" w:sz="4" w:space="0"/>
            </w:tcBorders>
            <w:shd w:val="clear" w:color="auto" w:fill="auto"/>
            <w:vAlign w:val="center"/>
          </w:tcPr>
          <w:p w14:paraId="344751F0">
            <w:pPr>
              <w:spacing w:line="240" w:lineRule="auto"/>
              <w:ind w:firstLine="0" w:firstLineChars="0"/>
              <w:jc w:val="center"/>
              <w:rPr>
                <w:rFonts w:eastAsia="宋体" w:cs="Times New Roman"/>
                <w:sz w:val="18"/>
                <w:szCs w:val="18"/>
              </w:rPr>
            </w:pPr>
            <w:r>
              <w:rPr>
                <w:rFonts w:eastAsia="宋体" w:cs="Times New Roman"/>
                <w:sz w:val="18"/>
                <w:szCs w:val="18"/>
              </w:rPr>
              <w:t>821911.21</w:t>
            </w:r>
          </w:p>
        </w:tc>
        <w:tc>
          <w:tcPr>
            <w:tcW w:w="314" w:type="pct"/>
            <w:tcBorders>
              <w:top w:val="nil"/>
              <w:left w:val="nil"/>
              <w:bottom w:val="single" w:color="auto" w:sz="4" w:space="0"/>
              <w:right w:val="single" w:color="auto" w:sz="4" w:space="0"/>
            </w:tcBorders>
            <w:shd w:val="clear" w:color="auto" w:fill="auto"/>
            <w:vAlign w:val="center"/>
          </w:tcPr>
          <w:p w14:paraId="2F1F2D2B">
            <w:pPr>
              <w:spacing w:line="240" w:lineRule="auto"/>
              <w:ind w:firstLine="0" w:firstLineChars="0"/>
              <w:jc w:val="center"/>
              <w:rPr>
                <w:rFonts w:eastAsia="宋体" w:cs="Times New Roman"/>
                <w:sz w:val="18"/>
                <w:szCs w:val="18"/>
              </w:rPr>
            </w:pPr>
            <w:r>
              <w:rPr>
                <w:rFonts w:eastAsia="宋体" w:cs="Times New Roman"/>
                <w:sz w:val="18"/>
                <w:szCs w:val="18"/>
              </w:rPr>
              <w:t>58196.96</w:t>
            </w:r>
          </w:p>
        </w:tc>
        <w:tc>
          <w:tcPr>
            <w:tcW w:w="305" w:type="pct"/>
            <w:tcBorders>
              <w:top w:val="nil"/>
              <w:left w:val="nil"/>
              <w:bottom w:val="single" w:color="auto" w:sz="4" w:space="0"/>
              <w:right w:val="single" w:color="auto" w:sz="4" w:space="0"/>
            </w:tcBorders>
            <w:shd w:val="clear" w:color="auto" w:fill="auto"/>
            <w:vAlign w:val="center"/>
          </w:tcPr>
          <w:p w14:paraId="5A14A150">
            <w:pPr>
              <w:spacing w:line="240" w:lineRule="auto"/>
              <w:ind w:firstLine="0" w:firstLineChars="0"/>
              <w:jc w:val="center"/>
              <w:rPr>
                <w:rFonts w:eastAsia="宋体" w:cs="Times New Roman"/>
                <w:sz w:val="18"/>
                <w:szCs w:val="18"/>
              </w:rPr>
            </w:pPr>
            <w:r>
              <w:rPr>
                <w:rFonts w:eastAsia="宋体" w:cs="Times New Roman"/>
                <w:sz w:val="18"/>
                <w:szCs w:val="18"/>
              </w:rPr>
              <w:t>837.23</w:t>
            </w:r>
          </w:p>
        </w:tc>
        <w:tc>
          <w:tcPr>
            <w:tcW w:w="335" w:type="pct"/>
            <w:tcBorders>
              <w:top w:val="nil"/>
              <w:left w:val="nil"/>
              <w:bottom w:val="single" w:color="auto" w:sz="4" w:space="0"/>
              <w:right w:val="single" w:color="auto" w:sz="4" w:space="0"/>
            </w:tcBorders>
            <w:shd w:val="clear" w:color="auto" w:fill="auto"/>
            <w:vAlign w:val="center"/>
          </w:tcPr>
          <w:p w14:paraId="647D59F8">
            <w:pPr>
              <w:spacing w:line="240" w:lineRule="auto"/>
              <w:ind w:firstLine="0" w:firstLineChars="0"/>
              <w:jc w:val="center"/>
              <w:rPr>
                <w:rFonts w:eastAsia="宋体" w:cs="Times New Roman"/>
                <w:sz w:val="18"/>
                <w:szCs w:val="18"/>
              </w:rPr>
            </w:pPr>
            <w:r>
              <w:rPr>
                <w:rFonts w:eastAsia="宋体" w:cs="Times New Roman"/>
                <w:sz w:val="18"/>
                <w:szCs w:val="18"/>
              </w:rPr>
              <w:t>216688.68</w:t>
            </w:r>
          </w:p>
        </w:tc>
        <w:tc>
          <w:tcPr>
            <w:tcW w:w="335" w:type="pct"/>
            <w:tcBorders>
              <w:top w:val="nil"/>
              <w:left w:val="nil"/>
              <w:bottom w:val="single" w:color="auto" w:sz="4" w:space="0"/>
              <w:right w:val="single" w:color="auto" w:sz="4" w:space="0"/>
            </w:tcBorders>
            <w:shd w:val="clear" w:color="auto" w:fill="auto"/>
            <w:vAlign w:val="center"/>
          </w:tcPr>
          <w:p w14:paraId="37F16C1D">
            <w:pPr>
              <w:spacing w:line="240" w:lineRule="auto"/>
              <w:ind w:firstLine="0" w:firstLineChars="0"/>
              <w:jc w:val="center"/>
              <w:rPr>
                <w:rFonts w:eastAsia="宋体" w:cs="Times New Roman"/>
                <w:sz w:val="18"/>
                <w:szCs w:val="18"/>
              </w:rPr>
            </w:pPr>
            <w:r>
              <w:rPr>
                <w:rFonts w:eastAsia="宋体" w:cs="Times New Roman"/>
                <w:sz w:val="18"/>
                <w:szCs w:val="18"/>
              </w:rPr>
              <w:t>473654.29</w:t>
            </w:r>
          </w:p>
        </w:tc>
        <w:tc>
          <w:tcPr>
            <w:tcW w:w="305" w:type="pct"/>
            <w:tcBorders>
              <w:top w:val="nil"/>
              <w:left w:val="nil"/>
              <w:bottom w:val="single" w:color="auto" w:sz="4" w:space="0"/>
              <w:right w:val="single" w:color="auto" w:sz="4" w:space="0"/>
            </w:tcBorders>
            <w:shd w:val="clear" w:color="auto" w:fill="auto"/>
            <w:vAlign w:val="center"/>
          </w:tcPr>
          <w:p w14:paraId="43CD7964">
            <w:pPr>
              <w:spacing w:line="240" w:lineRule="auto"/>
              <w:ind w:firstLine="0" w:firstLineChars="0"/>
              <w:jc w:val="center"/>
              <w:rPr>
                <w:rFonts w:eastAsia="宋体" w:cs="Times New Roman"/>
                <w:sz w:val="18"/>
                <w:szCs w:val="18"/>
              </w:rPr>
            </w:pPr>
            <w:r>
              <w:rPr>
                <w:rFonts w:eastAsia="宋体" w:cs="Times New Roman"/>
                <w:sz w:val="18"/>
                <w:szCs w:val="18"/>
              </w:rPr>
              <w:t>793.76</w:t>
            </w:r>
          </w:p>
        </w:tc>
        <w:tc>
          <w:tcPr>
            <w:tcW w:w="310" w:type="pct"/>
            <w:tcBorders>
              <w:top w:val="nil"/>
              <w:left w:val="nil"/>
              <w:bottom w:val="single" w:color="auto" w:sz="4" w:space="0"/>
              <w:right w:val="single" w:color="auto" w:sz="4" w:space="0"/>
            </w:tcBorders>
            <w:shd w:val="clear" w:color="auto" w:fill="auto"/>
            <w:vAlign w:val="center"/>
          </w:tcPr>
          <w:p w14:paraId="3CB6B789">
            <w:pPr>
              <w:spacing w:line="240" w:lineRule="auto"/>
              <w:ind w:firstLine="0" w:firstLineChars="0"/>
              <w:jc w:val="center"/>
              <w:rPr>
                <w:rFonts w:eastAsia="宋体" w:cs="Times New Roman"/>
                <w:sz w:val="18"/>
                <w:szCs w:val="18"/>
              </w:rPr>
            </w:pPr>
            <w:r>
              <w:rPr>
                <w:rFonts w:eastAsia="宋体" w:cs="Times New Roman"/>
                <w:sz w:val="18"/>
                <w:szCs w:val="18"/>
              </w:rPr>
              <w:t>8369.94</w:t>
            </w:r>
          </w:p>
        </w:tc>
        <w:tc>
          <w:tcPr>
            <w:tcW w:w="310" w:type="pct"/>
            <w:tcBorders>
              <w:top w:val="nil"/>
              <w:left w:val="nil"/>
              <w:bottom w:val="single" w:color="auto" w:sz="4" w:space="0"/>
              <w:right w:val="single" w:color="auto" w:sz="4" w:space="0"/>
            </w:tcBorders>
            <w:shd w:val="clear" w:color="auto" w:fill="auto"/>
            <w:vAlign w:val="center"/>
          </w:tcPr>
          <w:p w14:paraId="48ABE42D">
            <w:pPr>
              <w:spacing w:line="240" w:lineRule="auto"/>
              <w:ind w:firstLine="0" w:firstLineChars="0"/>
              <w:jc w:val="center"/>
              <w:rPr>
                <w:rFonts w:eastAsia="宋体" w:cs="Times New Roman"/>
                <w:sz w:val="18"/>
                <w:szCs w:val="18"/>
              </w:rPr>
            </w:pPr>
            <w:r>
              <w:rPr>
                <w:rFonts w:eastAsia="宋体" w:cs="Times New Roman"/>
                <w:sz w:val="18"/>
                <w:szCs w:val="18"/>
              </w:rPr>
              <w:t>3954.57</w:t>
            </w:r>
          </w:p>
        </w:tc>
        <w:tc>
          <w:tcPr>
            <w:tcW w:w="305" w:type="pct"/>
            <w:tcBorders>
              <w:top w:val="nil"/>
              <w:left w:val="nil"/>
              <w:bottom w:val="single" w:color="auto" w:sz="4" w:space="0"/>
              <w:right w:val="single" w:color="auto" w:sz="4" w:space="0"/>
            </w:tcBorders>
            <w:shd w:val="clear" w:color="auto" w:fill="auto"/>
            <w:vAlign w:val="center"/>
          </w:tcPr>
          <w:p w14:paraId="055D7149">
            <w:pPr>
              <w:spacing w:line="240" w:lineRule="auto"/>
              <w:ind w:firstLine="0" w:firstLineChars="0"/>
              <w:jc w:val="center"/>
              <w:rPr>
                <w:rFonts w:eastAsia="宋体" w:cs="Times New Roman"/>
                <w:sz w:val="18"/>
                <w:szCs w:val="18"/>
              </w:rPr>
            </w:pPr>
            <w:r>
              <w:rPr>
                <w:rFonts w:eastAsia="宋体" w:cs="Times New Roman"/>
                <w:sz w:val="18"/>
                <w:szCs w:val="18"/>
              </w:rPr>
              <w:t>805.64</w:t>
            </w:r>
          </w:p>
        </w:tc>
        <w:tc>
          <w:tcPr>
            <w:tcW w:w="310" w:type="pct"/>
            <w:tcBorders>
              <w:top w:val="nil"/>
              <w:left w:val="nil"/>
              <w:bottom w:val="single" w:color="auto" w:sz="4" w:space="0"/>
              <w:right w:val="single" w:color="auto" w:sz="4" w:space="0"/>
            </w:tcBorders>
            <w:shd w:val="clear" w:color="auto" w:fill="auto"/>
            <w:vAlign w:val="center"/>
          </w:tcPr>
          <w:p w14:paraId="6CCFB650">
            <w:pPr>
              <w:spacing w:line="240" w:lineRule="auto"/>
              <w:ind w:firstLine="0" w:firstLineChars="0"/>
              <w:jc w:val="center"/>
              <w:rPr>
                <w:rFonts w:eastAsia="宋体" w:cs="Times New Roman"/>
                <w:sz w:val="18"/>
                <w:szCs w:val="18"/>
              </w:rPr>
            </w:pPr>
            <w:r>
              <w:rPr>
                <w:rFonts w:eastAsia="宋体" w:cs="Times New Roman"/>
                <w:sz w:val="18"/>
                <w:szCs w:val="18"/>
              </w:rPr>
              <w:t>1090.99</w:t>
            </w:r>
          </w:p>
        </w:tc>
        <w:tc>
          <w:tcPr>
            <w:tcW w:w="310" w:type="pct"/>
            <w:tcBorders>
              <w:top w:val="nil"/>
              <w:left w:val="nil"/>
              <w:bottom w:val="single" w:color="auto" w:sz="4" w:space="0"/>
              <w:right w:val="single" w:color="auto" w:sz="4" w:space="0"/>
            </w:tcBorders>
            <w:shd w:val="clear" w:color="auto" w:fill="auto"/>
            <w:vAlign w:val="center"/>
          </w:tcPr>
          <w:p w14:paraId="77920F20">
            <w:pPr>
              <w:spacing w:line="240" w:lineRule="auto"/>
              <w:ind w:firstLine="0" w:firstLineChars="0"/>
              <w:jc w:val="center"/>
              <w:rPr>
                <w:rFonts w:eastAsia="宋体" w:cs="Times New Roman"/>
                <w:sz w:val="18"/>
                <w:szCs w:val="18"/>
              </w:rPr>
            </w:pPr>
            <w:r>
              <w:rPr>
                <w:rFonts w:eastAsia="宋体" w:cs="Times New Roman"/>
                <w:sz w:val="18"/>
                <w:szCs w:val="18"/>
              </w:rPr>
              <w:t>6704.86</w:t>
            </w:r>
          </w:p>
        </w:tc>
        <w:tc>
          <w:tcPr>
            <w:tcW w:w="314" w:type="pct"/>
            <w:tcBorders>
              <w:top w:val="nil"/>
              <w:left w:val="nil"/>
              <w:bottom w:val="single" w:color="auto" w:sz="4" w:space="0"/>
              <w:right w:val="single" w:color="auto" w:sz="4" w:space="0"/>
            </w:tcBorders>
            <w:shd w:val="clear" w:color="auto" w:fill="auto"/>
            <w:vAlign w:val="center"/>
          </w:tcPr>
          <w:p w14:paraId="395B2667">
            <w:pPr>
              <w:spacing w:line="240" w:lineRule="auto"/>
              <w:ind w:firstLine="0" w:firstLineChars="0"/>
              <w:jc w:val="center"/>
              <w:rPr>
                <w:rFonts w:eastAsia="宋体" w:cs="Times New Roman"/>
                <w:sz w:val="18"/>
                <w:szCs w:val="18"/>
              </w:rPr>
            </w:pPr>
            <w:r>
              <w:rPr>
                <w:rFonts w:eastAsia="宋体" w:cs="Times New Roman"/>
                <w:sz w:val="18"/>
                <w:szCs w:val="18"/>
              </w:rPr>
              <w:t>13671.05</w:t>
            </w:r>
          </w:p>
        </w:tc>
        <w:tc>
          <w:tcPr>
            <w:tcW w:w="314" w:type="pct"/>
            <w:tcBorders>
              <w:top w:val="nil"/>
              <w:left w:val="nil"/>
              <w:bottom w:val="single" w:color="auto" w:sz="4" w:space="0"/>
              <w:right w:val="single" w:color="auto" w:sz="4" w:space="0"/>
            </w:tcBorders>
            <w:shd w:val="clear" w:color="auto" w:fill="auto"/>
            <w:vAlign w:val="center"/>
          </w:tcPr>
          <w:p w14:paraId="78DD06EB">
            <w:pPr>
              <w:spacing w:line="240" w:lineRule="auto"/>
              <w:ind w:firstLine="0" w:firstLineChars="0"/>
              <w:jc w:val="center"/>
              <w:rPr>
                <w:rFonts w:eastAsia="宋体" w:cs="Times New Roman"/>
                <w:sz w:val="18"/>
                <w:szCs w:val="18"/>
              </w:rPr>
            </w:pPr>
            <w:r>
              <w:rPr>
                <w:rFonts w:eastAsia="宋体" w:cs="Times New Roman"/>
                <w:sz w:val="18"/>
                <w:szCs w:val="18"/>
              </w:rPr>
              <w:t>35322.2</w:t>
            </w:r>
          </w:p>
        </w:tc>
        <w:tc>
          <w:tcPr>
            <w:tcW w:w="278" w:type="pct"/>
            <w:tcBorders>
              <w:top w:val="nil"/>
              <w:left w:val="nil"/>
              <w:bottom w:val="single" w:color="auto" w:sz="4" w:space="0"/>
              <w:right w:val="single" w:color="auto" w:sz="4" w:space="0"/>
            </w:tcBorders>
            <w:shd w:val="clear" w:color="auto" w:fill="auto"/>
            <w:vAlign w:val="center"/>
          </w:tcPr>
          <w:p w14:paraId="525F6CD7">
            <w:pPr>
              <w:spacing w:line="240" w:lineRule="auto"/>
              <w:ind w:firstLine="0" w:firstLineChars="0"/>
              <w:jc w:val="center"/>
              <w:rPr>
                <w:rFonts w:eastAsia="宋体" w:cs="Times New Roman"/>
                <w:sz w:val="18"/>
                <w:szCs w:val="18"/>
              </w:rPr>
            </w:pPr>
            <w:r>
              <w:rPr>
                <w:rFonts w:eastAsia="宋体" w:cs="Times New Roman"/>
                <w:sz w:val="18"/>
                <w:szCs w:val="18"/>
              </w:rPr>
              <w:t>1821.04</w:t>
            </w:r>
          </w:p>
        </w:tc>
      </w:tr>
      <w:tr w14:paraId="4F946330">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6113F3AF">
            <w:pPr>
              <w:spacing w:line="240" w:lineRule="auto"/>
              <w:ind w:firstLine="0" w:firstLineChars="0"/>
              <w:jc w:val="center"/>
              <w:rPr>
                <w:rFonts w:hint="eastAsia" w:ascii="仿宋_GB2312" w:hAnsi="宋体"/>
                <w:sz w:val="18"/>
                <w:szCs w:val="18"/>
              </w:rPr>
            </w:pPr>
            <w:r>
              <w:rPr>
                <w:rFonts w:hint="eastAsia" w:ascii="仿宋_GB2312" w:hAnsi="宋体"/>
                <w:sz w:val="18"/>
                <w:szCs w:val="18"/>
              </w:rPr>
              <w:t>准东办事处</w:t>
            </w:r>
          </w:p>
        </w:tc>
        <w:tc>
          <w:tcPr>
            <w:tcW w:w="394" w:type="pct"/>
            <w:tcBorders>
              <w:top w:val="nil"/>
              <w:left w:val="nil"/>
              <w:bottom w:val="single" w:color="auto" w:sz="4" w:space="0"/>
              <w:right w:val="single" w:color="auto" w:sz="4" w:space="0"/>
            </w:tcBorders>
            <w:shd w:val="clear" w:color="auto" w:fill="auto"/>
            <w:noWrap/>
            <w:vAlign w:val="center"/>
          </w:tcPr>
          <w:p w14:paraId="55787323">
            <w:pPr>
              <w:spacing w:line="240" w:lineRule="auto"/>
              <w:ind w:firstLine="0" w:firstLineChars="0"/>
              <w:jc w:val="center"/>
              <w:rPr>
                <w:rFonts w:eastAsia="宋体" w:cs="Times New Roman"/>
                <w:sz w:val="18"/>
                <w:szCs w:val="18"/>
              </w:rPr>
            </w:pPr>
            <w:r>
              <w:rPr>
                <w:rFonts w:eastAsia="宋体" w:cs="Times New Roman"/>
                <w:sz w:val="18"/>
                <w:szCs w:val="18"/>
              </w:rPr>
              <w:t>1065.85</w:t>
            </w:r>
          </w:p>
        </w:tc>
        <w:tc>
          <w:tcPr>
            <w:tcW w:w="314" w:type="pct"/>
            <w:tcBorders>
              <w:top w:val="nil"/>
              <w:left w:val="nil"/>
              <w:bottom w:val="single" w:color="auto" w:sz="4" w:space="0"/>
              <w:right w:val="single" w:color="auto" w:sz="4" w:space="0"/>
            </w:tcBorders>
            <w:shd w:val="clear" w:color="auto" w:fill="auto"/>
            <w:noWrap/>
            <w:vAlign w:val="center"/>
          </w:tcPr>
          <w:p w14:paraId="08E5FB81">
            <w:pPr>
              <w:spacing w:line="240" w:lineRule="auto"/>
              <w:ind w:firstLine="0" w:firstLineChars="0"/>
              <w:jc w:val="center"/>
              <w:rPr>
                <w:rFonts w:eastAsia="宋体" w:cs="Times New Roman"/>
                <w:sz w:val="18"/>
                <w:szCs w:val="18"/>
              </w:rPr>
            </w:pPr>
            <w:r>
              <w:rPr>
                <w:rFonts w:eastAsia="宋体" w:cs="Times New Roman"/>
                <w:sz w:val="18"/>
                <w:szCs w:val="18"/>
              </w:rPr>
              <w:t>11.34</w:t>
            </w:r>
          </w:p>
        </w:tc>
        <w:tc>
          <w:tcPr>
            <w:tcW w:w="305" w:type="pct"/>
            <w:tcBorders>
              <w:top w:val="nil"/>
              <w:left w:val="nil"/>
              <w:bottom w:val="single" w:color="auto" w:sz="4" w:space="0"/>
              <w:right w:val="single" w:color="auto" w:sz="4" w:space="0"/>
            </w:tcBorders>
            <w:shd w:val="clear" w:color="auto" w:fill="auto"/>
            <w:noWrap/>
            <w:vAlign w:val="center"/>
          </w:tcPr>
          <w:p w14:paraId="79EE4C04">
            <w:pPr>
              <w:spacing w:line="240" w:lineRule="auto"/>
              <w:ind w:firstLine="0" w:firstLineChars="0"/>
              <w:jc w:val="center"/>
              <w:rPr>
                <w:rFonts w:eastAsia="宋体" w:cs="Times New Roman"/>
                <w:sz w:val="18"/>
                <w:szCs w:val="18"/>
              </w:rPr>
            </w:pPr>
            <w:r>
              <w:rPr>
                <w:rFonts w:eastAsia="宋体" w:cs="Times New Roman"/>
                <w:sz w:val="18"/>
                <w:szCs w:val="18"/>
              </w:rPr>
              <w:t>0</w:t>
            </w:r>
          </w:p>
        </w:tc>
        <w:tc>
          <w:tcPr>
            <w:tcW w:w="335" w:type="pct"/>
            <w:tcBorders>
              <w:top w:val="nil"/>
              <w:left w:val="nil"/>
              <w:bottom w:val="single" w:color="auto" w:sz="4" w:space="0"/>
              <w:right w:val="single" w:color="auto" w:sz="4" w:space="0"/>
            </w:tcBorders>
            <w:shd w:val="clear" w:color="auto" w:fill="auto"/>
            <w:noWrap/>
            <w:vAlign w:val="center"/>
          </w:tcPr>
          <w:p w14:paraId="45E73295">
            <w:pPr>
              <w:spacing w:line="240" w:lineRule="auto"/>
              <w:ind w:firstLine="0" w:firstLineChars="0"/>
              <w:jc w:val="center"/>
              <w:rPr>
                <w:rFonts w:eastAsia="宋体" w:cs="Times New Roman"/>
                <w:sz w:val="18"/>
                <w:szCs w:val="18"/>
              </w:rPr>
            </w:pPr>
            <w:r>
              <w:rPr>
                <w:rFonts w:eastAsia="宋体" w:cs="Times New Roman"/>
                <w:sz w:val="18"/>
                <w:szCs w:val="18"/>
              </w:rPr>
              <w:t>267.23</w:t>
            </w:r>
          </w:p>
        </w:tc>
        <w:tc>
          <w:tcPr>
            <w:tcW w:w="335" w:type="pct"/>
            <w:tcBorders>
              <w:top w:val="nil"/>
              <w:left w:val="nil"/>
              <w:bottom w:val="single" w:color="auto" w:sz="4" w:space="0"/>
              <w:right w:val="single" w:color="auto" w:sz="4" w:space="0"/>
            </w:tcBorders>
            <w:shd w:val="clear" w:color="auto" w:fill="auto"/>
            <w:noWrap/>
            <w:vAlign w:val="center"/>
          </w:tcPr>
          <w:p w14:paraId="518C6528">
            <w:pPr>
              <w:spacing w:line="240" w:lineRule="auto"/>
              <w:ind w:firstLine="0" w:firstLineChars="0"/>
              <w:jc w:val="center"/>
              <w:rPr>
                <w:rFonts w:eastAsia="宋体" w:cs="Times New Roman"/>
                <w:sz w:val="18"/>
                <w:szCs w:val="18"/>
              </w:rPr>
            </w:pPr>
            <w:r>
              <w:rPr>
                <w:rFonts w:eastAsia="宋体" w:cs="Times New Roman"/>
                <w:sz w:val="18"/>
                <w:szCs w:val="18"/>
              </w:rPr>
              <w:t>170.73</w:t>
            </w:r>
          </w:p>
        </w:tc>
        <w:tc>
          <w:tcPr>
            <w:tcW w:w="305" w:type="pct"/>
            <w:tcBorders>
              <w:top w:val="nil"/>
              <w:left w:val="nil"/>
              <w:bottom w:val="single" w:color="auto" w:sz="4" w:space="0"/>
              <w:right w:val="single" w:color="auto" w:sz="4" w:space="0"/>
            </w:tcBorders>
            <w:shd w:val="clear" w:color="auto" w:fill="auto"/>
            <w:noWrap/>
            <w:vAlign w:val="center"/>
          </w:tcPr>
          <w:p w14:paraId="12118002">
            <w:pPr>
              <w:spacing w:line="240" w:lineRule="auto"/>
              <w:ind w:firstLine="0" w:firstLineChars="0"/>
              <w:jc w:val="center"/>
              <w:rPr>
                <w:rFonts w:eastAsia="宋体" w:cs="Times New Roman"/>
                <w:sz w:val="18"/>
                <w:szCs w:val="18"/>
              </w:rPr>
            </w:pPr>
            <w:r>
              <w:rPr>
                <w:rFonts w:eastAsia="宋体" w:cs="Times New Roman"/>
                <w:sz w:val="18"/>
                <w:szCs w:val="18"/>
              </w:rPr>
              <w:t>97.57</w:t>
            </w:r>
          </w:p>
        </w:tc>
        <w:tc>
          <w:tcPr>
            <w:tcW w:w="310" w:type="pct"/>
            <w:tcBorders>
              <w:top w:val="nil"/>
              <w:left w:val="nil"/>
              <w:bottom w:val="single" w:color="auto" w:sz="4" w:space="0"/>
              <w:right w:val="single" w:color="auto" w:sz="4" w:space="0"/>
            </w:tcBorders>
            <w:shd w:val="clear" w:color="auto" w:fill="auto"/>
            <w:noWrap/>
            <w:vAlign w:val="center"/>
          </w:tcPr>
          <w:p w14:paraId="44688359">
            <w:pPr>
              <w:spacing w:line="240" w:lineRule="auto"/>
              <w:ind w:firstLine="0" w:firstLineChars="0"/>
              <w:jc w:val="center"/>
              <w:rPr>
                <w:rFonts w:eastAsia="宋体" w:cs="Times New Roman"/>
                <w:sz w:val="18"/>
                <w:szCs w:val="18"/>
              </w:rPr>
            </w:pPr>
            <w:r>
              <w:rPr>
                <w:rFonts w:eastAsia="宋体" w:cs="Times New Roman"/>
                <w:sz w:val="18"/>
                <w:szCs w:val="18"/>
              </w:rPr>
              <w:t>138.82</w:t>
            </w:r>
          </w:p>
        </w:tc>
        <w:tc>
          <w:tcPr>
            <w:tcW w:w="310" w:type="pct"/>
            <w:tcBorders>
              <w:top w:val="nil"/>
              <w:left w:val="nil"/>
              <w:bottom w:val="single" w:color="auto" w:sz="4" w:space="0"/>
              <w:right w:val="single" w:color="auto" w:sz="4" w:space="0"/>
            </w:tcBorders>
            <w:shd w:val="clear" w:color="auto" w:fill="auto"/>
            <w:noWrap/>
            <w:vAlign w:val="center"/>
          </w:tcPr>
          <w:p w14:paraId="7883D721">
            <w:pPr>
              <w:spacing w:line="240" w:lineRule="auto"/>
              <w:ind w:firstLine="0" w:firstLineChars="0"/>
              <w:jc w:val="center"/>
              <w:rPr>
                <w:rFonts w:eastAsia="宋体" w:cs="Times New Roman"/>
                <w:sz w:val="18"/>
                <w:szCs w:val="18"/>
              </w:rPr>
            </w:pPr>
            <w:r>
              <w:rPr>
                <w:rFonts w:eastAsia="宋体" w:cs="Times New Roman"/>
                <w:sz w:val="18"/>
                <w:szCs w:val="18"/>
              </w:rPr>
              <w:t>106.72</w:t>
            </w:r>
          </w:p>
        </w:tc>
        <w:tc>
          <w:tcPr>
            <w:tcW w:w="305" w:type="pct"/>
            <w:tcBorders>
              <w:top w:val="nil"/>
              <w:left w:val="nil"/>
              <w:bottom w:val="single" w:color="auto" w:sz="4" w:space="0"/>
              <w:right w:val="single" w:color="auto" w:sz="4" w:space="0"/>
            </w:tcBorders>
            <w:shd w:val="clear" w:color="auto" w:fill="auto"/>
            <w:noWrap/>
            <w:vAlign w:val="center"/>
          </w:tcPr>
          <w:p w14:paraId="74E0F91B">
            <w:pPr>
              <w:spacing w:line="240" w:lineRule="auto"/>
              <w:ind w:firstLine="0" w:firstLineChars="0"/>
              <w:jc w:val="center"/>
              <w:rPr>
                <w:rFonts w:eastAsia="宋体" w:cs="Times New Roman"/>
                <w:sz w:val="18"/>
                <w:szCs w:val="18"/>
              </w:rPr>
            </w:pPr>
            <w:r>
              <w:rPr>
                <w:rFonts w:eastAsia="宋体" w:cs="Times New Roman"/>
                <w:sz w:val="18"/>
                <w:szCs w:val="18"/>
              </w:rPr>
              <w:t>133.55</w:t>
            </w:r>
          </w:p>
        </w:tc>
        <w:tc>
          <w:tcPr>
            <w:tcW w:w="310" w:type="pct"/>
            <w:tcBorders>
              <w:top w:val="nil"/>
              <w:left w:val="nil"/>
              <w:bottom w:val="single" w:color="auto" w:sz="4" w:space="0"/>
              <w:right w:val="single" w:color="auto" w:sz="4" w:space="0"/>
            </w:tcBorders>
            <w:shd w:val="clear" w:color="auto" w:fill="auto"/>
            <w:noWrap/>
            <w:vAlign w:val="center"/>
          </w:tcPr>
          <w:p w14:paraId="75C18534">
            <w:pPr>
              <w:spacing w:line="240" w:lineRule="auto"/>
              <w:ind w:firstLine="0" w:firstLineChars="0"/>
              <w:jc w:val="center"/>
              <w:rPr>
                <w:rFonts w:eastAsia="宋体" w:cs="Times New Roman"/>
                <w:sz w:val="18"/>
                <w:szCs w:val="18"/>
              </w:rPr>
            </w:pPr>
            <w:r>
              <w:rPr>
                <w:rFonts w:eastAsia="宋体" w:cs="Times New Roman"/>
                <w:sz w:val="18"/>
                <w:szCs w:val="18"/>
              </w:rPr>
              <w:t>4</w:t>
            </w:r>
          </w:p>
        </w:tc>
        <w:tc>
          <w:tcPr>
            <w:tcW w:w="310" w:type="pct"/>
            <w:tcBorders>
              <w:top w:val="nil"/>
              <w:left w:val="nil"/>
              <w:bottom w:val="single" w:color="auto" w:sz="4" w:space="0"/>
              <w:right w:val="single" w:color="auto" w:sz="4" w:space="0"/>
            </w:tcBorders>
            <w:shd w:val="clear" w:color="auto" w:fill="auto"/>
            <w:noWrap/>
            <w:vAlign w:val="center"/>
          </w:tcPr>
          <w:p w14:paraId="1C201A99">
            <w:pPr>
              <w:spacing w:line="240" w:lineRule="auto"/>
              <w:ind w:firstLine="0" w:firstLineChars="0"/>
              <w:jc w:val="center"/>
              <w:rPr>
                <w:rFonts w:eastAsia="宋体" w:cs="Times New Roman"/>
                <w:sz w:val="18"/>
                <w:szCs w:val="18"/>
              </w:rPr>
            </w:pPr>
            <w:r>
              <w:rPr>
                <w:rFonts w:eastAsia="宋体" w:cs="Times New Roman"/>
                <w:sz w:val="18"/>
                <w:szCs w:val="18"/>
              </w:rPr>
              <w:t>83.19</w:t>
            </w:r>
          </w:p>
        </w:tc>
        <w:tc>
          <w:tcPr>
            <w:tcW w:w="314" w:type="pct"/>
            <w:tcBorders>
              <w:top w:val="nil"/>
              <w:left w:val="nil"/>
              <w:bottom w:val="single" w:color="auto" w:sz="4" w:space="0"/>
              <w:right w:val="single" w:color="auto" w:sz="4" w:space="0"/>
            </w:tcBorders>
            <w:shd w:val="clear" w:color="auto" w:fill="auto"/>
            <w:noWrap/>
            <w:vAlign w:val="center"/>
          </w:tcPr>
          <w:p w14:paraId="16A9190E">
            <w:pPr>
              <w:spacing w:line="240" w:lineRule="auto"/>
              <w:ind w:firstLine="0" w:firstLineChars="0"/>
              <w:jc w:val="center"/>
              <w:rPr>
                <w:rFonts w:eastAsia="宋体" w:cs="Times New Roman"/>
                <w:sz w:val="18"/>
                <w:szCs w:val="18"/>
              </w:rPr>
            </w:pPr>
            <w:r>
              <w:rPr>
                <w:rFonts w:eastAsia="宋体" w:cs="Times New Roman"/>
                <w:sz w:val="18"/>
                <w:szCs w:val="18"/>
              </w:rPr>
              <w:t>52.29</w:t>
            </w:r>
          </w:p>
        </w:tc>
        <w:tc>
          <w:tcPr>
            <w:tcW w:w="314" w:type="pct"/>
            <w:tcBorders>
              <w:top w:val="nil"/>
              <w:left w:val="nil"/>
              <w:bottom w:val="single" w:color="auto" w:sz="4" w:space="0"/>
              <w:right w:val="single" w:color="auto" w:sz="4" w:space="0"/>
            </w:tcBorders>
            <w:shd w:val="clear" w:color="auto" w:fill="auto"/>
            <w:noWrap/>
            <w:vAlign w:val="center"/>
          </w:tcPr>
          <w:p w14:paraId="7032EDC6">
            <w:pPr>
              <w:spacing w:line="240" w:lineRule="auto"/>
              <w:ind w:firstLine="0" w:firstLineChars="0"/>
              <w:jc w:val="center"/>
              <w:rPr>
                <w:rFonts w:eastAsia="宋体" w:cs="Times New Roman"/>
                <w:sz w:val="18"/>
                <w:szCs w:val="18"/>
              </w:rPr>
            </w:pPr>
            <w:r>
              <w:rPr>
                <w:rFonts w:eastAsia="宋体" w:cs="Times New Roman"/>
                <w:sz w:val="18"/>
                <w:szCs w:val="18"/>
              </w:rPr>
              <w:t>0.41</w:t>
            </w:r>
          </w:p>
        </w:tc>
        <w:tc>
          <w:tcPr>
            <w:tcW w:w="278" w:type="pct"/>
            <w:tcBorders>
              <w:top w:val="nil"/>
              <w:left w:val="nil"/>
              <w:bottom w:val="single" w:color="auto" w:sz="4" w:space="0"/>
              <w:right w:val="single" w:color="auto" w:sz="4" w:space="0"/>
            </w:tcBorders>
            <w:shd w:val="clear" w:color="auto" w:fill="auto"/>
            <w:vAlign w:val="center"/>
          </w:tcPr>
          <w:p w14:paraId="6CD8ADE7">
            <w:pPr>
              <w:spacing w:line="240" w:lineRule="auto"/>
              <w:ind w:firstLine="0" w:firstLineChars="0"/>
              <w:jc w:val="center"/>
              <w:rPr>
                <w:rFonts w:eastAsia="宋体" w:cs="Times New Roman"/>
                <w:sz w:val="18"/>
                <w:szCs w:val="18"/>
              </w:rPr>
            </w:pPr>
            <w:r>
              <w:rPr>
                <w:rFonts w:eastAsia="宋体" w:cs="Times New Roman"/>
                <w:sz w:val="18"/>
                <w:szCs w:val="18"/>
              </w:rPr>
              <w:t>0</w:t>
            </w:r>
          </w:p>
        </w:tc>
      </w:tr>
      <w:tr w14:paraId="4030C080">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0AAE146A">
            <w:pPr>
              <w:spacing w:line="240" w:lineRule="auto"/>
              <w:ind w:firstLine="0" w:firstLineChars="0"/>
              <w:jc w:val="center"/>
              <w:rPr>
                <w:rFonts w:hint="eastAsia" w:ascii="仿宋_GB2312" w:hAnsi="宋体"/>
                <w:sz w:val="18"/>
                <w:szCs w:val="18"/>
              </w:rPr>
            </w:pPr>
            <w:r>
              <w:rPr>
                <w:rFonts w:hint="eastAsia" w:ascii="仿宋_GB2312" w:hAnsi="宋体"/>
                <w:sz w:val="18"/>
                <w:szCs w:val="18"/>
              </w:rPr>
              <w:t>甘河子镇</w:t>
            </w:r>
          </w:p>
        </w:tc>
        <w:tc>
          <w:tcPr>
            <w:tcW w:w="394" w:type="pct"/>
            <w:tcBorders>
              <w:top w:val="nil"/>
              <w:left w:val="nil"/>
              <w:bottom w:val="single" w:color="auto" w:sz="4" w:space="0"/>
              <w:right w:val="single" w:color="auto" w:sz="4" w:space="0"/>
            </w:tcBorders>
            <w:shd w:val="clear" w:color="auto" w:fill="auto"/>
            <w:noWrap/>
            <w:vAlign w:val="center"/>
          </w:tcPr>
          <w:p w14:paraId="5351D02B">
            <w:pPr>
              <w:spacing w:line="240" w:lineRule="auto"/>
              <w:ind w:firstLine="0" w:firstLineChars="0"/>
              <w:jc w:val="center"/>
              <w:rPr>
                <w:rFonts w:eastAsia="宋体" w:cs="Times New Roman"/>
                <w:sz w:val="18"/>
                <w:szCs w:val="18"/>
              </w:rPr>
            </w:pPr>
            <w:r>
              <w:rPr>
                <w:rFonts w:eastAsia="宋体" w:cs="Times New Roman"/>
                <w:sz w:val="18"/>
                <w:szCs w:val="18"/>
              </w:rPr>
              <w:t>423.75</w:t>
            </w:r>
          </w:p>
        </w:tc>
        <w:tc>
          <w:tcPr>
            <w:tcW w:w="314" w:type="pct"/>
            <w:tcBorders>
              <w:top w:val="nil"/>
              <w:left w:val="nil"/>
              <w:bottom w:val="single" w:color="auto" w:sz="4" w:space="0"/>
              <w:right w:val="single" w:color="auto" w:sz="4" w:space="0"/>
            </w:tcBorders>
            <w:shd w:val="clear" w:color="auto" w:fill="auto"/>
            <w:noWrap/>
            <w:vAlign w:val="center"/>
          </w:tcPr>
          <w:p w14:paraId="04ABDB2A">
            <w:pPr>
              <w:spacing w:line="240" w:lineRule="auto"/>
              <w:ind w:firstLine="0" w:firstLineChars="0"/>
              <w:jc w:val="center"/>
              <w:rPr>
                <w:rFonts w:eastAsia="宋体" w:cs="Times New Roman"/>
                <w:sz w:val="18"/>
                <w:szCs w:val="18"/>
              </w:rPr>
            </w:pPr>
            <w:r>
              <w:rPr>
                <w:rFonts w:eastAsia="宋体" w:cs="Times New Roman"/>
                <w:sz w:val="18"/>
                <w:szCs w:val="18"/>
              </w:rPr>
              <w:t>23.53</w:t>
            </w:r>
          </w:p>
        </w:tc>
        <w:tc>
          <w:tcPr>
            <w:tcW w:w="305" w:type="pct"/>
            <w:tcBorders>
              <w:top w:val="nil"/>
              <w:left w:val="nil"/>
              <w:bottom w:val="single" w:color="auto" w:sz="4" w:space="0"/>
              <w:right w:val="single" w:color="auto" w:sz="4" w:space="0"/>
            </w:tcBorders>
            <w:shd w:val="clear" w:color="auto" w:fill="auto"/>
            <w:noWrap/>
            <w:vAlign w:val="center"/>
          </w:tcPr>
          <w:p w14:paraId="5003900E">
            <w:pPr>
              <w:spacing w:line="240" w:lineRule="auto"/>
              <w:ind w:firstLine="0" w:firstLineChars="0"/>
              <w:jc w:val="center"/>
              <w:rPr>
                <w:rFonts w:eastAsia="宋体" w:cs="Times New Roman"/>
                <w:sz w:val="18"/>
                <w:szCs w:val="18"/>
              </w:rPr>
            </w:pPr>
            <w:r>
              <w:rPr>
                <w:rFonts w:eastAsia="宋体" w:cs="Times New Roman"/>
                <w:sz w:val="18"/>
                <w:szCs w:val="18"/>
              </w:rPr>
              <w:t>0</w:t>
            </w:r>
          </w:p>
        </w:tc>
        <w:tc>
          <w:tcPr>
            <w:tcW w:w="335" w:type="pct"/>
            <w:tcBorders>
              <w:top w:val="nil"/>
              <w:left w:val="nil"/>
              <w:bottom w:val="single" w:color="auto" w:sz="4" w:space="0"/>
              <w:right w:val="single" w:color="auto" w:sz="4" w:space="0"/>
            </w:tcBorders>
            <w:shd w:val="clear" w:color="auto" w:fill="auto"/>
            <w:noWrap/>
            <w:vAlign w:val="center"/>
          </w:tcPr>
          <w:p w14:paraId="33BA52F6">
            <w:pPr>
              <w:spacing w:line="240" w:lineRule="auto"/>
              <w:ind w:firstLine="0" w:firstLineChars="0"/>
              <w:jc w:val="center"/>
              <w:rPr>
                <w:rFonts w:eastAsia="宋体" w:cs="Times New Roman"/>
                <w:sz w:val="18"/>
                <w:szCs w:val="18"/>
              </w:rPr>
            </w:pPr>
            <w:r>
              <w:rPr>
                <w:rFonts w:eastAsia="宋体" w:cs="Times New Roman"/>
                <w:sz w:val="18"/>
                <w:szCs w:val="18"/>
              </w:rPr>
              <w:t>31.44</w:t>
            </w:r>
          </w:p>
        </w:tc>
        <w:tc>
          <w:tcPr>
            <w:tcW w:w="335" w:type="pct"/>
            <w:tcBorders>
              <w:top w:val="nil"/>
              <w:left w:val="nil"/>
              <w:bottom w:val="single" w:color="auto" w:sz="4" w:space="0"/>
              <w:right w:val="single" w:color="auto" w:sz="4" w:space="0"/>
            </w:tcBorders>
            <w:shd w:val="clear" w:color="auto" w:fill="auto"/>
            <w:noWrap/>
            <w:vAlign w:val="center"/>
          </w:tcPr>
          <w:p w14:paraId="0E0D7419">
            <w:pPr>
              <w:spacing w:line="240" w:lineRule="auto"/>
              <w:ind w:firstLine="0" w:firstLineChars="0"/>
              <w:jc w:val="center"/>
              <w:rPr>
                <w:rFonts w:eastAsia="宋体" w:cs="Times New Roman"/>
                <w:sz w:val="18"/>
                <w:szCs w:val="18"/>
              </w:rPr>
            </w:pPr>
            <w:r>
              <w:rPr>
                <w:rFonts w:eastAsia="宋体" w:cs="Times New Roman"/>
                <w:sz w:val="18"/>
                <w:szCs w:val="18"/>
              </w:rPr>
              <w:t>104.58</w:t>
            </w:r>
          </w:p>
        </w:tc>
        <w:tc>
          <w:tcPr>
            <w:tcW w:w="305" w:type="pct"/>
            <w:tcBorders>
              <w:top w:val="nil"/>
              <w:left w:val="nil"/>
              <w:bottom w:val="single" w:color="auto" w:sz="4" w:space="0"/>
              <w:right w:val="single" w:color="auto" w:sz="4" w:space="0"/>
            </w:tcBorders>
            <w:shd w:val="clear" w:color="auto" w:fill="auto"/>
            <w:noWrap/>
            <w:vAlign w:val="center"/>
          </w:tcPr>
          <w:p w14:paraId="352B968F">
            <w:pPr>
              <w:spacing w:line="240" w:lineRule="auto"/>
              <w:ind w:firstLine="0" w:firstLineChars="0"/>
              <w:jc w:val="center"/>
              <w:rPr>
                <w:rFonts w:eastAsia="宋体" w:cs="Times New Roman"/>
                <w:sz w:val="18"/>
                <w:szCs w:val="18"/>
              </w:rPr>
            </w:pPr>
            <w:r>
              <w:rPr>
                <w:rFonts w:eastAsia="宋体" w:cs="Times New Roman"/>
                <w:sz w:val="18"/>
                <w:szCs w:val="18"/>
              </w:rPr>
              <w:t>7.72</w:t>
            </w:r>
          </w:p>
        </w:tc>
        <w:tc>
          <w:tcPr>
            <w:tcW w:w="310" w:type="pct"/>
            <w:tcBorders>
              <w:top w:val="nil"/>
              <w:left w:val="nil"/>
              <w:bottom w:val="single" w:color="auto" w:sz="4" w:space="0"/>
              <w:right w:val="single" w:color="auto" w:sz="4" w:space="0"/>
            </w:tcBorders>
            <w:shd w:val="clear" w:color="auto" w:fill="auto"/>
            <w:noWrap/>
            <w:vAlign w:val="center"/>
          </w:tcPr>
          <w:p w14:paraId="643BBD9F">
            <w:pPr>
              <w:spacing w:line="240" w:lineRule="auto"/>
              <w:ind w:firstLine="0" w:firstLineChars="0"/>
              <w:jc w:val="center"/>
              <w:rPr>
                <w:rFonts w:eastAsia="宋体" w:cs="Times New Roman"/>
                <w:sz w:val="18"/>
                <w:szCs w:val="18"/>
              </w:rPr>
            </w:pPr>
            <w:r>
              <w:rPr>
                <w:rFonts w:eastAsia="宋体" w:cs="Times New Roman"/>
                <w:sz w:val="18"/>
                <w:szCs w:val="18"/>
              </w:rPr>
              <w:t>77.01</w:t>
            </w:r>
          </w:p>
        </w:tc>
        <w:tc>
          <w:tcPr>
            <w:tcW w:w="310" w:type="pct"/>
            <w:tcBorders>
              <w:top w:val="nil"/>
              <w:left w:val="nil"/>
              <w:bottom w:val="single" w:color="auto" w:sz="4" w:space="0"/>
              <w:right w:val="single" w:color="auto" w:sz="4" w:space="0"/>
            </w:tcBorders>
            <w:shd w:val="clear" w:color="auto" w:fill="auto"/>
            <w:noWrap/>
            <w:vAlign w:val="center"/>
          </w:tcPr>
          <w:p w14:paraId="62E65626">
            <w:pPr>
              <w:spacing w:line="240" w:lineRule="auto"/>
              <w:ind w:firstLine="0" w:firstLineChars="0"/>
              <w:jc w:val="center"/>
              <w:rPr>
                <w:rFonts w:eastAsia="宋体" w:cs="Times New Roman"/>
                <w:sz w:val="18"/>
                <w:szCs w:val="18"/>
              </w:rPr>
            </w:pPr>
            <w:r>
              <w:rPr>
                <w:rFonts w:eastAsia="宋体" w:cs="Times New Roman"/>
                <w:sz w:val="18"/>
                <w:szCs w:val="18"/>
              </w:rPr>
              <w:t>74.87</w:t>
            </w:r>
          </w:p>
        </w:tc>
        <w:tc>
          <w:tcPr>
            <w:tcW w:w="305" w:type="pct"/>
            <w:tcBorders>
              <w:top w:val="nil"/>
              <w:left w:val="nil"/>
              <w:bottom w:val="single" w:color="auto" w:sz="4" w:space="0"/>
              <w:right w:val="single" w:color="auto" w:sz="4" w:space="0"/>
            </w:tcBorders>
            <w:shd w:val="clear" w:color="auto" w:fill="auto"/>
            <w:noWrap/>
            <w:vAlign w:val="center"/>
          </w:tcPr>
          <w:p w14:paraId="3983E465">
            <w:pPr>
              <w:spacing w:line="240" w:lineRule="auto"/>
              <w:ind w:firstLine="0" w:firstLineChars="0"/>
              <w:jc w:val="center"/>
              <w:rPr>
                <w:rFonts w:eastAsia="宋体" w:cs="Times New Roman"/>
                <w:sz w:val="18"/>
                <w:szCs w:val="18"/>
              </w:rPr>
            </w:pPr>
            <w:r>
              <w:rPr>
                <w:rFonts w:eastAsia="宋体" w:cs="Times New Roman"/>
                <w:sz w:val="18"/>
                <w:szCs w:val="18"/>
              </w:rPr>
              <w:t>30.51</w:t>
            </w:r>
          </w:p>
        </w:tc>
        <w:tc>
          <w:tcPr>
            <w:tcW w:w="310" w:type="pct"/>
            <w:tcBorders>
              <w:top w:val="nil"/>
              <w:left w:val="nil"/>
              <w:bottom w:val="single" w:color="auto" w:sz="4" w:space="0"/>
              <w:right w:val="single" w:color="auto" w:sz="4" w:space="0"/>
            </w:tcBorders>
            <w:shd w:val="clear" w:color="auto" w:fill="auto"/>
            <w:noWrap/>
            <w:vAlign w:val="center"/>
          </w:tcPr>
          <w:p w14:paraId="13DDC272">
            <w:pPr>
              <w:spacing w:line="240" w:lineRule="auto"/>
              <w:ind w:firstLine="0" w:firstLineChars="0"/>
              <w:jc w:val="center"/>
              <w:rPr>
                <w:rFonts w:eastAsia="宋体" w:cs="Times New Roman"/>
                <w:sz w:val="18"/>
                <w:szCs w:val="18"/>
              </w:rPr>
            </w:pPr>
            <w:r>
              <w:rPr>
                <w:rFonts w:eastAsia="宋体" w:cs="Times New Roman"/>
                <w:sz w:val="18"/>
                <w:szCs w:val="18"/>
              </w:rPr>
              <w:t>2.19</w:t>
            </w:r>
          </w:p>
        </w:tc>
        <w:tc>
          <w:tcPr>
            <w:tcW w:w="310" w:type="pct"/>
            <w:tcBorders>
              <w:top w:val="nil"/>
              <w:left w:val="nil"/>
              <w:bottom w:val="single" w:color="auto" w:sz="4" w:space="0"/>
              <w:right w:val="single" w:color="auto" w:sz="4" w:space="0"/>
            </w:tcBorders>
            <w:shd w:val="clear" w:color="auto" w:fill="auto"/>
            <w:noWrap/>
            <w:vAlign w:val="center"/>
          </w:tcPr>
          <w:p w14:paraId="3D795B64">
            <w:pPr>
              <w:spacing w:line="240" w:lineRule="auto"/>
              <w:ind w:firstLine="0" w:firstLineChars="0"/>
              <w:jc w:val="center"/>
              <w:rPr>
                <w:rFonts w:eastAsia="宋体" w:cs="Times New Roman"/>
                <w:sz w:val="18"/>
                <w:szCs w:val="18"/>
              </w:rPr>
            </w:pPr>
            <w:r>
              <w:rPr>
                <w:rFonts w:eastAsia="宋体" w:cs="Times New Roman"/>
                <w:sz w:val="18"/>
                <w:szCs w:val="18"/>
              </w:rPr>
              <w:t>28.36</w:t>
            </w:r>
          </w:p>
        </w:tc>
        <w:tc>
          <w:tcPr>
            <w:tcW w:w="314" w:type="pct"/>
            <w:tcBorders>
              <w:top w:val="nil"/>
              <w:left w:val="nil"/>
              <w:bottom w:val="single" w:color="auto" w:sz="4" w:space="0"/>
              <w:right w:val="single" w:color="auto" w:sz="4" w:space="0"/>
            </w:tcBorders>
            <w:shd w:val="clear" w:color="auto" w:fill="auto"/>
            <w:noWrap/>
            <w:vAlign w:val="center"/>
          </w:tcPr>
          <w:p w14:paraId="73B3EC35">
            <w:pPr>
              <w:spacing w:line="240" w:lineRule="auto"/>
              <w:ind w:firstLine="0" w:firstLineChars="0"/>
              <w:jc w:val="center"/>
              <w:rPr>
                <w:rFonts w:eastAsia="宋体" w:cs="Times New Roman"/>
                <w:sz w:val="18"/>
                <w:szCs w:val="18"/>
              </w:rPr>
            </w:pPr>
            <w:r>
              <w:rPr>
                <w:rFonts w:eastAsia="宋体" w:cs="Times New Roman"/>
                <w:sz w:val="18"/>
                <w:szCs w:val="18"/>
              </w:rPr>
              <w:t>13.3</w:t>
            </w:r>
          </w:p>
        </w:tc>
        <w:tc>
          <w:tcPr>
            <w:tcW w:w="314" w:type="pct"/>
            <w:tcBorders>
              <w:top w:val="nil"/>
              <w:left w:val="nil"/>
              <w:bottom w:val="single" w:color="auto" w:sz="4" w:space="0"/>
              <w:right w:val="single" w:color="auto" w:sz="4" w:space="0"/>
            </w:tcBorders>
            <w:shd w:val="clear" w:color="auto" w:fill="auto"/>
            <w:noWrap/>
            <w:vAlign w:val="center"/>
          </w:tcPr>
          <w:p w14:paraId="5879A823">
            <w:pPr>
              <w:spacing w:line="240" w:lineRule="auto"/>
              <w:ind w:firstLine="0" w:firstLineChars="0"/>
              <w:jc w:val="center"/>
              <w:rPr>
                <w:rFonts w:eastAsia="宋体" w:cs="Times New Roman"/>
                <w:sz w:val="18"/>
                <w:szCs w:val="18"/>
              </w:rPr>
            </w:pPr>
            <w:r>
              <w:rPr>
                <w:rFonts w:eastAsia="宋体" w:cs="Times New Roman"/>
                <w:sz w:val="18"/>
                <w:szCs w:val="18"/>
              </w:rPr>
              <w:t>8.26</w:t>
            </w:r>
          </w:p>
        </w:tc>
        <w:tc>
          <w:tcPr>
            <w:tcW w:w="278" w:type="pct"/>
            <w:tcBorders>
              <w:top w:val="nil"/>
              <w:left w:val="nil"/>
              <w:bottom w:val="single" w:color="auto" w:sz="4" w:space="0"/>
              <w:right w:val="single" w:color="auto" w:sz="4" w:space="0"/>
            </w:tcBorders>
            <w:shd w:val="clear" w:color="auto" w:fill="auto"/>
            <w:vAlign w:val="center"/>
          </w:tcPr>
          <w:p w14:paraId="4E341C5B">
            <w:pPr>
              <w:spacing w:line="240" w:lineRule="auto"/>
              <w:ind w:firstLine="0" w:firstLineChars="0"/>
              <w:jc w:val="center"/>
              <w:rPr>
                <w:rFonts w:eastAsia="宋体" w:cs="Times New Roman"/>
                <w:sz w:val="18"/>
                <w:szCs w:val="18"/>
              </w:rPr>
            </w:pPr>
            <w:r>
              <w:rPr>
                <w:rFonts w:eastAsia="宋体" w:cs="Times New Roman"/>
                <w:sz w:val="18"/>
                <w:szCs w:val="18"/>
              </w:rPr>
              <w:t>21.98</w:t>
            </w:r>
          </w:p>
        </w:tc>
      </w:tr>
      <w:tr w14:paraId="1291EDA7">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2955C87E">
            <w:pPr>
              <w:spacing w:line="240" w:lineRule="auto"/>
              <w:ind w:firstLine="0" w:firstLineChars="0"/>
              <w:jc w:val="center"/>
              <w:rPr>
                <w:rFonts w:hint="eastAsia" w:ascii="仿宋_GB2312" w:hAnsi="宋体"/>
                <w:sz w:val="18"/>
                <w:szCs w:val="18"/>
              </w:rPr>
            </w:pPr>
            <w:r>
              <w:rPr>
                <w:rFonts w:hint="eastAsia" w:ascii="仿宋_GB2312" w:hAnsi="宋体"/>
                <w:sz w:val="18"/>
                <w:szCs w:val="18"/>
              </w:rPr>
              <w:t>城关镇</w:t>
            </w:r>
          </w:p>
        </w:tc>
        <w:tc>
          <w:tcPr>
            <w:tcW w:w="394" w:type="pct"/>
            <w:tcBorders>
              <w:top w:val="nil"/>
              <w:left w:val="nil"/>
              <w:bottom w:val="single" w:color="auto" w:sz="4" w:space="0"/>
              <w:right w:val="single" w:color="auto" w:sz="4" w:space="0"/>
            </w:tcBorders>
            <w:shd w:val="clear" w:color="auto" w:fill="auto"/>
            <w:noWrap/>
            <w:vAlign w:val="center"/>
          </w:tcPr>
          <w:p w14:paraId="5AF94304">
            <w:pPr>
              <w:spacing w:line="240" w:lineRule="auto"/>
              <w:ind w:firstLine="0" w:firstLineChars="0"/>
              <w:jc w:val="center"/>
              <w:rPr>
                <w:rFonts w:eastAsia="宋体" w:cs="Times New Roman"/>
                <w:sz w:val="18"/>
                <w:szCs w:val="18"/>
              </w:rPr>
            </w:pPr>
            <w:r>
              <w:rPr>
                <w:rFonts w:eastAsia="宋体" w:cs="Times New Roman"/>
                <w:sz w:val="18"/>
                <w:szCs w:val="18"/>
              </w:rPr>
              <w:t>8330.97</w:t>
            </w:r>
          </w:p>
        </w:tc>
        <w:tc>
          <w:tcPr>
            <w:tcW w:w="314" w:type="pct"/>
            <w:tcBorders>
              <w:top w:val="nil"/>
              <w:left w:val="nil"/>
              <w:bottom w:val="single" w:color="auto" w:sz="4" w:space="0"/>
              <w:right w:val="single" w:color="auto" w:sz="4" w:space="0"/>
            </w:tcBorders>
            <w:shd w:val="clear" w:color="auto" w:fill="auto"/>
            <w:noWrap/>
            <w:vAlign w:val="center"/>
          </w:tcPr>
          <w:p w14:paraId="278CE7F7">
            <w:pPr>
              <w:spacing w:line="240" w:lineRule="auto"/>
              <w:ind w:firstLine="0" w:firstLineChars="0"/>
              <w:jc w:val="center"/>
              <w:rPr>
                <w:rFonts w:eastAsia="宋体" w:cs="Times New Roman"/>
                <w:sz w:val="18"/>
                <w:szCs w:val="18"/>
              </w:rPr>
            </w:pPr>
            <w:r>
              <w:rPr>
                <w:rFonts w:eastAsia="宋体" w:cs="Times New Roman"/>
                <w:sz w:val="18"/>
                <w:szCs w:val="18"/>
              </w:rPr>
              <w:t>3036.51</w:t>
            </w:r>
          </w:p>
        </w:tc>
        <w:tc>
          <w:tcPr>
            <w:tcW w:w="305" w:type="pct"/>
            <w:tcBorders>
              <w:top w:val="nil"/>
              <w:left w:val="nil"/>
              <w:bottom w:val="single" w:color="auto" w:sz="4" w:space="0"/>
              <w:right w:val="single" w:color="auto" w:sz="4" w:space="0"/>
            </w:tcBorders>
            <w:shd w:val="clear" w:color="auto" w:fill="auto"/>
            <w:noWrap/>
            <w:vAlign w:val="center"/>
          </w:tcPr>
          <w:p w14:paraId="63ABBDB4">
            <w:pPr>
              <w:spacing w:line="240" w:lineRule="auto"/>
              <w:ind w:firstLine="0" w:firstLineChars="0"/>
              <w:jc w:val="center"/>
              <w:rPr>
                <w:rFonts w:eastAsia="宋体" w:cs="Times New Roman"/>
                <w:sz w:val="18"/>
                <w:szCs w:val="18"/>
              </w:rPr>
            </w:pPr>
            <w:r>
              <w:rPr>
                <w:rFonts w:eastAsia="宋体" w:cs="Times New Roman"/>
                <w:sz w:val="18"/>
                <w:szCs w:val="18"/>
              </w:rPr>
              <w:t>108.87</w:t>
            </w:r>
          </w:p>
        </w:tc>
        <w:tc>
          <w:tcPr>
            <w:tcW w:w="335" w:type="pct"/>
            <w:tcBorders>
              <w:top w:val="nil"/>
              <w:left w:val="nil"/>
              <w:bottom w:val="single" w:color="auto" w:sz="4" w:space="0"/>
              <w:right w:val="single" w:color="auto" w:sz="4" w:space="0"/>
            </w:tcBorders>
            <w:shd w:val="clear" w:color="auto" w:fill="auto"/>
            <w:noWrap/>
            <w:vAlign w:val="center"/>
          </w:tcPr>
          <w:p w14:paraId="4E998D76">
            <w:pPr>
              <w:spacing w:line="240" w:lineRule="auto"/>
              <w:ind w:firstLine="0" w:firstLineChars="0"/>
              <w:jc w:val="center"/>
              <w:rPr>
                <w:rFonts w:eastAsia="宋体" w:cs="Times New Roman"/>
                <w:sz w:val="18"/>
                <w:szCs w:val="18"/>
              </w:rPr>
            </w:pPr>
            <w:r>
              <w:rPr>
                <w:rFonts w:eastAsia="宋体" w:cs="Times New Roman"/>
                <w:sz w:val="18"/>
                <w:szCs w:val="18"/>
              </w:rPr>
              <w:t>1966.77</w:t>
            </w:r>
          </w:p>
        </w:tc>
        <w:tc>
          <w:tcPr>
            <w:tcW w:w="335" w:type="pct"/>
            <w:tcBorders>
              <w:top w:val="nil"/>
              <w:left w:val="nil"/>
              <w:bottom w:val="single" w:color="auto" w:sz="4" w:space="0"/>
              <w:right w:val="single" w:color="auto" w:sz="4" w:space="0"/>
            </w:tcBorders>
            <w:shd w:val="clear" w:color="auto" w:fill="auto"/>
            <w:noWrap/>
            <w:vAlign w:val="center"/>
          </w:tcPr>
          <w:p w14:paraId="73D4D75C">
            <w:pPr>
              <w:spacing w:line="240" w:lineRule="auto"/>
              <w:ind w:firstLine="0" w:firstLineChars="0"/>
              <w:jc w:val="center"/>
              <w:rPr>
                <w:rFonts w:eastAsia="宋体" w:cs="Times New Roman"/>
                <w:sz w:val="18"/>
                <w:szCs w:val="18"/>
              </w:rPr>
            </w:pPr>
            <w:r>
              <w:rPr>
                <w:rFonts w:eastAsia="宋体" w:cs="Times New Roman"/>
                <w:sz w:val="18"/>
                <w:szCs w:val="18"/>
              </w:rPr>
              <w:t>472.74</w:t>
            </w:r>
          </w:p>
        </w:tc>
        <w:tc>
          <w:tcPr>
            <w:tcW w:w="305" w:type="pct"/>
            <w:tcBorders>
              <w:top w:val="nil"/>
              <w:left w:val="nil"/>
              <w:bottom w:val="single" w:color="auto" w:sz="4" w:space="0"/>
              <w:right w:val="single" w:color="auto" w:sz="4" w:space="0"/>
            </w:tcBorders>
            <w:shd w:val="clear" w:color="auto" w:fill="auto"/>
            <w:noWrap/>
            <w:vAlign w:val="center"/>
          </w:tcPr>
          <w:p w14:paraId="4756C90D">
            <w:pPr>
              <w:spacing w:line="240" w:lineRule="auto"/>
              <w:ind w:firstLine="0" w:firstLineChars="0"/>
              <w:jc w:val="center"/>
              <w:rPr>
                <w:rFonts w:eastAsia="宋体" w:cs="Times New Roman"/>
                <w:sz w:val="18"/>
                <w:szCs w:val="18"/>
              </w:rPr>
            </w:pPr>
            <w:r>
              <w:rPr>
                <w:rFonts w:eastAsia="宋体" w:cs="Times New Roman"/>
                <w:sz w:val="18"/>
                <w:szCs w:val="18"/>
              </w:rPr>
              <w:t>223.51</w:t>
            </w:r>
          </w:p>
        </w:tc>
        <w:tc>
          <w:tcPr>
            <w:tcW w:w="310" w:type="pct"/>
            <w:tcBorders>
              <w:top w:val="nil"/>
              <w:left w:val="nil"/>
              <w:bottom w:val="single" w:color="auto" w:sz="4" w:space="0"/>
              <w:right w:val="single" w:color="auto" w:sz="4" w:space="0"/>
            </w:tcBorders>
            <w:shd w:val="clear" w:color="auto" w:fill="auto"/>
            <w:noWrap/>
            <w:vAlign w:val="center"/>
          </w:tcPr>
          <w:p w14:paraId="676BCF76">
            <w:pPr>
              <w:spacing w:line="240" w:lineRule="auto"/>
              <w:ind w:firstLine="0" w:firstLineChars="0"/>
              <w:jc w:val="center"/>
              <w:rPr>
                <w:rFonts w:eastAsia="宋体" w:cs="Times New Roman"/>
                <w:sz w:val="18"/>
                <w:szCs w:val="18"/>
              </w:rPr>
            </w:pPr>
            <w:r>
              <w:rPr>
                <w:rFonts w:eastAsia="宋体" w:cs="Times New Roman"/>
                <w:sz w:val="18"/>
                <w:szCs w:val="18"/>
              </w:rPr>
              <w:t>98.06</w:t>
            </w:r>
          </w:p>
        </w:tc>
        <w:tc>
          <w:tcPr>
            <w:tcW w:w="310" w:type="pct"/>
            <w:tcBorders>
              <w:top w:val="nil"/>
              <w:left w:val="nil"/>
              <w:bottom w:val="single" w:color="auto" w:sz="4" w:space="0"/>
              <w:right w:val="single" w:color="auto" w:sz="4" w:space="0"/>
            </w:tcBorders>
            <w:shd w:val="clear" w:color="auto" w:fill="auto"/>
            <w:noWrap/>
            <w:vAlign w:val="center"/>
          </w:tcPr>
          <w:p w14:paraId="2E02D69B">
            <w:pPr>
              <w:spacing w:line="240" w:lineRule="auto"/>
              <w:ind w:firstLine="0" w:firstLineChars="0"/>
              <w:jc w:val="center"/>
              <w:rPr>
                <w:rFonts w:eastAsia="宋体" w:cs="Times New Roman"/>
                <w:sz w:val="18"/>
                <w:szCs w:val="18"/>
              </w:rPr>
            </w:pPr>
            <w:r>
              <w:rPr>
                <w:rFonts w:eastAsia="宋体" w:cs="Times New Roman"/>
                <w:sz w:val="18"/>
                <w:szCs w:val="18"/>
              </w:rPr>
              <w:t>883.42</w:t>
            </w:r>
          </w:p>
        </w:tc>
        <w:tc>
          <w:tcPr>
            <w:tcW w:w="305" w:type="pct"/>
            <w:tcBorders>
              <w:top w:val="nil"/>
              <w:left w:val="nil"/>
              <w:bottom w:val="single" w:color="auto" w:sz="4" w:space="0"/>
              <w:right w:val="single" w:color="auto" w:sz="4" w:space="0"/>
            </w:tcBorders>
            <w:shd w:val="clear" w:color="auto" w:fill="auto"/>
            <w:noWrap/>
            <w:vAlign w:val="center"/>
          </w:tcPr>
          <w:p w14:paraId="3DEFD200">
            <w:pPr>
              <w:spacing w:line="240" w:lineRule="auto"/>
              <w:ind w:firstLine="0" w:firstLineChars="0"/>
              <w:jc w:val="center"/>
              <w:rPr>
                <w:rFonts w:eastAsia="宋体" w:cs="Times New Roman"/>
                <w:sz w:val="18"/>
                <w:szCs w:val="18"/>
              </w:rPr>
            </w:pPr>
            <w:r>
              <w:rPr>
                <w:rFonts w:eastAsia="宋体" w:cs="Times New Roman"/>
                <w:sz w:val="18"/>
                <w:szCs w:val="18"/>
              </w:rPr>
              <w:t>337.58</w:t>
            </w:r>
          </w:p>
        </w:tc>
        <w:tc>
          <w:tcPr>
            <w:tcW w:w="310" w:type="pct"/>
            <w:tcBorders>
              <w:top w:val="nil"/>
              <w:left w:val="nil"/>
              <w:bottom w:val="single" w:color="auto" w:sz="4" w:space="0"/>
              <w:right w:val="single" w:color="auto" w:sz="4" w:space="0"/>
            </w:tcBorders>
            <w:shd w:val="clear" w:color="auto" w:fill="auto"/>
            <w:noWrap/>
            <w:vAlign w:val="center"/>
          </w:tcPr>
          <w:p w14:paraId="34580DBC">
            <w:pPr>
              <w:spacing w:line="240" w:lineRule="auto"/>
              <w:ind w:firstLine="0" w:firstLineChars="0"/>
              <w:jc w:val="center"/>
              <w:rPr>
                <w:rFonts w:eastAsia="宋体" w:cs="Times New Roman"/>
                <w:sz w:val="18"/>
                <w:szCs w:val="18"/>
              </w:rPr>
            </w:pPr>
            <w:r>
              <w:rPr>
                <w:rFonts w:eastAsia="宋体" w:cs="Times New Roman"/>
                <w:sz w:val="18"/>
                <w:szCs w:val="18"/>
              </w:rPr>
              <w:t>125.35</w:t>
            </w:r>
          </w:p>
        </w:tc>
        <w:tc>
          <w:tcPr>
            <w:tcW w:w="310" w:type="pct"/>
            <w:tcBorders>
              <w:top w:val="nil"/>
              <w:left w:val="nil"/>
              <w:bottom w:val="single" w:color="auto" w:sz="4" w:space="0"/>
              <w:right w:val="single" w:color="auto" w:sz="4" w:space="0"/>
            </w:tcBorders>
            <w:shd w:val="clear" w:color="auto" w:fill="auto"/>
            <w:noWrap/>
            <w:vAlign w:val="center"/>
          </w:tcPr>
          <w:p w14:paraId="3113C6EE">
            <w:pPr>
              <w:spacing w:line="240" w:lineRule="auto"/>
              <w:ind w:firstLine="0" w:firstLineChars="0"/>
              <w:jc w:val="center"/>
              <w:rPr>
                <w:rFonts w:eastAsia="宋体" w:cs="Times New Roman"/>
                <w:sz w:val="18"/>
                <w:szCs w:val="18"/>
              </w:rPr>
            </w:pPr>
            <w:r>
              <w:rPr>
                <w:rFonts w:eastAsia="宋体" w:cs="Times New Roman"/>
                <w:sz w:val="18"/>
                <w:szCs w:val="18"/>
              </w:rPr>
              <w:t>726.41</w:t>
            </w:r>
          </w:p>
        </w:tc>
        <w:tc>
          <w:tcPr>
            <w:tcW w:w="314" w:type="pct"/>
            <w:tcBorders>
              <w:top w:val="nil"/>
              <w:left w:val="nil"/>
              <w:bottom w:val="single" w:color="auto" w:sz="4" w:space="0"/>
              <w:right w:val="single" w:color="auto" w:sz="4" w:space="0"/>
            </w:tcBorders>
            <w:shd w:val="clear" w:color="auto" w:fill="auto"/>
            <w:noWrap/>
            <w:vAlign w:val="center"/>
          </w:tcPr>
          <w:p w14:paraId="5EC365EF">
            <w:pPr>
              <w:spacing w:line="240" w:lineRule="auto"/>
              <w:ind w:firstLine="0" w:firstLineChars="0"/>
              <w:jc w:val="center"/>
              <w:rPr>
                <w:rFonts w:eastAsia="宋体" w:cs="Times New Roman"/>
                <w:sz w:val="18"/>
                <w:szCs w:val="18"/>
              </w:rPr>
            </w:pPr>
            <w:r>
              <w:rPr>
                <w:rFonts w:eastAsia="宋体" w:cs="Times New Roman"/>
                <w:sz w:val="18"/>
                <w:szCs w:val="18"/>
              </w:rPr>
              <w:t>223.26</w:t>
            </w:r>
          </w:p>
        </w:tc>
        <w:tc>
          <w:tcPr>
            <w:tcW w:w="314" w:type="pct"/>
            <w:tcBorders>
              <w:top w:val="nil"/>
              <w:left w:val="nil"/>
              <w:bottom w:val="single" w:color="auto" w:sz="4" w:space="0"/>
              <w:right w:val="single" w:color="auto" w:sz="4" w:space="0"/>
            </w:tcBorders>
            <w:shd w:val="clear" w:color="auto" w:fill="auto"/>
            <w:noWrap/>
            <w:vAlign w:val="center"/>
          </w:tcPr>
          <w:p w14:paraId="092A7AFD">
            <w:pPr>
              <w:spacing w:line="240" w:lineRule="auto"/>
              <w:ind w:firstLine="0" w:firstLineChars="0"/>
              <w:jc w:val="center"/>
              <w:rPr>
                <w:rFonts w:eastAsia="宋体" w:cs="Times New Roman"/>
                <w:sz w:val="18"/>
                <w:szCs w:val="18"/>
              </w:rPr>
            </w:pPr>
            <w:r>
              <w:rPr>
                <w:rFonts w:eastAsia="宋体" w:cs="Times New Roman"/>
                <w:sz w:val="18"/>
                <w:szCs w:val="18"/>
              </w:rPr>
              <w:t>105.47</w:t>
            </w:r>
          </w:p>
        </w:tc>
        <w:tc>
          <w:tcPr>
            <w:tcW w:w="278" w:type="pct"/>
            <w:tcBorders>
              <w:top w:val="nil"/>
              <w:left w:val="nil"/>
              <w:bottom w:val="single" w:color="auto" w:sz="4" w:space="0"/>
              <w:right w:val="single" w:color="auto" w:sz="4" w:space="0"/>
            </w:tcBorders>
            <w:shd w:val="clear" w:color="auto" w:fill="auto"/>
            <w:vAlign w:val="center"/>
          </w:tcPr>
          <w:p w14:paraId="3DBCE45F">
            <w:pPr>
              <w:spacing w:line="240" w:lineRule="auto"/>
              <w:ind w:firstLine="0" w:firstLineChars="0"/>
              <w:jc w:val="center"/>
              <w:rPr>
                <w:rFonts w:eastAsia="宋体" w:cs="Times New Roman"/>
                <w:sz w:val="18"/>
                <w:szCs w:val="18"/>
              </w:rPr>
            </w:pPr>
            <w:r>
              <w:rPr>
                <w:rFonts w:eastAsia="宋体" w:cs="Times New Roman"/>
                <w:sz w:val="18"/>
                <w:szCs w:val="18"/>
              </w:rPr>
              <w:t>23.02</w:t>
            </w:r>
          </w:p>
        </w:tc>
      </w:tr>
      <w:tr w14:paraId="6C2187A1">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0356CAAE">
            <w:pPr>
              <w:spacing w:line="240" w:lineRule="auto"/>
              <w:ind w:firstLine="0" w:firstLineChars="0"/>
              <w:jc w:val="center"/>
              <w:rPr>
                <w:rFonts w:hint="eastAsia" w:ascii="仿宋_GB2312" w:hAnsi="宋体"/>
                <w:sz w:val="18"/>
                <w:szCs w:val="18"/>
              </w:rPr>
            </w:pPr>
            <w:r>
              <w:rPr>
                <w:rFonts w:hint="eastAsia" w:ascii="仿宋_GB2312" w:hAnsi="宋体"/>
                <w:sz w:val="18"/>
                <w:szCs w:val="18"/>
              </w:rPr>
              <w:t>九运街镇</w:t>
            </w:r>
          </w:p>
        </w:tc>
        <w:tc>
          <w:tcPr>
            <w:tcW w:w="394" w:type="pct"/>
            <w:tcBorders>
              <w:top w:val="nil"/>
              <w:left w:val="nil"/>
              <w:bottom w:val="single" w:color="auto" w:sz="4" w:space="0"/>
              <w:right w:val="single" w:color="auto" w:sz="4" w:space="0"/>
            </w:tcBorders>
            <w:shd w:val="clear" w:color="auto" w:fill="auto"/>
            <w:noWrap/>
            <w:vAlign w:val="center"/>
          </w:tcPr>
          <w:p w14:paraId="33AA32BA">
            <w:pPr>
              <w:spacing w:line="240" w:lineRule="auto"/>
              <w:ind w:firstLine="0" w:firstLineChars="0"/>
              <w:jc w:val="center"/>
              <w:rPr>
                <w:rFonts w:eastAsia="宋体" w:cs="Times New Roman"/>
                <w:sz w:val="18"/>
                <w:szCs w:val="18"/>
              </w:rPr>
            </w:pPr>
            <w:r>
              <w:rPr>
                <w:rFonts w:eastAsia="宋体" w:cs="Times New Roman"/>
                <w:sz w:val="18"/>
                <w:szCs w:val="18"/>
              </w:rPr>
              <w:t>13545.44</w:t>
            </w:r>
          </w:p>
        </w:tc>
        <w:tc>
          <w:tcPr>
            <w:tcW w:w="314" w:type="pct"/>
            <w:tcBorders>
              <w:top w:val="nil"/>
              <w:left w:val="nil"/>
              <w:bottom w:val="single" w:color="auto" w:sz="4" w:space="0"/>
              <w:right w:val="single" w:color="auto" w:sz="4" w:space="0"/>
            </w:tcBorders>
            <w:shd w:val="clear" w:color="auto" w:fill="auto"/>
            <w:noWrap/>
            <w:vAlign w:val="center"/>
          </w:tcPr>
          <w:p w14:paraId="2368E848">
            <w:pPr>
              <w:spacing w:line="240" w:lineRule="auto"/>
              <w:ind w:firstLine="0" w:firstLineChars="0"/>
              <w:jc w:val="center"/>
              <w:rPr>
                <w:rFonts w:eastAsia="宋体" w:cs="Times New Roman"/>
                <w:sz w:val="18"/>
                <w:szCs w:val="18"/>
              </w:rPr>
            </w:pPr>
            <w:r>
              <w:rPr>
                <w:rFonts w:eastAsia="宋体" w:cs="Times New Roman"/>
                <w:sz w:val="18"/>
                <w:szCs w:val="18"/>
              </w:rPr>
              <w:t>7529.84</w:t>
            </w:r>
          </w:p>
        </w:tc>
        <w:tc>
          <w:tcPr>
            <w:tcW w:w="305" w:type="pct"/>
            <w:tcBorders>
              <w:top w:val="nil"/>
              <w:left w:val="nil"/>
              <w:bottom w:val="single" w:color="auto" w:sz="4" w:space="0"/>
              <w:right w:val="single" w:color="auto" w:sz="4" w:space="0"/>
            </w:tcBorders>
            <w:shd w:val="clear" w:color="auto" w:fill="auto"/>
            <w:noWrap/>
            <w:vAlign w:val="center"/>
          </w:tcPr>
          <w:p w14:paraId="0AA3DC6A">
            <w:pPr>
              <w:spacing w:line="240" w:lineRule="auto"/>
              <w:ind w:firstLine="0" w:firstLineChars="0"/>
              <w:jc w:val="center"/>
              <w:rPr>
                <w:rFonts w:eastAsia="宋体" w:cs="Times New Roman"/>
                <w:sz w:val="18"/>
                <w:szCs w:val="18"/>
              </w:rPr>
            </w:pPr>
            <w:r>
              <w:rPr>
                <w:rFonts w:eastAsia="宋体" w:cs="Times New Roman"/>
                <w:sz w:val="18"/>
                <w:szCs w:val="18"/>
              </w:rPr>
              <w:t>97.45</w:t>
            </w:r>
          </w:p>
        </w:tc>
        <w:tc>
          <w:tcPr>
            <w:tcW w:w="335" w:type="pct"/>
            <w:tcBorders>
              <w:top w:val="nil"/>
              <w:left w:val="nil"/>
              <w:bottom w:val="single" w:color="auto" w:sz="4" w:space="0"/>
              <w:right w:val="single" w:color="auto" w:sz="4" w:space="0"/>
            </w:tcBorders>
            <w:shd w:val="clear" w:color="auto" w:fill="auto"/>
            <w:noWrap/>
            <w:vAlign w:val="center"/>
          </w:tcPr>
          <w:p w14:paraId="4B4B8235">
            <w:pPr>
              <w:spacing w:line="240" w:lineRule="auto"/>
              <w:ind w:firstLine="0" w:firstLineChars="0"/>
              <w:jc w:val="center"/>
              <w:rPr>
                <w:rFonts w:eastAsia="宋体" w:cs="Times New Roman"/>
                <w:sz w:val="18"/>
                <w:szCs w:val="18"/>
              </w:rPr>
            </w:pPr>
            <w:r>
              <w:rPr>
                <w:rFonts w:eastAsia="宋体" w:cs="Times New Roman"/>
                <w:sz w:val="18"/>
                <w:szCs w:val="18"/>
              </w:rPr>
              <w:t>1975.1</w:t>
            </w:r>
          </w:p>
        </w:tc>
        <w:tc>
          <w:tcPr>
            <w:tcW w:w="335" w:type="pct"/>
            <w:tcBorders>
              <w:top w:val="nil"/>
              <w:left w:val="nil"/>
              <w:bottom w:val="single" w:color="auto" w:sz="4" w:space="0"/>
              <w:right w:val="single" w:color="auto" w:sz="4" w:space="0"/>
            </w:tcBorders>
            <w:shd w:val="clear" w:color="auto" w:fill="auto"/>
            <w:noWrap/>
            <w:vAlign w:val="center"/>
          </w:tcPr>
          <w:p w14:paraId="2ACF11D5">
            <w:pPr>
              <w:spacing w:line="240" w:lineRule="auto"/>
              <w:ind w:firstLine="0" w:firstLineChars="0"/>
              <w:jc w:val="center"/>
              <w:rPr>
                <w:rFonts w:eastAsia="宋体" w:cs="Times New Roman"/>
                <w:sz w:val="18"/>
                <w:szCs w:val="18"/>
              </w:rPr>
            </w:pPr>
            <w:r>
              <w:rPr>
                <w:rFonts w:eastAsia="宋体" w:cs="Times New Roman"/>
                <w:sz w:val="18"/>
                <w:szCs w:val="18"/>
              </w:rPr>
              <w:t>1153.11</w:t>
            </w:r>
          </w:p>
        </w:tc>
        <w:tc>
          <w:tcPr>
            <w:tcW w:w="305" w:type="pct"/>
            <w:tcBorders>
              <w:top w:val="nil"/>
              <w:left w:val="nil"/>
              <w:bottom w:val="single" w:color="auto" w:sz="4" w:space="0"/>
              <w:right w:val="single" w:color="auto" w:sz="4" w:space="0"/>
            </w:tcBorders>
            <w:shd w:val="clear" w:color="auto" w:fill="auto"/>
            <w:noWrap/>
            <w:vAlign w:val="center"/>
          </w:tcPr>
          <w:p w14:paraId="64EBE567">
            <w:pPr>
              <w:spacing w:line="240" w:lineRule="auto"/>
              <w:ind w:firstLine="0" w:firstLineChars="0"/>
              <w:jc w:val="center"/>
              <w:rPr>
                <w:rFonts w:eastAsia="宋体" w:cs="Times New Roman"/>
                <w:sz w:val="18"/>
                <w:szCs w:val="18"/>
              </w:rPr>
            </w:pPr>
            <w:r>
              <w:rPr>
                <w:rFonts w:eastAsia="宋体" w:cs="Times New Roman"/>
                <w:sz w:val="18"/>
                <w:szCs w:val="18"/>
              </w:rPr>
              <w:t>77.68</w:t>
            </w:r>
          </w:p>
        </w:tc>
        <w:tc>
          <w:tcPr>
            <w:tcW w:w="310" w:type="pct"/>
            <w:tcBorders>
              <w:top w:val="nil"/>
              <w:left w:val="nil"/>
              <w:bottom w:val="single" w:color="auto" w:sz="4" w:space="0"/>
              <w:right w:val="single" w:color="auto" w:sz="4" w:space="0"/>
            </w:tcBorders>
            <w:shd w:val="clear" w:color="auto" w:fill="auto"/>
            <w:noWrap/>
            <w:vAlign w:val="center"/>
          </w:tcPr>
          <w:p w14:paraId="48CC9621">
            <w:pPr>
              <w:spacing w:line="240" w:lineRule="auto"/>
              <w:ind w:firstLine="0" w:firstLineChars="0"/>
              <w:jc w:val="center"/>
              <w:rPr>
                <w:rFonts w:eastAsia="宋体" w:cs="Times New Roman"/>
                <w:sz w:val="18"/>
                <w:szCs w:val="18"/>
              </w:rPr>
            </w:pPr>
            <w:r>
              <w:rPr>
                <w:rFonts w:eastAsia="宋体" w:cs="Times New Roman"/>
                <w:sz w:val="18"/>
                <w:szCs w:val="18"/>
              </w:rPr>
              <w:t>486.19</w:t>
            </w:r>
          </w:p>
        </w:tc>
        <w:tc>
          <w:tcPr>
            <w:tcW w:w="310" w:type="pct"/>
            <w:tcBorders>
              <w:top w:val="nil"/>
              <w:left w:val="nil"/>
              <w:bottom w:val="single" w:color="auto" w:sz="4" w:space="0"/>
              <w:right w:val="single" w:color="auto" w:sz="4" w:space="0"/>
            </w:tcBorders>
            <w:shd w:val="clear" w:color="auto" w:fill="auto"/>
            <w:noWrap/>
            <w:vAlign w:val="center"/>
          </w:tcPr>
          <w:p w14:paraId="6BA85789">
            <w:pPr>
              <w:spacing w:line="240" w:lineRule="auto"/>
              <w:ind w:firstLine="0" w:firstLineChars="0"/>
              <w:jc w:val="center"/>
              <w:rPr>
                <w:rFonts w:eastAsia="宋体" w:cs="Times New Roman"/>
                <w:sz w:val="18"/>
                <w:szCs w:val="18"/>
              </w:rPr>
            </w:pPr>
            <w:r>
              <w:rPr>
                <w:rFonts w:eastAsia="宋体" w:cs="Times New Roman"/>
                <w:sz w:val="18"/>
                <w:szCs w:val="18"/>
              </w:rPr>
              <w:t>735.29</w:t>
            </w:r>
          </w:p>
        </w:tc>
        <w:tc>
          <w:tcPr>
            <w:tcW w:w="305" w:type="pct"/>
            <w:tcBorders>
              <w:top w:val="nil"/>
              <w:left w:val="nil"/>
              <w:bottom w:val="single" w:color="auto" w:sz="4" w:space="0"/>
              <w:right w:val="single" w:color="auto" w:sz="4" w:space="0"/>
            </w:tcBorders>
            <w:shd w:val="clear" w:color="auto" w:fill="auto"/>
            <w:noWrap/>
            <w:vAlign w:val="center"/>
          </w:tcPr>
          <w:p w14:paraId="34332406">
            <w:pPr>
              <w:spacing w:line="240" w:lineRule="auto"/>
              <w:ind w:firstLine="0" w:firstLineChars="0"/>
              <w:jc w:val="center"/>
              <w:rPr>
                <w:rFonts w:eastAsia="宋体" w:cs="Times New Roman"/>
                <w:sz w:val="18"/>
                <w:szCs w:val="18"/>
              </w:rPr>
            </w:pPr>
            <w:r>
              <w:rPr>
                <w:rFonts w:eastAsia="宋体" w:cs="Times New Roman"/>
                <w:sz w:val="18"/>
                <w:szCs w:val="18"/>
              </w:rPr>
              <w:t>53.46</w:t>
            </w:r>
          </w:p>
        </w:tc>
        <w:tc>
          <w:tcPr>
            <w:tcW w:w="310" w:type="pct"/>
            <w:tcBorders>
              <w:top w:val="nil"/>
              <w:left w:val="nil"/>
              <w:bottom w:val="single" w:color="auto" w:sz="4" w:space="0"/>
              <w:right w:val="single" w:color="auto" w:sz="4" w:space="0"/>
            </w:tcBorders>
            <w:shd w:val="clear" w:color="auto" w:fill="auto"/>
            <w:noWrap/>
            <w:vAlign w:val="center"/>
          </w:tcPr>
          <w:p w14:paraId="28F9BA65">
            <w:pPr>
              <w:spacing w:line="240" w:lineRule="auto"/>
              <w:ind w:firstLine="0" w:firstLineChars="0"/>
              <w:jc w:val="center"/>
              <w:rPr>
                <w:rFonts w:eastAsia="宋体" w:cs="Times New Roman"/>
                <w:sz w:val="18"/>
                <w:szCs w:val="18"/>
              </w:rPr>
            </w:pPr>
            <w:r>
              <w:rPr>
                <w:rFonts w:eastAsia="宋体" w:cs="Times New Roman"/>
                <w:sz w:val="18"/>
                <w:szCs w:val="18"/>
              </w:rPr>
              <w:t>26.42</w:t>
            </w:r>
          </w:p>
        </w:tc>
        <w:tc>
          <w:tcPr>
            <w:tcW w:w="310" w:type="pct"/>
            <w:tcBorders>
              <w:top w:val="nil"/>
              <w:left w:val="nil"/>
              <w:bottom w:val="single" w:color="auto" w:sz="4" w:space="0"/>
              <w:right w:val="single" w:color="auto" w:sz="4" w:space="0"/>
            </w:tcBorders>
            <w:shd w:val="clear" w:color="auto" w:fill="auto"/>
            <w:noWrap/>
            <w:vAlign w:val="center"/>
          </w:tcPr>
          <w:p w14:paraId="0F7081B9">
            <w:pPr>
              <w:spacing w:line="240" w:lineRule="auto"/>
              <w:ind w:firstLine="0" w:firstLineChars="0"/>
              <w:jc w:val="center"/>
              <w:rPr>
                <w:rFonts w:eastAsia="宋体" w:cs="Times New Roman"/>
                <w:sz w:val="18"/>
                <w:szCs w:val="18"/>
              </w:rPr>
            </w:pPr>
            <w:r>
              <w:rPr>
                <w:rFonts w:eastAsia="宋体" w:cs="Times New Roman"/>
                <w:sz w:val="18"/>
                <w:szCs w:val="18"/>
              </w:rPr>
              <w:t>533.95</w:t>
            </w:r>
          </w:p>
        </w:tc>
        <w:tc>
          <w:tcPr>
            <w:tcW w:w="314" w:type="pct"/>
            <w:tcBorders>
              <w:top w:val="nil"/>
              <w:left w:val="nil"/>
              <w:bottom w:val="single" w:color="auto" w:sz="4" w:space="0"/>
              <w:right w:val="single" w:color="auto" w:sz="4" w:space="0"/>
            </w:tcBorders>
            <w:shd w:val="clear" w:color="auto" w:fill="auto"/>
            <w:noWrap/>
            <w:vAlign w:val="center"/>
          </w:tcPr>
          <w:p w14:paraId="6A2D3F31">
            <w:pPr>
              <w:spacing w:line="240" w:lineRule="auto"/>
              <w:ind w:firstLine="0" w:firstLineChars="0"/>
              <w:jc w:val="center"/>
              <w:rPr>
                <w:rFonts w:eastAsia="宋体" w:cs="Times New Roman"/>
                <w:sz w:val="18"/>
                <w:szCs w:val="18"/>
              </w:rPr>
            </w:pPr>
            <w:r>
              <w:rPr>
                <w:rFonts w:eastAsia="宋体" w:cs="Times New Roman"/>
                <w:sz w:val="18"/>
                <w:szCs w:val="18"/>
              </w:rPr>
              <w:t>599.17</w:t>
            </w:r>
          </w:p>
        </w:tc>
        <w:tc>
          <w:tcPr>
            <w:tcW w:w="314" w:type="pct"/>
            <w:tcBorders>
              <w:top w:val="nil"/>
              <w:left w:val="nil"/>
              <w:bottom w:val="single" w:color="auto" w:sz="4" w:space="0"/>
              <w:right w:val="single" w:color="auto" w:sz="4" w:space="0"/>
            </w:tcBorders>
            <w:shd w:val="clear" w:color="auto" w:fill="auto"/>
            <w:noWrap/>
            <w:vAlign w:val="center"/>
          </w:tcPr>
          <w:p w14:paraId="64DE225A">
            <w:pPr>
              <w:spacing w:line="240" w:lineRule="auto"/>
              <w:ind w:firstLine="0" w:firstLineChars="0"/>
              <w:jc w:val="center"/>
              <w:rPr>
                <w:rFonts w:eastAsia="宋体" w:cs="Times New Roman"/>
                <w:sz w:val="18"/>
                <w:szCs w:val="18"/>
              </w:rPr>
            </w:pPr>
            <w:r>
              <w:rPr>
                <w:rFonts w:eastAsia="宋体" w:cs="Times New Roman"/>
                <w:sz w:val="18"/>
                <w:szCs w:val="18"/>
              </w:rPr>
              <w:t>215.9</w:t>
            </w:r>
          </w:p>
        </w:tc>
        <w:tc>
          <w:tcPr>
            <w:tcW w:w="278" w:type="pct"/>
            <w:tcBorders>
              <w:top w:val="nil"/>
              <w:left w:val="nil"/>
              <w:bottom w:val="single" w:color="auto" w:sz="4" w:space="0"/>
              <w:right w:val="single" w:color="auto" w:sz="4" w:space="0"/>
            </w:tcBorders>
            <w:shd w:val="clear" w:color="auto" w:fill="auto"/>
            <w:vAlign w:val="center"/>
          </w:tcPr>
          <w:p w14:paraId="38D8B196">
            <w:pPr>
              <w:spacing w:line="240" w:lineRule="auto"/>
              <w:ind w:firstLine="0" w:firstLineChars="0"/>
              <w:jc w:val="center"/>
              <w:rPr>
                <w:rFonts w:eastAsia="宋体" w:cs="Times New Roman"/>
                <w:sz w:val="18"/>
                <w:szCs w:val="18"/>
              </w:rPr>
            </w:pPr>
            <w:r>
              <w:rPr>
                <w:rFonts w:eastAsia="宋体" w:cs="Times New Roman"/>
                <w:sz w:val="18"/>
                <w:szCs w:val="18"/>
              </w:rPr>
              <w:t>61.88</w:t>
            </w:r>
          </w:p>
        </w:tc>
      </w:tr>
      <w:tr w14:paraId="28D8E8AB">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5D5D17E8">
            <w:pPr>
              <w:spacing w:line="240" w:lineRule="auto"/>
              <w:ind w:firstLine="0" w:firstLineChars="0"/>
              <w:jc w:val="center"/>
              <w:rPr>
                <w:rFonts w:hint="eastAsia" w:ascii="仿宋_GB2312" w:hAnsi="宋体"/>
                <w:sz w:val="18"/>
                <w:szCs w:val="18"/>
              </w:rPr>
            </w:pPr>
            <w:r>
              <w:rPr>
                <w:rFonts w:hint="eastAsia" w:ascii="仿宋_GB2312" w:hAnsi="宋体"/>
                <w:sz w:val="18"/>
                <w:szCs w:val="18"/>
              </w:rPr>
              <w:t>滋泥泉子镇</w:t>
            </w:r>
          </w:p>
        </w:tc>
        <w:tc>
          <w:tcPr>
            <w:tcW w:w="394" w:type="pct"/>
            <w:tcBorders>
              <w:top w:val="nil"/>
              <w:left w:val="nil"/>
              <w:bottom w:val="single" w:color="auto" w:sz="4" w:space="0"/>
              <w:right w:val="single" w:color="auto" w:sz="4" w:space="0"/>
            </w:tcBorders>
            <w:shd w:val="clear" w:color="auto" w:fill="auto"/>
            <w:noWrap/>
            <w:vAlign w:val="center"/>
          </w:tcPr>
          <w:p w14:paraId="576B1930">
            <w:pPr>
              <w:spacing w:line="240" w:lineRule="auto"/>
              <w:ind w:firstLine="0" w:firstLineChars="0"/>
              <w:jc w:val="center"/>
              <w:rPr>
                <w:rFonts w:eastAsia="宋体" w:cs="Times New Roman"/>
                <w:sz w:val="18"/>
                <w:szCs w:val="18"/>
              </w:rPr>
            </w:pPr>
            <w:r>
              <w:rPr>
                <w:rFonts w:eastAsia="宋体" w:cs="Times New Roman"/>
                <w:sz w:val="18"/>
                <w:szCs w:val="18"/>
              </w:rPr>
              <w:t>36165.14</w:t>
            </w:r>
          </w:p>
        </w:tc>
        <w:tc>
          <w:tcPr>
            <w:tcW w:w="314" w:type="pct"/>
            <w:tcBorders>
              <w:top w:val="nil"/>
              <w:left w:val="nil"/>
              <w:bottom w:val="single" w:color="auto" w:sz="4" w:space="0"/>
              <w:right w:val="single" w:color="auto" w:sz="4" w:space="0"/>
            </w:tcBorders>
            <w:shd w:val="clear" w:color="auto" w:fill="auto"/>
            <w:noWrap/>
            <w:vAlign w:val="center"/>
          </w:tcPr>
          <w:p w14:paraId="42B23495">
            <w:pPr>
              <w:spacing w:line="240" w:lineRule="auto"/>
              <w:ind w:firstLine="0" w:firstLineChars="0"/>
              <w:jc w:val="center"/>
              <w:rPr>
                <w:rFonts w:eastAsia="宋体" w:cs="Times New Roman"/>
                <w:sz w:val="18"/>
                <w:szCs w:val="18"/>
              </w:rPr>
            </w:pPr>
            <w:r>
              <w:rPr>
                <w:rFonts w:eastAsia="宋体" w:cs="Times New Roman"/>
                <w:sz w:val="18"/>
                <w:szCs w:val="18"/>
              </w:rPr>
              <w:t>16405.34</w:t>
            </w:r>
          </w:p>
        </w:tc>
        <w:tc>
          <w:tcPr>
            <w:tcW w:w="305" w:type="pct"/>
            <w:tcBorders>
              <w:top w:val="nil"/>
              <w:left w:val="nil"/>
              <w:bottom w:val="single" w:color="auto" w:sz="4" w:space="0"/>
              <w:right w:val="single" w:color="auto" w:sz="4" w:space="0"/>
            </w:tcBorders>
            <w:shd w:val="clear" w:color="auto" w:fill="auto"/>
            <w:noWrap/>
            <w:vAlign w:val="center"/>
          </w:tcPr>
          <w:p w14:paraId="4998126B">
            <w:pPr>
              <w:spacing w:line="240" w:lineRule="auto"/>
              <w:ind w:firstLine="0" w:firstLineChars="0"/>
              <w:jc w:val="center"/>
              <w:rPr>
                <w:rFonts w:eastAsia="宋体" w:cs="Times New Roman"/>
                <w:sz w:val="18"/>
                <w:szCs w:val="18"/>
              </w:rPr>
            </w:pPr>
            <w:r>
              <w:rPr>
                <w:rFonts w:eastAsia="宋体" w:cs="Times New Roman"/>
                <w:sz w:val="18"/>
                <w:szCs w:val="18"/>
              </w:rPr>
              <w:t>42.73</w:t>
            </w:r>
          </w:p>
        </w:tc>
        <w:tc>
          <w:tcPr>
            <w:tcW w:w="335" w:type="pct"/>
            <w:tcBorders>
              <w:top w:val="nil"/>
              <w:left w:val="nil"/>
              <w:bottom w:val="single" w:color="auto" w:sz="4" w:space="0"/>
              <w:right w:val="single" w:color="auto" w:sz="4" w:space="0"/>
            </w:tcBorders>
            <w:shd w:val="clear" w:color="auto" w:fill="auto"/>
            <w:noWrap/>
            <w:vAlign w:val="center"/>
          </w:tcPr>
          <w:p w14:paraId="6A0767FD">
            <w:pPr>
              <w:spacing w:line="240" w:lineRule="auto"/>
              <w:ind w:firstLine="0" w:firstLineChars="0"/>
              <w:jc w:val="center"/>
              <w:rPr>
                <w:rFonts w:eastAsia="宋体" w:cs="Times New Roman"/>
                <w:sz w:val="18"/>
                <w:szCs w:val="18"/>
              </w:rPr>
            </w:pPr>
            <w:r>
              <w:rPr>
                <w:rFonts w:eastAsia="宋体" w:cs="Times New Roman"/>
                <w:sz w:val="18"/>
                <w:szCs w:val="18"/>
              </w:rPr>
              <w:t>10497</w:t>
            </w:r>
          </w:p>
        </w:tc>
        <w:tc>
          <w:tcPr>
            <w:tcW w:w="335" w:type="pct"/>
            <w:tcBorders>
              <w:top w:val="nil"/>
              <w:left w:val="nil"/>
              <w:bottom w:val="single" w:color="auto" w:sz="4" w:space="0"/>
              <w:right w:val="single" w:color="auto" w:sz="4" w:space="0"/>
            </w:tcBorders>
            <w:shd w:val="clear" w:color="auto" w:fill="auto"/>
            <w:noWrap/>
            <w:vAlign w:val="center"/>
          </w:tcPr>
          <w:p w14:paraId="392D3BF0">
            <w:pPr>
              <w:spacing w:line="240" w:lineRule="auto"/>
              <w:ind w:firstLine="0" w:firstLineChars="0"/>
              <w:jc w:val="center"/>
              <w:rPr>
                <w:rFonts w:eastAsia="宋体" w:cs="Times New Roman"/>
                <w:sz w:val="18"/>
                <w:szCs w:val="18"/>
              </w:rPr>
            </w:pPr>
            <w:r>
              <w:rPr>
                <w:rFonts w:eastAsia="宋体" w:cs="Times New Roman"/>
                <w:sz w:val="18"/>
                <w:szCs w:val="18"/>
              </w:rPr>
              <w:t>5298.86</w:t>
            </w:r>
          </w:p>
        </w:tc>
        <w:tc>
          <w:tcPr>
            <w:tcW w:w="305" w:type="pct"/>
            <w:tcBorders>
              <w:top w:val="nil"/>
              <w:left w:val="nil"/>
              <w:bottom w:val="single" w:color="auto" w:sz="4" w:space="0"/>
              <w:right w:val="single" w:color="auto" w:sz="4" w:space="0"/>
            </w:tcBorders>
            <w:shd w:val="clear" w:color="auto" w:fill="auto"/>
            <w:noWrap/>
            <w:vAlign w:val="center"/>
          </w:tcPr>
          <w:p w14:paraId="176136AA">
            <w:pPr>
              <w:spacing w:line="240" w:lineRule="auto"/>
              <w:ind w:firstLine="0" w:firstLineChars="0"/>
              <w:jc w:val="center"/>
              <w:rPr>
                <w:rFonts w:eastAsia="宋体" w:cs="Times New Roman"/>
                <w:sz w:val="18"/>
                <w:szCs w:val="18"/>
              </w:rPr>
            </w:pPr>
            <w:r>
              <w:rPr>
                <w:rFonts w:eastAsia="宋体" w:cs="Times New Roman"/>
                <w:sz w:val="18"/>
                <w:szCs w:val="18"/>
              </w:rPr>
              <w:t>32.96</w:t>
            </w:r>
          </w:p>
        </w:tc>
        <w:tc>
          <w:tcPr>
            <w:tcW w:w="310" w:type="pct"/>
            <w:tcBorders>
              <w:top w:val="nil"/>
              <w:left w:val="nil"/>
              <w:bottom w:val="single" w:color="auto" w:sz="4" w:space="0"/>
              <w:right w:val="single" w:color="auto" w:sz="4" w:space="0"/>
            </w:tcBorders>
            <w:shd w:val="clear" w:color="auto" w:fill="auto"/>
            <w:noWrap/>
            <w:vAlign w:val="center"/>
          </w:tcPr>
          <w:p w14:paraId="077ACE62">
            <w:pPr>
              <w:spacing w:line="240" w:lineRule="auto"/>
              <w:ind w:firstLine="0" w:firstLineChars="0"/>
              <w:jc w:val="center"/>
              <w:rPr>
                <w:rFonts w:eastAsia="宋体" w:cs="Times New Roman"/>
                <w:sz w:val="18"/>
                <w:szCs w:val="18"/>
              </w:rPr>
            </w:pPr>
            <w:r>
              <w:rPr>
                <w:rFonts w:eastAsia="宋体" w:cs="Times New Roman"/>
                <w:sz w:val="18"/>
                <w:szCs w:val="18"/>
              </w:rPr>
              <w:t>182.75</w:t>
            </w:r>
          </w:p>
        </w:tc>
        <w:tc>
          <w:tcPr>
            <w:tcW w:w="310" w:type="pct"/>
            <w:tcBorders>
              <w:top w:val="nil"/>
              <w:left w:val="nil"/>
              <w:bottom w:val="single" w:color="auto" w:sz="4" w:space="0"/>
              <w:right w:val="single" w:color="auto" w:sz="4" w:space="0"/>
            </w:tcBorders>
            <w:shd w:val="clear" w:color="auto" w:fill="auto"/>
            <w:noWrap/>
            <w:vAlign w:val="center"/>
          </w:tcPr>
          <w:p w14:paraId="0D4C490A">
            <w:pPr>
              <w:spacing w:line="240" w:lineRule="auto"/>
              <w:ind w:firstLine="0" w:firstLineChars="0"/>
              <w:jc w:val="center"/>
              <w:rPr>
                <w:rFonts w:eastAsia="宋体" w:cs="Times New Roman"/>
                <w:sz w:val="18"/>
                <w:szCs w:val="18"/>
              </w:rPr>
            </w:pPr>
            <w:r>
              <w:rPr>
                <w:rFonts w:eastAsia="宋体" w:cs="Times New Roman"/>
                <w:sz w:val="18"/>
                <w:szCs w:val="18"/>
              </w:rPr>
              <w:t>909.73</w:t>
            </w:r>
          </w:p>
        </w:tc>
        <w:tc>
          <w:tcPr>
            <w:tcW w:w="305" w:type="pct"/>
            <w:tcBorders>
              <w:top w:val="nil"/>
              <w:left w:val="nil"/>
              <w:bottom w:val="single" w:color="auto" w:sz="4" w:space="0"/>
              <w:right w:val="single" w:color="auto" w:sz="4" w:space="0"/>
            </w:tcBorders>
            <w:shd w:val="clear" w:color="auto" w:fill="auto"/>
            <w:noWrap/>
            <w:vAlign w:val="center"/>
          </w:tcPr>
          <w:p w14:paraId="429ACA64">
            <w:pPr>
              <w:spacing w:line="240" w:lineRule="auto"/>
              <w:ind w:firstLine="0" w:firstLineChars="0"/>
              <w:jc w:val="center"/>
              <w:rPr>
                <w:rFonts w:eastAsia="宋体" w:cs="Times New Roman"/>
                <w:sz w:val="18"/>
                <w:szCs w:val="18"/>
              </w:rPr>
            </w:pPr>
            <w:r>
              <w:rPr>
                <w:rFonts w:eastAsia="宋体" w:cs="Times New Roman"/>
                <w:sz w:val="18"/>
                <w:szCs w:val="18"/>
              </w:rPr>
              <w:t>52.37</w:t>
            </w:r>
          </w:p>
        </w:tc>
        <w:tc>
          <w:tcPr>
            <w:tcW w:w="310" w:type="pct"/>
            <w:tcBorders>
              <w:top w:val="nil"/>
              <w:left w:val="nil"/>
              <w:bottom w:val="single" w:color="auto" w:sz="4" w:space="0"/>
              <w:right w:val="single" w:color="auto" w:sz="4" w:space="0"/>
            </w:tcBorders>
            <w:shd w:val="clear" w:color="auto" w:fill="auto"/>
            <w:noWrap/>
            <w:vAlign w:val="center"/>
          </w:tcPr>
          <w:p w14:paraId="47533C4A">
            <w:pPr>
              <w:spacing w:line="240" w:lineRule="auto"/>
              <w:ind w:firstLine="0" w:firstLineChars="0"/>
              <w:jc w:val="center"/>
              <w:rPr>
                <w:rFonts w:eastAsia="宋体" w:cs="Times New Roman"/>
                <w:sz w:val="18"/>
                <w:szCs w:val="18"/>
              </w:rPr>
            </w:pPr>
            <w:r>
              <w:rPr>
                <w:rFonts w:eastAsia="宋体" w:cs="Times New Roman"/>
                <w:sz w:val="18"/>
                <w:szCs w:val="18"/>
              </w:rPr>
              <w:t>224.97</w:t>
            </w:r>
          </w:p>
        </w:tc>
        <w:tc>
          <w:tcPr>
            <w:tcW w:w="310" w:type="pct"/>
            <w:tcBorders>
              <w:top w:val="nil"/>
              <w:left w:val="nil"/>
              <w:bottom w:val="single" w:color="auto" w:sz="4" w:space="0"/>
              <w:right w:val="single" w:color="auto" w:sz="4" w:space="0"/>
            </w:tcBorders>
            <w:shd w:val="clear" w:color="auto" w:fill="auto"/>
            <w:noWrap/>
            <w:vAlign w:val="center"/>
          </w:tcPr>
          <w:p w14:paraId="5F3CB42E">
            <w:pPr>
              <w:spacing w:line="240" w:lineRule="auto"/>
              <w:ind w:firstLine="0" w:firstLineChars="0"/>
              <w:jc w:val="center"/>
              <w:rPr>
                <w:rFonts w:eastAsia="宋体" w:cs="Times New Roman"/>
                <w:sz w:val="18"/>
                <w:szCs w:val="18"/>
              </w:rPr>
            </w:pPr>
            <w:r>
              <w:rPr>
                <w:rFonts w:eastAsia="宋体" w:cs="Times New Roman"/>
                <w:sz w:val="18"/>
                <w:szCs w:val="18"/>
              </w:rPr>
              <w:t>855.33</w:t>
            </w:r>
          </w:p>
        </w:tc>
        <w:tc>
          <w:tcPr>
            <w:tcW w:w="314" w:type="pct"/>
            <w:tcBorders>
              <w:top w:val="nil"/>
              <w:left w:val="nil"/>
              <w:bottom w:val="single" w:color="auto" w:sz="4" w:space="0"/>
              <w:right w:val="single" w:color="auto" w:sz="4" w:space="0"/>
            </w:tcBorders>
            <w:shd w:val="clear" w:color="auto" w:fill="auto"/>
            <w:noWrap/>
            <w:vAlign w:val="center"/>
          </w:tcPr>
          <w:p w14:paraId="36D9259F">
            <w:pPr>
              <w:spacing w:line="240" w:lineRule="auto"/>
              <w:ind w:firstLine="0" w:firstLineChars="0"/>
              <w:jc w:val="center"/>
              <w:rPr>
                <w:rFonts w:eastAsia="宋体" w:cs="Times New Roman"/>
                <w:sz w:val="18"/>
                <w:szCs w:val="18"/>
              </w:rPr>
            </w:pPr>
            <w:r>
              <w:rPr>
                <w:rFonts w:eastAsia="宋体" w:cs="Times New Roman"/>
                <w:sz w:val="18"/>
                <w:szCs w:val="18"/>
              </w:rPr>
              <w:t>924.34</w:t>
            </w:r>
          </w:p>
        </w:tc>
        <w:tc>
          <w:tcPr>
            <w:tcW w:w="314" w:type="pct"/>
            <w:tcBorders>
              <w:top w:val="nil"/>
              <w:left w:val="nil"/>
              <w:bottom w:val="single" w:color="auto" w:sz="4" w:space="0"/>
              <w:right w:val="single" w:color="auto" w:sz="4" w:space="0"/>
            </w:tcBorders>
            <w:shd w:val="clear" w:color="auto" w:fill="auto"/>
            <w:noWrap/>
            <w:vAlign w:val="center"/>
          </w:tcPr>
          <w:p w14:paraId="43852798">
            <w:pPr>
              <w:spacing w:line="240" w:lineRule="auto"/>
              <w:ind w:firstLine="0" w:firstLineChars="0"/>
              <w:jc w:val="center"/>
              <w:rPr>
                <w:rFonts w:eastAsia="宋体" w:cs="Times New Roman"/>
                <w:sz w:val="18"/>
                <w:szCs w:val="18"/>
              </w:rPr>
            </w:pPr>
            <w:r>
              <w:rPr>
                <w:rFonts w:eastAsia="宋体" w:cs="Times New Roman"/>
                <w:sz w:val="18"/>
                <w:szCs w:val="18"/>
              </w:rPr>
              <w:t>566.61</w:t>
            </w:r>
          </w:p>
        </w:tc>
        <w:tc>
          <w:tcPr>
            <w:tcW w:w="278" w:type="pct"/>
            <w:tcBorders>
              <w:top w:val="nil"/>
              <w:left w:val="nil"/>
              <w:bottom w:val="single" w:color="auto" w:sz="4" w:space="0"/>
              <w:right w:val="single" w:color="auto" w:sz="4" w:space="0"/>
            </w:tcBorders>
            <w:shd w:val="clear" w:color="auto" w:fill="auto"/>
            <w:vAlign w:val="center"/>
          </w:tcPr>
          <w:p w14:paraId="664CBC19">
            <w:pPr>
              <w:spacing w:line="240" w:lineRule="auto"/>
              <w:ind w:firstLine="0" w:firstLineChars="0"/>
              <w:jc w:val="center"/>
              <w:rPr>
                <w:rFonts w:eastAsia="宋体" w:cs="Times New Roman"/>
                <w:sz w:val="18"/>
                <w:szCs w:val="18"/>
              </w:rPr>
            </w:pPr>
            <w:r>
              <w:rPr>
                <w:rFonts w:eastAsia="宋体" w:cs="Times New Roman"/>
                <w:sz w:val="18"/>
                <w:szCs w:val="18"/>
              </w:rPr>
              <w:t>172.15</w:t>
            </w:r>
          </w:p>
        </w:tc>
      </w:tr>
      <w:tr w14:paraId="1A2B0C6D">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2462BCF1">
            <w:pPr>
              <w:spacing w:line="240" w:lineRule="auto"/>
              <w:ind w:firstLine="0" w:firstLineChars="0"/>
              <w:jc w:val="center"/>
              <w:rPr>
                <w:rFonts w:hint="eastAsia" w:ascii="仿宋_GB2312" w:hAnsi="宋体"/>
                <w:sz w:val="18"/>
                <w:szCs w:val="18"/>
              </w:rPr>
            </w:pPr>
            <w:r>
              <w:rPr>
                <w:rFonts w:hint="eastAsia" w:ascii="仿宋_GB2312" w:hAnsi="宋体"/>
                <w:sz w:val="18"/>
                <w:szCs w:val="18"/>
              </w:rPr>
              <w:t>三工河哈萨克民族乡</w:t>
            </w:r>
          </w:p>
        </w:tc>
        <w:tc>
          <w:tcPr>
            <w:tcW w:w="394" w:type="pct"/>
            <w:tcBorders>
              <w:top w:val="nil"/>
              <w:left w:val="nil"/>
              <w:bottom w:val="single" w:color="auto" w:sz="4" w:space="0"/>
              <w:right w:val="single" w:color="auto" w:sz="4" w:space="0"/>
            </w:tcBorders>
            <w:shd w:val="clear" w:color="auto" w:fill="auto"/>
            <w:noWrap/>
            <w:vAlign w:val="center"/>
          </w:tcPr>
          <w:p w14:paraId="7AF734B3">
            <w:pPr>
              <w:spacing w:line="240" w:lineRule="auto"/>
              <w:ind w:firstLine="0" w:firstLineChars="0"/>
              <w:jc w:val="center"/>
              <w:rPr>
                <w:rFonts w:eastAsia="宋体" w:cs="Times New Roman"/>
                <w:sz w:val="18"/>
                <w:szCs w:val="18"/>
              </w:rPr>
            </w:pPr>
            <w:r>
              <w:rPr>
                <w:rFonts w:eastAsia="宋体" w:cs="Times New Roman"/>
                <w:sz w:val="18"/>
                <w:szCs w:val="18"/>
              </w:rPr>
              <w:t>65706.14</w:t>
            </w:r>
          </w:p>
        </w:tc>
        <w:tc>
          <w:tcPr>
            <w:tcW w:w="314" w:type="pct"/>
            <w:tcBorders>
              <w:top w:val="nil"/>
              <w:left w:val="nil"/>
              <w:bottom w:val="single" w:color="auto" w:sz="4" w:space="0"/>
              <w:right w:val="single" w:color="auto" w:sz="4" w:space="0"/>
            </w:tcBorders>
            <w:shd w:val="clear" w:color="auto" w:fill="auto"/>
            <w:noWrap/>
            <w:vAlign w:val="center"/>
          </w:tcPr>
          <w:p w14:paraId="78ADBE58">
            <w:pPr>
              <w:spacing w:line="240" w:lineRule="auto"/>
              <w:ind w:firstLine="0" w:firstLineChars="0"/>
              <w:jc w:val="center"/>
              <w:rPr>
                <w:rFonts w:eastAsia="宋体" w:cs="Times New Roman"/>
                <w:sz w:val="18"/>
                <w:szCs w:val="18"/>
              </w:rPr>
            </w:pPr>
            <w:r>
              <w:rPr>
                <w:rFonts w:eastAsia="宋体" w:cs="Times New Roman"/>
                <w:sz w:val="18"/>
                <w:szCs w:val="18"/>
              </w:rPr>
              <w:t>6822.85</w:t>
            </w:r>
          </w:p>
        </w:tc>
        <w:tc>
          <w:tcPr>
            <w:tcW w:w="305" w:type="pct"/>
            <w:tcBorders>
              <w:top w:val="nil"/>
              <w:left w:val="nil"/>
              <w:bottom w:val="single" w:color="auto" w:sz="4" w:space="0"/>
              <w:right w:val="single" w:color="auto" w:sz="4" w:space="0"/>
            </w:tcBorders>
            <w:shd w:val="clear" w:color="auto" w:fill="auto"/>
            <w:noWrap/>
            <w:vAlign w:val="center"/>
          </w:tcPr>
          <w:p w14:paraId="3C6C37F8">
            <w:pPr>
              <w:spacing w:line="240" w:lineRule="auto"/>
              <w:ind w:firstLine="0" w:firstLineChars="0"/>
              <w:jc w:val="center"/>
              <w:rPr>
                <w:rFonts w:eastAsia="宋体" w:cs="Times New Roman"/>
                <w:sz w:val="18"/>
                <w:szCs w:val="18"/>
              </w:rPr>
            </w:pPr>
            <w:r>
              <w:rPr>
                <w:rFonts w:eastAsia="宋体" w:cs="Times New Roman"/>
                <w:sz w:val="18"/>
                <w:szCs w:val="18"/>
              </w:rPr>
              <w:t>235.23</w:t>
            </w:r>
          </w:p>
        </w:tc>
        <w:tc>
          <w:tcPr>
            <w:tcW w:w="335" w:type="pct"/>
            <w:tcBorders>
              <w:top w:val="nil"/>
              <w:left w:val="nil"/>
              <w:bottom w:val="single" w:color="auto" w:sz="4" w:space="0"/>
              <w:right w:val="single" w:color="auto" w:sz="4" w:space="0"/>
            </w:tcBorders>
            <w:shd w:val="clear" w:color="auto" w:fill="auto"/>
            <w:noWrap/>
            <w:vAlign w:val="center"/>
          </w:tcPr>
          <w:p w14:paraId="1EAC04A1">
            <w:pPr>
              <w:spacing w:line="240" w:lineRule="auto"/>
              <w:ind w:firstLine="0" w:firstLineChars="0"/>
              <w:jc w:val="center"/>
              <w:rPr>
                <w:rFonts w:eastAsia="宋体" w:cs="Times New Roman"/>
                <w:sz w:val="18"/>
                <w:szCs w:val="18"/>
              </w:rPr>
            </w:pPr>
            <w:r>
              <w:rPr>
                <w:rFonts w:eastAsia="宋体" w:cs="Times New Roman"/>
                <w:sz w:val="18"/>
                <w:szCs w:val="18"/>
              </w:rPr>
              <w:t>11914.35</w:t>
            </w:r>
          </w:p>
        </w:tc>
        <w:tc>
          <w:tcPr>
            <w:tcW w:w="335" w:type="pct"/>
            <w:tcBorders>
              <w:top w:val="nil"/>
              <w:left w:val="nil"/>
              <w:bottom w:val="single" w:color="auto" w:sz="4" w:space="0"/>
              <w:right w:val="single" w:color="auto" w:sz="4" w:space="0"/>
            </w:tcBorders>
            <w:shd w:val="clear" w:color="auto" w:fill="auto"/>
            <w:noWrap/>
            <w:vAlign w:val="center"/>
          </w:tcPr>
          <w:p w14:paraId="483A5EAB">
            <w:pPr>
              <w:spacing w:line="240" w:lineRule="auto"/>
              <w:ind w:firstLine="0" w:firstLineChars="0"/>
              <w:jc w:val="center"/>
              <w:rPr>
                <w:rFonts w:eastAsia="宋体" w:cs="Times New Roman"/>
                <w:sz w:val="18"/>
                <w:szCs w:val="18"/>
              </w:rPr>
            </w:pPr>
            <w:r>
              <w:rPr>
                <w:rFonts w:eastAsia="宋体" w:cs="Times New Roman"/>
                <w:sz w:val="18"/>
                <w:szCs w:val="18"/>
              </w:rPr>
              <w:t>35093.66</w:t>
            </w:r>
          </w:p>
        </w:tc>
        <w:tc>
          <w:tcPr>
            <w:tcW w:w="305" w:type="pct"/>
            <w:tcBorders>
              <w:top w:val="nil"/>
              <w:left w:val="nil"/>
              <w:bottom w:val="single" w:color="auto" w:sz="4" w:space="0"/>
              <w:right w:val="single" w:color="auto" w:sz="4" w:space="0"/>
            </w:tcBorders>
            <w:shd w:val="clear" w:color="auto" w:fill="auto"/>
            <w:noWrap/>
            <w:vAlign w:val="center"/>
          </w:tcPr>
          <w:p w14:paraId="024E9938">
            <w:pPr>
              <w:spacing w:line="240" w:lineRule="auto"/>
              <w:ind w:firstLine="0" w:firstLineChars="0"/>
              <w:jc w:val="center"/>
              <w:rPr>
                <w:rFonts w:eastAsia="宋体" w:cs="Times New Roman"/>
                <w:sz w:val="18"/>
                <w:szCs w:val="18"/>
              </w:rPr>
            </w:pPr>
            <w:r>
              <w:rPr>
                <w:rFonts w:eastAsia="宋体" w:cs="Times New Roman"/>
                <w:sz w:val="18"/>
                <w:szCs w:val="18"/>
              </w:rPr>
              <w:t>101.48</w:t>
            </w:r>
          </w:p>
        </w:tc>
        <w:tc>
          <w:tcPr>
            <w:tcW w:w="310" w:type="pct"/>
            <w:tcBorders>
              <w:top w:val="nil"/>
              <w:left w:val="nil"/>
              <w:bottom w:val="single" w:color="auto" w:sz="4" w:space="0"/>
              <w:right w:val="single" w:color="auto" w:sz="4" w:space="0"/>
            </w:tcBorders>
            <w:shd w:val="clear" w:color="auto" w:fill="auto"/>
            <w:noWrap/>
            <w:vAlign w:val="center"/>
          </w:tcPr>
          <w:p w14:paraId="1C58BDAE">
            <w:pPr>
              <w:spacing w:line="240" w:lineRule="auto"/>
              <w:ind w:firstLine="0" w:firstLineChars="0"/>
              <w:jc w:val="center"/>
              <w:rPr>
                <w:rFonts w:eastAsia="宋体" w:cs="Times New Roman"/>
                <w:sz w:val="18"/>
                <w:szCs w:val="18"/>
              </w:rPr>
            </w:pPr>
            <w:r>
              <w:rPr>
                <w:rFonts w:eastAsia="宋体" w:cs="Times New Roman"/>
                <w:sz w:val="18"/>
                <w:szCs w:val="18"/>
              </w:rPr>
              <w:t>398.72</w:t>
            </w:r>
          </w:p>
        </w:tc>
        <w:tc>
          <w:tcPr>
            <w:tcW w:w="310" w:type="pct"/>
            <w:tcBorders>
              <w:top w:val="nil"/>
              <w:left w:val="nil"/>
              <w:bottom w:val="single" w:color="auto" w:sz="4" w:space="0"/>
              <w:right w:val="single" w:color="auto" w:sz="4" w:space="0"/>
            </w:tcBorders>
            <w:shd w:val="clear" w:color="auto" w:fill="auto"/>
            <w:noWrap/>
            <w:vAlign w:val="center"/>
          </w:tcPr>
          <w:p w14:paraId="137188DE">
            <w:pPr>
              <w:spacing w:line="240" w:lineRule="auto"/>
              <w:ind w:firstLine="0" w:firstLineChars="0"/>
              <w:jc w:val="center"/>
              <w:rPr>
                <w:rFonts w:eastAsia="宋体" w:cs="Times New Roman"/>
                <w:sz w:val="18"/>
                <w:szCs w:val="18"/>
              </w:rPr>
            </w:pPr>
            <w:r>
              <w:rPr>
                <w:rFonts w:eastAsia="宋体" w:cs="Times New Roman"/>
                <w:sz w:val="18"/>
                <w:szCs w:val="18"/>
              </w:rPr>
              <w:t>254.26</w:t>
            </w:r>
          </w:p>
        </w:tc>
        <w:tc>
          <w:tcPr>
            <w:tcW w:w="305" w:type="pct"/>
            <w:tcBorders>
              <w:top w:val="nil"/>
              <w:left w:val="nil"/>
              <w:bottom w:val="single" w:color="auto" w:sz="4" w:space="0"/>
              <w:right w:val="single" w:color="auto" w:sz="4" w:space="0"/>
            </w:tcBorders>
            <w:shd w:val="clear" w:color="auto" w:fill="auto"/>
            <w:noWrap/>
            <w:vAlign w:val="center"/>
          </w:tcPr>
          <w:p w14:paraId="059C702A">
            <w:pPr>
              <w:spacing w:line="240" w:lineRule="auto"/>
              <w:ind w:firstLine="0" w:firstLineChars="0"/>
              <w:jc w:val="center"/>
              <w:rPr>
                <w:rFonts w:eastAsia="宋体" w:cs="Times New Roman"/>
                <w:sz w:val="18"/>
                <w:szCs w:val="18"/>
              </w:rPr>
            </w:pPr>
            <w:r>
              <w:rPr>
                <w:rFonts w:eastAsia="宋体" w:cs="Times New Roman"/>
                <w:sz w:val="18"/>
                <w:szCs w:val="18"/>
              </w:rPr>
              <w:t>73.36</w:t>
            </w:r>
          </w:p>
        </w:tc>
        <w:tc>
          <w:tcPr>
            <w:tcW w:w="310" w:type="pct"/>
            <w:tcBorders>
              <w:top w:val="nil"/>
              <w:left w:val="nil"/>
              <w:bottom w:val="single" w:color="auto" w:sz="4" w:space="0"/>
              <w:right w:val="single" w:color="auto" w:sz="4" w:space="0"/>
            </w:tcBorders>
            <w:shd w:val="clear" w:color="auto" w:fill="auto"/>
            <w:noWrap/>
            <w:vAlign w:val="center"/>
          </w:tcPr>
          <w:p w14:paraId="5D87A19F">
            <w:pPr>
              <w:spacing w:line="240" w:lineRule="auto"/>
              <w:ind w:firstLine="0" w:firstLineChars="0"/>
              <w:jc w:val="center"/>
              <w:rPr>
                <w:rFonts w:eastAsia="宋体" w:cs="Times New Roman"/>
                <w:sz w:val="18"/>
                <w:szCs w:val="18"/>
              </w:rPr>
            </w:pPr>
            <w:r>
              <w:rPr>
                <w:rFonts w:eastAsia="宋体" w:cs="Times New Roman"/>
                <w:sz w:val="18"/>
                <w:szCs w:val="18"/>
              </w:rPr>
              <w:t>351.21</w:t>
            </w:r>
          </w:p>
        </w:tc>
        <w:tc>
          <w:tcPr>
            <w:tcW w:w="310" w:type="pct"/>
            <w:tcBorders>
              <w:top w:val="nil"/>
              <w:left w:val="nil"/>
              <w:bottom w:val="single" w:color="auto" w:sz="4" w:space="0"/>
              <w:right w:val="single" w:color="auto" w:sz="4" w:space="0"/>
            </w:tcBorders>
            <w:shd w:val="clear" w:color="auto" w:fill="auto"/>
            <w:noWrap/>
            <w:vAlign w:val="center"/>
          </w:tcPr>
          <w:p w14:paraId="37502A9A">
            <w:pPr>
              <w:spacing w:line="240" w:lineRule="auto"/>
              <w:ind w:firstLine="0" w:firstLineChars="0"/>
              <w:jc w:val="center"/>
              <w:rPr>
                <w:rFonts w:eastAsia="宋体" w:cs="Times New Roman"/>
                <w:sz w:val="18"/>
                <w:szCs w:val="18"/>
              </w:rPr>
            </w:pPr>
            <w:r>
              <w:rPr>
                <w:rFonts w:eastAsia="宋体" w:cs="Times New Roman"/>
                <w:sz w:val="18"/>
                <w:szCs w:val="18"/>
              </w:rPr>
              <w:t>527.83</w:t>
            </w:r>
          </w:p>
        </w:tc>
        <w:tc>
          <w:tcPr>
            <w:tcW w:w="314" w:type="pct"/>
            <w:tcBorders>
              <w:top w:val="nil"/>
              <w:left w:val="nil"/>
              <w:bottom w:val="single" w:color="auto" w:sz="4" w:space="0"/>
              <w:right w:val="single" w:color="auto" w:sz="4" w:space="0"/>
            </w:tcBorders>
            <w:shd w:val="clear" w:color="auto" w:fill="auto"/>
            <w:noWrap/>
            <w:vAlign w:val="center"/>
          </w:tcPr>
          <w:p w14:paraId="197F279F">
            <w:pPr>
              <w:spacing w:line="240" w:lineRule="auto"/>
              <w:ind w:firstLine="0" w:firstLineChars="0"/>
              <w:jc w:val="center"/>
              <w:rPr>
                <w:rFonts w:eastAsia="宋体" w:cs="Times New Roman"/>
                <w:sz w:val="18"/>
                <w:szCs w:val="18"/>
              </w:rPr>
            </w:pPr>
            <w:r>
              <w:rPr>
                <w:rFonts w:eastAsia="宋体" w:cs="Times New Roman"/>
                <w:sz w:val="18"/>
                <w:szCs w:val="18"/>
              </w:rPr>
              <w:t>2489.03</w:t>
            </w:r>
          </w:p>
        </w:tc>
        <w:tc>
          <w:tcPr>
            <w:tcW w:w="314" w:type="pct"/>
            <w:tcBorders>
              <w:top w:val="nil"/>
              <w:left w:val="nil"/>
              <w:bottom w:val="single" w:color="auto" w:sz="4" w:space="0"/>
              <w:right w:val="single" w:color="auto" w:sz="4" w:space="0"/>
            </w:tcBorders>
            <w:shd w:val="clear" w:color="auto" w:fill="auto"/>
            <w:noWrap/>
            <w:vAlign w:val="center"/>
          </w:tcPr>
          <w:p w14:paraId="3E1FB1CA">
            <w:pPr>
              <w:spacing w:line="240" w:lineRule="auto"/>
              <w:ind w:firstLine="0" w:firstLineChars="0"/>
              <w:jc w:val="center"/>
              <w:rPr>
                <w:rFonts w:eastAsia="宋体" w:cs="Times New Roman"/>
                <w:sz w:val="18"/>
                <w:szCs w:val="18"/>
              </w:rPr>
            </w:pPr>
            <w:r>
              <w:rPr>
                <w:rFonts w:eastAsia="宋体" w:cs="Times New Roman"/>
                <w:sz w:val="18"/>
                <w:szCs w:val="18"/>
              </w:rPr>
              <w:t>7124.49</w:t>
            </w:r>
          </w:p>
        </w:tc>
        <w:tc>
          <w:tcPr>
            <w:tcW w:w="278" w:type="pct"/>
            <w:tcBorders>
              <w:top w:val="nil"/>
              <w:left w:val="nil"/>
              <w:bottom w:val="single" w:color="auto" w:sz="4" w:space="0"/>
              <w:right w:val="single" w:color="auto" w:sz="4" w:space="0"/>
            </w:tcBorders>
            <w:shd w:val="clear" w:color="auto" w:fill="auto"/>
            <w:vAlign w:val="center"/>
          </w:tcPr>
          <w:p w14:paraId="60F4609B">
            <w:pPr>
              <w:spacing w:line="240" w:lineRule="auto"/>
              <w:ind w:firstLine="0" w:firstLineChars="0"/>
              <w:jc w:val="center"/>
              <w:rPr>
                <w:rFonts w:eastAsia="宋体" w:cs="Times New Roman"/>
                <w:sz w:val="18"/>
                <w:szCs w:val="18"/>
              </w:rPr>
            </w:pPr>
            <w:r>
              <w:rPr>
                <w:rFonts w:eastAsia="宋体" w:cs="Times New Roman"/>
                <w:sz w:val="18"/>
                <w:szCs w:val="18"/>
              </w:rPr>
              <w:t>319.67</w:t>
            </w:r>
          </w:p>
        </w:tc>
      </w:tr>
      <w:tr w14:paraId="34CC7615">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00887D94">
            <w:pPr>
              <w:spacing w:line="240" w:lineRule="auto"/>
              <w:ind w:firstLine="0" w:firstLineChars="0"/>
              <w:jc w:val="center"/>
              <w:rPr>
                <w:rFonts w:hint="eastAsia" w:ascii="仿宋_GB2312" w:hAnsi="宋体"/>
                <w:sz w:val="18"/>
                <w:szCs w:val="18"/>
              </w:rPr>
            </w:pPr>
            <w:r>
              <w:rPr>
                <w:rFonts w:hint="eastAsia" w:ascii="仿宋_GB2312" w:hAnsi="宋体"/>
                <w:sz w:val="18"/>
                <w:szCs w:val="18"/>
              </w:rPr>
              <w:t>上户沟哈萨克民族乡</w:t>
            </w:r>
          </w:p>
        </w:tc>
        <w:tc>
          <w:tcPr>
            <w:tcW w:w="394" w:type="pct"/>
            <w:tcBorders>
              <w:top w:val="nil"/>
              <w:left w:val="nil"/>
              <w:bottom w:val="single" w:color="auto" w:sz="4" w:space="0"/>
              <w:right w:val="single" w:color="auto" w:sz="4" w:space="0"/>
            </w:tcBorders>
            <w:shd w:val="clear" w:color="auto" w:fill="auto"/>
            <w:noWrap/>
            <w:vAlign w:val="center"/>
          </w:tcPr>
          <w:p w14:paraId="0F46514A">
            <w:pPr>
              <w:spacing w:line="240" w:lineRule="auto"/>
              <w:ind w:firstLine="0" w:firstLineChars="0"/>
              <w:jc w:val="center"/>
              <w:rPr>
                <w:rFonts w:eastAsia="宋体" w:cs="Times New Roman"/>
                <w:sz w:val="18"/>
                <w:szCs w:val="18"/>
              </w:rPr>
            </w:pPr>
            <w:r>
              <w:rPr>
                <w:rFonts w:eastAsia="宋体" w:cs="Times New Roman"/>
                <w:sz w:val="18"/>
                <w:szCs w:val="18"/>
              </w:rPr>
              <w:t>220386.91</w:t>
            </w:r>
          </w:p>
        </w:tc>
        <w:tc>
          <w:tcPr>
            <w:tcW w:w="314" w:type="pct"/>
            <w:tcBorders>
              <w:top w:val="nil"/>
              <w:left w:val="nil"/>
              <w:bottom w:val="single" w:color="auto" w:sz="4" w:space="0"/>
              <w:right w:val="single" w:color="auto" w:sz="4" w:space="0"/>
            </w:tcBorders>
            <w:shd w:val="clear" w:color="auto" w:fill="auto"/>
            <w:noWrap/>
            <w:vAlign w:val="center"/>
          </w:tcPr>
          <w:p w14:paraId="17A9320B">
            <w:pPr>
              <w:spacing w:line="240" w:lineRule="auto"/>
              <w:ind w:firstLine="0" w:firstLineChars="0"/>
              <w:jc w:val="center"/>
              <w:rPr>
                <w:rFonts w:eastAsia="宋体" w:cs="Times New Roman"/>
                <w:sz w:val="18"/>
                <w:szCs w:val="18"/>
              </w:rPr>
            </w:pPr>
            <w:r>
              <w:rPr>
                <w:rFonts w:eastAsia="宋体" w:cs="Times New Roman"/>
                <w:sz w:val="18"/>
                <w:szCs w:val="18"/>
              </w:rPr>
              <w:t>19866.99</w:t>
            </w:r>
          </w:p>
        </w:tc>
        <w:tc>
          <w:tcPr>
            <w:tcW w:w="305" w:type="pct"/>
            <w:tcBorders>
              <w:top w:val="nil"/>
              <w:left w:val="nil"/>
              <w:bottom w:val="single" w:color="auto" w:sz="4" w:space="0"/>
              <w:right w:val="single" w:color="auto" w:sz="4" w:space="0"/>
            </w:tcBorders>
            <w:shd w:val="clear" w:color="auto" w:fill="auto"/>
            <w:noWrap/>
            <w:vAlign w:val="center"/>
          </w:tcPr>
          <w:p w14:paraId="50F18AC7">
            <w:pPr>
              <w:spacing w:line="240" w:lineRule="auto"/>
              <w:ind w:firstLine="0" w:firstLineChars="0"/>
              <w:jc w:val="center"/>
              <w:rPr>
                <w:rFonts w:eastAsia="宋体" w:cs="Times New Roman"/>
                <w:sz w:val="18"/>
                <w:szCs w:val="18"/>
              </w:rPr>
            </w:pPr>
            <w:r>
              <w:rPr>
                <w:rFonts w:eastAsia="宋体" w:cs="Times New Roman"/>
                <w:sz w:val="18"/>
                <w:szCs w:val="18"/>
              </w:rPr>
              <w:t>279.99</w:t>
            </w:r>
          </w:p>
        </w:tc>
        <w:tc>
          <w:tcPr>
            <w:tcW w:w="335" w:type="pct"/>
            <w:tcBorders>
              <w:top w:val="nil"/>
              <w:left w:val="nil"/>
              <w:bottom w:val="single" w:color="auto" w:sz="4" w:space="0"/>
              <w:right w:val="single" w:color="auto" w:sz="4" w:space="0"/>
            </w:tcBorders>
            <w:shd w:val="clear" w:color="auto" w:fill="auto"/>
            <w:noWrap/>
            <w:vAlign w:val="center"/>
          </w:tcPr>
          <w:p w14:paraId="5D65CE05">
            <w:pPr>
              <w:spacing w:line="240" w:lineRule="auto"/>
              <w:ind w:firstLine="0" w:firstLineChars="0"/>
              <w:jc w:val="center"/>
              <w:rPr>
                <w:rFonts w:eastAsia="宋体" w:cs="Times New Roman"/>
                <w:sz w:val="18"/>
                <w:szCs w:val="18"/>
              </w:rPr>
            </w:pPr>
            <w:r>
              <w:rPr>
                <w:rFonts w:eastAsia="宋体" w:cs="Times New Roman"/>
                <w:sz w:val="18"/>
                <w:szCs w:val="18"/>
              </w:rPr>
              <w:t>38571.05</w:t>
            </w:r>
          </w:p>
        </w:tc>
        <w:tc>
          <w:tcPr>
            <w:tcW w:w="335" w:type="pct"/>
            <w:tcBorders>
              <w:top w:val="nil"/>
              <w:left w:val="nil"/>
              <w:bottom w:val="single" w:color="auto" w:sz="4" w:space="0"/>
              <w:right w:val="single" w:color="auto" w:sz="4" w:space="0"/>
            </w:tcBorders>
            <w:shd w:val="clear" w:color="auto" w:fill="auto"/>
            <w:noWrap/>
            <w:vAlign w:val="center"/>
          </w:tcPr>
          <w:p w14:paraId="259D702F">
            <w:pPr>
              <w:spacing w:line="240" w:lineRule="auto"/>
              <w:ind w:firstLine="0" w:firstLineChars="0"/>
              <w:jc w:val="center"/>
              <w:rPr>
                <w:rFonts w:eastAsia="宋体" w:cs="Times New Roman"/>
                <w:sz w:val="18"/>
                <w:szCs w:val="18"/>
              </w:rPr>
            </w:pPr>
            <w:r>
              <w:rPr>
                <w:rFonts w:eastAsia="宋体" w:cs="Times New Roman"/>
                <w:sz w:val="18"/>
                <w:szCs w:val="18"/>
              </w:rPr>
              <w:t>123982.84</w:t>
            </w:r>
          </w:p>
        </w:tc>
        <w:tc>
          <w:tcPr>
            <w:tcW w:w="305" w:type="pct"/>
            <w:tcBorders>
              <w:top w:val="nil"/>
              <w:left w:val="nil"/>
              <w:bottom w:val="single" w:color="auto" w:sz="4" w:space="0"/>
              <w:right w:val="single" w:color="auto" w:sz="4" w:space="0"/>
            </w:tcBorders>
            <w:shd w:val="clear" w:color="auto" w:fill="auto"/>
            <w:noWrap/>
            <w:vAlign w:val="center"/>
          </w:tcPr>
          <w:p w14:paraId="23E570CD">
            <w:pPr>
              <w:spacing w:line="240" w:lineRule="auto"/>
              <w:ind w:firstLine="0" w:firstLineChars="0"/>
              <w:jc w:val="center"/>
              <w:rPr>
                <w:rFonts w:eastAsia="宋体" w:cs="Times New Roman"/>
                <w:sz w:val="18"/>
                <w:szCs w:val="18"/>
              </w:rPr>
            </w:pPr>
            <w:r>
              <w:rPr>
                <w:rFonts w:eastAsia="宋体" w:cs="Times New Roman"/>
                <w:sz w:val="18"/>
                <w:szCs w:val="18"/>
              </w:rPr>
              <w:t>125.68</w:t>
            </w:r>
          </w:p>
        </w:tc>
        <w:tc>
          <w:tcPr>
            <w:tcW w:w="310" w:type="pct"/>
            <w:tcBorders>
              <w:top w:val="nil"/>
              <w:left w:val="nil"/>
              <w:bottom w:val="single" w:color="auto" w:sz="4" w:space="0"/>
              <w:right w:val="single" w:color="auto" w:sz="4" w:space="0"/>
            </w:tcBorders>
            <w:shd w:val="clear" w:color="auto" w:fill="auto"/>
            <w:noWrap/>
            <w:vAlign w:val="center"/>
          </w:tcPr>
          <w:p w14:paraId="34252504">
            <w:pPr>
              <w:spacing w:line="240" w:lineRule="auto"/>
              <w:ind w:firstLine="0" w:firstLineChars="0"/>
              <w:jc w:val="center"/>
              <w:rPr>
                <w:rFonts w:eastAsia="宋体" w:cs="Times New Roman"/>
                <w:sz w:val="18"/>
                <w:szCs w:val="18"/>
              </w:rPr>
            </w:pPr>
            <w:r>
              <w:rPr>
                <w:rFonts w:eastAsia="宋体" w:cs="Times New Roman"/>
                <w:sz w:val="18"/>
                <w:szCs w:val="18"/>
              </w:rPr>
              <w:t>4645.26</w:t>
            </w:r>
          </w:p>
        </w:tc>
        <w:tc>
          <w:tcPr>
            <w:tcW w:w="310" w:type="pct"/>
            <w:tcBorders>
              <w:top w:val="nil"/>
              <w:left w:val="nil"/>
              <w:bottom w:val="single" w:color="auto" w:sz="4" w:space="0"/>
              <w:right w:val="single" w:color="auto" w:sz="4" w:space="0"/>
            </w:tcBorders>
            <w:shd w:val="clear" w:color="auto" w:fill="auto"/>
            <w:noWrap/>
            <w:vAlign w:val="center"/>
          </w:tcPr>
          <w:p w14:paraId="1009DB4E">
            <w:pPr>
              <w:spacing w:line="240" w:lineRule="auto"/>
              <w:ind w:firstLine="0" w:firstLineChars="0"/>
              <w:jc w:val="center"/>
              <w:rPr>
                <w:rFonts w:eastAsia="宋体" w:cs="Times New Roman"/>
                <w:sz w:val="18"/>
                <w:szCs w:val="18"/>
              </w:rPr>
            </w:pPr>
            <w:r>
              <w:rPr>
                <w:rFonts w:eastAsia="宋体" w:cs="Times New Roman"/>
                <w:sz w:val="18"/>
                <w:szCs w:val="18"/>
              </w:rPr>
              <w:t>682.36</w:t>
            </w:r>
          </w:p>
        </w:tc>
        <w:tc>
          <w:tcPr>
            <w:tcW w:w="305" w:type="pct"/>
            <w:tcBorders>
              <w:top w:val="nil"/>
              <w:left w:val="nil"/>
              <w:bottom w:val="single" w:color="auto" w:sz="4" w:space="0"/>
              <w:right w:val="single" w:color="auto" w:sz="4" w:space="0"/>
            </w:tcBorders>
            <w:shd w:val="clear" w:color="auto" w:fill="auto"/>
            <w:noWrap/>
            <w:vAlign w:val="center"/>
          </w:tcPr>
          <w:p w14:paraId="652EF26F">
            <w:pPr>
              <w:spacing w:line="240" w:lineRule="auto"/>
              <w:ind w:firstLine="0" w:firstLineChars="0"/>
              <w:jc w:val="center"/>
              <w:rPr>
                <w:rFonts w:eastAsia="宋体" w:cs="Times New Roman"/>
                <w:sz w:val="18"/>
                <w:szCs w:val="18"/>
              </w:rPr>
            </w:pPr>
            <w:r>
              <w:rPr>
                <w:rFonts w:eastAsia="宋体" w:cs="Times New Roman"/>
                <w:sz w:val="18"/>
                <w:szCs w:val="18"/>
              </w:rPr>
              <w:t>91.95</w:t>
            </w:r>
          </w:p>
        </w:tc>
        <w:tc>
          <w:tcPr>
            <w:tcW w:w="310" w:type="pct"/>
            <w:tcBorders>
              <w:top w:val="nil"/>
              <w:left w:val="nil"/>
              <w:bottom w:val="single" w:color="auto" w:sz="4" w:space="0"/>
              <w:right w:val="single" w:color="auto" w:sz="4" w:space="0"/>
            </w:tcBorders>
            <w:shd w:val="clear" w:color="auto" w:fill="auto"/>
            <w:noWrap/>
            <w:vAlign w:val="center"/>
          </w:tcPr>
          <w:p w14:paraId="551787E1">
            <w:pPr>
              <w:spacing w:line="240" w:lineRule="auto"/>
              <w:ind w:firstLine="0" w:firstLineChars="0"/>
              <w:jc w:val="center"/>
              <w:rPr>
                <w:rFonts w:eastAsia="宋体" w:cs="Times New Roman"/>
                <w:sz w:val="18"/>
                <w:szCs w:val="18"/>
              </w:rPr>
            </w:pPr>
            <w:r>
              <w:rPr>
                <w:rFonts w:eastAsia="宋体" w:cs="Times New Roman"/>
                <w:sz w:val="18"/>
                <w:szCs w:val="18"/>
              </w:rPr>
              <w:t>190.1</w:t>
            </w:r>
          </w:p>
        </w:tc>
        <w:tc>
          <w:tcPr>
            <w:tcW w:w="310" w:type="pct"/>
            <w:tcBorders>
              <w:top w:val="nil"/>
              <w:left w:val="nil"/>
              <w:bottom w:val="single" w:color="auto" w:sz="4" w:space="0"/>
              <w:right w:val="single" w:color="auto" w:sz="4" w:space="0"/>
            </w:tcBorders>
            <w:shd w:val="clear" w:color="auto" w:fill="auto"/>
            <w:noWrap/>
            <w:vAlign w:val="center"/>
          </w:tcPr>
          <w:p w14:paraId="02C4B0BD">
            <w:pPr>
              <w:spacing w:line="240" w:lineRule="auto"/>
              <w:ind w:firstLine="0" w:firstLineChars="0"/>
              <w:jc w:val="center"/>
              <w:rPr>
                <w:rFonts w:eastAsia="宋体" w:cs="Times New Roman"/>
                <w:sz w:val="18"/>
                <w:szCs w:val="18"/>
              </w:rPr>
            </w:pPr>
            <w:r>
              <w:rPr>
                <w:rFonts w:eastAsia="宋体" w:cs="Times New Roman"/>
                <w:sz w:val="18"/>
                <w:szCs w:val="18"/>
              </w:rPr>
              <w:t>2420.9</w:t>
            </w:r>
          </w:p>
        </w:tc>
        <w:tc>
          <w:tcPr>
            <w:tcW w:w="314" w:type="pct"/>
            <w:tcBorders>
              <w:top w:val="nil"/>
              <w:left w:val="nil"/>
              <w:bottom w:val="single" w:color="auto" w:sz="4" w:space="0"/>
              <w:right w:val="single" w:color="auto" w:sz="4" w:space="0"/>
            </w:tcBorders>
            <w:shd w:val="clear" w:color="auto" w:fill="auto"/>
            <w:noWrap/>
            <w:vAlign w:val="center"/>
          </w:tcPr>
          <w:p w14:paraId="4EBCE8A6">
            <w:pPr>
              <w:spacing w:line="240" w:lineRule="auto"/>
              <w:ind w:firstLine="0" w:firstLineChars="0"/>
              <w:jc w:val="center"/>
              <w:rPr>
                <w:rFonts w:eastAsia="宋体" w:cs="Times New Roman"/>
                <w:sz w:val="18"/>
                <w:szCs w:val="18"/>
              </w:rPr>
            </w:pPr>
            <w:r>
              <w:rPr>
                <w:rFonts w:eastAsia="宋体" w:cs="Times New Roman"/>
                <w:sz w:val="18"/>
                <w:szCs w:val="18"/>
              </w:rPr>
              <w:t>6055.21</w:t>
            </w:r>
          </w:p>
        </w:tc>
        <w:tc>
          <w:tcPr>
            <w:tcW w:w="314" w:type="pct"/>
            <w:tcBorders>
              <w:top w:val="nil"/>
              <w:left w:val="nil"/>
              <w:bottom w:val="single" w:color="auto" w:sz="4" w:space="0"/>
              <w:right w:val="single" w:color="auto" w:sz="4" w:space="0"/>
            </w:tcBorders>
            <w:shd w:val="clear" w:color="auto" w:fill="auto"/>
            <w:noWrap/>
            <w:vAlign w:val="center"/>
          </w:tcPr>
          <w:p w14:paraId="403605AB">
            <w:pPr>
              <w:spacing w:line="240" w:lineRule="auto"/>
              <w:ind w:firstLine="0" w:firstLineChars="0"/>
              <w:jc w:val="center"/>
              <w:rPr>
                <w:rFonts w:eastAsia="宋体" w:cs="Times New Roman"/>
                <w:sz w:val="18"/>
                <w:szCs w:val="18"/>
              </w:rPr>
            </w:pPr>
            <w:r>
              <w:rPr>
                <w:rFonts w:eastAsia="宋体" w:cs="Times New Roman"/>
                <w:sz w:val="18"/>
                <w:szCs w:val="18"/>
              </w:rPr>
              <w:t>22409.28</w:t>
            </w:r>
          </w:p>
        </w:tc>
        <w:tc>
          <w:tcPr>
            <w:tcW w:w="278" w:type="pct"/>
            <w:tcBorders>
              <w:top w:val="nil"/>
              <w:left w:val="nil"/>
              <w:bottom w:val="single" w:color="auto" w:sz="4" w:space="0"/>
              <w:right w:val="single" w:color="auto" w:sz="4" w:space="0"/>
            </w:tcBorders>
            <w:shd w:val="clear" w:color="auto" w:fill="auto"/>
            <w:vAlign w:val="center"/>
          </w:tcPr>
          <w:p w14:paraId="73844809">
            <w:pPr>
              <w:spacing w:line="240" w:lineRule="auto"/>
              <w:ind w:firstLine="0" w:firstLineChars="0"/>
              <w:jc w:val="center"/>
              <w:rPr>
                <w:rFonts w:eastAsia="宋体" w:cs="Times New Roman"/>
                <w:sz w:val="18"/>
                <w:szCs w:val="18"/>
              </w:rPr>
            </w:pPr>
            <w:r>
              <w:rPr>
                <w:rFonts w:eastAsia="宋体" w:cs="Times New Roman"/>
                <w:sz w:val="18"/>
                <w:szCs w:val="18"/>
              </w:rPr>
              <w:t>1065.3</w:t>
            </w:r>
          </w:p>
        </w:tc>
      </w:tr>
      <w:tr w14:paraId="4309F96B">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22DAE45D">
            <w:pPr>
              <w:spacing w:line="240" w:lineRule="auto"/>
              <w:ind w:firstLine="0" w:firstLineChars="0"/>
              <w:jc w:val="center"/>
              <w:rPr>
                <w:rFonts w:hint="eastAsia" w:ascii="仿宋_GB2312" w:hAnsi="宋体"/>
                <w:sz w:val="18"/>
                <w:szCs w:val="18"/>
              </w:rPr>
            </w:pPr>
            <w:r>
              <w:rPr>
                <w:rFonts w:hint="eastAsia" w:ascii="仿宋_GB2312" w:hAnsi="宋体"/>
                <w:sz w:val="18"/>
                <w:szCs w:val="18"/>
              </w:rPr>
              <w:t>水磨沟乡</w:t>
            </w:r>
          </w:p>
        </w:tc>
        <w:tc>
          <w:tcPr>
            <w:tcW w:w="394" w:type="pct"/>
            <w:tcBorders>
              <w:top w:val="nil"/>
              <w:left w:val="nil"/>
              <w:bottom w:val="single" w:color="auto" w:sz="4" w:space="0"/>
              <w:right w:val="single" w:color="auto" w:sz="4" w:space="0"/>
            </w:tcBorders>
            <w:shd w:val="clear" w:color="auto" w:fill="auto"/>
            <w:noWrap/>
            <w:vAlign w:val="center"/>
          </w:tcPr>
          <w:p w14:paraId="42778A5E">
            <w:pPr>
              <w:spacing w:line="240" w:lineRule="auto"/>
              <w:ind w:firstLine="0" w:firstLineChars="0"/>
              <w:jc w:val="center"/>
              <w:rPr>
                <w:rFonts w:eastAsia="宋体" w:cs="Times New Roman"/>
                <w:sz w:val="18"/>
                <w:szCs w:val="18"/>
              </w:rPr>
            </w:pPr>
            <w:r>
              <w:rPr>
                <w:rFonts w:eastAsia="宋体" w:cs="Times New Roman"/>
                <w:sz w:val="18"/>
                <w:szCs w:val="18"/>
              </w:rPr>
              <w:t>44068.05</w:t>
            </w:r>
          </w:p>
        </w:tc>
        <w:tc>
          <w:tcPr>
            <w:tcW w:w="314" w:type="pct"/>
            <w:tcBorders>
              <w:top w:val="nil"/>
              <w:left w:val="nil"/>
              <w:bottom w:val="single" w:color="auto" w:sz="4" w:space="0"/>
              <w:right w:val="single" w:color="auto" w:sz="4" w:space="0"/>
            </w:tcBorders>
            <w:shd w:val="clear" w:color="auto" w:fill="auto"/>
            <w:noWrap/>
            <w:vAlign w:val="center"/>
          </w:tcPr>
          <w:p w14:paraId="7F041608">
            <w:pPr>
              <w:spacing w:line="240" w:lineRule="auto"/>
              <w:ind w:firstLine="0" w:firstLineChars="0"/>
              <w:jc w:val="center"/>
              <w:rPr>
                <w:rFonts w:eastAsia="宋体" w:cs="Times New Roman"/>
                <w:sz w:val="18"/>
                <w:szCs w:val="18"/>
              </w:rPr>
            </w:pPr>
            <w:r>
              <w:rPr>
                <w:rFonts w:eastAsia="宋体" w:cs="Times New Roman"/>
                <w:sz w:val="18"/>
                <w:szCs w:val="18"/>
              </w:rPr>
              <w:t>4159.84</w:t>
            </w:r>
          </w:p>
        </w:tc>
        <w:tc>
          <w:tcPr>
            <w:tcW w:w="305" w:type="pct"/>
            <w:tcBorders>
              <w:top w:val="nil"/>
              <w:left w:val="nil"/>
              <w:bottom w:val="single" w:color="auto" w:sz="4" w:space="0"/>
              <w:right w:val="single" w:color="auto" w:sz="4" w:space="0"/>
            </w:tcBorders>
            <w:shd w:val="clear" w:color="auto" w:fill="auto"/>
            <w:noWrap/>
            <w:vAlign w:val="center"/>
          </w:tcPr>
          <w:p w14:paraId="5ACE2199">
            <w:pPr>
              <w:spacing w:line="240" w:lineRule="auto"/>
              <w:ind w:firstLine="0" w:firstLineChars="0"/>
              <w:jc w:val="center"/>
              <w:rPr>
                <w:rFonts w:eastAsia="宋体" w:cs="Times New Roman"/>
                <w:sz w:val="18"/>
                <w:szCs w:val="18"/>
              </w:rPr>
            </w:pPr>
            <w:r>
              <w:rPr>
                <w:rFonts w:eastAsia="宋体" w:cs="Times New Roman"/>
                <w:sz w:val="18"/>
                <w:szCs w:val="18"/>
              </w:rPr>
              <w:t>72.96</w:t>
            </w:r>
          </w:p>
        </w:tc>
        <w:tc>
          <w:tcPr>
            <w:tcW w:w="335" w:type="pct"/>
            <w:tcBorders>
              <w:top w:val="nil"/>
              <w:left w:val="nil"/>
              <w:bottom w:val="single" w:color="auto" w:sz="4" w:space="0"/>
              <w:right w:val="single" w:color="auto" w:sz="4" w:space="0"/>
            </w:tcBorders>
            <w:shd w:val="clear" w:color="auto" w:fill="auto"/>
            <w:noWrap/>
            <w:vAlign w:val="center"/>
          </w:tcPr>
          <w:p w14:paraId="30EBCB9E">
            <w:pPr>
              <w:spacing w:line="240" w:lineRule="auto"/>
              <w:ind w:firstLine="0" w:firstLineChars="0"/>
              <w:jc w:val="center"/>
              <w:rPr>
                <w:rFonts w:eastAsia="宋体" w:cs="Times New Roman"/>
                <w:sz w:val="18"/>
                <w:szCs w:val="18"/>
              </w:rPr>
            </w:pPr>
            <w:r>
              <w:rPr>
                <w:rFonts w:eastAsia="宋体" w:cs="Times New Roman"/>
                <w:sz w:val="18"/>
                <w:szCs w:val="18"/>
              </w:rPr>
              <w:t>5752.18</w:t>
            </w:r>
          </w:p>
        </w:tc>
        <w:tc>
          <w:tcPr>
            <w:tcW w:w="335" w:type="pct"/>
            <w:tcBorders>
              <w:top w:val="nil"/>
              <w:left w:val="nil"/>
              <w:bottom w:val="single" w:color="auto" w:sz="4" w:space="0"/>
              <w:right w:val="single" w:color="auto" w:sz="4" w:space="0"/>
            </w:tcBorders>
            <w:shd w:val="clear" w:color="auto" w:fill="auto"/>
            <w:noWrap/>
            <w:vAlign w:val="center"/>
          </w:tcPr>
          <w:p w14:paraId="60EF287D">
            <w:pPr>
              <w:spacing w:line="240" w:lineRule="auto"/>
              <w:ind w:firstLine="0" w:firstLineChars="0"/>
              <w:jc w:val="center"/>
              <w:rPr>
                <w:rFonts w:eastAsia="宋体" w:cs="Times New Roman"/>
                <w:sz w:val="18"/>
                <w:szCs w:val="18"/>
              </w:rPr>
            </w:pPr>
            <w:r>
              <w:rPr>
                <w:rFonts w:eastAsia="宋体" w:cs="Times New Roman"/>
                <w:sz w:val="18"/>
                <w:szCs w:val="18"/>
              </w:rPr>
              <w:t>24210.42</w:t>
            </w:r>
          </w:p>
        </w:tc>
        <w:tc>
          <w:tcPr>
            <w:tcW w:w="305" w:type="pct"/>
            <w:tcBorders>
              <w:top w:val="nil"/>
              <w:left w:val="nil"/>
              <w:bottom w:val="single" w:color="auto" w:sz="4" w:space="0"/>
              <w:right w:val="single" w:color="auto" w:sz="4" w:space="0"/>
            </w:tcBorders>
            <w:shd w:val="clear" w:color="auto" w:fill="auto"/>
            <w:noWrap/>
            <w:vAlign w:val="center"/>
          </w:tcPr>
          <w:p w14:paraId="51F1372C">
            <w:pPr>
              <w:spacing w:line="240" w:lineRule="auto"/>
              <w:ind w:firstLine="0" w:firstLineChars="0"/>
              <w:jc w:val="center"/>
              <w:rPr>
                <w:rFonts w:eastAsia="宋体" w:cs="Times New Roman"/>
                <w:sz w:val="18"/>
                <w:szCs w:val="18"/>
              </w:rPr>
            </w:pPr>
            <w:r>
              <w:rPr>
                <w:rFonts w:eastAsia="宋体" w:cs="Times New Roman"/>
                <w:sz w:val="18"/>
                <w:szCs w:val="18"/>
              </w:rPr>
              <w:t>127.13</w:t>
            </w:r>
          </w:p>
        </w:tc>
        <w:tc>
          <w:tcPr>
            <w:tcW w:w="310" w:type="pct"/>
            <w:tcBorders>
              <w:top w:val="nil"/>
              <w:left w:val="nil"/>
              <w:bottom w:val="single" w:color="auto" w:sz="4" w:space="0"/>
              <w:right w:val="single" w:color="auto" w:sz="4" w:space="0"/>
            </w:tcBorders>
            <w:shd w:val="clear" w:color="auto" w:fill="auto"/>
            <w:noWrap/>
            <w:vAlign w:val="center"/>
          </w:tcPr>
          <w:p w14:paraId="2DDE852D">
            <w:pPr>
              <w:spacing w:line="240" w:lineRule="auto"/>
              <w:ind w:firstLine="0" w:firstLineChars="0"/>
              <w:jc w:val="center"/>
              <w:rPr>
                <w:rFonts w:eastAsia="宋体" w:cs="Times New Roman"/>
                <w:sz w:val="18"/>
                <w:szCs w:val="18"/>
              </w:rPr>
            </w:pPr>
            <w:r>
              <w:rPr>
                <w:rFonts w:eastAsia="宋体" w:cs="Times New Roman"/>
                <w:sz w:val="18"/>
                <w:szCs w:val="18"/>
              </w:rPr>
              <w:t>1346.64</w:t>
            </w:r>
          </w:p>
        </w:tc>
        <w:tc>
          <w:tcPr>
            <w:tcW w:w="310" w:type="pct"/>
            <w:tcBorders>
              <w:top w:val="nil"/>
              <w:left w:val="nil"/>
              <w:bottom w:val="single" w:color="auto" w:sz="4" w:space="0"/>
              <w:right w:val="single" w:color="auto" w:sz="4" w:space="0"/>
            </w:tcBorders>
            <w:shd w:val="clear" w:color="auto" w:fill="auto"/>
            <w:noWrap/>
            <w:vAlign w:val="center"/>
          </w:tcPr>
          <w:p w14:paraId="4CA7E24B">
            <w:pPr>
              <w:spacing w:line="240" w:lineRule="auto"/>
              <w:ind w:firstLine="0" w:firstLineChars="0"/>
              <w:jc w:val="center"/>
              <w:rPr>
                <w:rFonts w:eastAsia="宋体" w:cs="Times New Roman"/>
                <w:sz w:val="18"/>
                <w:szCs w:val="18"/>
              </w:rPr>
            </w:pPr>
            <w:r>
              <w:rPr>
                <w:rFonts w:eastAsia="宋体" w:cs="Times New Roman"/>
                <w:sz w:val="18"/>
                <w:szCs w:val="18"/>
              </w:rPr>
              <w:t>307.51</w:t>
            </w:r>
          </w:p>
        </w:tc>
        <w:tc>
          <w:tcPr>
            <w:tcW w:w="305" w:type="pct"/>
            <w:tcBorders>
              <w:top w:val="nil"/>
              <w:left w:val="nil"/>
              <w:bottom w:val="single" w:color="auto" w:sz="4" w:space="0"/>
              <w:right w:val="single" w:color="auto" w:sz="4" w:space="0"/>
            </w:tcBorders>
            <w:shd w:val="clear" w:color="auto" w:fill="auto"/>
            <w:noWrap/>
            <w:vAlign w:val="center"/>
          </w:tcPr>
          <w:p w14:paraId="5FA13401">
            <w:pPr>
              <w:spacing w:line="240" w:lineRule="auto"/>
              <w:ind w:firstLine="0" w:firstLineChars="0"/>
              <w:jc w:val="center"/>
              <w:rPr>
                <w:rFonts w:eastAsia="宋体" w:cs="Times New Roman"/>
                <w:sz w:val="18"/>
                <w:szCs w:val="18"/>
              </w:rPr>
            </w:pPr>
            <w:r>
              <w:rPr>
                <w:rFonts w:eastAsia="宋体" w:cs="Times New Roman"/>
                <w:sz w:val="18"/>
                <w:szCs w:val="18"/>
              </w:rPr>
              <w:t>31.93</w:t>
            </w:r>
          </w:p>
        </w:tc>
        <w:tc>
          <w:tcPr>
            <w:tcW w:w="310" w:type="pct"/>
            <w:tcBorders>
              <w:top w:val="nil"/>
              <w:left w:val="nil"/>
              <w:bottom w:val="single" w:color="auto" w:sz="4" w:space="0"/>
              <w:right w:val="single" w:color="auto" w:sz="4" w:space="0"/>
            </w:tcBorders>
            <w:shd w:val="clear" w:color="auto" w:fill="auto"/>
            <w:noWrap/>
            <w:vAlign w:val="center"/>
          </w:tcPr>
          <w:p w14:paraId="4655059F">
            <w:pPr>
              <w:spacing w:line="240" w:lineRule="auto"/>
              <w:ind w:firstLine="0" w:firstLineChars="0"/>
              <w:jc w:val="center"/>
              <w:rPr>
                <w:rFonts w:eastAsia="宋体" w:cs="Times New Roman"/>
                <w:sz w:val="18"/>
                <w:szCs w:val="18"/>
              </w:rPr>
            </w:pPr>
            <w:r>
              <w:rPr>
                <w:rFonts w:eastAsia="宋体" w:cs="Times New Roman"/>
                <w:sz w:val="18"/>
                <w:szCs w:val="18"/>
              </w:rPr>
              <w:t>163.66</w:t>
            </w:r>
          </w:p>
        </w:tc>
        <w:tc>
          <w:tcPr>
            <w:tcW w:w="310" w:type="pct"/>
            <w:tcBorders>
              <w:top w:val="nil"/>
              <w:left w:val="nil"/>
              <w:bottom w:val="single" w:color="auto" w:sz="4" w:space="0"/>
              <w:right w:val="single" w:color="auto" w:sz="4" w:space="0"/>
            </w:tcBorders>
            <w:shd w:val="clear" w:color="auto" w:fill="auto"/>
            <w:noWrap/>
            <w:vAlign w:val="center"/>
          </w:tcPr>
          <w:p w14:paraId="46C576E2">
            <w:pPr>
              <w:spacing w:line="240" w:lineRule="auto"/>
              <w:ind w:firstLine="0" w:firstLineChars="0"/>
              <w:jc w:val="center"/>
              <w:rPr>
                <w:rFonts w:eastAsia="宋体" w:cs="Times New Roman"/>
                <w:sz w:val="18"/>
                <w:szCs w:val="18"/>
              </w:rPr>
            </w:pPr>
            <w:r>
              <w:rPr>
                <w:rFonts w:eastAsia="宋体" w:cs="Times New Roman"/>
                <w:sz w:val="18"/>
                <w:szCs w:val="18"/>
              </w:rPr>
              <w:t>728.52</w:t>
            </w:r>
          </w:p>
        </w:tc>
        <w:tc>
          <w:tcPr>
            <w:tcW w:w="314" w:type="pct"/>
            <w:tcBorders>
              <w:top w:val="nil"/>
              <w:left w:val="nil"/>
              <w:bottom w:val="single" w:color="auto" w:sz="4" w:space="0"/>
              <w:right w:val="single" w:color="auto" w:sz="4" w:space="0"/>
            </w:tcBorders>
            <w:shd w:val="clear" w:color="auto" w:fill="auto"/>
            <w:noWrap/>
            <w:vAlign w:val="center"/>
          </w:tcPr>
          <w:p w14:paraId="206E98F1">
            <w:pPr>
              <w:spacing w:line="240" w:lineRule="auto"/>
              <w:ind w:firstLine="0" w:firstLineChars="0"/>
              <w:jc w:val="center"/>
              <w:rPr>
                <w:rFonts w:eastAsia="宋体" w:cs="Times New Roman"/>
                <w:sz w:val="18"/>
                <w:szCs w:val="18"/>
              </w:rPr>
            </w:pPr>
            <w:r>
              <w:rPr>
                <w:rFonts w:eastAsia="宋体" w:cs="Times New Roman"/>
                <w:sz w:val="18"/>
                <w:szCs w:val="18"/>
              </w:rPr>
              <w:t>3003.98</w:t>
            </w:r>
          </w:p>
        </w:tc>
        <w:tc>
          <w:tcPr>
            <w:tcW w:w="314" w:type="pct"/>
            <w:tcBorders>
              <w:top w:val="nil"/>
              <w:left w:val="nil"/>
              <w:bottom w:val="single" w:color="auto" w:sz="4" w:space="0"/>
              <w:right w:val="single" w:color="auto" w:sz="4" w:space="0"/>
            </w:tcBorders>
            <w:shd w:val="clear" w:color="auto" w:fill="auto"/>
            <w:noWrap/>
            <w:vAlign w:val="center"/>
          </w:tcPr>
          <w:p w14:paraId="4DEE0B0D">
            <w:pPr>
              <w:spacing w:line="240" w:lineRule="auto"/>
              <w:ind w:firstLine="0" w:firstLineChars="0"/>
              <w:jc w:val="center"/>
              <w:rPr>
                <w:rFonts w:eastAsia="宋体" w:cs="Times New Roman"/>
                <w:sz w:val="18"/>
                <w:szCs w:val="18"/>
              </w:rPr>
            </w:pPr>
            <w:r>
              <w:rPr>
                <w:rFonts w:eastAsia="宋体" w:cs="Times New Roman"/>
                <w:sz w:val="18"/>
                <w:szCs w:val="18"/>
              </w:rPr>
              <w:t>4006.24</w:t>
            </w:r>
          </w:p>
        </w:tc>
        <w:tc>
          <w:tcPr>
            <w:tcW w:w="278" w:type="pct"/>
            <w:tcBorders>
              <w:top w:val="nil"/>
              <w:left w:val="nil"/>
              <w:bottom w:val="single" w:color="auto" w:sz="4" w:space="0"/>
              <w:right w:val="single" w:color="auto" w:sz="4" w:space="0"/>
            </w:tcBorders>
            <w:shd w:val="clear" w:color="auto" w:fill="auto"/>
            <w:vAlign w:val="center"/>
          </w:tcPr>
          <w:p w14:paraId="402ABFB9">
            <w:pPr>
              <w:spacing w:line="240" w:lineRule="auto"/>
              <w:ind w:firstLine="0" w:firstLineChars="0"/>
              <w:jc w:val="center"/>
              <w:rPr>
                <w:rFonts w:eastAsia="宋体" w:cs="Times New Roman"/>
                <w:sz w:val="18"/>
                <w:szCs w:val="18"/>
              </w:rPr>
            </w:pPr>
            <w:r>
              <w:rPr>
                <w:rFonts w:eastAsia="宋体" w:cs="Times New Roman"/>
                <w:sz w:val="18"/>
                <w:szCs w:val="18"/>
              </w:rPr>
              <w:t>157.04</w:t>
            </w:r>
          </w:p>
        </w:tc>
      </w:tr>
      <w:tr w14:paraId="0660C287">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70B25635">
            <w:pPr>
              <w:spacing w:line="240" w:lineRule="auto"/>
              <w:ind w:firstLine="0" w:firstLineChars="0"/>
              <w:jc w:val="center"/>
              <w:rPr>
                <w:rFonts w:hint="eastAsia" w:ascii="仿宋_GB2312" w:hAnsi="宋体"/>
                <w:sz w:val="18"/>
                <w:szCs w:val="18"/>
              </w:rPr>
            </w:pPr>
            <w:r>
              <w:rPr>
                <w:rFonts w:hint="eastAsia" w:ascii="仿宋_GB2312" w:hAnsi="宋体"/>
                <w:sz w:val="18"/>
                <w:szCs w:val="18"/>
              </w:rPr>
              <w:t>阜康市直属</w:t>
            </w:r>
          </w:p>
        </w:tc>
        <w:tc>
          <w:tcPr>
            <w:tcW w:w="394" w:type="pct"/>
            <w:tcBorders>
              <w:top w:val="nil"/>
              <w:left w:val="nil"/>
              <w:bottom w:val="single" w:color="auto" w:sz="4" w:space="0"/>
              <w:right w:val="single" w:color="auto" w:sz="4" w:space="0"/>
            </w:tcBorders>
            <w:shd w:val="clear" w:color="auto" w:fill="auto"/>
            <w:noWrap/>
            <w:vAlign w:val="center"/>
          </w:tcPr>
          <w:p w14:paraId="04A23561">
            <w:pPr>
              <w:spacing w:line="240" w:lineRule="auto"/>
              <w:ind w:firstLine="0" w:firstLineChars="0"/>
              <w:jc w:val="center"/>
              <w:rPr>
                <w:rFonts w:eastAsia="宋体" w:cs="Times New Roman"/>
                <w:sz w:val="18"/>
                <w:szCs w:val="18"/>
              </w:rPr>
            </w:pPr>
            <w:r>
              <w:rPr>
                <w:rFonts w:eastAsia="宋体" w:cs="Times New Roman"/>
                <w:sz w:val="18"/>
                <w:szCs w:val="18"/>
              </w:rPr>
              <w:t>432218.96</w:t>
            </w:r>
          </w:p>
        </w:tc>
        <w:tc>
          <w:tcPr>
            <w:tcW w:w="314" w:type="pct"/>
            <w:tcBorders>
              <w:top w:val="nil"/>
              <w:left w:val="nil"/>
              <w:bottom w:val="single" w:color="auto" w:sz="4" w:space="0"/>
              <w:right w:val="single" w:color="auto" w:sz="4" w:space="0"/>
            </w:tcBorders>
            <w:shd w:val="clear" w:color="auto" w:fill="auto"/>
            <w:noWrap/>
            <w:vAlign w:val="center"/>
          </w:tcPr>
          <w:p w14:paraId="5DE6831B">
            <w:pPr>
              <w:spacing w:line="240" w:lineRule="auto"/>
              <w:ind w:firstLine="0" w:firstLineChars="0"/>
              <w:jc w:val="center"/>
              <w:rPr>
                <w:rFonts w:eastAsia="宋体" w:cs="Times New Roman"/>
                <w:sz w:val="18"/>
                <w:szCs w:val="18"/>
              </w:rPr>
            </w:pPr>
            <w:r>
              <w:rPr>
                <w:rFonts w:eastAsia="宋体" w:cs="Times New Roman"/>
                <w:sz w:val="18"/>
                <w:szCs w:val="18"/>
              </w:rPr>
              <w:t>340.72</w:t>
            </w:r>
          </w:p>
        </w:tc>
        <w:tc>
          <w:tcPr>
            <w:tcW w:w="305" w:type="pct"/>
            <w:tcBorders>
              <w:top w:val="nil"/>
              <w:left w:val="nil"/>
              <w:bottom w:val="single" w:color="auto" w:sz="4" w:space="0"/>
              <w:right w:val="single" w:color="auto" w:sz="4" w:space="0"/>
            </w:tcBorders>
            <w:shd w:val="clear" w:color="auto" w:fill="auto"/>
            <w:noWrap/>
            <w:vAlign w:val="center"/>
          </w:tcPr>
          <w:p w14:paraId="6F409DD7">
            <w:pPr>
              <w:spacing w:line="240" w:lineRule="auto"/>
              <w:ind w:firstLine="0" w:firstLineChars="0"/>
              <w:jc w:val="center"/>
              <w:rPr>
                <w:rFonts w:eastAsia="宋体" w:cs="Times New Roman"/>
                <w:sz w:val="18"/>
                <w:szCs w:val="18"/>
              </w:rPr>
            </w:pPr>
            <w:r>
              <w:rPr>
                <w:rFonts w:eastAsia="宋体" w:cs="Times New Roman"/>
                <w:sz w:val="18"/>
                <w:szCs w:val="18"/>
              </w:rPr>
              <w:t>0</w:t>
            </w:r>
          </w:p>
        </w:tc>
        <w:tc>
          <w:tcPr>
            <w:tcW w:w="335" w:type="pct"/>
            <w:tcBorders>
              <w:top w:val="nil"/>
              <w:left w:val="nil"/>
              <w:bottom w:val="single" w:color="auto" w:sz="4" w:space="0"/>
              <w:right w:val="single" w:color="auto" w:sz="4" w:space="0"/>
            </w:tcBorders>
            <w:shd w:val="clear" w:color="auto" w:fill="auto"/>
            <w:noWrap/>
            <w:vAlign w:val="center"/>
          </w:tcPr>
          <w:p w14:paraId="1CF424B0">
            <w:pPr>
              <w:spacing w:line="240" w:lineRule="auto"/>
              <w:ind w:firstLine="0" w:firstLineChars="0"/>
              <w:jc w:val="center"/>
              <w:rPr>
                <w:rFonts w:eastAsia="宋体" w:cs="Times New Roman"/>
                <w:sz w:val="18"/>
                <w:szCs w:val="18"/>
              </w:rPr>
            </w:pPr>
            <w:r>
              <w:rPr>
                <w:rFonts w:eastAsia="宋体" w:cs="Times New Roman"/>
                <w:sz w:val="18"/>
                <w:szCs w:val="18"/>
              </w:rPr>
              <w:t>145713.56</w:t>
            </w:r>
          </w:p>
        </w:tc>
        <w:tc>
          <w:tcPr>
            <w:tcW w:w="335" w:type="pct"/>
            <w:tcBorders>
              <w:top w:val="nil"/>
              <w:left w:val="nil"/>
              <w:bottom w:val="single" w:color="auto" w:sz="4" w:space="0"/>
              <w:right w:val="single" w:color="auto" w:sz="4" w:space="0"/>
            </w:tcBorders>
            <w:shd w:val="clear" w:color="auto" w:fill="auto"/>
            <w:noWrap/>
            <w:vAlign w:val="center"/>
          </w:tcPr>
          <w:p w14:paraId="5D3036D9">
            <w:pPr>
              <w:spacing w:line="240" w:lineRule="auto"/>
              <w:ind w:firstLine="0" w:firstLineChars="0"/>
              <w:jc w:val="center"/>
              <w:rPr>
                <w:rFonts w:eastAsia="宋体" w:cs="Times New Roman"/>
                <w:sz w:val="18"/>
                <w:szCs w:val="18"/>
              </w:rPr>
            </w:pPr>
            <w:r>
              <w:rPr>
                <w:rFonts w:eastAsia="宋体" w:cs="Times New Roman"/>
                <w:sz w:val="18"/>
                <w:szCs w:val="18"/>
              </w:rPr>
              <w:t>283167.35</w:t>
            </w:r>
          </w:p>
        </w:tc>
        <w:tc>
          <w:tcPr>
            <w:tcW w:w="305" w:type="pct"/>
            <w:tcBorders>
              <w:top w:val="nil"/>
              <w:left w:val="nil"/>
              <w:bottom w:val="single" w:color="auto" w:sz="4" w:space="0"/>
              <w:right w:val="single" w:color="auto" w:sz="4" w:space="0"/>
            </w:tcBorders>
            <w:shd w:val="clear" w:color="auto" w:fill="auto"/>
            <w:noWrap/>
            <w:vAlign w:val="center"/>
          </w:tcPr>
          <w:p w14:paraId="1DB5048A">
            <w:pPr>
              <w:spacing w:line="240" w:lineRule="auto"/>
              <w:ind w:firstLine="0" w:firstLineChars="0"/>
              <w:jc w:val="center"/>
              <w:rPr>
                <w:rFonts w:eastAsia="宋体" w:cs="Times New Roman"/>
                <w:sz w:val="18"/>
                <w:szCs w:val="18"/>
              </w:rPr>
            </w:pPr>
            <w:r>
              <w:rPr>
                <w:rFonts w:eastAsia="宋体" w:cs="Times New Roman"/>
                <w:sz w:val="18"/>
                <w:szCs w:val="18"/>
              </w:rPr>
              <w:t>0.03</w:t>
            </w:r>
          </w:p>
        </w:tc>
        <w:tc>
          <w:tcPr>
            <w:tcW w:w="310" w:type="pct"/>
            <w:tcBorders>
              <w:top w:val="nil"/>
              <w:left w:val="nil"/>
              <w:bottom w:val="single" w:color="auto" w:sz="4" w:space="0"/>
              <w:right w:val="single" w:color="auto" w:sz="4" w:space="0"/>
            </w:tcBorders>
            <w:shd w:val="clear" w:color="auto" w:fill="auto"/>
            <w:noWrap/>
            <w:vAlign w:val="center"/>
          </w:tcPr>
          <w:p w14:paraId="447BF694">
            <w:pPr>
              <w:spacing w:line="240" w:lineRule="auto"/>
              <w:ind w:firstLine="0" w:firstLineChars="0"/>
              <w:jc w:val="center"/>
              <w:rPr>
                <w:rFonts w:eastAsia="宋体" w:cs="Times New Roman"/>
                <w:sz w:val="18"/>
                <w:szCs w:val="18"/>
              </w:rPr>
            </w:pPr>
            <w:r>
              <w:rPr>
                <w:rFonts w:eastAsia="宋体" w:cs="Times New Roman"/>
                <w:sz w:val="18"/>
                <w:szCs w:val="18"/>
              </w:rPr>
              <w:t>996.49</w:t>
            </w:r>
          </w:p>
        </w:tc>
        <w:tc>
          <w:tcPr>
            <w:tcW w:w="310" w:type="pct"/>
            <w:tcBorders>
              <w:top w:val="nil"/>
              <w:left w:val="nil"/>
              <w:bottom w:val="single" w:color="auto" w:sz="4" w:space="0"/>
              <w:right w:val="single" w:color="auto" w:sz="4" w:space="0"/>
            </w:tcBorders>
            <w:shd w:val="clear" w:color="auto" w:fill="auto"/>
            <w:noWrap/>
            <w:vAlign w:val="center"/>
          </w:tcPr>
          <w:p w14:paraId="62AF5A70">
            <w:pPr>
              <w:spacing w:line="240" w:lineRule="auto"/>
              <w:ind w:firstLine="0" w:firstLineChars="0"/>
              <w:jc w:val="center"/>
              <w:rPr>
                <w:rFonts w:eastAsia="宋体" w:cs="Times New Roman"/>
                <w:sz w:val="18"/>
                <w:szCs w:val="18"/>
              </w:rPr>
            </w:pPr>
            <w:r>
              <w:rPr>
                <w:rFonts w:eastAsia="宋体" w:cs="Times New Roman"/>
                <w:sz w:val="18"/>
                <w:szCs w:val="18"/>
              </w:rPr>
              <w:t>0.41</w:t>
            </w:r>
          </w:p>
        </w:tc>
        <w:tc>
          <w:tcPr>
            <w:tcW w:w="305" w:type="pct"/>
            <w:tcBorders>
              <w:top w:val="nil"/>
              <w:left w:val="nil"/>
              <w:bottom w:val="single" w:color="auto" w:sz="4" w:space="0"/>
              <w:right w:val="single" w:color="auto" w:sz="4" w:space="0"/>
            </w:tcBorders>
            <w:shd w:val="clear" w:color="auto" w:fill="auto"/>
            <w:noWrap/>
            <w:vAlign w:val="center"/>
          </w:tcPr>
          <w:p w14:paraId="7C2D703F">
            <w:pPr>
              <w:spacing w:line="240" w:lineRule="auto"/>
              <w:ind w:firstLine="0" w:firstLineChars="0"/>
              <w:jc w:val="center"/>
              <w:rPr>
                <w:rFonts w:eastAsia="宋体" w:cs="Times New Roman"/>
                <w:sz w:val="18"/>
                <w:szCs w:val="18"/>
              </w:rPr>
            </w:pPr>
            <w:r>
              <w:rPr>
                <w:rFonts w:eastAsia="宋体" w:cs="Times New Roman"/>
                <w:sz w:val="18"/>
                <w:szCs w:val="18"/>
              </w:rPr>
              <w:t>0.93</w:t>
            </w:r>
          </w:p>
        </w:tc>
        <w:tc>
          <w:tcPr>
            <w:tcW w:w="310" w:type="pct"/>
            <w:tcBorders>
              <w:top w:val="nil"/>
              <w:left w:val="nil"/>
              <w:bottom w:val="single" w:color="auto" w:sz="4" w:space="0"/>
              <w:right w:val="single" w:color="auto" w:sz="4" w:space="0"/>
            </w:tcBorders>
            <w:shd w:val="clear" w:color="auto" w:fill="auto"/>
            <w:noWrap/>
            <w:vAlign w:val="center"/>
          </w:tcPr>
          <w:p w14:paraId="763820DC">
            <w:pPr>
              <w:spacing w:line="240" w:lineRule="auto"/>
              <w:ind w:firstLine="0" w:firstLineChars="0"/>
              <w:jc w:val="center"/>
              <w:rPr>
                <w:rFonts w:eastAsia="宋体" w:cs="Times New Roman"/>
                <w:sz w:val="18"/>
                <w:szCs w:val="18"/>
              </w:rPr>
            </w:pPr>
            <w:r>
              <w:rPr>
                <w:rFonts w:eastAsia="宋体" w:cs="Times New Roman"/>
                <w:sz w:val="18"/>
                <w:szCs w:val="18"/>
              </w:rPr>
              <w:t>3.09</w:t>
            </w:r>
          </w:p>
        </w:tc>
        <w:tc>
          <w:tcPr>
            <w:tcW w:w="310" w:type="pct"/>
            <w:tcBorders>
              <w:top w:val="nil"/>
              <w:left w:val="nil"/>
              <w:bottom w:val="single" w:color="auto" w:sz="4" w:space="0"/>
              <w:right w:val="single" w:color="auto" w:sz="4" w:space="0"/>
            </w:tcBorders>
            <w:shd w:val="clear" w:color="auto" w:fill="auto"/>
            <w:noWrap/>
            <w:vAlign w:val="center"/>
          </w:tcPr>
          <w:p w14:paraId="6251A16A">
            <w:pPr>
              <w:spacing w:line="240" w:lineRule="auto"/>
              <w:ind w:firstLine="0" w:firstLineChars="0"/>
              <w:jc w:val="center"/>
              <w:rPr>
                <w:rFonts w:eastAsia="宋体" w:cs="Times New Roman"/>
                <w:sz w:val="18"/>
                <w:szCs w:val="18"/>
              </w:rPr>
            </w:pPr>
            <w:r>
              <w:rPr>
                <w:rFonts w:eastAsia="宋体" w:cs="Times New Roman"/>
                <w:sz w:val="18"/>
                <w:szCs w:val="18"/>
              </w:rPr>
              <w:t>800.37</w:t>
            </w:r>
          </w:p>
        </w:tc>
        <w:tc>
          <w:tcPr>
            <w:tcW w:w="314" w:type="pct"/>
            <w:tcBorders>
              <w:top w:val="nil"/>
              <w:left w:val="nil"/>
              <w:bottom w:val="single" w:color="auto" w:sz="4" w:space="0"/>
              <w:right w:val="single" w:color="auto" w:sz="4" w:space="0"/>
            </w:tcBorders>
            <w:shd w:val="clear" w:color="auto" w:fill="auto"/>
            <w:noWrap/>
            <w:vAlign w:val="center"/>
          </w:tcPr>
          <w:p w14:paraId="70AA4555">
            <w:pPr>
              <w:spacing w:line="240" w:lineRule="auto"/>
              <w:ind w:firstLine="0" w:firstLineChars="0"/>
              <w:jc w:val="center"/>
              <w:rPr>
                <w:rFonts w:eastAsia="宋体" w:cs="Times New Roman"/>
                <w:sz w:val="18"/>
                <w:szCs w:val="18"/>
              </w:rPr>
            </w:pPr>
            <w:r>
              <w:rPr>
                <w:rFonts w:eastAsia="宋体" w:cs="Times New Roman"/>
                <w:sz w:val="18"/>
                <w:szCs w:val="18"/>
              </w:rPr>
              <w:t>310.47</w:t>
            </w:r>
          </w:p>
        </w:tc>
        <w:tc>
          <w:tcPr>
            <w:tcW w:w="314" w:type="pct"/>
            <w:tcBorders>
              <w:top w:val="nil"/>
              <w:left w:val="nil"/>
              <w:bottom w:val="single" w:color="auto" w:sz="4" w:space="0"/>
              <w:right w:val="single" w:color="auto" w:sz="4" w:space="0"/>
            </w:tcBorders>
            <w:shd w:val="clear" w:color="auto" w:fill="auto"/>
            <w:noWrap/>
            <w:vAlign w:val="center"/>
          </w:tcPr>
          <w:p w14:paraId="4F32C850">
            <w:pPr>
              <w:spacing w:line="240" w:lineRule="auto"/>
              <w:ind w:firstLine="0" w:firstLineChars="0"/>
              <w:jc w:val="center"/>
              <w:rPr>
                <w:rFonts w:eastAsia="宋体" w:cs="Times New Roman"/>
                <w:sz w:val="18"/>
                <w:szCs w:val="18"/>
              </w:rPr>
            </w:pPr>
            <w:r>
              <w:rPr>
                <w:rFonts w:eastAsia="宋体" w:cs="Times New Roman"/>
                <w:sz w:val="18"/>
                <w:szCs w:val="18"/>
              </w:rPr>
              <w:t>885.54</w:t>
            </w:r>
          </w:p>
        </w:tc>
        <w:tc>
          <w:tcPr>
            <w:tcW w:w="278" w:type="pct"/>
            <w:tcBorders>
              <w:top w:val="nil"/>
              <w:left w:val="nil"/>
              <w:bottom w:val="single" w:color="auto" w:sz="4" w:space="0"/>
              <w:right w:val="single" w:color="auto" w:sz="4" w:space="0"/>
            </w:tcBorders>
            <w:shd w:val="clear" w:color="auto" w:fill="auto"/>
            <w:vAlign w:val="center"/>
          </w:tcPr>
          <w:p w14:paraId="6A3B7768">
            <w:pPr>
              <w:spacing w:line="240" w:lineRule="auto"/>
              <w:ind w:firstLine="0" w:firstLineChars="0"/>
              <w:jc w:val="center"/>
              <w:rPr>
                <w:rFonts w:eastAsia="宋体" w:cs="Times New Roman"/>
                <w:sz w:val="18"/>
                <w:szCs w:val="18"/>
              </w:rPr>
            </w:pPr>
            <w:r>
              <w:rPr>
                <w:rFonts w:eastAsia="宋体" w:cs="Times New Roman"/>
                <w:sz w:val="18"/>
                <w:szCs w:val="18"/>
              </w:rPr>
              <w:t>0</w:t>
            </w:r>
          </w:p>
        </w:tc>
      </w:tr>
    </w:tbl>
    <w:p w14:paraId="72B58DA2">
      <w:pPr>
        <w:pStyle w:val="370"/>
        <w:ind w:firstLine="480"/>
      </w:pPr>
    </w:p>
    <w:p w14:paraId="08F275F6">
      <w:pPr>
        <w:pStyle w:val="4"/>
        <w:ind w:firstLine="400"/>
        <w:sectPr>
          <w:pgSz w:w="16840" w:h="11907" w:orient="landscape"/>
          <w:pgMar w:top="1797" w:right="1440" w:bottom="1797" w:left="1440" w:header="851" w:footer="992" w:gutter="0"/>
          <w:cols w:space="720" w:num="1"/>
          <w:docGrid w:linePitch="312" w:charSpace="0"/>
        </w:sectPr>
      </w:pPr>
    </w:p>
    <w:p w14:paraId="67DC72E5">
      <w:pPr>
        <w:pStyle w:val="44"/>
        <w:spacing w:before="120" w:after="120"/>
        <w:rPr>
          <w:rStyle w:val="94"/>
          <w:rFonts w:eastAsia="仿宋_GB2312" w:cs="Times New Roman"/>
          <w:b/>
          <w:kern w:val="0"/>
          <w:sz w:val="30"/>
        </w:rPr>
      </w:pPr>
      <w:bookmarkStart w:id="11" w:name="_Toc150724264"/>
      <w:r>
        <w:rPr>
          <w:rStyle w:val="94"/>
          <w:rFonts w:eastAsia="仿宋_GB2312" w:cs="Times New Roman"/>
          <w:b/>
          <w:kern w:val="0"/>
          <w:sz w:val="30"/>
        </w:rPr>
        <w:t>1.2 社会经济</w:t>
      </w:r>
      <w:bookmarkEnd w:id="11"/>
    </w:p>
    <w:p w14:paraId="0F30AE22">
      <w:pPr>
        <w:pStyle w:val="5"/>
        <w:rPr>
          <w:rFonts w:eastAsia="仿宋_GB2312"/>
        </w:rPr>
      </w:pPr>
      <w:r>
        <w:rPr>
          <w:rFonts w:eastAsia="仿宋_GB2312"/>
        </w:rPr>
        <w:t>1.2.1 行政区划及人口</w:t>
      </w:r>
    </w:p>
    <w:p w14:paraId="4EABC64A">
      <w:pPr>
        <w:widowControl w:val="0"/>
        <w:adjustRightInd w:val="0"/>
        <w:snapToGrid w:val="0"/>
        <w:ind w:firstLine="480"/>
        <w:jc w:val="both"/>
        <w:rPr>
          <w:rFonts w:cs="Times New Roman"/>
          <w:shd w:val="clear" w:color="auto" w:fill="FFFFFF"/>
        </w:rPr>
      </w:pPr>
      <w:r>
        <w:rPr>
          <w:rFonts w:cs="Times New Roman"/>
        </w:rPr>
        <w:t>阜康市县域总面积</w:t>
      </w:r>
      <w:r>
        <w:rPr>
          <w:rFonts w:cs="Times New Roman"/>
          <w:shd w:val="clear" w:color="auto" w:fill="FFFFFF"/>
        </w:rPr>
        <w:t>8219.11</w:t>
      </w:r>
      <w:r>
        <w:rPr>
          <w:rFonts w:cs="Times New Roman"/>
        </w:rPr>
        <w:t>km</w:t>
      </w:r>
      <w:r>
        <w:rPr>
          <w:rFonts w:cs="Times New Roman"/>
          <w:vertAlign w:val="superscript"/>
        </w:rPr>
        <w:t>2</w:t>
      </w:r>
      <w:r>
        <w:rPr>
          <w:rFonts w:cs="Times New Roman"/>
        </w:rPr>
        <w:t>（</w:t>
      </w:r>
      <w:r>
        <w:rPr>
          <w:rFonts w:hint="eastAsia" w:cs="Times New Roman"/>
        </w:rPr>
        <w:t>不</w:t>
      </w:r>
      <w:r>
        <w:rPr>
          <w:rFonts w:cs="Times New Roman"/>
        </w:rPr>
        <w:t>含兵团），</w:t>
      </w:r>
      <w:r>
        <w:rPr>
          <w:rFonts w:cs="Times New Roman"/>
          <w:shd w:val="clear" w:color="auto" w:fill="FFFFFF"/>
        </w:rPr>
        <w:t>阜康市下辖3个街道、4个镇、3个乡，分别为博峰街道办事处、阜新街道办事处、准东街道办事处，甘河子镇、滋泥泉子镇、九运街镇、城关镇、上户沟乡、三工河乡、水磨沟乡。</w:t>
      </w:r>
    </w:p>
    <w:p w14:paraId="36E61057">
      <w:pPr>
        <w:pStyle w:val="4"/>
        <w:adjustRightInd w:val="0"/>
        <w:snapToGrid w:val="0"/>
        <w:ind w:firstLine="480"/>
        <w:rPr>
          <w:sz w:val="24"/>
          <w:szCs w:val="24"/>
        </w:rPr>
      </w:pPr>
      <w:r>
        <w:rPr>
          <w:sz w:val="24"/>
          <w:szCs w:val="24"/>
        </w:rPr>
        <w:t>根据阜康市2023年国民经济和社会发展统计公报，2023年末阜康市总户数</w:t>
      </w:r>
      <w:r>
        <w:rPr>
          <w:rFonts w:hint="eastAsia"/>
          <w:sz w:val="24"/>
          <w:szCs w:val="24"/>
        </w:rPr>
        <w:t>46550</w:t>
      </w:r>
      <w:r>
        <w:rPr>
          <w:sz w:val="24"/>
          <w:szCs w:val="24"/>
        </w:rPr>
        <w:t>户，阜康市户籍人口为13.</w:t>
      </w:r>
      <w:r>
        <w:rPr>
          <w:rFonts w:hint="eastAsia"/>
          <w:sz w:val="24"/>
          <w:szCs w:val="24"/>
        </w:rPr>
        <w:t>12</w:t>
      </w:r>
      <w:r>
        <w:rPr>
          <w:sz w:val="24"/>
          <w:szCs w:val="24"/>
        </w:rPr>
        <w:t>万人，其中城镇人口为6.</w:t>
      </w:r>
      <w:r>
        <w:rPr>
          <w:rFonts w:hint="eastAsia"/>
          <w:sz w:val="24"/>
          <w:szCs w:val="24"/>
        </w:rPr>
        <w:t>02</w:t>
      </w:r>
      <w:r>
        <w:rPr>
          <w:sz w:val="24"/>
          <w:szCs w:val="24"/>
        </w:rPr>
        <w:t>万人，农村人口为7.1</w:t>
      </w:r>
      <w:r>
        <w:rPr>
          <w:rFonts w:hint="eastAsia"/>
          <w:sz w:val="24"/>
          <w:szCs w:val="24"/>
        </w:rPr>
        <w:t>0</w:t>
      </w:r>
      <w:r>
        <w:rPr>
          <w:sz w:val="24"/>
          <w:szCs w:val="24"/>
        </w:rPr>
        <w:t>万人，阜康市户籍人口总体呈下降趋势，年均增长率为0.50%，有汉、回、维吾尔、哈萨克等26个民族。随着经济的发展，阜康市非农业人口比重逐年增加，农业人口比重逐年减少，城镇化水平有一定的提高。</w:t>
      </w:r>
    </w:p>
    <w:p w14:paraId="2C095B12">
      <w:pPr>
        <w:pStyle w:val="5"/>
        <w:rPr>
          <w:rFonts w:eastAsia="仿宋_GB2312"/>
        </w:rPr>
      </w:pPr>
      <w:r>
        <w:rPr>
          <w:rFonts w:eastAsia="仿宋_GB2312"/>
        </w:rPr>
        <w:t>1.2.2 社会经济概况</w:t>
      </w:r>
    </w:p>
    <w:p w14:paraId="34E94D69">
      <w:pPr>
        <w:pStyle w:val="4"/>
        <w:adjustRightInd w:val="0"/>
        <w:snapToGrid w:val="0"/>
        <w:ind w:firstLine="480"/>
        <w:rPr>
          <w:sz w:val="24"/>
          <w:szCs w:val="24"/>
        </w:rPr>
      </w:pPr>
      <w:r>
        <w:rPr>
          <w:sz w:val="24"/>
          <w:szCs w:val="24"/>
        </w:rPr>
        <w:t>阜康市内的国民经济情况良好，</w:t>
      </w:r>
      <w:r>
        <w:rPr>
          <w:rFonts w:hint="eastAsia"/>
          <w:sz w:val="24"/>
          <w:szCs w:val="24"/>
          <w:lang w:eastAsia="zh-CN"/>
        </w:rPr>
        <w:t>农业农村</w:t>
      </w:r>
      <w:r>
        <w:rPr>
          <w:sz w:val="24"/>
          <w:szCs w:val="24"/>
        </w:rPr>
        <w:t>经济运行平稳，二、三产业发展态势良好。</w:t>
      </w:r>
      <w:r>
        <w:rPr>
          <w:rFonts w:hint="eastAsia"/>
          <w:sz w:val="24"/>
          <w:szCs w:val="24"/>
        </w:rPr>
        <w:t>2023年</w:t>
      </w:r>
      <w:r>
        <w:rPr>
          <w:sz w:val="24"/>
          <w:szCs w:val="24"/>
        </w:rPr>
        <w:t>全年实现地区生产总值（GDP）</w:t>
      </w:r>
      <w:r>
        <w:rPr>
          <w:rFonts w:hint="eastAsia"/>
          <w:sz w:val="24"/>
          <w:szCs w:val="24"/>
        </w:rPr>
        <w:t>全年实现地区生产总值（GDP）267.65亿元(含兵团)，按可比价格计算，同比增长7.2%。其中，第一产业增加值45.93亿元，同比增长3.3%；第二产业增加值137.86亿元，同比增长8.0%；第三产业增加值83.86亿元，同比增长8.1%。三次产业占比为17.2：51.5：31.3；全年人均地区生产总值148995元，比上年下降27.3%</w:t>
      </w:r>
      <w:r>
        <w:rPr>
          <w:sz w:val="24"/>
          <w:szCs w:val="24"/>
        </w:rPr>
        <w:t>。</w:t>
      </w:r>
    </w:p>
    <w:p w14:paraId="534F4CB7">
      <w:pPr>
        <w:pStyle w:val="4"/>
        <w:adjustRightInd w:val="0"/>
        <w:snapToGrid w:val="0"/>
        <w:ind w:firstLine="480"/>
        <w:rPr>
          <w:sz w:val="24"/>
          <w:szCs w:val="24"/>
        </w:rPr>
      </w:pPr>
      <w:r>
        <w:rPr>
          <w:rFonts w:hint="eastAsia"/>
          <w:sz w:val="24"/>
          <w:szCs w:val="24"/>
        </w:rPr>
        <w:t>2023年，城镇居民人均可支配收入40694元，较同期增加2474元，同比增长6.6%；农村居民人均可支配收入27349元，较同期增加2417元，同比增长9.7%。</w:t>
      </w:r>
    </w:p>
    <w:p w14:paraId="243EE611">
      <w:pPr>
        <w:pStyle w:val="3"/>
        <w:numPr>
          <w:ilvl w:val="0"/>
          <w:numId w:val="0"/>
        </w:numPr>
        <w:adjustRightInd w:val="0"/>
        <w:snapToGrid w:val="0"/>
        <w:spacing w:before="120" w:after="120"/>
        <w:rPr>
          <w:rFonts w:ascii="Times New Roman" w:hAnsi="Times New Roman" w:eastAsia="仿宋_GB2312" w:cs="Times New Roman"/>
          <w:sz w:val="28"/>
        </w:rPr>
      </w:pPr>
      <w:bookmarkStart w:id="12" w:name="_Toc150724265"/>
      <w:bookmarkStart w:id="13" w:name="_Toc25344"/>
      <w:r>
        <w:rPr>
          <w:rFonts w:ascii="Times New Roman" w:hAnsi="Times New Roman" w:eastAsia="仿宋_GB2312" w:cs="Times New Roman"/>
          <w:sz w:val="28"/>
        </w:rPr>
        <w:t>1.3 水土流失状况</w:t>
      </w:r>
      <w:bookmarkEnd w:id="12"/>
      <w:bookmarkEnd w:id="13"/>
    </w:p>
    <w:p w14:paraId="1C0CEEFF">
      <w:pPr>
        <w:pStyle w:val="5"/>
        <w:rPr>
          <w:rFonts w:eastAsia="仿宋_GB2312"/>
        </w:rPr>
      </w:pPr>
      <w:bookmarkStart w:id="14" w:name="_Toc11068"/>
      <w:bookmarkStart w:id="15" w:name="_Toc362540875"/>
      <w:bookmarkStart w:id="16" w:name="_Toc361168578"/>
      <w:r>
        <w:rPr>
          <w:rFonts w:eastAsia="仿宋_GB2312"/>
        </w:rPr>
        <w:t>1.3.1 水土流失现状</w:t>
      </w:r>
      <w:bookmarkEnd w:id="14"/>
    </w:p>
    <w:bookmarkEnd w:id="15"/>
    <w:bookmarkEnd w:id="16"/>
    <w:p w14:paraId="74D406AA">
      <w:pPr>
        <w:pStyle w:val="376"/>
        <w:adjustRightInd w:val="0"/>
        <w:ind w:firstLine="480"/>
        <w:rPr>
          <w:color w:val="auto"/>
          <w:lang w:eastAsia="zh-CN"/>
        </w:rPr>
      </w:pPr>
      <w:r>
        <w:rPr>
          <w:color w:val="auto"/>
        </w:rPr>
        <w:t>根据</w:t>
      </w:r>
      <w:r>
        <w:rPr>
          <w:rFonts w:hint="eastAsia"/>
          <w:color w:val="auto"/>
        </w:rPr>
        <w:t>《</w:t>
      </w:r>
      <w:r>
        <w:rPr>
          <w:color w:val="auto"/>
        </w:rPr>
        <w:t>新疆维吾尔自治区2022年的自治区级水土流失动态监测年报</w:t>
      </w:r>
      <w:r>
        <w:rPr>
          <w:rFonts w:hint="eastAsia"/>
          <w:color w:val="auto"/>
        </w:rPr>
        <w:t>》</w:t>
      </w:r>
      <w:r>
        <w:rPr>
          <w:color w:val="auto"/>
        </w:rPr>
        <w:t>，2022年阜康市轻度以上风力侵蚀和水力侵蚀总面积6598.37km²</w:t>
      </w:r>
      <w:r>
        <w:rPr>
          <w:rFonts w:hint="eastAsia"/>
          <w:color w:val="auto"/>
        </w:rPr>
        <w:t>（含兵团），</w:t>
      </w:r>
      <w:r>
        <w:rPr>
          <w:color w:val="auto"/>
        </w:rPr>
        <w:t>占全市土地总面积的77.22%。其中水力侵蚀面积为647.1km²</w:t>
      </w:r>
      <w:r>
        <w:rPr>
          <w:rFonts w:hint="eastAsia"/>
          <w:color w:val="auto"/>
        </w:rPr>
        <w:t>（含兵团），</w:t>
      </w:r>
      <w:r>
        <w:rPr>
          <w:color w:val="auto"/>
        </w:rPr>
        <w:t>占土壤侵蚀总面积的9.81%；风力侵蚀面积为5951.27km²</w:t>
      </w:r>
      <w:r>
        <w:rPr>
          <w:rFonts w:hint="eastAsia"/>
          <w:color w:val="auto"/>
        </w:rPr>
        <w:t>（含兵团），</w:t>
      </w:r>
      <w:r>
        <w:rPr>
          <w:color w:val="auto"/>
        </w:rPr>
        <w:t>占土壤侵蚀总面积的90.19%。</w:t>
      </w:r>
    </w:p>
    <w:p w14:paraId="411B9D0B">
      <w:pPr>
        <w:pStyle w:val="376"/>
        <w:adjustRightInd w:val="0"/>
        <w:ind w:firstLine="480"/>
        <w:rPr>
          <w:color w:val="auto"/>
          <w:lang w:eastAsia="zh-CN"/>
        </w:rPr>
      </w:pPr>
    </w:p>
    <w:p w14:paraId="73642217">
      <w:pPr>
        <w:pStyle w:val="376"/>
        <w:adjustRightInd w:val="0"/>
        <w:ind w:firstLine="964" w:firstLineChars="400"/>
        <w:rPr>
          <w:b/>
          <w:snapToGrid w:val="0"/>
          <w:color w:val="auto"/>
          <w:lang w:val="en-US" w:eastAsia="zh-CN"/>
        </w:rPr>
      </w:pPr>
      <w:r>
        <w:rPr>
          <w:b/>
          <w:snapToGrid w:val="0"/>
          <w:color w:val="auto"/>
          <w:lang w:val="en-US" w:eastAsia="zh-CN"/>
        </w:rPr>
        <w:t>1.3-1            水土流失面积               单位km</w:t>
      </w:r>
      <w:r>
        <w:rPr>
          <w:b/>
          <w:snapToGrid w:val="0"/>
          <w:color w:val="auto"/>
          <w:vertAlign w:val="superscript"/>
          <w:lang w:val="en-US" w:eastAsia="zh-CN"/>
        </w:rPr>
        <w:t>2</w:t>
      </w:r>
    </w:p>
    <w:tbl>
      <w:tblPr>
        <w:tblStyle w:val="4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16"/>
        <w:gridCol w:w="1218"/>
        <w:gridCol w:w="1218"/>
        <w:gridCol w:w="1218"/>
        <w:gridCol w:w="1334"/>
        <w:gridCol w:w="1105"/>
        <w:gridCol w:w="1220"/>
      </w:tblGrid>
      <w:tr w14:paraId="299F50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3" w:type="pct"/>
            <w:vAlign w:val="center"/>
          </w:tcPr>
          <w:p w14:paraId="69873929">
            <w:pPr>
              <w:pStyle w:val="253"/>
              <w:spacing w:line="240" w:lineRule="auto"/>
              <w:ind w:firstLine="0" w:firstLineChars="0"/>
              <w:rPr>
                <w:rFonts w:cs="Times New Roman"/>
                <w:sz w:val="21"/>
                <w:szCs w:val="22"/>
              </w:rPr>
            </w:pPr>
            <w:r>
              <w:rPr>
                <w:rFonts w:cs="Times New Roman"/>
                <w:sz w:val="21"/>
                <w:szCs w:val="22"/>
              </w:rPr>
              <w:t>侵蚀类型</w:t>
            </w:r>
          </w:p>
        </w:tc>
        <w:tc>
          <w:tcPr>
            <w:tcW w:w="714" w:type="pct"/>
            <w:vAlign w:val="center"/>
          </w:tcPr>
          <w:p w14:paraId="03A8D335">
            <w:pPr>
              <w:pStyle w:val="253"/>
              <w:spacing w:line="240" w:lineRule="auto"/>
              <w:ind w:firstLine="0" w:firstLineChars="0"/>
              <w:rPr>
                <w:rFonts w:cs="Times New Roman"/>
                <w:sz w:val="21"/>
                <w:szCs w:val="22"/>
              </w:rPr>
            </w:pPr>
            <w:r>
              <w:rPr>
                <w:rFonts w:cs="Times New Roman"/>
                <w:sz w:val="21"/>
                <w:szCs w:val="22"/>
              </w:rPr>
              <w:t>轻度侵蚀</w:t>
            </w:r>
          </w:p>
        </w:tc>
        <w:tc>
          <w:tcPr>
            <w:tcW w:w="714" w:type="pct"/>
            <w:vAlign w:val="center"/>
          </w:tcPr>
          <w:p w14:paraId="7EBB4EA6">
            <w:pPr>
              <w:pStyle w:val="253"/>
              <w:spacing w:line="240" w:lineRule="auto"/>
              <w:ind w:firstLine="0" w:firstLineChars="0"/>
              <w:rPr>
                <w:rFonts w:cs="Times New Roman"/>
                <w:sz w:val="21"/>
                <w:szCs w:val="22"/>
              </w:rPr>
            </w:pPr>
            <w:r>
              <w:rPr>
                <w:rFonts w:cs="Times New Roman"/>
                <w:sz w:val="21"/>
                <w:szCs w:val="22"/>
              </w:rPr>
              <w:t>中度侵蚀</w:t>
            </w:r>
          </w:p>
        </w:tc>
        <w:tc>
          <w:tcPr>
            <w:tcW w:w="714" w:type="pct"/>
            <w:vAlign w:val="center"/>
          </w:tcPr>
          <w:p w14:paraId="72C5318F">
            <w:pPr>
              <w:pStyle w:val="253"/>
              <w:spacing w:line="240" w:lineRule="auto"/>
              <w:ind w:firstLine="0" w:firstLineChars="0"/>
              <w:rPr>
                <w:rFonts w:cs="Times New Roman"/>
                <w:sz w:val="21"/>
                <w:szCs w:val="22"/>
              </w:rPr>
            </w:pPr>
            <w:r>
              <w:rPr>
                <w:rFonts w:cs="Times New Roman"/>
                <w:sz w:val="21"/>
                <w:szCs w:val="22"/>
              </w:rPr>
              <w:t>强烈侵蚀</w:t>
            </w:r>
          </w:p>
        </w:tc>
        <w:tc>
          <w:tcPr>
            <w:tcW w:w="782" w:type="pct"/>
            <w:vAlign w:val="center"/>
          </w:tcPr>
          <w:p w14:paraId="120B3383">
            <w:pPr>
              <w:pStyle w:val="253"/>
              <w:spacing w:line="240" w:lineRule="auto"/>
              <w:ind w:firstLine="0" w:firstLineChars="0"/>
              <w:rPr>
                <w:rFonts w:cs="Times New Roman"/>
                <w:sz w:val="21"/>
                <w:szCs w:val="22"/>
              </w:rPr>
            </w:pPr>
            <w:r>
              <w:rPr>
                <w:rFonts w:cs="Times New Roman"/>
                <w:sz w:val="21"/>
                <w:szCs w:val="22"/>
              </w:rPr>
              <w:t>极强烈侵蚀</w:t>
            </w:r>
          </w:p>
        </w:tc>
        <w:tc>
          <w:tcPr>
            <w:tcW w:w="648" w:type="pct"/>
            <w:vAlign w:val="center"/>
          </w:tcPr>
          <w:p w14:paraId="52C3E61B">
            <w:pPr>
              <w:pStyle w:val="253"/>
              <w:spacing w:line="240" w:lineRule="auto"/>
              <w:ind w:firstLine="0" w:firstLineChars="0"/>
              <w:rPr>
                <w:rFonts w:cs="Times New Roman"/>
                <w:sz w:val="21"/>
                <w:szCs w:val="22"/>
              </w:rPr>
            </w:pPr>
            <w:r>
              <w:rPr>
                <w:rFonts w:cs="Times New Roman"/>
                <w:sz w:val="21"/>
                <w:szCs w:val="22"/>
              </w:rPr>
              <w:t>剧烈侵蚀</w:t>
            </w:r>
          </w:p>
        </w:tc>
        <w:tc>
          <w:tcPr>
            <w:tcW w:w="715" w:type="pct"/>
            <w:vAlign w:val="center"/>
          </w:tcPr>
          <w:p w14:paraId="405F7885">
            <w:pPr>
              <w:pStyle w:val="253"/>
              <w:spacing w:line="240" w:lineRule="auto"/>
              <w:ind w:firstLine="0" w:firstLineChars="0"/>
              <w:rPr>
                <w:rFonts w:cs="Times New Roman"/>
                <w:sz w:val="21"/>
                <w:szCs w:val="22"/>
              </w:rPr>
            </w:pPr>
            <w:r>
              <w:rPr>
                <w:rFonts w:cs="Times New Roman"/>
                <w:sz w:val="21"/>
                <w:szCs w:val="22"/>
              </w:rPr>
              <w:t>合计</w:t>
            </w:r>
          </w:p>
        </w:tc>
      </w:tr>
      <w:tr w14:paraId="0ED547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13" w:type="pct"/>
            <w:vAlign w:val="center"/>
          </w:tcPr>
          <w:p w14:paraId="5FE2CB1A">
            <w:pPr>
              <w:pStyle w:val="253"/>
              <w:spacing w:line="240" w:lineRule="auto"/>
              <w:ind w:firstLine="0" w:firstLineChars="0"/>
              <w:rPr>
                <w:rFonts w:cs="Times New Roman"/>
                <w:sz w:val="21"/>
                <w:szCs w:val="22"/>
              </w:rPr>
            </w:pPr>
            <w:r>
              <w:rPr>
                <w:rFonts w:cs="Times New Roman"/>
                <w:sz w:val="21"/>
                <w:szCs w:val="22"/>
              </w:rPr>
              <w:t>水力侵蚀</w:t>
            </w:r>
          </w:p>
        </w:tc>
        <w:tc>
          <w:tcPr>
            <w:tcW w:w="714" w:type="pct"/>
            <w:vAlign w:val="center"/>
          </w:tcPr>
          <w:p w14:paraId="1A968B06">
            <w:pPr>
              <w:pStyle w:val="253"/>
              <w:spacing w:line="240" w:lineRule="auto"/>
              <w:ind w:firstLine="0" w:firstLineChars="0"/>
              <w:rPr>
                <w:rFonts w:cs="Times New Roman"/>
                <w:sz w:val="21"/>
                <w:szCs w:val="22"/>
              </w:rPr>
            </w:pPr>
            <w:r>
              <w:rPr>
                <w:rFonts w:cs="Times New Roman"/>
                <w:sz w:val="21"/>
                <w:szCs w:val="22"/>
              </w:rPr>
              <w:t>391.16</w:t>
            </w:r>
          </w:p>
        </w:tc>
        <w:tc>
          <w:tcPr>
            <w:tcW w:w="714" w:type="pct"/>
            <w:vAlign w:val="center"/>
          </w:tcPr>
          <w:p w14:paraId="1C603235">
            <w:pPr>
              <w:pStyle w:val="253"/>
              <w:spacing w:line="240" w:lineRule="auto"/>
              <w:ind w:firstLine="0" w:firstLineChars="0"/>
              <w:rPr>
                <w:rFonts w:cs="Times New Roman"/>
                <w:sz w:val="21"/>
                <w:szCs w:val="22"/>
              </w:rPr>
            </w:pPr>
            <w:r>
              <w:rPr>
                <w:rFonts w:cs="Times New Roman"/>
                <w:sz w:val="21"/>
                <w:szCs w:val="22"/>
              </w:rPr>
              <w:t>161.08</w:t>
            </w:r>
          </w:p>
        </w:tc>
        <w:tc>
          <w:tcPr>
            <w:tcW w:w="714" w:type="pct"/>
            <w:vAlign w:val="center"/>
          </w:tcPr>
          <w:p w14:paraId="3172EA9B">
            <w:pPr>
              <w:pStyle w:val="253"/>
              <w:spacing w:line="240" w:lineRule="auto"/>
              <w:ind w:firstLine="0" w:firstLineChars="0"/>
              <w:rPr>
                <w:rFonts w:cs="Times New Roman"/>
                <w:sz w:val="21"/>
                <w:szCs w:val="22"/>
              </w:rPr>
            </w:pPr>
            <w:r>
              <w:rPr>
                <w:rFonts w:cs="Times New Roman"/>
                <w:sz w:val="21"/>
                <w:szCs w:val="22"/>
              </w:rPr>
              <w:t>59.24</w:t>
            </w:r>
          </w:p>
        </w:tc>
        <w:tc>
          <w:tcPr>
            <w:tcW w:w="782" w:type="pct"/>
            <w:vAlign w:val="center"/>
          </w:tcPr>
          <w:p w14:paraId="209EFD80">
            <w:pPr>
              <w:pStyle w:val="253"/>
              <w:spacing w:line="240" w:lineRule="auto"/>
              <w:ind w:firstLine="0" w:firstLineChars="0"/>
              <w:rPr>
                <w:rFonts w:cs="Times New Roman"/>
                <w:sz w:val="21"/>
                <w:szCs w:val="22"/>
              </w:rPr>
            </w:pPr>
            <w:r>
              <w:rPr>
                <w:rFonts w:cs="Times New Roman"/>
                <w:sz w:val="21"/>
                <w:szCs w:val="22"/>
              </w:rPr>
              <w:t>31.16</w:t>
            </w:r>
          </w:p>
        </w:tc>
        <w:tc>
          <w:tcPr>
            <w:tcW w:w="648" w:type="pct"/>
            <w:vAlign w:val="center"/>
          </w:tcPr>
          <w:p w14:paraId="0E6FCC07">
            <w:pPr>
              <w:pStyle w:val="253"/>
              <w:spacing w:line="240" w:lineRule="auto"/>
              <w:ind w:firstLine="0" w:firstLineChars="0"/>
              <w:rPr>
                <w:rFonts w:cs="Times New Roman"/>
                <w:sz w:val="21"/>
                <w:szCs w:val="22"/>
              </w:rPr>
            </w:pPr>
            <w:r>
              <w:rPr>
                <w:rFonts w:cs="Times New Roman"/>
                <w:sz w:val="21"/>
                <w:szCs w:val="22"/>
              </w:rPr>
              <w:t>4.46</w:t>
            </w:r>
          </w:p>
        </w:tc>
        <w:tc>
          <w:tcPr>
            <w:tcW w:w="715" w:type="pct"/>
            <w:vAlign w:val="center"/>
          </w:tcPr>
          <w:p w14:paraId="71F2E8AE">
            <w:pPr>
              <w:pStyle w:val="253"/>
              <w:spacing w:line="240" w:lineRule="auto"/>
              <w:ind w:firstLine="0" w:firstLineChars="0"/>
              <w:rPr>
                <w:rFonts w:cs="Times New Roman"/>
                <w:sz w:val="21"/>
                <w:szCs w:val="22"/>
              </w:rPr>
            </w:pPr>
            <w:r>
              <w:rPr>
                <w:rFonts w:cs="Times New Roman"/>
                <w:sz w:val="21"/>
                <w:szCs w:val="22"/>
              </w:rPr>
              <w:t>653.98</w:t>
            </w:r>
          </w:p>
        </w:tc>
      </w:tr>
      <w:tr w14:paraId="107764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3" w:type="pct"/>
            <w:vAlign w:val="center"/>
          </w:tcPr>
          <w:p w14:paraId="2729E566">
            <w:pPr>
              <w:pStyle w:val="253"/>
              <w:spacing w:line="240" w:lineRule="auto"/>
              <w:ind w:firstLine="0" w:firstLineChars="0"/>
              <w:rPr>
                <w:rFonts w:cs="Times New Roman"/>
                <w:sz w:val="21"/>
                <w:szCs w:val="22"/>
              </w:rPr>
            </w:pPr>
            <w:r>
              <w:rPr>
                <w:rFonts w:cs="Times New Roman"/>
                <w:sz w:val="21"/>
                <w:szCs w:val="22"/>
              </w:rPr>
              <w:t>风力侵蚀</w:t>
            </w:r>
          </w:p>
        </w:tc>
        <w:tc>
          <w:tcPr>
            <w:tcW w:w="714" w:type="pct"/>
            <w:vAlign w:val="center"/>
          </w:tcPr>
          <w:p w14:paraId="0D5241D7">
            <w:pPr>
              <w:pStyle w:val="253"/>
              <w:spacing w:line="240" w:lineRule="auto"/>
              <w:ind w:firstLine="0" w:firstLineChars="0"/>
              <w:rPr>
                <w:rFonts w:cs="Times New Roman"/>
                <w:sz w:val="21"/>
                <w:szCs w:val="22"/>
              </w:rPr>
            </w:pPr>
            <w:r>
              <w:rPr>
                <w:rFonts w:cs="Times New Roman"/>
                <w:sz w:val="21"/>
                <w:szCs w:val="22"/>
              </w:rPr>
              <w:t>1813.44</w:t>
            </w:r>
          </w:p>
        </w:tc>
        <w:tc>
          <w:tcPr>
            <w:tcW w:w="714" w:type="pct"/>
            <w:vAlign w:val="center"/>
          </w:tcPr>
          <w:p w14:paraId="27B48908">
            <w:pPr>
              <w:pStyle w:val="253"/>
              <w:spacing w:line="240" w:lineRule="auto"/>
              <w:ind w:firstLine="0" w:firstLineChars="0"/>
              <w:rPr>
                <w:rFonts w:cs="Times New Roman"/>
                <w:sz w:val="21"/>
                <w:szCs w:val="22"/>
              </w:rPr>
            </w:pPr>
            <w:r>
              <w:rPr>
                <w:rFonts w:cs="Times New Roman"/>
                <w:sz w:val="21"/>
                <w:szCs w:val="22"/>
              </w:rPr>
              <w:t>78.33</w:t>
            </w:r>
          </w:p>
        </w:tc>
        <w:tc>
          <w:tcPr>
            <w:tcW w:w="714" w:type="pct"/>
            <w:vAlign w:val="center"/>
          </w:tcPr>
          <w:p w14:paraId="53F9CD06">
            <w:pPr>
              <w:pStyle w:val="253"/>
              <w:spacing w:line="240" w:lineRule="auto"/>
              <w:ind w:firstLine="0" w:firstLineChars="0"/>
              <w:rPr>
                <w:rFonts w:cs="Times New Roman"/>
                <w:sz w:val="21"/>
                <w:szCs w:val="22"/>
              </w:rPr>
            </w:pPr>
            <w:r>
              <w:rPr>
                <w:rFonts w:cs="Times New Roman"/>
                <w:sz w:val="21"/>
                <w:szCs w:val="22"/>
              </w:rPr>
              <w:t>3341.3</w:t>
            </w:r>
          </w:p>
        </w:tc>
        <w:tc>
          <w:tcPr>
            <w:tcW w:w="782" w:type="pct"/>
            <w:vAlign w:val="center"/>
          </w:tcPr>
          <w:p w14:paraId="313B4635">
            <w:pPr>
              <w:pStyle w:val="253"/>
              <w:spacing w:line="240" w:lineRule="auto"/>
              <w:ind w:firstLine="0" w:firstLineChars="0"/>
              <w:rPr>
                <w:rFonts w:cs="Times New Roman"/>
                <w:sz w:val="21"/>
                <w:szCs w:val="22"/>
              </w:rPr>
            </w:pPr>
            <w:r>
              <w:rPr>
                <w:rFonts w:cs="Times New Roman"/>
                <w:sz w:val="21"/>
                <w:szCs w:val="22"/>
              </w:rPr>
              <w:t>717.88</w:t>
            </w:r>
          </w:p>
        </w:tc>
        <w:tc>
          <w:tcPr>
            <w:tcW w:w="648" w:type="pct"/>
            <w:vAlign w:val="center"/>
          </w:tcPr>
          <w:p w14:paraId="4A012FBA">
            <w:pPr>
              <w:pStyle w:val="253"/>
              <w:spacing w:line="240" w:lineRule="auto"/>
              <w:ind w:firstLine="0" w:firstLineChars="0"/>
              <w:rPr>
                <w:rFonts w:cs="Times New Roman"/>
                <w:sz w:val="21"/>
                <w:szCs w:val="22"/>
              </w:rPr>
            </w:pPr>
            <w:r>
              <w:rPr>
                <w:rFonts w:cs="Times New Roman"/>
                <w:sz w:val="21"/>
                <w:szCs w:val="22"/>
              </w:rPr>
              <w:t>0.32</w:t>
            </w:r>
          </w:p>
        </w:tc>
        <w:tc>
          <w:tcPr>
            <w:tcW w:w="715" w:type="pct"/>
            <w:vAlign w:val="center"/>
          </w:tcPr>
          <w:p w14:paraId="2A90CF8F">
            <w:pPr>
              <w:pStyle w:val="253"/>
              <w:spacing w:line="240" w:lineRule="auto"/>
              <w:ind w:firstLine="0" w:firstLineChars="0"/>
              <w:rPr>
                <w:rFonts w:cs="Times New Roman"/>
                <w:sz w:val="21"/>
                <w:szCs w:val="22"/>
              </w:rPr>
            </w:pPr>
            <w:r>
              <w:rPr>
                <w:rFonts w:cs="Times New Roman"/>
                <w:sz w:val="21"/>
                <w:szCs w:val="22"/>
              </w:rPr>
              <w:t>5951.27</w:t>
            </w:r>
          </w:p>
        </w:tc>
      </w:tr>
      <w:tr w14:paraId="52CCC4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4285" w:type="pct"/>
            <w:gridSpan w:val="6"/>
            <w:vAlign w:val="center"/>
          </w:tcPr>
          <w:p w14:paraId="4F52EFB9">
            <w:pPr>
              <w:pStyle w:val="253"/>
              <w:spacing w:line="240" w:lineRule="auto"/>
              <w:ind w:firstLine="0" w:firstLineChars="0"/>
              <w:rPr>
                <w:rFonts w:cs="Times New Roman"/>
                <w:sz w:val="21"/>
                <w:szCs w:val="22"/>
              </w:rPr>
            </w:pPr>
            <w:r>
              <w:rPr>
                <w:rFonts w:cs="Times New Roman"/>
                <w:sz w:val="21"/>
                <w:szCs w:val="22"/>
              </w:rPr>
              <w:t>合计</w:t>
            </w:r>
          </w:p>
        </w:tc>
        <w:tc>
          <w:tcPr>
            <w:tcW w:w="715" w:type="pct"/>
            <w:vAlign w:val="center"/>
          </w:tcPr>
          <w:p w14:paraId="3BC36A2B">
            <w:pPr>
              <w:pStyle w:val="253"/>
              <w:spacing w:line="240" w:lineRule="auto"/>
              <w:ind w:firstLine="0" w:firstLineChars="0"/>
              <w:rPr>
                <w:rFonts w:cs="Times New Roman"/>
                <w:sz w:val="21"/>
                <w:szCs w:val="22"/>
              </w:rPr>
            </w:pPr>
            <w:r>
              <w:rPr>
                <w:rFonts w:cs="Times New Roman"/>
                <w:sz w:val="21"/>
                <w:szCs w:val="22"/>
              </w:rPr>
              <w:t>6598.37</w:t>
            </w:r>
          </w:p>
        </w:tc>
      </w:tr>
    </w:tbl>
    <w:p w14:paraId="3DC77308">
      <w:pPr>
        <w:pStyle w:val="5"/>
        <w:spacing w:before="100" w:after="100"/>
        <w:rPr>
          <w:rFonts w:eastAsia="仿宋_GB2312"/>
          <w:sz w:val="24"/>
        </w:rPr>
      </w:pPr>
      <w:bookmarkStart w:id="17" w:name="_Toc25540"/>
      <w:r>
        <w:rPr>
          <w:rFonts w:eastAsia="仿宋_GB2312"/>
          <w:sz w:val="24"/>
        </w:rPr>
        <w:t>1.3.2 水土流失形式</w:t>
      </w:r>
      <w:bookmarkEnd w:id="17"/>
    </w:p>
    <w:p w14:paraId="3462138E">
      <w:pPr>
        <w:pStyle w:val="376"/>
        <w:adjustRightInd w:val="0"/>
        <w:ind w:firstLine="480"/>
        <w:rPr>
          <w:color w:val="auto"/>
        </w:rPr>
      </w:pPr>
      <w:r>
        <w:rPr>
          <w:color w:val="auto"/>
        </w:rPr>
        <w:t>规划区侵蚀的主要表现形式以风力侵蚀为主，水力侵蚀为辅，天山雪线以上区域存在冻融侵蚀。</w:t>
      </w:r>
    </w:p>
    <w:p w14:paraId="3194EF8D">
      <w:pPr>
        <w:pStyle w:val="376"/>
        <w:adjustRightInd w:val="0"/>
        <w:ind w:firstLine="480"/>
        <w:rPr>
          <w:color w:val="auto"/>
        </w:rPr>
      </w:pPr>
      <w:r>
        <w:rPr>
          <w:color w:val="auto"/>
        </w:rPr>
        <w:t>（一）风力侵蚀</w:t>
      </w:r>
    </w:p>
    <w:p w14:paraId="39B6BA35">
      <w:pPr>
        <w:pStyle w:val="376"/>
        <w:adjustRightInd w:val="0"/>
        <w:ind w:firstLine="480"/>
        <w:rPr>
          <w:color w:val="auto"/>
        </w:rPr>
      </w:pPr>
      <w:r>
        <w:rPr>
          <w:color w:val="auto"/>
        </w:rPr>
        <w:t>风力侵蚀是最主要和典型的侵蚀类型，遍布全县，主要分布在山麓、盆地及河流中下游平原地带，特别是沙漠周边及局部中小型沙漠附近危害十分严重，不仅造成风沙堆积、沙埋农田、土地沙化、土地生产力下降等，而且产生大范围的沙尘暴灾害和大气污染，影响人体健康，并对交通、通讯和水利设施造成危害。</w:t>
      </w:r>
    </w:p>
    <w:p w14:paraId="32124FC2">
      <w:pPr>
        <w:pStyle w:val="376"/>
        <w:adjustRightInd w:val="0"/>
        <w:ind w:firstLine="480"/>
        <w:rPr>
          <w:color w:val="auto"/>
        </w:rPr>
      </w:pPr>
      <w:r>
        <w:rPr>
          <w:color w:val="auto"/>
        </w:rPr>
        <w:t>（二）水力侵蚀</w:t>
      </w:r>
    </w:p>
    <w:p w14:paraId="038A8A6A">
      <w:pPr>
        <w:pStyle w:val="376"/>
        <w:adjustRightInd w:val="0"/>
        <w:ind w:firstLine="480"/>
        <w:rPr>
          <w:color w:val="auto"/>
        </w:rPr>
      </w:pPr>
      <w:r>
        <w:rPr>
          <w:color w:val="auto"/>
        </w:rPr>
        <w:t>水力侵蚀也是阜康市水土流失的主要形式之一，虽面积不大，但破坏性强，主要分布在县域南部天山北坡地带中低山区和丘陵区，其中以天山山地最为强烈。全县内发育有水磨河、三工河、四工河、甘河子河、白杨河、西沟河、黄山河等多条河流，因夏季常发生阵发型暴雨，加之中低山带山体破碎，地表多为第四纪松散堆积物，植被稀少，暴雨形成的水力侵蚀作用强烈，面蚀、沟蚀十分发育，形成各种水力侵蚀的地貌类型。</w:t>
      </w:r>
    </w:p>
    <w:p w14:paraId="74ECBC2D">
      <w:pPr>
        <w:pStyle w:val="376"/>
        <w:adjustRightInd w:val="0"/>
        <w:ind w:firstLine="480"/>
        <w:rPr>
          <w:color w:val="auto"/>
        </w:rPr>
      </w:pPr>
      <w:r>
        <w:rPr>
          <w:color w:val="auto"/>
        </w:rPr>
        <w:t>（三）冻融侵蚀</w:t>
      </w:r>
    </w:p>
    <w:p w14:paraId="38FC08FA">
      <w:pPr>
        <w:pStyle w:val="376"/>
        <w:adjustRightInd w:val="0"/>
        <w:ind w:firstLine="480"/>
        <w:rPr>
          <w:color w:val="auto"/>
        </w:rPr>
      </w:pPr>
      <w:r>
        <w:rPr>
          <w:color w:val="auto"/>
        </w:rPr>
        <w:t>冻融侵蚀主要分布在县域南部山区海拔3400m以上，该区域气温较低，常年处于冻结状态，大部分地区分布着现代冰川和终年积雪，年平均气温在0℃以下，降水丰富且为固态形式。土壤发育为高山草甸土，局部地区发育着较薄的冰沼土，土壤侵蚀主要为冻融侵蚀和重力侵蚀。</w:t>
      </w:r>
    </w:p>
    <w:p w14:paraId="741426BA">
      <w:pPr>
        <w:pStyle w:val="5"/>
        <w:spacing w:before="100" w:after="100"/>
        <w:rPr>
          <w:rFonts w:eastAsia="仿宋_GB2312"/>
          <w:sz w:val="24"/>
        </w:rPr>
      </w:pPr>
      <w:bookmarkStart w:id="18" w:name="_Toc25641"/>
      <w:r>
        <w:rPr>
          <w:rFonts w:eastAsia="仿宋_GB2312"/>
          <w:sz w:val="24"/>
        </w:rPr>
        <w:t>1.3.3 水土流失危害</w:t>
      </w:r>
      <w:bookmarkEnd w:id="18"/>
    </w:p>
    <w:p w14:paraId="441EA11C">
      <w:pPr>
        <w:pStyle w:val="376"/>
        <w:adjustRightInd w:val="0"/>
        <w:ind w:firstLine="480"/>
        <w:rPr>
          <w:color w:val="auto"/>
        </w:rPr>
      </w:pPr>
      <w:r>
        <w:rPr>
          <w:color w:val="auto"/>
        </w:rPr>
        <w:t>水土流失破坏了水土资源，导致生态失调，严重制约着经济可持续发展，威胁着子孙后代的生存。</w:t>
      </w:r>
    </w:p>
    <w:p w14:paraId="66178C9B">
      <w:pPr>
        <w:pStyle w:val="376"/>
        <w:adjustRightInd w:val="0"/>
        <w:ind w:firstLine="480"/>
        <w:rPr>
          <w:color w:val="auto"/>
          <w:lang w:eastAsia="zh-CN"/>
        </w:rPr>
      </w:pPr>
      <w:r>
        <w:rPr>
          <w:color w:val="auto"/>
          <w:lang w:eastAsia="zh-CN"/>
        </w:rPr>
        <w:t>1、风力侵蚀加剧，</w:t>
      </w:r>
      <w:r>
        <w:rPr>
          <w:color w:val="auto"/>
        </w:rPr>
        <w:t>土地</w:t>
      </w:r>
      <w:r>
        <w:rPr>
          <w:color w:val="auto"/>
          <w:lang w:eastAsia="zh-CN"/>
        </w:rPr>
        <w:t>沙化严重</w:t>
      </w:r>
    </w:p>
    <w:p w14:paraId="307A038E">
      <w:pPr>
        <w:pStyle w:val="376"/>
        <w:adjustRightInd w:val="0"/>
        <w:ind w:firstLine="480"/>
        <w:rPr>
          <w:color w:val="auto"/>
        </w:rPr>
      </w:pPr>
      <w:r>
        <w:rPr>
          <w:color w:val="auto"/>
        </w:rPr>
        <w:t>土地资源是一种难以再生的宝贵资源，每形成</w:t>
      </w:r>
      <w:r>
        <w:rPr>
          <w:color w:val="auto"/>
          <w:lang w:eastAsia="zh-CN"/>
        </w:rPr>
        <w:t>1cm厚的土壤需要2</w:t>
      </w:r>
      <w:r>
        <w:rPr>
          <w:color w:val="auto"/>
        </w:rPr>
        <w:t>00～400a。由于水土保持措施不健全，持续不断的水土流失造成土层变薄，土壤质地逐渐由沙壤土演变成砂土→粗砂土→砂砾土直致裸岩</w:t>
      </w:r>
      <w:r>
        <w:rPr>
          <w:color w:val="auto"/>
          <w:lang w:eastAsia="zh-CN"/>
        </w:rPr>
        <w:t>，威胁绿洲安全。</w:t>
      </w:r>
      <w:r>
        <w:rPr>
          <w:color w:val="auto"/>
        </w:rPr>
        <w:t>在此过程中大量的土壤有机质和氮、磷、钾等养分随之丧失，土地沙化，土壤肥力下降；农田遭受毁灭性切割，吞噬，洪水冲刷使地面遭到破坏，使得耕地面积不断减少，耕地质量不断下降。</w:t>
      </w:r>
    </w:p>
    <w:p w14:paraId="2CAD4E41">
      <w:pPr>
        <w:pStyle w:val="376"/>
        <w:adjustRightInd w:val="0"/>
        <w:ind w:firstLine="480"/>
        <w:rPr>
          <w:color w:val="auto"/>
        </w:rPr>
      </w:pPr>
      <w:r>
        <w:rPr>
          <w:color w:val="auto"/>
          <w:lang w:eastAsia="zh-CN"/>
        </w:rPr>
        <w:t>2、</w:t>
      </w:r>
      <w:r>
        <w:rPr>
          <w:color w:val="auto"/>
        </w:rPr>
        <w:t>水力侵蚀严重，泥沙淤积河道、水库</w:t>
      </w:r>
    </w:p>
    <w:p w14:paraId="2853BB31">
      <w:pPr>
        <w:pStyle w:val="376"/>
        <w:adjustRightInd w:val="0"/>
        <w:ind w:firstLine="480"/>
        <w:rPr>
          <w:color w:val="auto"/>
          <w:lang w:eastAsia="zh-CN"/>
        </w:rPr>
      </w:pPr>
      <w:r>
        <w:rPr>
          <w:color w:val="auto"/>
        </w:rPr>
        <w:t>阜康市以高效节水型灌溉农业为主，保证水利设施正常运行十分关键。阜康市水力侵蚀面积647.1km</w:t>
      </w:r>
      <w:r>
        <w:rPr>
          <w:color w:val="auto"/>
          <w:vertAlign w:val="superscript"/>
          <w:lang w:eastAsia="zh-CN"/>
        </w:rPr>
        <w:t>2</w:t>
      </w:r>
      <w:r>
        <w:rPr>
          <w:color w:val="auto"/>
        </w:rPr>
        <w:t>，强度以上水力侵蚀主要集中在山丘区，特别是中低山带植被条件差，地表多为松散第四纪沉积物，在水蚀、风蚀的交互作用下，大量的泥沙进入沟渠、河道和水库，造成工程效益衰退，防洪功能降低，甚至阻塞灌溉设施，水利设施使用寿命缩短；同时水土流失还挟持大量可溶性化学物质（化肥、农药）进入库区，也会造成水库水体污染。部分地区由于河水含沙量高，水库泥沙淤积严重，水库调蓄能力下降，病险库数量增加，除险加固及清淤任务加重，水利设施运行维护费用高。</w:t>
      </w:r>
    </w:p>
    <w:p w14:paraId="53E731FB">
      <w:pPr>
        <w:pStyle w:val="376"/>
        <w:adjustRightInd w:val="0"/>
        <w:ind w:firstLine="468"/>
        <w:rPr>
          <w:color w:val="auto"/>
          <w:spacing w:val="-3"/>
        </w:rPr>
      </w:pPr>
      <w:r>
        <w:rPr>
          <w:color w:val="auto"/>
          <w:spacing w:val="-3"/>
          <w:lang w:eastAsia="zh-CN"/>
        </w:rPr>
        <w:t>3</w:t>
      </w:r>
      <w:r>
        <w:rPr>
          <w:color w:val="auto"/>
          <w:spacing w:val="-3"/>
        </w:rPr>
        <w:t>、水土保持措施不健全，蓄水保水能力差</w:t>
      </w:r>
    </w:p>
    <w:p w14:paraId="67754A64">
      <w:pPr>
        <w:pStyle w:val="376"/>
        <w:adjustRightInd w:val="0"/>
        <w:ind w:firstLine="468"/>
        <w:rPr>
          <w:color w:val="auto"/>
          <w:spacing w:val="-3"/>
          <w:lang w:eastAsia="zh-CN"/>
        </w:rPr>
      </w:pPr>
      <w:r>
        <w:rPr>
          <w:color w:val="auto"/>
          <w:spacing w:val="-3"/>
          <w:lang w:eastAsia="zh-CN"/>
        </w:rPr>
        <w:t>水土保持措施不健全，蓄水保水能力差，径流调节能力降低。由于水土保持措施不健全，极大地降低了当地生态系统对降水径流的调节能力，导致汛期汇流时间缩短、径流系数加大，大量珍贵的降雨白白地流失了，增加了防洪负担，甚至危及广大群众生命财产的安全。</w:t>
      </w:r>
    </w:p>
    <w:p w14:paraId="19B3C0DD">
      <w:pPr>
        <w:pStyle w:val="376"/>
        <w:adjustRightInd w:val="0"/>
        <w:ind w:firstLine="468"/>
        <w:rPr>
          <w:color w:val="auto"/>
          <w:spacing w:val="-3"/>
          <w:lang w:eastAsia="zh-CN"/>
        </w:rPr>
      </w:pPr>
      <w:r>
        <w:rPr>
          <w:color w:val="auto"/>
          <w:spacing w:val="-3"/>
          <w:lang w:eastAsia="zh-CN"/>
        </w:rPr>
        <w:t>4、洪涝灾害加剧，威胁交通设施和人民生命财产安全</w:t>
      </w:r>
    </w:p>
    <w:p w14:paraId="1FFA8C4B">
      <w:pPr>
        <w:pStyle w:val="376"/>
        <w:adjustRightInd w:val="0"/>
        <w:ind w:firstLine="480"/>
        <w:rPr>
          <w:color w:val="auto"/>
        </w:rPr>
      </w:pPr>
      <w:r>
        <w:rPr>
          <w:color w:val="auto"/>
          <w:lang w:eastAsia="zh-CN"/>
        </w:rPr>
        <w:t>水土流失造成涵养雨水能力降低，地表径流加大，加剧了洪涝灾害的发生。同时山区涵养雨水能力降低，地表径流加大，加剧洪涝灾害的发生，给人民生命财产造成了巨大的损失。</w:t>
      </w:r>
    </w:p>
    <w:p w14:paraId="69E4E0F3">
      <w:pPr>
        <w:pStyle w:val="376"/>
        <w:adjustRightInd w:val="0"/>
        <w:ind w:firstLine="480"/>
        <w:rPr>
          <w:color w:val="auto"/>
        </w:rPr>
      </w:pPr>
      <w:r>
        <w:rPr>
          <w:color w:val="auto"/>
        </w:rPr>
        <w:t>由于破坏植被，生态环境恶化，耕地面积不断减少，自然灾害加剧，农林牧产量降低，人民生活贫困；水土流失带来的洪水泥沙威胁城镇安全，淤积渠道，影响灌溉，造成水源污染、水质变差，严重威胁下游地区建设和人民生命财产安全。</w:t>
      </w:r>
    </w:p>
    <w:p w14:paraId="0C96C3F7">
      <w:pPr>
        <w:pStyle w:val="376"/>
        <w:adjustRightInd w:val="0"/>
        <w:ind w:firstLine="468"/>
        <w:rPr>
          <w:color w:val="auto"/>
          <w:spacing w:val="-3"/>
          <w:lang w:eastAsia="zh-CN"/>
        </w:rPr>
      </w:pPr>
      <w:r>
        <w:rPr>
          <w:color w:val="auto"/>
          <w:spacing w:val="-3"/>
          <w:lang w:eastAsia="zh-CN"/>
        </w:rPr>
        <w:t>此外，生产建设项目产生的水土流失危害更是具有突发性、潜在性、灾难性的特点。由于开发建设区地貌和植被遭到相当严重的破坏，大量弃渣和高边坡挖土等形成不稳定的土体，地下采空、地下水位降低以及废水、废渣排放等，产生大量的地面环境问题，如大面积疏干漏斗等，造成的损失是破坏性的、巨大的，这就为水土保持提出了更高的要求，加重了治理任务。</w:t>
      </w:r>
    </w:p>
    <w:p w14:paraId="0EE88D9C">
      <w:pPr>
        <w:pStyle w:val="376"/>
        <w:adjustRightInd w:val="0"/>
        <w:ind w:firstLine="468"/>
        <w:rPr>
          <w:color w:val="auto"/>
          <w:spacing w:val="-3"/>
          <w:lang w:eastAsia="zh-CN"/>
        </w:rPr>
      </w:pPr>
      <w:r>
        <w:rPr>
          <w:color w:val="auto"/>
          <w:spacing w:val="-3"/>
          <w:lang w:eastAsia="zh-CN"/>
        </w:rPr>
        <w:t>5、生态环境恶化，制约经济社会可持续发展</w:t>
      </w:r>
    </w:p>
    <w:p w14:paraId="0A8D59F7">
      <w:pPr>
        <w:pStyle w:val="376"/>
        <w:adjustRightInd w:val="0"/>
        <w:ind w:firstLine="468"/>
        <w:rPr>
          <w:color w:val="auto"/>
          <w:spacing w:val="-3"/>
          <w:lang w:eastAsia="zh-CN"/>
        </w:rPr>
      </w:pPr>
      <w:r>
        <w:rPr>
          <w:color w:val="auto"/>
          <w:spacing w:val="-3"/>
          <w:lang w:eastAsia="zh-CN"/>
        </w:rPr>
        <w:t>生态环境的良性循环是经济社会可持续发展的基础和保障。大量水土资源的流失导致灾害频繁发生，区域生态环境、生产条件不断恶化，加剧了人口、资源、环境之间的矛盾，群众的生活水平难以得到提高，社会经济发展缓慢。此外，以冶金等为代表的生产建设项目，其废弃物中含有酸性、碱性、毒性或重金属成分，这些有害矿物成分不仅会直接危害原有生态系统，还会在氧化、风蚀、溶滤过程中通过径流和大气飘尘转入地下、地表水体和农田、土壤之中，造成土壤、水体长期不断的化学污染，其污染影响面将远远超过废弃物堆置场的地域和空间。</w:t>
      </w:r>
    </w:p>
    <w:p w14:paraId="6BC1065C">
      <w:pPr>
        <w:pStyle w:val="376"/>
        <w:adjustRightInd w:val="0"/>
        <w:ind w:firstLine="468"/>
        <w:rPr>
          <w:color w:val="auto"/>
          <w:spacing w:val="-3"/>
          <w:lang w:eastAsia="zh-CN"/>
        </w:rPr>
      </w:pPr>
      <w:r>
        <w:rPr>
          <w:color w:val="auto"/>
          <w:spacing w:val="-3"/>
          <w:lang w:eastAsia="zh-CN"/>
        </w:rPr>
        <w:t>综上所述，水土流失已不仅仅是环境问题，在一定程度上演变成了社会问题，成为制约社会发展的一大因素，其产生的不良影响将是十分严重的。</w:t>
      </w:r>
    </w:p>
    <w:p w14:paraId="671DE903">
      <w:pPr>
        <w:pStyle w:val="5"/>
        <w:spacing w:before="100" w:after="100"/>
        <w:rPr>
          <w:rFonts w:eastAsia="仿宋_GB2312"/>
          <w:sz w:val="24"/>
        </w:rPr>
      </w:pPr>
      <w:bookmarkStart w:id="19" w:name="_Toc3059"/>
      <w:r>
        <w:rPr>
          <w:rFonts w:eastAsia="仿宋_GB2312"/>
          <w:sz w:val="24"/>
        </w:rPr>
        <w:t>1.3.4 水土流失成因分析</w:t>
      </w:r>
      <w:bookmarkEnd w:id="19"/>
    </w:p>
    <w:p w14:paraId="01810005">
      <w:pPr>
        <w:adjustRightInd w:val="0"/>
        <w:snapToGrid w:val="0"/>
        <w:ind w:firstLine="480"/>
        <w:jc w:val="both"/>
        <w:rPr>
          <w:rFonts w:cs="Times New Roman"/>
        </w:rPr>
      </w:pPr>
      <w:r>
        <w:rPr>
          <w:rFonts w:cs="Times New Roman"/>
        </w:rPr>
        <w:t>阜康市的水土流失的形成因素可分为自然环境因素和人为因素两方面，其中自然因素包括地形地貌条件、气象因素和土壤植被状况等；人为因素主要是修路、开荒等人类活动对自然生态的破坏，加剧了土壤侵蚀的过程，并由此产生了新的水土流失。本规划结合阜康市的立地条件，总结出影响阜康市水土流失的主要因子有：地形地貌、地表组成物质、土地利用、植被盖度和侵蚀营力等。</w:t>
      </w:r>
    </w:p>
    <w:p w14:paraId="4CEA70D2">
      <w:pPr>
        <w:adjustRightInd w:val="0"/>
        <w:snapToGrid w:val="0"/>
        <w:ind w:firstLine="480"/>
        <w:jc w:val="both"/>
        <w:rPr>
          <w:rFonts w:cs="Times New Roman"/>
        </w:rPr>
      </w:pPr>
      <w:r>
        <w:rPr>
          <w:rFonts w:cs="Times New Roman"/>
        </w:rPr>
        <w:t>1、自然环境因素</w:t>
      </w:r>
    </w:p>
    <w:p w14:paraId="61816D93">
      <w:pPr>
        <w:adjustRightInd w:val="0"/>
        <w:snapToGrid w:val="0"/>
        <w:ind w:firstLine="480"/>
        <w:jc w:val="both"/>
        <w:rPr>
          <w:rFonts w:cs="Times New Roman"/>
        </w:rPr>
      </w:pPr>
      <w:r>
        <w:rPr>
          <w:rFonts w:cs="Times New Roman"/>
        </w:rPr>
        <w:t>（1）地形、地貌因素</w:t>
      </w:r>
    </w:p>
    <w:p w14:paraId="0F5EEC77">
      <w:pPr>
        <w:adjustRightInd w:val="0"/>
        <w:snapToGrid w:val="0"/>
        <w:ind w:firstLine="480"/>
        <w:jc w:val="both"/>
        <w:rPr>
          <w:rFonts w:cs="Times New Roman"/>
        </w:rPr>
      </w:pPr>
      <w:r>
        <w:rPr>
          <w:rFonts w:cs="Times New Roman"/>
        </w:rPr>
        <w:t>阜康市地处准噶尔盆地南缘、天山山脉北麓，地势南高北低，地貌大致可划分为南部山区、中部平原区、北部沙漠区和东北部山区。由高山至平原盆地大致又可分为：高山冰雪作用带、中山流水作用带、低山干燥剥蚀带、山前戈壁砾石带、冲积平原带、风积沙漠带。地形因子有坡向、坡度、坡位和海拔高度四个因素。本次重点分析与土壤侵蚀影响最大的坡度和坡向两个因子。从坡度组成来看，规划区三分之二的面积为小于5</w:t>
      </w:r>
      <w:r>
        <w:rPr>
          <w:rFonts w:eastAsia="MS Gothic" w:cs="Times New Roman"/>
        </w:rPr>
        <w:t>⁰</w:t>
      </w:r>
      <w:r>
        <w:rPr>
          <w:rFonts w:cs="Times New Roman"/>
        </w:rPr>
        <w:t>，近四分之一的面积在5</w:t>
      </w:r>
      <w:r>
        <w:rPr>
          <w:rFonts w:eastAsia="MS Gothic" w:cs="Times New Roman"/>
        </w:rPr>
        <w:t>⁰</w:t>
      </w:r>
      <w:r>
        <w:rPr>
          <w:rFonts w:cs="Times New Roman"/>
        </w:rPr>
        <w:t>-25</w:t>
      </w:r>
      <w:r>
        <w:rPr>
          <w:rFonts w:eastAsia="MS Gothic" w:cs="Times New Roman"/>
        </w:rPr>
        <w:t>⁰</w:t>
      </w:r>
      <w:r>
        <w:rPr>
          <w:rFonts w:cs="Times New Roman"/>
        </w:rPr>
        <w:t>之间，大于25</w:t>
      </w:r>
      <w:r>
        <w:rPr>
          <w:rFonts w:eastAsia="MS Gothic" w:cs="Times New Roman"/>
        </w:rPr>
        <w:t>⁰</w:t>
      </w:r>
      <w:r>
        <w:rPr>
          <w:rFonts w:cs="Times New Roman"/>
        </w:rPr>
        <w:t>的面积不足规划区面积的十分之一。从空间分布来看，大于25</w:t>
      </w:r>
      <w:r>
        <w:rPr>
          <w:rFonts w:eastAsia="MS Gothic" w:cs="Times New Roman"/>
        </w:rPr>
        <w:t>⁰</w:t>
      </w:r>
      <w:r>
        <w:rPr>
          <w:rFonts w:cs="Times New Roman"/>
        </w:rPr>
        <w:t>的区域主要是南部山区一带，5</w:t>
      </w:r>
      <w:r>
        <w:rPr>
          <w:rFonts w:eastAsia="MS Gothic" w:cs="Times New Roman"/>
        </w:rPr>
        <w:t>⁰</w:t>
      </w:r>
      <w:r>
        <w:rPr>
          <w:rFonts w:cs="Times New Roman"/>
        </w:rPr>
        <w:t>-25</w:t>
      </w:r>
      <w:r>
        <w:rPr>
          <w:rFonts w:eastAsia="MS Gothic" w:cs="Times New Roman"/>
        </w:rPr>
        <w:t>⁰</w:t>
      </w:r>
      <w:r>
        <w:rPr>
          <w:rFonts w:cs="Times New Roman"/>
        </w:rPr>
        <w:t>之间的区域主要分布在中低山丘陵地区、小于5</w:t>
      </w:r>
      <w:r>
        <w:rPr>
          <w:rFonts w:eastAsia="MS Gothic" w:cs="Times New Roman"/>
        </w:rPr>
        <w:t>⁰</w:t>
      </w:r>
      <w:r>
        <w:rPr>
          <w:rFonts w:cs="Times New Roman"/>
        </w:rPr>
        <w:t>的区域主要是中部的是冲洪积倾斜平原和细土平原区以及绿洲灌区北部荒漠区。从坡向方位可以将阜康市划分为东、南、西、北、东北、东南、西北、西南和无九个方位。阳坡一般为南、西南、西、西北；阴坡为东北、东、北、东南坡。迎风会带来水汽等，背风相对较小。阴阳破影响温湿度，进而影响植被分布。</w:t>
      </w:r>
    </w:p>
    <w:p w14:paraId="5EFCB87D">
      <w:pPr>
        <w:adjustRightInd w:val="0"/>
        <w:snapToGrid w:val="0"/>
        <w:ind w:firstLine="480"/>
        <w:jc w:val="both"/>
        <w:rPr>
          <w:rFonts w:cs="Times New Roman"/>
        </w:rPr>
      </w:pPr>
      <w:r>
        <w:rPr>
          <w:rFonts w:cs="Times New Roman"/>
        </w:rPr>
        <w:t>1）高山冰雪作用带</w:t>
      </w:r>
    </w:p>
    <w:p w14:paraId="47A2580A">
      <w:pPr>
        <w:adjustRightInd w:val="0"/>
        <w:snapToGrid w:val="0"/>
        <w:ind w:firstLine="480"/>
        <w:jc w:val="both"/>
        <w:rPr>
          <w:rFonts w:cs="Times New Roman"/>
        </w:rPr>
      </w:pPr>
      <w:r>
        <w:rPr>
          <w:rFonts w:cs="Times New Roman"/>
        </w:rPr>
        <w:t>该区指雪线以上高山地带，地势陡峭，切割深度大，寒冻风化作用强烈，冻融侵蚀和重力侵蚀发育，侵蚀外营力主要是冰川和积雪。</w:t>
      </w:r>
    </w:p>
    <w:p w14:paraId="0A935FB5">
      <w:pPr>
        <w:adjustRightInd w:val="0"/>
        <w:snapToGrid w:val="0"/>
        <w:ind w:firstLine="480"/>
        <w:jc w:val="both"/>
        <w:rPr>
          <w:rFonts w:cs="Times New Roman"/>
        </w:rPr>
      </w:pPr>
      <w:r>
        <w:rPr>
          <w:rFonts w:cs="Times New Roman"/>
        </w:rPr>
        <w:t>2）中山水作用带</w:t>
      </w:r>
    </w:p>
    <w:p w14:paraId="3A184F90">
      <w:pPr>
        <w:adjustRightInd w:val="0"/>
        <w:snapToGrid w:val="0"/>
        <w:ind w:firstLine="480"/>
        <w:jc w:val="both"/>
        <w:rPr>
          <w:rFonts w:cs="Times New Roman"/>
        </w:rPr>
      </w:pPr>
      <w:r>
        <w:rPr>
          <w:rFonts w:cs="Times New Roman"/>
        </w:rPr>
        <w:t>该区主要指冰雪作用带以下地带，海拔范围在1500-2800m之间。该区降雨较多，洪水切割强烈，临时性暴雨常将山上疏松的岩层冲刷成各种形态的沟谷，区内冲沟十分发育，以降水为主要营力的水力侵蚀和水力-重力侵蚀为主。</w:t>
      </w:r>
    </w:p>
    <w:p w14:paraId="73233D0B">
      <w:pPr>
        <w:adjustRightInd w:val="0"/>
        <w:snapToGrid w:val="0"/>
        <w:ind w:firstLine="480"/>
        <w:jc w:val="both"/>
        <w:rPr>
          <w:rFonts w:cs="Times New Roman"/>
        </w:rPr>
      </w:pPr>
      <w:r>
        <w:rPr>
          <w:rFonts w:cs="Times New Roman"/>
        </w:rPr>
        <w:t>3）低山丘陵干燥剥蚀带</w:t>
      </w:r>
    </w:p>
    <w:p w14:paraId="51B113E3">
      <w:pPr>
        <w:adjustRightInd w:val="0"/>
        <w:snapToGrid w:val="0"/>
        <w:ind w:firstLine="480"/>
        <w:jc w:val="both"/>
        <w:rPr>
          <w:rFonts w:cs="Times New Roman"/>
        </w:rPr>
      </w:pPr>
      <w:r>
        <w:rPr>
          <w:rFonts w:cs="Times New Roman"/>
        </w:rPr>
        <w:t>该区地表植被覆盖率低，多为第四纪松散沉积物覆盖。海拔在1500m以下，区内多发生阵发型洪水，地表破碎，山地侵蚀强烈，是流域主要的产沙区。该区由于重力侵蚀作用形成的倒石堆、岩屑堆以及由于水力-重力作用形成的滑坡、崩塌作用发育。水力侵蚀和重力侵蚀都发育。</w:t>
      </w:r>
    </w:p>
    <w:p w14:paraId="4E1F5F90">
      <w:pPr>
        <w:adjustRightInd w:val="0"/>
        <w:snapToGrid w:val="0"/>
        <w:ind w:firstLine="480"/>
        <w:jc w:val="both"/>
        <w:rPr>
          <w:rFonts w:cs="Times New Roman"/>
        </w:rPr>
      </w:pPr>
      <w:r>
        <w:rPr>
          <w:rFonts w:cs="Times New Roman"/>
        </w:rPr>
        <w:t>4）山前戈壁砾石带在新疆山麓地带普遍发育着规模巨大的洪积扇。</w:t>
      </w:r>
    </w:p>
    <w:p w14:paraId="1154DDBC">
      <w:pPr>
        <w:adjustRightInd w:val="0"/>
        <w:snapToGrid w:val="0"/>
        <w:ind w:firstLine="480"/>
        <w:jc w:val="both"/>
        <w:rPr>
          <w:rFonts w:cs="Times New Roman"/>
        </w:rPr>
      </w:pPr>
      <w:r>
        <w:rPr>
          <w:rFonts w:cs="Times New Roman"/>
        </w:rPr>
        <w:t>该区海拔在1000m以下，地表植被稀少，呈荒漠景观。洪积扇中上部以风化剥蚀作用为主，下部水力侵蚀作用加重，形成大面积水力-风力侵蚀残丘。该区为水力-风力交错侵蚀区。</w:t>
      </w:r>
    </w:p>
    <w:p w14:paraId="0C4CDAAF">
      <w:pPr>
        <w:adjustRightInd w:val="0"/>
        <w:snapToGrid w:val="0"/>
        <w:ind w:firstLine="480"/>
        <w:jc w:val="both"/>
        <w:rPr>
          <w:rFonts w:cs="Times New Roman"/>
        </w:rPr>
      </w:pPr>
      <w:r>
        <w:rPr>
          <w:rFonts w:cs="Times New Roman"/>
        </w:rPr>
        <w:t>5）冲积平原区</w:t>
      </w:r>
    </w:p>
    <w:p w14:paraId="7FCB28D8">
      <w:pPr>
        <w:adjustRightInd w:val="0"/>
        <w:snapToGrid w:val="0"/>
        <w:ind w:firstLine="480"/>
        <w:jc w:val="both"/>
        <w:rPr>
          <w:rFonts w:cs="Times New Roman"/>
        </w:rPr>
      </w:pPr>
      <w:r>
        <w:rPr>
          <w:rFonts w:cs="Times New Roman"/>
        </w:rPr>
        <w:t>该区地势较平坦，地表组成物质较细，是人类主要活动区域。由于地表物质组成细，加之地势平缓，往往成为盐渍化危害的主要区域。再则，河流的纵向冲积作用常造成岸边大面积农田、草场冲刷侵蚀。</w:t>
      </w:r>
    </w:p>
    <w:p w14:paraId="4B8F8735">
      <w:pPr>
        <w:adjustRightInd w:val="0"/>
        <w:snapToGrid w:val="0"/>
        <w:ind w:firstLine="480"/>
        <w:jc w:val="both"/>
        <w:rPr>
          <w:rFonts w:cs="Times New Roman"/>
        </w:rPr>
      </w:pPr>
      <w:r>
        <w:rPr>
          <w:rFonts w:cs="Times New Roman"/>
        </w:rPr>
        <w:t>6）风积沙漠带</w:t>
      </w:r>
    </w:p>
    <w:p w14:paraId="6172284C">
      <w:pPr>
        <w:adjustRightInd w:val="0"/>
        <w:snapToGrid w:val="0"/>
        <w:ind w:firstLine="480"/>
        <w:jc w:val="both"/>
        <w:rPr>
          <w:rFonts w:cs="Times New Roman"/>
        </w:rPr>
      </w:pPr>
      <w:r>
        <w:rPr>
          <w:rFonts w:cs="Times New Roman"/>
        </w:rPr>
        <w:t>该区以风蚀、沙埋、沙化作用为主，发育有各种风蚀地貌和大面积沙漠。</w:t>
      </w:r>
    </w:p>
    <w:p w14:paraId="20868997">
      <w:pPr>
        <w:adjustRightInd w:val="0"/>
        <w:snapToGrid w:val="0"/>
        <w:ind w:firstLine="480"/>
        <w:jc w:val="both"/>
        <w:rPr>
          <w:rFonts w:cs="Times New Roman"/>
        </w:rPr>
      </w:pPr>
      <w:r>
        <w:rPr>
          <w:rFonts w:cs="Times New Roman"/>
        </w:rPr>
        <w:t>（2）气象因素</w:t>
      </w:r>
    </w:p>
    <w:p w14:paraId="64592205">
      <w:pPr>
        <w:adjustRightInd w:val="0"/>
        <w:snapToGrid w:val="0"/>
        <w:ind w:firstLine="480"/>
        <w:jc w:val="both"/>
        <w:rPr>
          <w:rFonts w:cs="Times New Roman"/>
        </w:rPr>
      </w:pPr>
      <w:r>
        <w:rPr>
          <w:rFonts w:cs="Times New Roman"/>
        </w:rPr>
        <w:t>气候因素是决定水土流失的外动力因子，可从以下四方面阐述：</w:t>
      </w:r>
    </w:p>
    <w:p w14:paraId="4A7B148C">
      <w:pPr>
        <w:adjustRightInd w:val="0"/>
        <w:snapToGrid w:val="0"/>
        <w:ind w:firstLine="480"/>
        <w:jc w:val="both"/>
        <w:rPr>
          <w:rFonts w:cs="Times New Roman"/>
        </w:rPr>
      </w:pPr>
      <w:r>
        <w:rPr>
          <w:rFonts w:cs="Times New Roman"/>
        </w:rPr>
        <w:t>1）气温变化大，加速风化剥蚀作用</w:t>
      </w:r>
    </w:p>
    <w:p w14:paraId="6ED02CED">
      <w:pPr>
        <w:adjustRightInd w:val="0"/>
        <w:snapToGrid w:val="0"/>
        <w:ind w:firstLine="480"/>
        <w:jc w:val="both"/>
        <w:rPr>
          <w:rFonts w:cs="Times New Roman"/>
        </w:rPr>
      </w:pPr>
      <w:r>
        <w:rPr>
          <w:rFonts w:cs="Times New Roman"/>
        </w:rPr>
        <w:t>阜康市地处内陆干旱区，受于暖温带气候区，极端最高气温为41.5℃，极端最低气温为-37℃。绿洲小于沙漠。在这种气候条件下，地表岩石因热胀冷缩变化而不断碎裂、分解，干燥剥蚀作用强烈，形成大量的固体松散物质，为水土的流失创造了条件。</w:t>
      </w:r>
    </w:p>
    <w:p w14:paraId="435879C8">
      <w:pPr>
        <w:adjustRightInd w:val="0"/>
        <w:snapToGrid w:val="0"/>
        <w:ind w:firstLine="480"/>
        <w:jc w:val="both"/>
        <w:rPr>
          <w:rFonts w:cs="Times New Roman"/>
        </w:rPr>
      </w:pPr>
      <w:r>
        <w:rPr>
          <w:rFonts w:cs="Times New Roman"/>
        </w:rPr>
        <w:t>2）降水促使土壤侵蚀</w:t>
      </w:r>
    </w:p>
    <w:p w14:paraId="3444C6E6">
      <w:pPr>
        <w:adjustRightInd w:val="0"/>
        <w:snapToGrid w:val="0"/>
        <w:ind w:firstLine="480"/>
        <w:jc w:val="both"/>
        <w:rPr>
          <w:rFonts w:cs="Times New Roman"/>
        </w:rPr>
      </w:pPr>
      <w:r>
        <w:rPr>
          <w:rFonts w:cs="Times New Roman"/>
        </w:rPr>
        <w:t>降水是导致山区水土流失的主要外动力因子。在不同降雨条件下，不同地区其降雨的强度、时间、雨量的多少，均影响着土壤侵蚀的强度和特征。</w:t>
      </w:r>
    </w:p>
    <w:p w14:paraId="4D8F25D8">
      <w:pPr>
        <w:adjustRightInd w:val="0"/>
        <w:snapToGrid w:val="0"/>
        <w:ind w:firstLine="480"/>
        <w:jc w:val="both"/>
        <w:rPr>
          <w:rFonts w:cs="Times New Roman"/>
        </w:rPr>
      </w:pPr>
      <w:r>
        <w:rPr>
          <w:rFonts w:cs="Times New Roman"/>
        </w:rPr>
        <w:t>从降水的分布来看，山前冲洪积扇及干旱的平原地区，降雨较少，由降雨引起的直接地面侵蚀较弱，除风蚀外，水力侵蚀主要是由山区降雨引起的洪流冲刷，形成各种水力—风力交错侵蚀的地貌类型。</w:t>
      </w:r>
    </w:p>
    <w:p w14:paraId="07ABA378">
      <w:pPr>
        <w:adjustRightInd w:val="0"/>
        <w:snapToGrid w:val="0"/>
        <w:ind w:firstLine="480"/>
        <w:jc w:val="both"/>
        <w:rPr>
          <w:rFonts w:cs="Times New Roman"/>
        </w:rPr>
      </w:pPr>
      <w:r>
        <w:rPr>
          <w:rFonts w:cs="Times New Roman"/>
        </w:rPr>
        <w:t>3）风力强劲，促进风蚀沙化作用</w:t>
      </w:r>
    </w:p>
    <w:p w14:paraId="5EAAD775">
      <w:pPr>
        <w:adjustRightInd w:val="0"/>
        <w:snapToGrid w:val="0"/>
        <w:ind w:firstLine="480"/>
        <w:jc w:val="both"/>
        <w:rPr>
          <w:rFonts w:cs="Times New Roman"/>
        </w:rPr>
      </w:pPr>
      <w:r>
        <w:rPr>
          <w:rFonts w:cs="Times New Roman"/>
        </w:rPr>
        <w:t>风蚀是项目区最主要的侵蚀方式之一。阜康市属于中温带大陆半荒漠干旱性气候，风蚀作用以春季和秋末冬初最为强烈，因为大风日数多出现在此时，由于该时段植被覆盖度低，土壤裸露，易受风力侵蚀。</w:t>
      </w:r>
    </w:p>
    <w:p w14:paraId="5B188B6E">
      <w:pPr>
        <w:adjustRightInd w:val="0"/>
        <w:snapToGrid w:val="0"/>
        <w:ind w:firstLine="480"/>
        <w:jc w:val="both"/>
        <w:rPr>
          <w:rFonts w:cs="Times New Roman"/>
        </w:rPr>
      </w:pPr>
      <w:r>
        <w:rPr>
          <w:rFonts w:cs="Times New Roman"/>
        </w:rPr>
        <w:t>风蚀的强弱主要取决于风的多寡、风速的大小以及地面物质组成结构等，一般当地面风速达6m/s时就能引起沙土的移动，造成风蚀。项目区受干旱气候的影响，地表土壤长期处于干旱状态，土质结构松散，地表植被稀疏，最大风速可达28m/s，在这种情况下，极易产生风蚀，大风吹走表土，造成土地沙化，土地退化严重。</w:t>
      </w:r>
    </w:p>
    <w:p w14:paraId="57A9D254">
      <w:pPr>
        <w:adjustRightInd w:val="0"/>
        <w:snapToGrid w:val="0"/>
        <w:ind w:firstLine="480"/>
        <w:jc w:val="both"/>
        <w:rPr>
          <w:rFonts w:cs="Times New Roman"/>
        </w:rPr>
      </w:pPr>
      <w:r>
        <w:rPr>
          <w:rFonts w:cs="Times New Roman"/>
        </w:rPr>
        <w:t>（3）土壤与植被因素</w:t>
      </w:r>
    </w:p>
    <w:p w14:paraId="28F6B26A">
      <w:pPr>
        <w:adjustRightInd w:val="0"/>
        <w:snapToGrid w:val="0"/>
        <w:ind w:firstLine="480"/>
        <w:jc w:val="both"/>
        <w:rPr>
          <w:rFonts w:cs="Times New Roman"/>
        </w:rPr>
      </w:pPr>
      <w:r>
        <w:rPr>
          <w:rFonts w:cs="Times New Roman"/>
        </w:rPr>
        <w:t>土壤的质地、结构是土壤侵蚀发生、发展的重要因素，阜康市主要为灌区，土壤多为砂质和粉质，风起扬尘，造成土壤沙化，引起水土流失。</w:t>
      </w:r>
    </w:p>
    <w:p w14:paraId="1B275471">
      <w:pPr>
        <w:adjustRightInd w:val="0"/>
        <w:snapToGrid w:val="0"/>
        <w:ind w:firstLine="480"/>
        <w:jc w:val="both"/>
        <w:rPr>
          <w:rFonts w:cs="Times New Roman"/>
        </w:rPr>
      </w:pPr>
      <w:r>
        <w:rPr>
          <w:rFonts w:cs="Times New Roman"/>
        </w:rPr>
        <w:t>植被既是影响侵蚀的重要因素之一，也是加速或控制水土流失极为敏感的因子。水土流失严重的区域，往往是天然植被稀少或遭到破坏、生态环境十分脆弱的地区。阜康市的示范区主要为灌区在春秋季节，农作物收取后大面积土地裸露，是风蚀严重的地区。</w:t>
      </w:r>
    </w:p>
    <w:p w14:paraId="4EDF34EA">
      <w:pPr>
        <w:adjustRightInd w:val="0"/>
        <w:snapToGrid w:val="0"/>
        <w:ind w:firstLine="480"/>
        <w:jc w:val="both"/>
        <w:rPr>
          <w:rFonts w:cs="Times New Roman"/>
        </w:rPr>
      </w:pPr>
      <w:r>
        <w:rPr>
          <w:rFonts w:cs="Times New Roman"/>
        </w:rPr>
        <w:t>2、人为活动因素</w:t>
      </w:r>
    </w:p>
    <w:p w14:paraId="63FDC1E2">
      <w:pPr>
        <w:pStyle w:val="376"/>
        <w:adjustRightInd w:val="0"/>
        <w:ind w:firstLine="468"/>
        <w:rPr>
          <w:color w:val="auto"/>
          <w:spacing w:val="-3"/>
          <w:lang w:eastAsia="zh-CN"/>
        </w:rPr>
      </w:pPr>
      <w:r>
        <w:rPr>
          <w:color w:val="auto"/>
          <w:spacing w:val="-3"/>
          <w:lang w:eastAsia="zh-CN"/>
        </w:rPr>
        <w:t>人为因素对土壤侵蚀的加剧作用主要表现在过度放牧、乱挖药材、开矿筑路等。随着人口的增长和经济的发展，人为活动对侵蚀的加剧作用不断加强，水土流失过程增强，生态环境进一步恶化。人口的增长，对粮食需求日益增加，在生产水平较低情况下，对自然资源盲目滥用，毁林、毁草垦荒，在加上灌溉和耕作制度不当，造成土地沙化，耕地土壤次生盐渍化，肥力下降，加速了土地沙化，造成生产力不断下降。土地生产力不断下降，进而又导致大规模的开垦荒地，使生态系统陷入恶性循环。另外，随着社会的发展，以修路、建厂为主的人为活动，也会占用和影响土地，导致产生新的水土流失。</w:t>
      </w:r>
    </w:p>
    <w:p w14:paraId="1903E2E1">
      <w:pPr>
        <w:pStyle w:val="3"/>
        <w:numPr>
          <w:ilvl w:val="0"/>
          <w:numId w:val="0"/>
        </w:numPr>
        <w:adjustRightInd w:val="0"/>
        <w:snapToGrid w:val="0"/>
        <w:spacing w:before="120" w:after="120"/>
        <w:rPr>
          <w:rFonts w:ascii="Times New Roman" w:hAnsi="Times New Roman" w:eastAsia="仿宋_GB2312" w:cs="Times New Roman"/>
          <w:sz w:val="28"/>
        </w:rPr>
      </w:pPr>
      <w:bookmarkStart w:id="20" w:name="_Toc362540879"/>
      <w:bookmarkStart w:id="21" w:name="_Toc361168582"/>
      <w:bookmarkStart w:id="22" w:name="_Toc522560451"/>
      <w:bookmarkStart w:id="23" w:name="_Toc150724266"/>
      <w:bookmarkStart w:id="24" w:name="_Toc25817"/>
      <w:r>
        <w:rPr>
          <w:rFonts w:ascii="Times New Roman" w:hAnsi="Times New Roman" w:eastAsia="仿宋_GB2312" w:cs="Times New Roman"/>
          <w:sz w:val="28"/>
        </w:rPr>
        <w:t>1.4 水土保持概况</w:t>
      </w:r>
      <w:bookmarkEnd w:id="20"/>
      <w:bookmarkEnd w:id="21"/>
      <w:bookmarkEnd w:id="22"/>
      <w:bookmarkEnd w:id="23"/>
      <w:bookmarkEnd w:id="24"/>
    </w:p>
    <w:p w14:paraId="45239B2B">
      <w:pPr>
        <w:pStyle w:val="5"/>
        <w:spacing w:before="100" w:after="100"/>
        <w:rPr>
          <w:rFonts w:eastAsia="仿宋_GB2312"/>
          <w:sz w:val="24"/>
        </w:rPr>
      </w:pPr>
      <w:bookmarkStart w:id="25" w:name="_Toc18376"/>
      <w:r>
        <w:rPr>
          <w:rFonts w:eastAsia="仿宋_GB2312"/>
          <w:sz w:val="24"/>
        </w:rPr>
        <w:t>1.4.1 水土保持发展历程</w:t>
      </w:r>
      <w:bookmarkEnd w:id="25"/>
    </w:p>
    <w:p w14:paraId="02049AC4">
      <w:pPr>
        <w:pStyle w:val="18"/>
        <w:adjustRightInd w:val="0"/>
        <w:snapToGrid w:val="0"/>
        <w:ind w:firstLine="468"/>
        <w:jc w:val="both"/>
        <w:rPr>
          <w:rFonts w:cs="Times New Roman"/>
          <w:spacing w:val="-3"/>
        </w:rPr>
      </w:pPr>
      <w:r>
        <w:rPr>
          <w:rFonts w:cs="Times New Roman"/>
          <w:spacing w:val="-3"/>
        </w:rPr>
        <w:t>近年来，社会各界越来越认识到水土流失危害亦是阜康市最大的生态破坏，实施了天然林保护、退耕还林、还草、小流域治理、水土保持综合治理等水土保持生态环境建设工程，并加大了生产建设项目的监督管理力度，使局部生态环境得到了明显改善。</w:t>
      </w:r>
    </w:p>
    <w:p w14:paraId="05B1F207">
      <w:pPr>
        <w:pStyle w:val="376"/>
        <w:adjustRightInd w:val="0"/>
        <w:ind w:firstLine="480"/>
        <w:rPr>
          <w:color w:val="auto"/>
          <w:lang w:eastAsia="zh-CN"/>
        </w:rPr>
      </w:pPr>
      <w:r>
        <w:rPr>
          <w:color w:val="auto"/>
          <w:lang w:eastAsia="zh-CN"/>
        </w:rPr>
        <w:t>水土保持工作管理方面，阜康市的水行政主管部门水土保持工作，协调水土流失综合治理；拟订水土保持工程措施规划并组织实施；负责生产建设项目水土保持方案的审查、报批工作；负责水土保持重点治理区的工作；配合自治区、自治州完成水土流失监测、预报及公告；对有关法律、法规的执行情况实施监督；组织实施水土保持</w:t>
      </w:r>
      <w:r>
        <w:rPr>
          <w:rFonts w:hint="eastAsia"/>
          <w:color w:val="auto"/>
          <w:lang w:eastAsia="zh-CN"/>
        </w:rPr>
        <w:t>补偿费</w:t>
      </w:r>
      <w:r>
        <w:rPr>
          <w:color w:val="auto"/>
          <w:lang w:eastAsia="zh-CN"/>
        </w:rPr>
        <w:t>征收及监督使用。</w:t>
      </w:r>
      <w:bookmarkStart w:id="26" w:name="_Toc480881469"/>
      <w:bookmarkStart w:id="27" w:name="_Toc392496180"/>
      <w:bookmarkStart w:id="28" w:name="_Toc453169800"/>
    </w:p>
    <w:p w14:paraId="169E9917">
      <w:pPr>
        <w:pStyle w:val="376"/>
        <w:adjustRightInd w:val="0"/>
        <w:ind w:firstLine="480"/>
        <w:rPr>
          <w:color w:val="auto"/>
          <w:lang w:eastAsia="zh-CN"/>
        </w:rPr>
      </w:pPr>
      <w:r>
        <w:rPr>
          <w:color w:val="auto"/>
          <w:lang w:eastAsia="zh-CN"/>
        </w:rPr>
        <w:t>水土保持法规政策体系</w:t>
      </w:r>
      <w:bookmarkEnd w:id="26"/>
      <w:bookmarkEnd w:id="27"/>
      <w:bookmarkEnd w:id="28"/>
      <w:r>
        <w:rPr>
          <w:color w:val="auto"/>
          <w:lang w:eastAsia="zh-CN"/>
        </w:rPr>
        <w:t>方面，昌吉州主要执行的是国家和自治区制定的相应的法律、法规以及相对应的规范性文件，这些法规、规范性文件的实施，进一步规范了昌吉州水土保持工作，但具体到昌吉州水土保持法规框架</w:t>
      </w:r>
      <w:bookmarkStart w:id="29" w:name="_Toc480881470"/>
      <w:bookmarkStart w:id="30" w:name="_Toc453169801"/>
      <w:bookmarkStart w:id="31" w:name="_Toc392496181"/>
      <w:r>
        <w:rPr>
          <w:color w:val="auto"/>
          <w:lang w:eastAsia="zh-CN"/>
        </w:rPr>
        <w:t>，还有进一步深化和具体化的任务。</w:t>
      </w:r>
    </w:p>
    <w:bookmarkEnd w:id="29"/>
    <w:bookmarkEnd w:id="30"/>
    <w:bookmarkEnd w:id="31"/>
    <w:p w14:paraId="5D63C7B5">
      <w:pPr>
        <w:pStyle w:val="376"/>
        <w:adjustRightInd w:val="0"/>
        <w:ind w:firstLine="480"/>
        <w:rPr>
          <w:color w:val="auto"/>
          <w:lang w:eastAsia="zh-CN"/>
        </w:rPr>
      </w:pPr>
      <w:r>
        <w:rPr>
          <w:color w:val="auto"/>
          <w:lang w:eastAsia="zh-CN"/>
        </w:rPr>
        <w:t>建立健全生产建设项目水土保持方案审批及水土保持设施自主验收制度，严格水土保持方案审批“红线”，严格执行国家行业政策和水土保持限批、缓批措施。水土保持设施验收工作取得突破性进展，开展验收的项目已涉及资源开发、交通、电力等各行各业。同时，进一步规范了行政许可事项，向社会公开水土保持方案审批和水土保持设施自主验收流程，简化审批程序，提高工作效能。对下放审批权限的事项，也积极对阜康市水行政主管部门行政许可和行政审批工作进行指导。</w:t>
      </w:r>
      <w:bookmarkStart w:id="32" w:name="_Toc453169803"/>
      <w:bookmarkStart w:id="33" w:name="_Toc480881472"/>
      <w:bookmarkStart w:id="34" w:name="_Toc392496183"/>
    </w:p>
    <w:p w14:paraId="57F15CD5">
      <w:pPr>
        <w:pStyle w:val="376"/>
        <w:adjustRightInd w:val="0"/>
        <w:ind w:firstLine="480"/>
        <w:rPr>
          <w:color w:val="auto"/>
          <w:lang w:eastAsia="zh-CN"/>
        </w:rPr>
      </w:pPr>
      <w:r>
        <w:rPr>
          <w:color w:val="auto"/>
          <w:lang w:eastAsia="zh-CN"/>
        </w:rPr>
        <w:t>水土保持监督执法工作</w:t>
      </w:r>
      <w:bookmarkEnd w:id="32"/>
      <w:bookmarkEnd w:id="33"/>
      <w:bookmarkEnd w:id="34"/>
      <w:r>
        <w:rPr>
          <w:color w:val="auto"/>
          <w:lang w:eastAsia="zh-CN"/>
        </w:rPr>
        <w:t>方面，为避免生产建设项目造成新的水土流失，以生产建设项目水土保持监督执法专项行动为重点，以水土保持方案审批为突破口，以落实水土保持 “三同时”制度为目标，严格执行《行政许可法》，全面推进依法行政，不断加大监督管理力度，有效地遏制了人为造成的水土流失，使水土保持预防监督工作取得了突破性进展。以石油、煤矿、公路、电力等项目为重点，开展水土保持监督执法检查活动。近年来，州及以上重点工程建设的水土保持方案审批率达到</w:t>
      </w:r>
      <w:r>
        <w:rPr>
          <w:color w:val="auto"/>
          <w:lang w:val="en-US" w:eastAsia="zh-CN"/>
        </w:rPr>
        <w:t>100%</w:t>
      </w:r>
      <w:r>
        <w:rPr>
          <w:color w:val="auto"/>
          <w:lang w:eastAsia="zh-CN"/>
        </w:rPr>
        <w:t>，验收率逐年提高，水土保持补偿费收缴工作取得新突破。</w:t>
      </w:r>
    </w:p>
    <w:p w14:paraId="61833317">
      <w:pPr>
        <w:pStyle w:val="5"/>
        <w:spacing w:before="100" w:after="100"/>
        <w:rPr>
          <w:rFonts w:eastAsia="仿宋_GB2312"/>
          <w:sz w:val="24"/>
        </w:rPr>
      </w:pPr>
      <w:bookmarkStart w:id="35" w:name="_Toc31431"/>
      <w:r>
        <w:rPr>
          <w:rFonts w:eastAsia="仿宋_GB2312"/>
          <w:sz w:val="24"/>
        </w:rPr>
        <w:t>1.4.2 水土保持成效</w:t>
      </w:r>
      <w:bookmarkEnd w:id="35"/>
    </w:p>
    <w:p w14:paraId="014BDFC9">
      <w:pPr>
        <w:adjustRightInd w:val="0"/>
        <w:snapToGrid w:val="0"/>
        <w:ind w:firstLine="480"/>
        <w:jc w:val="both"/>
        <w:rPr>
          <w:rFonts w:cs="Times New Roman"/>
        </w:rPr>
      </w:pPr>
      <w:r>
        <w:rPr>
          <w:rFonts w:cs="Times New Roman"/>
        </w:rPr>
        <w:t>1、水土保持法律体系不断完善</w:t>
      </w:r>
    </w:p>
    <w:p w14:paraId="56D4E11C">
      <w:pPr>
        <w:adjustRightInd w:val="0"/>
        <w:snapToGrid w:val="0"/>
        <w:ind w:firstLine="480"/>
        <w:jc w:val="both"/>
        <w:rPr>
          <w:rFonts w:cs="Times New Roman"/>
        </w:rPr>
      </w:pPr>
      <w:r>
        <w:rPr>
          <w:rFonts w:cs="Times New Roman"/>
        </w:rPr>
        <w:t>《中华人民共和国水土保持法》颁布实施以后，阜康市切实以落实水利部《水土保持工作要点》和《新疆维吾尔自治区水土保持目标责任考核暂行办法》为目标，全面加强水土保持各项工作的推进和落实，明确水土保持监督管理人员职责，切实提高阜康市水土保持工作水平和技术能力，推动各项工作落实。做到水土保持监督管理和行政执法工作有法可依、有章可循，为全市依法防治水土流失奠定基础。</w:t>
      </w:r>
    </w:p>
    <w:p w14:paraId="3FCCC6C4">
      <w:pPr>
        <w:adjustRightInd w:val="0"/>
        <w:snapToGrid w:val="0"/>
        <w:ind w:firstLine="480"/>
        <w:jc w:val="both"/>
        <w:rPr>
          <w:rFonts w:cs="Times New Roman"/>
        </w:rPr>
      </w:pPr>
      <w:r>
        <w:rPr>
          <w:rFonts w:cs="Times New Roman"/>
        </w:rPr>
        <w:t>2、水土保持基础工作不断夯实</w:t>
      </w:r>
    </w:p>
    <w:p w14:paraId="2DF2191B">
      <w:pPr>
        <w:adjustRightInd w:val="0"/>
        <w:snapToGrid w:val="0"/>
        <w:ind w:firstLine="480"/>
        <w:jc w:val="both"/>
        <w:rPr>
          <w:rFonts w:cs="Times New Roman"/>
        </w:rPr>
      </w:pPr>
      <w:r>
        <w:rPr>
          <w:rFonts w:cs="Times New Roman"/>
        </w:rPr>
        <w:t>编制完成了阜康市水利 “十四五”规划水土保持的相关内容，这些规划根据阜康市不同时期水土流失特点和防治要求，提出科学的防治目标和任务。开展了多次水土流失调查，水土保持基础工作不断夯实。</w:t>
      </w:r>
    </w:p>
    <w:p w14:paraId="1C0A8EA7">
      <w:pPr>
        <w:adjustRightInd w:val="0"/>
        <w:snapToGrid w:val="0"/>
        <w:ind w:firstLine="480"/>
        <w:jc w:val="both"/>
        <w:rPr>
          <w:rFonts w:cs="Times New Roman"/>
        </w:rPr>
      </w:pPr>
      <w:r>
        <w:rPr>
          <w:rFonts w:cs="Times New Roman"/>
        </w:rPr>
        <w:t>3、水土保持综合治理工作成效显著</w:t>
      </w:r>
    </w:p>
    <w:p w14:paraId="5C0F6A4B">
      <w:pPr>
        <w:adjustRightInd w:val="0"/>
        <w:snapToGrid w:val="0"/>
        <w:ind w:firstLine="480"/>
        <w:jc w:val="both"/>
        <w:rPr>
          <w:rFonts w:cs="Times New Roman"/>
        </w:rPr>
      </w:pPr>
      <w:r>
        <w:rPr>
          <w:rFonts w:cs="Times New Roman"/>
        </w:rPr>
        <w:t>“十二五”期间，阜康市开工建设水土保持项目1项，投资149万元，治理水土流失面积3km</w:t>
      </w:r>
      <w:r>
        <w:rPr>
          <w:rFonts w:cs="Times New Roman"/>
          <w:vertAlign w:val="superscript"/>
        </w:rPr>
        <w:t>2</w:t>
      </w:r>
      <w:r>
        <w:rPr>
          <w:rFonts w:cs="Times New Roman"/>
        </w:rPr>
        <w:t>，建设内容主要包括水利水保工程、水保林、草，封禁治理等。“十三五”期间，开工建设水土保持项目1项，投资1052.32万元，全部为中央预算内投资，治理水土流失面积20km</w:t>
      </w:r>
      <w:r>
        <w:rPr>
          <w:rFonts w:cs="Times New Roman"/>
          <w:vertAlign w:val="superscript"/>
        </w:rPr>
        <w:t>2</w:t>
      </w:r>
      <w:r>
        <w:rPr>
          <w:rFonts w:cs="Times New Roman"/>
        </w:rPr>
        <w:t>。水土保持项目的实施在改变水土流失现状的同时，改善了生态环境和农业生产条件，也取得了显著的生态、经济和社会效益，详见表1.4-1。</w:t>
      </w:r>
    </w:p>
    <w:p w14:paraId="469F26C4">
      <w:pPr>
        <w:adjustRightInd w:val="0"/>
        <w:snapToGrid w:val="0"/>
        <w:ind w:firstLine="482"/>
        <w:jc w:val="both"/>
        <w:rPr>
          <w:rFonts w:cs="Times New Roman"/>
          <w:b/>
          <w:bCs/>
        </w:rPr>
      </w:pPr>
      <w:r>
        <w:rPr>
          <w:rFonts w:cs="Times New Roman"/>
          <w:b/>
          <w:bCs/>
        </w:rPr>
        <w:t>表1.4-1    “十二五”以来阜康市国家小流域水土保持重点工程</w:t>
      </w:r>
    </w:p>
    <w:tbl>
      <w:tblPr>
        <w:tblStyle w:val="48"/>
        <w:tblW w:w="5000" w:type="pct"/>
        <w:tblInd w:w="0" w:type="dxa"/>
        <w:tblLayout w:type="autofit"/>
        <w:tblCellMar>
          <w:top w:w="0" w:type="dxa"/>
          <w:left w:w="108" w:type="dxa"/>
          <w:bottom w:w="0" w:type="dxa"/>
          <w:right w:w="108" w:type="dxa"/>
        </w:tblCellMar>
      </w:tblPr>
      <w:tblGrid>
        <w:gridCol w:w="426"/>
        <w:gridCol w:w="2417"/>
        <w:gridCol w:w="3814"/>
        <w:gridCol w:w="899"/>
        <w:gridCol w:w="973"/>
      </w:tblGrid>
      <w:tr w14:paraId="620AEA99">
        <w:trPr>
          <w:trHeight w:val="600" w:hRule="atLeast"/>
        </w:trPr>
        <w:tc>
          <w:tcPr>
            <w:tcW w:w="269" w:type="pct"/>
            <w:tcBorders>
              <w:top w:val="single" w:color="auto" w:sz="4" w:space="0"/>
              <w:left w:val="single" w:color="auto" w:sz="4" w:space="0"/>
              <w:bottom w:val="single" w:color="auto" w:sz="4" w:space="0"/>
              <w:right w:val="single" w:color="auto" w:sz="4" w:space="0"/>
            </w:tcBorders>
            <w:shd w:val="clear" w:color="auto" w:fill="auto"/>
            <w:vAlign w:val="center"/>
          </w:tcPr>
          <w:p w14:paraId="09ED2857">
            <w:pPr>
              <w:spacing w:line="240" w:lineRule="auto"/>
              <w:ind w:firstLine="0" w:firstLineChars="0"/>
              <w:jc w:val="center"/>
              <w:rPr>
                <w:rFonts w:cs="Times New Roman"/>
                <w:sz w:val="21"/>
                <w:szCs w:val="21"/>
              </w:rPr>
            </w:pPr>
            <w:r>
              <w:rPr>
                <w:rFonts w:cs="Times New Roman"/>
                <w:sz w:val="21"/>
                <w:szCs w:val="21"/>
              </w:rPr>
              <w:t>序号</w:t>
            </w:r>
          </w:p>
        </w:tc>
        <w:tc>
          <w:tcPr>
            <w:tcW w:w="1528" w:type="pct"/>
            <w:tcBorders>
              <w:top w:val="single" w:color="auto" w:sz="4" w:space="0"/>
              <w:left w:val="nil"/>
              <w:bottom w:val="single" w:color="auto" w:sz="4" w:space="0"/>
              <w:right w:val="single" w:color="auto" w:sz="4" w:space="0"/>
            </w:tcBorders>
            <w:shd w:val="clear" w:color="auto" w:fill="auto"/>
            <w:vAlign w:val="center"/>
          </w:tcPr>
          <w:p w14:paraId="6A313E1C">
            <w:pPr>
              <w:spacing w:line="240" w:lineRule="auto"/>
              <w:ind w:firstLine="0" w:firstLineChars="0"/>
              <w:jc w:val="center"/>
              <w:rPr>
                <w:rFonts w:cs="Times New Roman"/>
                <w:sz w:val="21"/>
                <w:szCs w:val="21"/>
              </w:rPr>
            </w:pPr>
            <w:r>
              <w:rPr>
                <w:rFonts w:cs="Times New Roman"/>
                <w:sz w:val="21"/>
                <w:szCs w:val="21"/>
              </w:rPr>
              <w:t>项目名称</w:t>
            </w:r>
          </w:p>
        </w:tc>
        <w:tc>
          <w:tcPr>
            <w:tcW w:w="2301" w:type="pct"/>
            <w:tcBorders>
              <w:top w:val="single" w:color="auto" w:sz="4" w:space="0"/>
              <w:left w:val="nil"/>
              <w:bottom w:val="single" w:color="auto" w:sz="4" w:space="0"/>
              <w:right w:val="single" w:color="auto" w:sz="4" w:space="0"/>
            </w:tcBorders>
            <w:shd w:val="clear" w:color="auto" w:fill="auto"/>
            <w:vAlign w:val="center"/>
          </w:tcPr>
          <w:p w14:paraId="7E28B453">
            <w:pPr>
              <w:spacing w:line="240" w:lineRule="auto"/>
              <w:ind w:firstLine="0" w:firstLineChars="0"/>
              <w:jc w:val="center"/>
              <w:rPr>
                <w:rFonts w:cs="Times New Roman"/>
                <w:sz w:val="21"/>
                <w:szCs w:val="21"/>
              </w:rPr>
            </w:pPr>
            <w:r>
              <w:rPr>
                <w:rFonts w:cs="Times New Roman"/>
                <w:sz w:val="21"/>
                <w:szCs w:val="21"/>
              </w:rPr>
              <w:t>建设内容</w:t>
            </w:r>
          </w:p>
        </w:tc>
        <w:tc>
          <w:tcPr>
            <w:tcW w:w="457" w:type="pct"/>
            <w:tcBorders>
              <w:top w:val="single" w:color="auto" w:sz="4" w:space="0"/>
              <w:left w:val="nil"/>
              <w:bottom w:val="single" w:color="auto" w:sz="4" w:space="0"/>
              <w:right w:val="single" w:color="auto" w:sz="4" w:space="0"/>
            </w:tcBorders>
            <w:shd w:val="clear" w:color="auto" w:fill="auto"/>
            <w:vAlign w:val="center"/>
          </w:tcPr>
          <w:p w14:paraId="7A9AD387">
            <w:pPr>
              <w:spacing w:line="240" w:lineRule="auto"/>
              <w:ind w:firstLine="0" w:firstLineChars="0"/>
              <w:jc w:val="center"/>
              <w:rPr>
                <w:rFonts w:cs="Times New Roman"/>
                <w:sz w:val="21"/>
                <w:szCs w:val="21"/>
              </w:rPr>
            </w:pPr>
            <w:r>
              <w:rPr>
                <w:rFonts w:cs="Times New Roman"/>
                <w:sz w:val="21"/>
                <w:szCs w:val="21"/>
              </w:rPr>
              <w:t>总投资</w:t>
            </w:r>
            <w:r>
              <w:rPr>
                <w:rFonts w:cs="Times New Roman"/>
                <w:sz w:val="21"/>
                <w:szCs w:val="21"/>
              </w:rPr>
              <w:br w:type="textWrapping"/>
            </w:r>
            <w:r>
              <w:rPr>
                <w:rFonts w:cs="Times New Roman"/>
                <w:sz w:val="21"/>
                <w:szCs w:val="21"/>
              </w:rPr>
              <w:t>（万元）</w:t>
            </w:r>
          </w:p>
        </w:tc>
        <w:tc>
          <w:tcPr>
            <w:tcW w:w="445" w:type="pct"/>
            <w:tcBorders>
              <w:top w:val="single" w:color="auto" w:sz="4" w:space="0"/>
              <w:left w:val="nil"/>
              <w:bottom w:val="single" w:color="auto" w:sz="4" w:space="0"/>
              <w:right w:val="single" w:color="auto" w:sz="4" w:space="0"/>
            </w:tcBorders>
            <w:shd w:val="clear" w:color="auto" w:fill="auto"/>
            <w:vAlign w:val="center"/>
          </w:tcPr>
          <w:p w14:paraId="20B1DA28">
            <w:pPr>
              <w:spacing w:line="240" w:lineRule="auto"/>
              <w:ind w:firstLine="0" w:firstLineChars="0"/>
              <w:jc w:val="center"/>
              <w:rPr>
                <w:rFonts w:cs="Times New Roman"/>
                <w:sz w:val="21"/>
                <w:szCs w:val="21"/>
              </w:rPr>
            </w:pPr>
            <w:r>
              <w:rPr>
                <w:rFonts w:cs="Times New Roman"/>
                <w:sz w:val="21"/>
                <w:szCs w:val="21"/>
              </w:rPr>
              <w:t>综合治理面积（km</w:t>
            </w:r>
            <w:r>
              <w:rPr>
                <w:rFonts w:cs="Times New Roman"/>
                <w:sz w:val="21"/>
                <w:szCs w:val="21"/>
                <w:vertAlign w:val="superscript"/>
              </w:rPr>
              <w:t>2</w:t>
            </w:r>
            <w:r>
              <w:rPr>
                <w:rFonts w:cs="Times New Roman"/>
                <w:sz w:val="21"/>
                <w:szCs w:val="21"/>
              </w:rPr>
              <w:t>）</w:t>
            </w:r>
          </w:p>
        </w:tc>
      </w:tr>
      <w:tr w14:paraId="7450FA08">
        <w:tblPrEx>
          <w:tblCellMar>
            <w:top w:w="0" w:type="dxa"/>
            <w:left w:w="108" w:type="dxa"/>
            <w:bottom w:w="0" w:type="dxa"/>
            <w:right w:w="108" w:type="dxa"/>
          </w:tblCellMar>
        </w:tblPrEx>
        <w:trPr>
          <w:trHeight w:val="600" w:hRule="atLeast"/>
        </w:trPr>
        <w:tc>
          <w:tcPr>
            <w:tcW w:w="269" w:type="pct"/>
            <w:tcBorders>
              <w:top w:val="nil"/>
              <w:left w:val="single" w:color="auto" w:sz="4" w:space="0"/>
              <w:bottom w:val="single" w:color="auto" w:sz="4" w:space="0"/>
              <w:right w:val="single" w:color="auto" w:sz="4" w:space="0"/>
            </w:tcBorders>
            <w:shd w:val="clear" w:color="auto" w:fill="auto"/>
            <w:vAlign w:val="center"/>
          </w:tcPr>
          <w:p w14:paraId="57D6E704">
            <w:pPr>
              <w:spacing w:line="240" w:lineRule="auto"/>
              <w:ind w:firstLine="0" w:firstLineChars="0"/>
              <w:jc w:val="center"/>
              <w:rPr>
                <w:rFonts w:cs="Times New Roman"/>
                <w:sz w:val="21"/>
                <w:szCs w:val="21"/>
              </w:rPr>
            </w:pPr>
            <w:r>
              <w:rPr>
                <w:rFonts w:cs="Times New Roman"/>
                <w:sz w:val="21"/>
                <w:szCs w:val="21"/>
              </w:rPr>
              <w:t>1</w:t>
            </w:r>
          </w:p>
        </w:tc>
        <w:tc>
          <w:tcPr>
            <w:tcW w:w="1528" w:type="pct"/>
            <w:tcBorders>
              <w:top w:val="nil"/>
              <w:left w:val="nil"/>
              <w:bottom w:val="single" w:color="auto" w:sz="4" w:space="0"/>
              <w:right w:val="single" w:color="auto" w:sz="4" w:space="0"/>
            </w:tcBorders>
            <w:shd w:val="clear" w:color="auto" w:fill="auto"/>
            <w:vAlign w:val="center"/>
          </w:tcPr>
          <w:p w14:paraId="6A6972D2">
            <w:pPr>
              <w:spacing w:line="240" w:lineRule="auto"/>
              <w:ind w:firstLine="0" w:firstLineChars="0"/>
              <w:rPr>
                <w:rFonts w:cs="Times New Roman"/>
                <w:sz w:val="21"/>
                <w:szCs w:val="21"/>
              </w:rPr>
            </w:pPr>
            <w:r>
              <w:rPr>
                <w:rFonts w:cs="Times New Roman"/>
                <w:sz w:val="21"/>
                <w:szCs w:val="21"/>
              </w:rPr>
              <w:t>阜康市水磨河小流域红山水库下游段水土保持综合治理工程</w:t>
            </w:r>
          </w:p>
        </w:tc>
        <w:tc>
          <w:tcPr>
            <w:tcW w:w="2301" w:type="pct"/>
            <w:tcBorders>
              <w:top w:val="nil"/>
              <w:left w:val="nil"/>
              <w:bottom w:val="single" w:color="auto" w:sz="4" w:space="0"/>
              <w:right w:val="single" w:color="auto" w:sz="4" w:space="0"/>
            </w:tcBorders>
            <w:shd w:val="clear" w:color="auto" w:fill="auto"/>
            <w:vAlign w:val="center"/>
          </w:tcPr>
          <w:p w14:paraId="6A66D17B">
            <w:pPr>
              <w:spacing w:line="240" w:lineRule="auto"/>
              <w:ind w:firstLine="0" w:firstLineChars="0"/>
              <w:jc w:val="center"/>
              <w:rPr>
                <w:rFonts w:cs="Times New Roman"/>
                <w:sz w:val="21"/>
                <w:szCs w:val="21"/>
              </w:rPr>
            </w:pPr>
            <w:r>
              <w:rPr>
                <w:rFonts w:cs="Times New Roman"/>
                <w:sz w:val="21"/>
                <w:szCs w:val="21"/>
              </w:rPr>
              <w:t>种植水土保持林100公顷，改良草场50公顷，封育治理200公顷，林草灌溉系统1套。</w:t>
            </w:r>
          </w:p>
        </w:tc>
        <w:tc>
          <w:tcPr>
            <w:tcW w:w="457" w:type="pct"/>
            <w:tcBorders>
              <w:top w:val="nil"/>
              <w:left w:val="nil"/>
              <w:bottom w:val="single" w:color="auto" w:sz="4" w:space="0"/>
              <w:right w:val="single" w:color="auto" w:sz="4" w:space="0"/>
            </w:tcBorders>
            <w:shd w:val="clear" w:color="auto" w:fill="auto"/>
            <w:vAlign w:val="center"/>
          </w:tcPr>
          <w:p w14:paraId="057F4ACE">
            <w:pPr>
              <w:spacing w:line="240" w:lineRule="auto"/>
              <w:ind w:firstLine="0" w:firstLineChars="0"/>
              <w:jc w:val="center"/>
              <w:rPr>
                <w:rFonts w:cs="Times New Roman"/>
                <w:sz w:val="21"/>
                <w:szCs w:val="21"/>
              </w:rPr>
            </w:pPr>
            <w:r>
              <w:rPr>
                <w:rFonts w:cs="Times New Roman"/>
                <w:sz w:val="21"/>
                <w:szCs w:val="21"/>
              </w:rPr>
              <w:t xml:space="preserve">149.00 </w:t>
            </w:r>
          </w:p>
        </w:tc>
        <w:tc>
          <w:tcPr>
            <w:tcW w:w="445" w:type="pct"/>
            <w:tcBorders>
              <w:top w:val="nil"/>
              <w:left w:val="nil"/>
              <w:bottom w:val="single" w:color="auto" w:sz="4" w:space="0"/>
              <w:right w:val="single" w:color="auto" w:sz="4" w:space="0"/>
            </w:tcBorders>
            <w:shd w:val="clear" w:color="auto" w:fill="auto"/>
            <w:vAlign w:val="center"/>
          </w:tcPr>
          <w:p w14:paraId="7F65829F">
            <w:pPr>
              <w:spacing w:line="240" w:lineRule="auto"/>
              <w:ind w:firstLine="0" w:firstLineChars="0"/>
              <w:jc w:val="center"/>
              <w:rPr>
                <w:rFonts w:cs="Times New Roman"/>
                <w:sz w:val="21"/>
                <w:szCs w:val="21"/>
              </w:rPr>
            </w:pPr>
            <w:r>
              <w:rPr>
                <w:rFonts w:cs="Times New Roman"/>
                <w:sz w:val="21"/>
                <w:szCs w:val="21"/>
              </w:rPr>
              <w:t>3</w:t>
            </w:r>
          </w:p>
        </w:tc>
      </w:tr>
      <w:tr w14:paraId="63E0868E">
        <w:tblPrEx>
          <w:tblCellMar>
            <w:top w:w="0" w:type="dxa"/>
            <w:left w:w="108" w:type="dxa"/>
            <w:bottom w:w="0" w:type="dxa"/>
            <w:right w:w="108" w:type="dxa"/>
          </w:tblCellMar>
        </w:tblPrEx>
        <w:trPr>
          <w:trHeight w:val="900" w:hRule="atLeast"/>
        </w:trPr>
        <w:tc>
          <w:tcPr>
            <w:tcW w:w="269" w:type="pct"/>
            <w:tcBorders>
              <w:top w:val="nil"/>
              <w:left w:val="single" w:color="auto" w:sz="4" w:space="0"/>
              <w:bottom w:val="single" w:color="auto" w:sz="4" w:space="0"/>
              <w:right w:val="single" w:color="auto" w:sz="4" w:space="0"/>
            </w:tcBorders>
            <w:shd w:val="clear" w:color="auto" w:fill="auto"/>
            <w:vAlign w:val="center"/>
          </w:tcPr>
          <w:p w14:paraId="6194F0E0">
            <w:pPr>
              <w:spacing w:line="240" w:lineRule="auto"/>
              <w:ind w:firstLine="0" w:firstLineChars="0"/>
              <w:jc w:val="center"/>
              <w:rPr>
                <w:rFonts w:cs="Times New Roman"/>
                <w:sz w:val="21"/>
                <w:szCs w:val="21"/>
              </w:rPr>
            </w:pPr>
            <w:r>
              <w:rPr>
                <w:rFonts w:cs="Times New Roman"/>
                <w:sz w:val="21"/>
                <w:szCs w:val="21"/>
              </w:rPr>
              <w:t>2</w:t>
            </w:r>
          </w:p>
        </w:tc>
        <w:tc>
          <w:tcPr>
            <w:tcW w:w="1528" w:type="pct"/>
            <w:tcBorders>
              <w:top w:val="nil"/>
              <w:left w:val="nil"/>
              <w:bottom w:val="single" w:color="auto" w:sz="4" w:space="0"/>
              <w:right w:val="single" w:color="auto" w:sz="4" w:space="0"/>
            </w:tcBorders>
            <w:shd w:val="clear" w:color="auto" w:fill="auto"/>
            <w:vAlign w:val="center"/>
          </w:tcPr>
          <w:p w14:paraId="29E9B7D7">
            <w:pPr>
              <w:spacing w:line="240" w:lineRule="auto"/>
              <w:ind w:firstLine="0" w:firstLineChars="0"/>
              <w:jc w:val="center"/>
              <w:rPr>
                <w:rFonts w:cs="Times New Roman"/>
                <w:sz w:val="21"/>
                <w:szCs w:val="21"/>
              </w:rPr>
            </w:pPr>
            <w:r>
              <w:rPr>
                <w:rFonts w:cs="Times New Roman"/>
                <w:sz w:val="21"/>
                <w:szCs w:val="21"/>
              </w:rPr>
              <w:t>阜康市三工河小流域滑雪场至泉泉沟段水土保持综合治理工程</w:t>
            </w:r>
          </w:p>
        </w:tc>
        <w:tc>
          <w:tcPr>
            <w:tcW w:w="2301" w:type="pct"/>
            <w:tcBorders>
              <w:top w:val="nil"/>
              <w:left w:val="nil"/>
              <w:bottom w:val="single" w:color="auto" w:sz="4" w:space="0"/>
              <w:right w:val="single" w:color="auto" w:sz="4" w:space="0"/>
            </w:tcBorders>
            <w:shd w:val="clear" w:color="auto" w:fill="auto"/>
            <w:vAlign w:val="center"/>
          </w:tcPr>
          <w:p w14:paraId="063E6D41">
            <w:pPr>
              <w:spacing w:line="240" w:lineRule="auto"/>
              <w:ind w:firstLine="0" w:firstLineChars="0"/>
              <w:jc w:val="center"/>
              <w:rPr>
                <w:rFonts w:cs="Times New Roman"/>
                <w:sz w:val="21"/>
                <w:szCs w:val="21"/>
              </w:rPr>
            </w:pPr>
            <w:r>
              <w:rPr>
                <w:rFonts w:cs="Times New Roman"/>
                <w:sz w:val="21"/>
                <w:szCs w:val="21"/>
              </w:rPr>
              <w:t>种植水土保持林11.20公顷，对新造林配套滴灌灌溉系统；新建正方形框格植物护坡1.24公里；封禁治理315.68公顷，围栏长14.65千米；新建宣传牌2个</w:t>
            </w:r>
          </w:p>
        </w:tc>
        <w:tc>
          <w:tcPr>
            <w:tcW w:w="457" w:type="pct"/>
            <w:tcBorders>
              <w:top w:val="nil"/>
              <w:left w:val="nil"/>
              <w:bottom w:val="single" w:color="auto" w:sz="4" w:space="0"/>
              <w:right w:val="single" w:color="auto" w:sz="4" w:space="0"/>
            </w:tcBorders>
            <w:shd w:val="clear" w:color="auto" w:fill="auto"/>
            <w:vAlign w:val="center"/>
          </w:tcPr>
          <w:p w14:paraId="23F2084B">
            <w:pPr>
              <w:spacing w:line="240" w:lineRule="auto"/>
              <w:ind w:firstLine="0" w:firstLineChars="0"/>
              <w:jc w:val="center"/>
              <w:rPr>
                <w:rFonts w:cs="Times New Roman"/>
                <w:sz w:val="21"/>
                <w:szCs w:val="21"/>
              </w:rPr>
            </w:pPr>
            <w:r>
              <w:rPr>
                <w:rFonts w:cs="Times New Roman"/>
                <w:sz w:val="21"/>
                <w:szCs w:val="21"/>
              </w:rPr>
              <w:t xml:space="preserve">1052.32 </w:t>
            </w:r>
          </w:p>
        </w:tc>
        <w:tc>
          <w:tcPr>
            <w:tcW w:w="445" w:type="pct"/>
            <w:tcBorders>
              <w:top w:val="nil"/>
              <w:left w:val="nil"/>
              <w:bottom w:val="single" w:color="auto" w:sz="4" w:space="0"/>
              <w:right w:val="single" w:color="auto" w:sz="4" w:space="0"/>
            </w:tcBorders>
            <w:shd w:val="clear" w:color="auto" w:fill="auto"/>
            <w:vAlign w:val="center"/>
          </w:tcPr>
          <w:p w14:paraId="1734E922">
            <w:pPr>
              <w:spacing w:line="240" w:lineRule="auto"/>
              <w:ind w:firstLine="0" w:firstLineChars="0"/>
              <w:jc w:val="center"/>
              <w:rPr>
                <w:rFonts w:cs="Times New Roman"/>
                <w:sz w:val="21"/>
                <w:szCs w:val="21"/>
              </w:rPr>
            </w:pPr>
            <w:r>
              <w:rPr>
                <w:rFonts w:cs="Times New Roman"/>
                <w:sz w:val="21"/>
                <w:szCs w:val="21"/>
              </w:rPr>
              <w:t>20</w:t>
            </w:r>
          </w:p>
        </w:tc>
      </w:tr>
    </w:tbl>
    <w:p w14:paraId="09EFC289">
      <w:pPr>
        <w:adjustRightInd w:val="0"/>
        <w:snapToGrid w:val="0"/>
        <w:ind w:firstLine="480"/>
        <w:jc w:val="both"/>
        <w:rPr>
          <w:rFonts w:cs="Times New Roman"/>
        </w:rPr>
      </w:pPr>
    </w:p>
    <w:p w14:paraId="7BEEA012">
      <w:pPr>
        <w:adjustRightInd w:val="0"/>
        <w:snapToGrid w:val="0"/>
        <w:ind w:firstLine="480"/>
        <w:jc w:val="both"/>
        <w:rPr>
          <w:rFonts w:cs="Times New Roman"/>
        </w:rPr>
      </w:pPr>
      <w:r>
        <w:rPr>
          <w:rFonts w:cs="Times New Roman"/>
        </w:rPr>
        <w:t>4、相关行业治理成效明显</w:t>
      </w:r>
    </w:p>
    <w:p w14:paraId="738FE683">
      <w:pPr>
        <w:adjustRightInd w:val="0"/>
        <w:snapToGrid w:val="0"/>
        <w:ind w:firstLine="480"/>
        <w:jc w:val="both"/>
        <w:rPr>
          <w:rFonts w:cs="Times New Roman"/>
        </w:rPr>
      </w:pPr>
      <w:r>
        <w:rPr>
          <w:rFonts w:cs="Times New Roman"/>
        </w:rPr>
        <w:t>在阜康</w:t>
      </w:r>
      <w:r>
        <w:rPr>
          <w:rFonts w:hint="eastAsia" w:cs="Times New Roman"/>
          <w:lang w:eastAsia="zh-CN"/>
        </w:rPr>
        <w:t>市委</w:t>
      </w:r>
      <w:r>
        <w:rPr>
          <w:rFonts w:cs="Times New Roman"/>
        </w:rPr>
        <w:t>、市人民政府的坚强领导下，在自治区林业与草原厅和昌吉州林草局的大力支持下，阜康市林草局始终坚持</w:t>
      </w:r>
      <w:r>
        <w:rPr>
          <w:rFonts w:hint="eastAsia" w:cs="Times New Roman"/>
          <w:lang w:eastAsia="zh-CN"/>
        </w:rPr>
        <w:t>习近平生态文明思想</w:t>
      </w:r>
      <w:r>
        <w:rPr>
          <w:rFonts w:cs="Times New Roman"/>
        </w:rPr>
        <w:t>，深入贯彻和践行党的十九大精神和“绿水青山就是金山银山”理念，紧紧围绕社会稳定和长治久安总目标，主动融入和适应生态文明建设新常态，统筹推进“五位一体”总体布局和“四个全面”战略布局；按照阜康市委、市人民政府提出的“因地制宜，突出重点，以水定林，应补尽补，加强管护，确保成活”林业发展总体要求和“天然草原以草定畜、人工草地以畜定草、全年草畜平衡”的草原发展总体要求；按照生态优先，保护与发展并举的发展思路，重点实施了“三北”防护林工程和人工治沙造林工程、天然草原围栏、退牧还草工程，以森林和草原的质量和效益、增强管护和康养为抓手，切实地提高了森林和草原项目工程建设质量，完善了绿洲生态防护体系，巩固了生态建设成果；全力推进了以特色林果业和沙产业为主的林业产业发展，促进了林草业增效、农牧民增收，提高了林草业在农村经济发展和促进农牧民民增收中的地位，大力发展了生态林草业和民生林草业，各项工作取得了显著成效。</w:t>
      </w:r>
    </w:p>
    <w:p w14:paraId="354131B8">
      <w:pPr>
        <w:autoSpaceDE w:val="0"/>
        <w:autoSpaceDN w:val="0"/>
        <w:adjustRightInd w:val="0"/>
        <w:snapToGrid w:val="0"/>
        <w:ind w:firstLine="480"/>
        <w:rPr>
          <w:rFonts w:cs="Times New Roman"/>
        </w:rPr>
      </w:pPr>
      <w:r>
        <w:rPr>
          <w:rFonts w:cs="Times New Roman"/>
        </w:rPr>
        <w:t>林业：“十三五”规划期间，根据《阜康市30万亩生态示范工程建设规划》，新增造林面积21461 hm</w:t>
      </w:r>
      <w:r>
        <w:rPr>
          <w:rFonts w:cs="Times New Roman"/>
          <w:vertAlign w:val="superscript"/>
        </w:rPr>
        <w:t>2</w:t>
      </w:r>
      <w:r>
        <w:rPr>
          <w:rFonts w:cs="Times New Roman"/>
        </w:rPr>
        <w:t>、封山育林5332hm</w:t>
      </w:r>
      <w:r>
        <w:rPr>
          <w:rFonts w:cs="Times New Roman"/>
          <w:vertAlign w:val="superscript"/>
        </w:rPr>
        <w:t>2</w:t>
      </w:r>
      <w:r>
        <w:rPr>
          <w:rFonts w:cs="Times New Roman"/>
        </w:rPr>
        <w:t>。其中：2016年完成造林1767 hm</w:t>
      </w:r>
      <w:r>
        <w:rPr>
          <w:rFonts w:cs="Times New Roman"/>
          <w:vertAlign w:val="superscript"/>
        </w:rPr>
        <w:t>2</w:t>
      </w:r>
      <w:r>
        <w:rPr>
          <w:rFonts w:cs="Times New Roman"/>
        </w:rPr>
        <w:t>、封山育林2333 hm</w:t>
      </w:r>
      <w:r>
        <w:rPr>
          <w:rFonts w:cs="Times New Roman"/>
          <w:vertAlign w:val="superscript"/>
        </w:rPr>
        <w:t>2</w:t>
      </w:r>
      <w:r>
        <w:rPr>
          <w:rFonts w:cs="Times New Roman"/>
        </w:rPr>
        <w:t>；2017年完成造林6430公顷、封山育林1333 hm</w:t>
      </w:r>
      <w:r>
        <w:rPr>
          <w:rFonts w:cs="Times New Roman"/>
          <w:vertAlign w:val="superscript"/>
        </w:rPr>
        <w:t>2</w:t>
      </w:r>
      <w:r>
        <w:rPr>
          <w:rFonts w:cs="Times New Roman"/>
        </w:rPr>
        <w:t>；2018年完成造林6340 hm</w:t>
      </w:r>
      <w:r>
        <w:rPr>
          <w:rFonts w:cs="Times New Roman"/>
          <w:vertAlign w:val="superscript"/>
        </w:rPr>
        <w:t>2</w:t>
      </w:r>
      <w:r>
        <w:rPr>
          <w:rFonts w:cs="Times New Roman"/>
        </w:rPr>
        <w:t>、封山育林1333 hm</w:t>
      </w:r>
      <w:r>
        <w:rPr>
          <w:rFonts w:cs="Times New Roman"/>
          <w:vertAlign w:val="superscript"/>
        </w:rPr>
        <w:t>2</w:t>
      </w:r>
      <w:r>
        <w:rPr>
          <w:rFonts w:cs="Times New Roman"/>
        </w:rPr>
        <w:t>；2019年完成造林5933 hm</w:t>
      </w:r>
      <w:r>
        <w:rPr>
          <w:rFonts w:cs="Times New Roman"/>
          <w:vertAlign w:val="superscript"/>
        </w:rPr>
        <w:t>2</w:t>
      </w:r>
      <w:r>
        <w:rPr>
          <w:rFonts w:cs="Times New Roman"/>
        </w:rPr>
        <w:t>、封山育林333 hm</w:t>
      </w:r>
      <w:r>
        <w:rPr>
          <w:rFonts w:cs="Times New Roman"/>
          <w:vertAlign w:val="superscript"/>
        </w:rPr>
        <w:t>2</w:t>
      </w:r>
      <w:r>
        <w:rPr>
          <w:rFonts w:cs="Times New Roman"/>
        </w:rPr>
        <w:t>；2020年完成造林991 hm</w:t>
      </w:r>
      <w:r>
        <w:rPr>
          <w:rFonts w:cs="Times New Roman"/>
          <w:vertAlign w:val="superscript"/>
        </w:rPr>
        <w:t>2</w:t>
      </w:r>
      <w:r>
        <w:rPr>
          <w:rFonts w:cs="Times New Roman"/>
        </w:rPr>
        <w:t>。另外全民义务植树活动不断深入，完成造林762 hm</w:t>
      </w:r>
      <w:r>
        <w:rPr>
          <w:rFonts w:cs="Times New Roman"/>
          <w:vertAlign w:val="superscript"/>
        </w:rPr>
        <w:t>2</w:t>
      </w:r>
      <w:r>
        <w:rPr>
          <w:rFonts w:cs="Times New Roman"/>
        </w:rPr>
        <w:t>。经过不懈努力，阜康市绿洲面积不断扩大，初步建成了以绿洲内部农田林网、绿洲外大型防风固沙林带、天然荒漠林和山区天然林为主体的立体绿色屏障。</w:t>
      </w:r>
    </w:p>
    <w:p w14:paraId="02698744">
      <w:pPr>
        <w:adjustRightInd w:val="0"/>
        <w:snapToGrid w:val="0"/>
        <w:ind w:firstLine="480"/>
        <w:rPr>
          <w:rFonts w:cs="Times New Roman"/>
        </w:rPr>
      </w:pPr>
      <w:r>
        <w:rPr>
          <w:rFonts w:cs="Times New Roman"/>
        </w:rPr>
        <w:t>草原：“十三五”期间，天然草原退牧还草工程7200亩，完成阜康市天然草原退牧还草工程16.3万亩，草原生态保护恢复项目25.9万亩，累计实施牧民定居工程237套；培育规范经营草畜联营合作社25家，入社牧民达到牧民总数的60%以上，合作社社员草场饲草料地、家畜实现100%入社统一经营管理，合作社社员实现稳定增长，合作社社员人均收入高于非合作社社员750元以上，为合作社争取各类项目资金和补助资金共计1250万元。</w:t>
      </w:r>
    </w:p>
    <w:p w14:paraId="3BFE848D">
      <w:pPr>
        <w:adjustRightInd w:val="0"/>
        <w:snapToGrid w:val="0"/>
        <w:ind w:firstLine="480"/>
        <w:rPr>
          <w:rFonts w:cs="Times New Roman"/>
        </w:rPr>
      </w:pPr>
      <w:r>
        <w:rPr>
          <w:rFonts w:cs="Times New Roman"/>
        </w:rPr>
        <w:t>逐步完善的林草资源管理制度，定期不定期实施一线督查、巡护等措施，加强了林草资源保护管理工作的力度，依法严厉地打击了破坏森林和草原的各种违法犯罪行为；通过加强宣传教育、完善制度、加大保护，有力的推动了林草资源保护管理工作的制度化、规范化和法制化。加强护林草防火工作，修订完善预警机制，与各乡镇和牧区签订了林草防火管护责任状及有害生物防治的责任状，在春夏防火重点期，通过发放宣传单，发布电视公告等形式广泛宣传森林和草原防火知识，与天山东部国有林管理局</w:t>
      </w:r>
      <w:r>
        <w:rPr>
          <w:rFonts w:hint="eastAsia" w:cs="Times New Roman"/>
        </w:rPr>
        <w:t>阜康市</w:t>
      </w:r>
      <w:r>
        <w:rPr>
          <w:rFonts w:cs="Times New Roman"/>
        </w:rPr>
        <w:t>分局联合开展了护林护草防火检查，在北部荒漠举行防火实战演习，预防森林和草原火灾的发生。加大林草业执法力度，通过全国森林督查系统积极组织开展了“非法征占用林地的行动”，“严厉打击破坏野生动植物资源违法专项行动”、“春季护林护草防火专项行动”、“火灾隐患排查整治专项行动”、“春秋两季严打专项行动”等执法专项行动，加大了破坏，盗采、毁坏森林资源、草原资源和野生动植物资源等违法行为的打击力度，有效保护自然资源。森林资源二类补充调查结果显示，阜康市“十三五”期间累计造林26527公顷，封育3667公顷，森林蓄积量稳定逐步提高。表明阜康市在绿化造林、森林资源培育、森林资源保护和生态环境建设等方面做了大量工作，取得了显著成绩。</w:t>
      </w:r>
    </w:p>
    <w:p w14:paraId="513DBA68">
      <w:pPr>
        <w:adjustRightInd w:val="0"/>
        <w:snapToGrid w:val="0"/>
        <w:ind w:firstLine="480"/>
        <w:rPr>
          <w:rFonts w:cs="Times New Roman"/>
          <w:lang w:val="zh-CN"/>
        </w:rPr>
      </w:pPr>
      <w:r>
        <w:rPr>
          <w:rFonts w:cs="Times New Roman"/>
          <w:lang w:val="zh-CN"/>
        </w:rPr>
        <w:t>阜康市从</w:t>
      </w:r>
      <w:r>
        <w:rPr>
          <w:rFonts w:cs="Times New Roman"/>
        </w:rPr>
        <w:t>2002年退耕还林工程实施以来，共完成</w:t>
      </w:r>
      <w:r>
        <w:rPr>
          <w:rFonts w:cs="Times New Roman"/>
          <w:lang w:val="zh-CN"/>
        </w:rPr>
        <w:t>退耕还林工程</w:t>
      </w:r>
      <w:r>
        <w:rPr>
          <w:rFonts w:cs="Times New Roman"/>
        </w:rPr>
        <w:t>人工造林任务14333</w:t>
      </w:r>
      <w:r>
        <w:rPr>
          <w:rFonts w:cs="Times New Roman"/>
          <w:lang w:val="zh-CN"/>
        </w:rPr>
        <w:t>公顷、“三北”防护林工程</w:t>
      </w:r>
      <w:r>
        <w:rPr>
          <w:rFonts w:cs="Times New Roman"/>
        </w:rPr>
        <w:t>9266</w:t>
      </w:r>
      <w:r>
        <w:rPr>
          <w:rFonts w:cs="Times New Roman"/>
          <w:lang w:val="zh-CN"/>
        </w:rPr>
        <w:t>公顷。</w:t>
      </w:r>
    </w:p>
    <w:p w14:paraId="1FDFBCFD">
      <w:pPr>
        <w:adjustRightInd w:val="0"/>
        <w:snapToGrid w:val="0"/>
        <w:ind w:firstLine="480"/>
        <w:rPr>
          <w:rFonts w:cs="Times New Roman"/>
        </w:rPr>
      </w:pPr>
      <w:r>
        <w:rPr>
          <w:rFonts w:cs="Times New Roman"/>
        </w:rPr>
        <w:t>阜康市林业和草原局历来重视林业科技队伍建设，并通过自治区林科院、农科院的专家指导，先后引进桃树新品种：早露蟠桃、中油蟠桃、美国红蟠；葡萄新品种：红旗特早、火焰无核；红枣新品种：贵妃枣、骏枣、灰枣；引进黑枸杞。极大丰富了阜康市林果的种类、提高了林果品质。形成以玖运景致农林科技发展有限公司、新疆德天利果蔬有限公司、阜康市九龙果业有限公司等为主的五家涉林企业，逐步带动阜康林业发展。</w:t>
      </w:r>
    </w:p>
    <w:p w14:paraId="3BB9FAB9">
      <w:pPr>
        <w:adjustRightInd w:val="0"/>
        <w:snapToGrid w:val="0"/>
        <w:ind w:firstLine="480"/>
        <w:jc w:val="both"/>
        <w:rPr>
          <w:rFonts w:cs="Times New Roman"/>
        </w:rPr>
      </w:pPr>
      <w:r>
        <w:rPr>
          <w:rFonts w:cs="Times New Roman"/>
        </w:rPr>
        <w:t>5、水土保持监督管理成效突出</w:t>
      </w:r>
    </w:p>
    <w:p w14:paraId="68D463D8">
      <w:pPr>
        <w:adjustRightInd w:val="0"/>
        <w:snapToGrid w:val="0"/>
        <w:ind w:firstLine="480"/>
        <w:jc w:val="both"/>
        <w:rPr>
          <w:rFonts w:cs="Times New Roman"/>
        </w:rPr>
      </w:pPr>
      <w:r>
        <w:rPr>
          <w:rFonts w:cs="Times New Roman"/>
        </w:rPr>
        <w:t>阜康市在大力发展生态文明城市建设的同时，全面推进水土保持工作。针对生产建设项目多、人为水土流失严重的实际情况，加大对生产建设项目的水土保持“三同时”制度落实情况的监督检查力度，严把水土保持方案审批、水土保持规费征收、水土保持设施验收三个关口，加强事中事后监管，多次组织全州范围内的水土保持专项执法活动，生产建设活动水土保持管理逐步规范化，防治人为造成水土流失成效显著。</w:t>
      </w:r>
    </w:p>
    <w:p w14:paraId="3707511A">
      <w:pPr>
        <w:adjustRightInd w:val="0"/>
        <w:snapToGrid w:val="0"/>
        <w:ind w:firstLine="480"/>
        <w:jc w:val="both"/>
        <w:rPr>
          <w:rFonts w:cs="Times New Roman"/>
        </w:rPr>
      </w:pPr>
      <w:r>
        <w:rPr>
          <w:rFonts w:cs="Times New Roman"/>
        </w:rPr>
        <w:t>（1）健全开发建设项目水土保持方案编报审批及水土保持专项验收制度</w:t>
      </w:r>
    </w:p>
    <w:p w14:paraId="2EBF210C">
      <w:pPr>
        <w:adjustRightInd w:val="0"/>
        <w:snapToGrid w:val="0"/>
        <w:ind w:firstLine="480"/>
        <w:jc w:val="both"/>
        <w:rPr>
          <w:rFonts w:cs="Times New Roman"/>
        </w:rPr>
      </w:pPr>
      <w:r>
        <w:rPr>
          <w:rFonts w:cs="Times New Roman"/>
        </w:rPr>
        <w:t>严格水土保持方案审批“红线”，严格执行国家行业政策和水土保持审查、监测和验收要求。水土保持设施专项验收工作取得突破性进展，开展验收的项目已涉及资源开发、交通、电力等各行各业。</w:t>
      </w:r>
    </w:p>
    <w:p w14:paraId="75639196">
      <w:pPr>
        <w:adjustRightInd w:val="0"/>
        <w:snapToGrid w:val="0"/>
        <w:ind w:firstLine="480"/>
        <w:jc w:val="both"/>
        <w:rPr>
          <w:rFonts w:cs="Times New Roman"/>
        </w:rPr>
      </w:pPr>
      <w:r>
        <w:rPr>
          <w:rFonts w:cs="Times New Roman"/>
        </w:rPr>
        <w:t>同时，进一步规范了行政许可事项，向社会公开水土保持方案审批和验收流程，简化审批程序，提高工作效能。对下放审批权限的事项，也积极对阜康市（市）水行政主管部门行政许可和行政审批工作进行指导。</w:t>
      </w:r>
    </w:p>
    <w:p w14:paraId="07D52B98">
      <w:pPr>
        <w:adjustRightInd w:val="0"/>
        <w:snapToGrid w:val="0"/>
        <w:ind w:firstLine="480"/>
        <w:jc w:val="both"/>
        <w:rPr>
          <w:rFonts w:cs="Times New Roman"/>
        </w:rPr>
      </w:pPr>
      <w:r>
        <w:rPr>
          <w:rFonts w:cs="Times New Roman"/>
        </w:rPr>
        <w:t>（2）全面开展水土保持监督执法工作</w:t>
      </w:r>
    </w:p>
    <w:p w14:paraId="17F622B0">
      <w:pPr>
        <w:adjustRightInd w:val="0"/>
        <w:snapToGrid w:val="0"/>
        <w:ind w:firstLine="480"/>
        <w:jc w:val="both"/>
        <w:rPr>
          <w:rFonts w:cs="Times New Roman"/>
        </w:rPr>
      </w:pPr>
      <w:r>
        <w:rPr>
          <w:rFonts w:cs="Times New Roman"/>
        </w:rPr>
        <w:t>为避免开发建设项目造成新的水土流失，以开发建设项目水土保持监督执法专项行动为重点，以水土保持方案审批为中心，以落实水土保持“三权一方案”及“三同时”制度为目标，严格执行《行政许可法》，全面推进依法行政，不断加大监督管理力度，有效地控制了人为造成的水土流失，使水土保持预防监督工作取得了突破性进展。以石油、煤矿、公路、电力等项目为重点，开展水土保持监督执法检查活动。近年来，国家及自治区重点工程建设的水土保持方案审批率达到100%，验收率逐年提高，水土保持补偿费收缴工作取得新突破，阜康市农业科技创新局作为水土保持方案管理部门，近年来紧抓建设项目水土保持方案的编制工作，近年来取得显著成效。</w:t>
      </w:r>
    </w:p>
    <w:p w14:paraId="589D83D1">
      <w:pPr>
        <w:adjustRightInd w:val="0"/>
        <w:snapToGrid w:val="0"/>
        <w:ind w:firstLine="480"/>
        <w:jc w:val="both"/>
        <w:rPr>
          <w:rFonts w:cs="Times New Roman"/>
        </w:rPr>
      </w:pPr>
      <w:r>
        <w:rPr>
          <w:rFonts w:cs="Times New Roman"/>
        </w:rPr>
        <w:t>6、水土保持宣传效果良好</w:t>
      </w:r>
    </w:p>
    <w:p w14:paraId="2DD6C683">
      <w:pPr>
        <w:adjustRightInd w:val="0"/>
        <w:snapToGrid w:val="0"/>
        <w:ind w:firstLine="480"/>
        <w:jc w:val="both"/>
        <w:rPr>
          <w:rFonts w:cs="Times New Roman"/>
        </w:rPr>
      </w:pPr>
      <w:r>
        <w:rPr>
          <w:rFonts w:cs="Times New Roman"/>
        </w:rPr>
        <w:t>阜康市把宣传《水土保持法》和《</w:t>
      </w:r>
      <w:r>
        <w:rPr>
          <w:rFonts w:hint="eastAsia" w:cs="Times New Roman"/>
          <w:lang w:eastAsia="zh-CN"/>
        </w:rPr>
        <w:t>新疆维吾尔自治区</w:t>
      </w:r>
      <w:r>
        <w:rPr>
          <w:rFonts w:cs="Times New Roman"/>
        </w:rPr>
        <w:t>水土保持条例》作为水土保持宣传的重点，充分利用电视、广告、报纸等媒体，对群众比较关注的水土保持方案进行全面宣传，增进全社会对水土保持的认识和理解；积极宣传昌吉州近年来在水土流失治理和水土保持监督管理上取得的成效、水土保持工作思路、工作创新等。</w:t>
      </w:r>
    </w:p>
    <w:p w14:paraId="238A6469">
      <w:pPr>
        <w:pStyle w:val="5"/>
        <w:spacing w:before="100" w:after="100"/>
        <w:rPr>
          <w:rFonts w:eastAsia="仿宋_GB2312"/>
          <w:sz w:val="24"/>
        </w:rPr>
      </w:pPr>
      <w:bookmarkStart w:id="36" w:name="_Toc8277"/>
      <w:r>
        <w:rPr>
          <w:rFonts w:eastAsia="仿宋_GB2312"/>
          <w:sz w:val="24"/>
        </w:rPr>
        <w:t>1.4.3 水土保持工作经验</w:t>
      </w:r>
      <w:bookmarkEnd w:id="36"/>
    </w:p>
    <w:p w14:paraId="0F3ADB4D">
      <w:pPr>
        <w:adjustRightInd w:val="0"/>
        <w:snapToGrid w:val="0"/>
        <w:ind w:firstLine="480"/>
        <w:jc w:val="both"/>
        <w:rPr>
          <w:rFonts w:cs="Times New Roman"/>
        </w:rPr>
      </w:pPr>
      <w:r>
        <w:rPr>
          <w:rFonts w:cs="Times New Roman"/>
        </w:rPr>
        <w:t>1、强化事中事后监管，明确监督检查责任</w:t>
      </w:r>
    </w:p>
    <w:p w14:paraId="5FFBD391">
      <w:pPr>
        <w:adjustRightInd w:val="0"/>
        <w:snapToGrid w:val="0"/>
        <w:ind w:firstLine="480"/>
        <w:jc w:val="both"/>
        <w:rPr>
          <w:rFonts w:cs="Times New Roman"/>
        </w:rPr>
      </w:pPr>
      <w:r>
        <w:rPr>
          <w:rFonts w:cs="Times New Roman"/>
        </w:rPr>
        <w:t>强化事中事后监管，牢固树立监督检查是责任、是担当、是行业发展壮大的必然手段观念。主动与自然资源、生态环境等部门联动，集中目标、集中时间、集中力量依法办事、敢唱黑脸。凡纳入监督检查的项目，现场检查有说法、过程有书面痕迹、整改有时间限度，监督检查做到时间服从质量、进度服从效果，水土保持行业社会地位和影响力不断提升。</w:t>
      </w:r>
    </w:p>
    <w:p w14:paraId="5AF03D29">
      <w:pPr>
        <w:adjustRightInd w:val="0"/>
        <w:snapToGrid w:val="0"/>
        <w:ind w:firstLine="480"/>
        <w:jc w:val="both"/>
        <w:rPr>
          <w:rFonts w:cs="Times New Roman"/>
        </w:rPr>
      </w:pPr>
      <w:r>
        <w:rPr>
          <w:rFonts w:cs="Times New Roman"/>
        </w:rPr>
        <w:t>2、做好水土流失治理工作，改善农业生产条件</w:t>
      </w:r>
    </w:p>
    <w:p w14:paraId="4D6745C8">
      <w:pPr>
        <w:adjustRightInd w:val="0"/>
        <w:snapToGrid w:val="0"/>
        <w:ind w:firstLine="480"/>
        <w:jc w:val="both"/>
        <w:rPr>
          <w:rFonts w:cs="Times New Roman"/>
        </w:rPr>
      </w:pPr>
      <w:r>
        <w:rPr>
          <w:rFonts w:cs="Times New Roman"/>
        </w:rPr>
        <w:t>始终把改善民生作为实施水土保持工程的出发点和落脚点，把水土流失治理与改善农业生产条件、调整产业结构、发展绿色产业链紧密结合起来。坚持以小流域为单元，统一规划，工程措施、植被措施、封育措施和蓄水保土耕作措施相结合，综合治理、集中连片，做到治一片，管一片，发挥效益一片，做好样板示范，以点带面，推而广之。积极尝试，探索工程建设代建制度。</w:t>
      </w:r>
    </w:p>
    <w:p w14:paraId="0DECD51D">
      <w:pPr>
        <w:adjustRightInd w:val="0"/>
        <w:snapToGrid w:val="0"/>
        <w:ind w:firstLine="480"/>
        <w:jc w:val="both"/>
        <w:rPr>
          <w:rFonts w:cs="Times New Roman"/>
        </w:rPr>
      </w:pPr>
      <w:r>
        <w:rPr>
          <w:rFonts w:cs="Times New Roman"/>
        </w:rPr>
        <w:t>3、引入市场机制，调动经营者积极性</w:t>
      </w:r>
    </w:p>
    <w:p w14:paraId="51B869A3">
      <w:pPr>
        <w:adjustRightInd w:val="0"/>
        <w:snapToGrid w:val="0"/>
        <w:ind w:firstLine="480"/>
        <w:jc w:val="both"/>
        <w:rPr>
          <w:rFonts w:cs="Times New Roman"/>
        </w:rPr>
      </w:pPr>
      <w:r>
        <w:rPr>
          <w:rFonts w:cs="Times New Roman"/>
        </w:rPr>
        <w:t>引入市场机制，采取承包、租赁、股份合作等多种形式和方法，按照“谁开发、谁受益”的原则和“明确所有权，放开建设权，搞活经营权”的思路，发展民营水土保持。有效解决资金投入问题，推动治理工作开展。</w:t>
      </w:r>
    </w:p>
    <w:p w14:paraId="2AB98395">
      <w:pPr>
        <w:adjustRightInd w:val="0"/>
        <w:snapToGrid w:val="0"/>
        <w:ind w:firstLine="480"/>
        <w:jc w:val="both"/>
        <w:rPr>
          <w:rFonts w:cs="Times New Roman"/>
        </w:rPr>
      </w:pPr>
      <w:r>
        <w:rPr>
          <w:rFonts w:cs="Times New Roman"/>
        </w:rPr>
        <w:t>4、加强水土保持工程管理，确保工程质量</w:t>
      </w:r>
    </w:p>
    <w:p w14:paraId="29F9BE27">
      <w:pPr>
        <w:adjustRightInd w:val="0"/>
        <w:snapToGrid w:val="0"/>
        <w:ind w:firstLine="480"/>
        <w:jc w:val="both"/>
        <w:rPr>
          <w:rFonts w:cs="Times New Roman"/>
        </w:rPr>
      </w:pPr>
      <w:r>
        <w:rPr>
          <w:rFonts w:cs="Times New Roman"/>
        </w:rPr>
        <w:t>严格按照工程实施方案、工程实施、竣工验收等一系列程序进行，狠抓项目前期、项目实施和项目验收三个环节，严格落实水土保持工程“项目法人制、招投标制、监理制、合同制及公示制”管理，不断加强监督，确保了工程质量。</w:t>
      </w:r>
    </w:p>
    <w:p w14:paraId="6D009B88">
      <w:pPr>
        <w:adjustRightInd w:val="0"/>
        <w:snapToGrid w:val="0"/>
        <w:ind w:firstLine="480"/>
        <w:jc w:val="both"/>
        <w:rPr>
          <w:rFonts w:cs="Times New Roman"/>
        </w:rPr>
      </w:pPr>
      <w:r>
        <w:rPr>
          <w:rFonts w:cs="Times New Roman"/>
        </w:rPr>
        <w:t>5、加强水土保持国策宣传，科普水土流失防治技术</w:t>
      </w:r>
    </w:p>
    <w:p w14:paraId="4B5BA78B">
      <w:pPr>
        <w:adjustRightInd w:val="0"/>
        <w:snapToGrid w:val="0"/>
        <w:ind w:firstLine="480"/>
        <w:jc w:val="both"/>
        <w:rPr>
          <w:rFonts w:cs="Times New Roman"/>
        </w:rPr>
      </w:pPr>
      <w:r>
        <w:rPr>
          <w:rFonts w:cs="Times New Roman"/>
        </w:rPr>
        <w:t>充分利用州、市（阜康市）两级网络平台，结合领导干部培训，宣传水土保持生态建设成效，宣传水土保持监督执法流程，普及水土保持法律、科普知识和水土流失防治技术。</w:t>
      </w:r>
    </w:p>
    <w:p w14:paraId="16375225">
      <w:pPr>
        <w:pStyle w:val="5"/>
        <w:spacing w:before="100" w:after="100"/>
        <w:rPr>
          <w:rFonts w:eastAsia="仿宋_GB2312"/>
          <w:sz w:val="24"/>
        </w:rPr>
      </w:pPr>
      <w:bookmarkStart w:id="37" w:name="_Toc15926"/>
      <w:r>
        <w:rPr>
          <w:rFonts w:eastAsia="仿宋_GB2312"/>
          <w:sz w:val="24"/>
        </w:rPr>
        <w:t>1.4.4 存在问题</w:t>
      </w:r>
      <w:bookmarkEnd w:id="37"/>
    </w:p>
    <w:p w14:paraId="63571654">
      <w:pPr>
        <w:adjustRightInd w:val="0"/>
        <w:snapToGrid w:val="0"/>
        <w:ind w:firstLine="480"/>
        <w:jc w:val="both"/>
        <w:rPr>
          <w:rFonts w:cs="Times New Roman"/>
        </w:rPr>
      </w:pPr>
      <w:r>
        <w:rPr>
          <w:rFonts w:cs="Times New Roman"/>
        </w:rPr>
        <w:t>1、管理能力有待提升</w:t>
      </w:r>
    </w:p>
    <w:p w14:paraId="1F0079E5">
      <w:pPr>
        <w:adjustRightInd w:val="0"/>
        <w:snapToGrid w:val="0"/>
        <w:ind w:firstLine="480"/>
        <w:jc w:val="both"/>
        <w:rPr>
          <w:rFonts w:cs="Times New Roman"/>
        </w:rPr>
      </w:pPr>
      <w:r>
        <w:rPr>
          <w:rFonts w:cs="Times New Roman"/>
        </w:rPr>
        <w:t>水土流失防治工作涉及面广，目前，阜康市在措施配置、资金投入、监督执法、组织管理等方面的统筹协调还十分薄弱。面对艰巨的水土流失治理任务，落实阜康市的水土保持规划，科学合理地确定水土流失防治总体目标和部署，明确重点治理项目和区域，强化监督管理，实现政府负责主导，从根本上解决重视程度的不足，提升行业统筹协调管理与服务能力是十分必要的。</w:t>
      </w:r>
    </w:p>
    <w:p w14:paraId="705116D0">
      <w:pPr>
        <w:adjustRightInd w:val="0"/>
        <w:snapToGrid w:val="0"/>
        <w:ind w:firstLine="480"/>
        <w:jc w:val="both"/>
        <w:rPr>
          <w:rFonts w:cs="Times New Roman"/>
        </w:rPr>
      </w:pPr>
      <w:r>
        <w:rPr>
          <w:rFonts w:cs="Times New Roman"/>
        </w:rPr>
        <w:t>2、水土保持专业技术力量需要加强</w:t>
      </w:r>
    </w:p>
    <w:p w14:paraId="71E5147C">
      <w:pPr>
        <w:adjustRightInd w:val="0"/>
        <w:snapToGrid w:val="0"/>
        <w:ind w:firstLine="480"/>
        <w:jc w:val="both"/>
        <w:rPr>
          <w:rFonts w:cs="Times New Roman"/>
        </w:rPr>
      </w:pPr>
      <w:r>
        <w:rPr>
          <w:rFonts w:cs="Times New Roman"/>
        </w:rPr>
        <w:t>目前阜康市水土保持工作安排在阜康市水利局水政办由专人负责，没有设立专门的水土保持科室，由于水土保持专业技术人员数量较少，在一定程度上削弱了水土保持管理能力，与当前水土保持发展的要求不相匹配，同时具体工作人员一人身兼数职，导致水土保持日常管理工作不规范。另一方面，水土保持监督执法经费得不到基本保证，制度建设不完备，且执法人员相对不足。随着水资源管理“三条红线”落实力度的不断加大，现有基本条件不能满足水保监督管理的要求，有时会造成水土保持监管工作滞后的局面。</w:t>
      </w:r>
    </w:p>
    <w:p w14:paraId="7C4FBAAD">
      <w:pPr>
        <w:adjustRightInd w:val="0"/>
        <w:snapToGrid w:val="0"/>
        <w:ind w:firstLine="480"/>
        <w:jc w:val="both"/>
        <w:rPr>
          <w:rFonts w:cs="Times New Roman"/>
        </w:rPr>
      </w:pPr>
      <w:r>
        <w:rPr>
          <w:rFonts w:cs="Times New Roman"/>
        </w:rPr>
        <w:t>3、投入机制需进一步完善</w:t>
      </w:r>
    </w:p>
    <w:p w14:paraId="19B972C4">
      <w:pPr>
        <w:adjustRightInd w:val="0"/>
        <w:snapToGrid w:val="0"/>
        <w:ind w:firstLine="480"/>
        <w:jc w:val="both"/>
        <w:rPr>
          <w:rFonts w:cs="Times New Roman"/>
        </w:rPr>
      </w:pPr>
      <w:r>
        <w:rPr>
          <w:rFonts w:cs="Times New Roman"/>
        </w:rPr>
        <w:t>近年来，阜康市水土保持投入机制难以适应社会经济发展和水土流失防治的需求，专项经费少、投资渠道单一、单位面积投入低，导致水土流失综合防治措施无法充分实施，防治成效不显著，一些治理成果在后期的管理过程中，也难以巩固。治理的科技投入和水平不高，治理区域的整体防护功能尚不完备，建设标准偏低，资金的投入与目前国家推广的生态清洁型小流域的标准还有很大差距，大面积的水土流失尚未治理，距国家对重点防治区的防治要求还有一定差距。</w:t>
      </w:r>
    </w:p>
    <w:p w14:paraId="7A747CAD">
      <w:pPr>
        <w:adjustRightInd w:val="0"/>
        <w:snapToGrid w:val="0"/>
        <w:ind w:firstLine="480"/>
        <w:jc w:val="both"/>
        <w:rPr>
          <w:rFonts w:cs="Times New Roman"/>
        </w:rPr>
      </w:pPr>
      <w:r>
        <w:rPr>
          <w:rFonts w:cs="Times New Roman"/>
        </w:rPr>
        <w:t>4、水土保持治理任务依然艰巨</w:t>
      </w:r>
    </w:p>
    <w:p w14:paraId="61DFF0E2">
      <w:pPr>
        <w:adjustRightInd w:val="0"/>
        <w:snapToGrid w:val="0"/>
        <w:ind w:firstLine="480"/>
        <w:jc w:val="both"/>
        <w:rPr>
          <w:rFonts w:cs="Times New Roman"/>
        </w:rPr>
      </w:pPr>
      <w:r>
        <w:rPr>
          <w:rFonts w:cs="Times New Roman"/>
        </w:rPr>
        <w:t>阜康市境内干旱缺水，生态环坡十分脆弱，加上水资源时空分布不均和多年来全球气极变化和人为因素的影响，天然植被退化、森林资源减少，局部土地退化现象较为严重。此外，工业的发展也都给绿洲内外的生态环境带来一定影响。虽然近些年来经过不懈地治理，境内局部生态环境得到改善，但整体形势依然严峻，保护和改善生态环境的任务仍然十分艰巨。</w:t>
      </w:r>
    </w:p>
    <w:p w14:paraId="6728E7A4">
      <w:pPr>
        <w:adjustRightInd w:val="0"/>
        <w:snapToGrid w:val="0"/>
        <w:ind w:firstLine="480"/>
        <w:jc w:val="both"/>
        <w:rPr>
          <w:rFonts w:cs="Times New Roman"/>
        </w:rPr>
      </w:pPr>
      <w:r>
        <w:rPr>
          <w:rFonts w:cs="Times New Roman"/>
        </w:rPr>
        <w:t>5、水土保持监测和网络信息化水平有待加强</w:t>
      </w:r>
    </w:p>
    <w:p w14:paraId="274B5ABE">
      <w:pPr>
        <w:adjustRightInd w:val="0"/>
        <w:snapToGrid w:val="0"/>
        <w:ind w:firstLine="480"/>
        <w:jc w:val="both"/>
        <w:rPr>
          <w:rFonts w:cs="Times New Roman"/>
        </w:rPr>
      </w:pPr>
      <w:r>
        <w:rPr>
          <w:rFonts w:cs="Times New Roman"/>
        </w:rPr>
        <w:t>水土保持监测是履行水土保持法律职责的基础，是开展水土保持工作的重要内容和手段，阜康市没有布设水土保持监测站点，不能满足水土流失动态变化监测、生态工程建设效益评价、重大水土流失事件监测预报、水土保持管理决策以及公众服务的需要，水土保持监测网络体系不健全，有待进一步完善，以便更好地履行水土保持法赋予水行政主管部门的职责。</w:t>
      </w:r>
    </w:p>
    <w:p w14:paraId="10E4EE89">
      <w:pPr>
        <w:adjustRightInd w:val="0"/>
        <w:snapToGrid w:val="0"/>
        <w:ind w:firstLine="480"/>
        <w:jc w:val="both"/>
        <w:rPr>
          <w:rFonts w:cs="Times New Roman"/>
        </w:rPr>
      </w:pPr>
      <w:r>
        <w:rPr>
          <w:rFonts w:cs="Times New Roman"/>
        </w:rPr>
        <w:t>阜康市的水土保持网络和信息化水平较低，水土保持信息资源组织和管理多以文件形式集中存放，缺少以业务流、数据流为手段的数据采集和更新模式，信息资源对重大工作与应急响应的支持有限。缺少水土保持业务流信息管理系统，缺少模型化、软件化、定量化的业务分析评价。水土保持信息服务能力不足，缺少与决策层的纵向信息共享，缺少其他单位的横向信息共享，缺少面向领导决策层的信息服务和推送能力。</w:t>
      </w:r>
    </w:p>
    <w:p w14:paraId="559E5306">
      <w:pPr>
        <w:adjustRightInd w:val="0"/>
        <w:snapToGrid w:val="0"/>
        <w:ind w:firstLine="480"/>
        <w:jc w:val="both"/>
        <w:rPr>
          <w:rFonts w:cs="Times New Roman"/>
        </w:rPr>
        <w:sectPr>
          <w:pgSz w:w="11907" w:h="16840"/>
          <w:pgMar w:top="1440" w:right="1797" w:bottom="1440" w:left="1797" w:header="851" w:footer="992" w:gutter="0"/>
          <w:cols w:space="720" w:num="1"/>
          <w:docGrid w:linePitch="312" w:charSpace="0"/>
        </w:sectPr>
      </w:pPr>
    </w:p>
    <w:p w14:paraId="422843FA">
      <w:pPr>
        <w:pStyle w:val="2"/>
        <w:spacing w:before="120" w:after="120"/>
        <w:rPr>
          <w:rFonts w:eastAsia="仿宋_GB2312" w:cs="Times New Roman"/>
          <w:color w:val="auto"/>
        </w:rPr>
      </w:pPr>
      <w:bookmarkStart w:id="38" w:name="_Toc150724267"/>
      <w:r>
        <w:rPr>
          <w:rFonts w:eastAsia="仿宋_GB2312" w:cs="Times New Roman"/>
          <w:color w:val="auto"/>
        </w:rPr>
        <w:t>2 现状评价与需求分析</w:t>
      </w:r>
      <w:bookmarkEnd w:id="38"/>
    </w:p>
    <w:p w14:paraId="1DC49F7F">
      <w:pPr>
        <w:pStyle w:val="44"/>
        <w:spacing w:before="120" w:after="120"/>
        <w:rPr>
          <w:rFonts w:eastAsia="仿宋_GB2312" w:cs="Times New Roman"/>
        </w:rPr>
      </w:pPr>
      <w:bookmarkStart w:id="39" w:name="_Toc150724268"/>
      <w:bookmarkStart w:id="40" w:name="_Toc34820160"/>
      <w:r>
        <w:rPr>
          <w:rFonts w:eastAsia="仿宋_GB2312" w:cs="Times New Roman"/>
        </w:rPr>
        <w:t>2.1 水土保持现状评价</w:t>
      </w:r>
      <w:bookmarkEnd w:id="39"/>
      <w:bookmarkEnd w:id="40"/>
    </w:p>
    <w:p w14:paraId="1B277E2A">
      <w:pPr>
        <w:pStyle w:val="5"/>
        <w:rPr>
          <w:rFonts w:eastAsia="仿宋_GB2312"/>
        </w:rPr>
      </w:pPr>
      <w:r>
        <w:rPr>
          <w:rFonts w:eastAsia="仿宋_GB2312"/>
        </w:rPr>
        <w:t>2.1.1 土地利用评价</w:t>
      </w:r>
    </w:p>
    <w:p w14:paraId="2987C682">
      <w:pPr>
        <w:adjustRightInd w:val="0"/>
        <w:snapToGrid w:val="0"/>
        <w:ind w:firstLine="480"/>
        <w:jc w:val="both"/>
        <w:rPr>
          <w:rFonts w:cs="Times New Roman"/>
          <w:szCs w:val="28"/>
        </w:rPr>
      </w:pPr>
      <w:r>
        <w:rPr>
          <w:rFonts w:cs="Times New Roman"/>
          <w:szCs w:val="28"/>
        </w:rPr>
        <w:t>1、土地利用现状情况</w:t>
      </w:r>
    </w:p>
    <w:p w14:paraId="7EE750BB">
      <w:pPr>
        <w:adjustRightInd w:val="0"/>
        <w:snapToGrid w:val="0"/>
        <w:ind w:firstLine="480"/>
        <w:jc w:val="both"/>
        <w:rPr>
          <w:rFonts w:cs="Times New Roman"/>
          <w:szCs w:val="28"/>
        </w:rPr>
      </w:pPr>
      <w:bookmarkStart w:id="41" w:name="_Hlk173064415"/>
      <w:r>
        <w:rPr>
          <w:rFonts w:cs="Times New Roman"/>
          <w:szCs w:val="28"/>
        </w:rPr>
        <w:t>根据</w:t>
      </w:r>
      <w:r>
        <w:rPr>
          <w:rFonts w:hint="eastAsia" w:cs="Times New Roman"/>
          <w:szCs w:val="28"/>
        </w:rPr>
        <w:t>阜康市国土空间总体规划（2021-2035）</w:t>
      </w:r>
      <w:bookmarkEnd w:id="41"/>
      <w:r>
        <w:rPr>
          <w:rFonts w:hint="eastAsia" w:cs="Times New Roman"/>
          <w:szCs w:val="28"/>
        </w:rPr>
        <w:t>对</w:t>
      </w:r>
      <w:r>
        <w:rPr>
          <w:rFonts w:cs="Times New Roman"/>
          <w:szCs w:val="28"/>
        </w:rPr>
        <w:t>阜康市土地利用现状说明</w:t>
      </w:r>
      <w:r>
        <w:rPr>
          <w:rFonts w:hint="eastAsia" w:cs="Times New Roman"/>
          <w:szCs w:val="28"/>
        </w:rPr>
        <w:t>，2021年的阜康市土地利用现状如下：</w:t>
      </w:r>
    </w:p>
    <w:p w14:paraId="4180A10C">
      <w:pPr>
        <w:adjustRightInd w:val="0"/>
        <w:snapToGrid w:val="0"/>
        <w:ind w:firstLine="480"/>
        <w:jc w:val="both"/>
        <w:rPr>
          <w:rFonts w:cs="Times New Roman"/>
          <w:szCs w:val="28"/>
        </w:rPr>
      </w:pPr>
      <w:r>
        <w:rPr>
          <w:rFonts w:cs="Times New Roman"/>
          <w:szCs w:val="28"/>
        </w:rPr>
        <w:t>（1）耕地</w:t>
      </w:r>
    </w:p>
    <w:p w14:paraId="7EAF3075">
      <w:pPr>
        <w:adjustRightInd w:val="0"/>
        <w:snapToGrid w:val="0"/>
        <w:ind w:firstLine="480"/>
        <w:jc w:val="both"/>
        <w:rPr>
          <w:rFonts w:cs="Times New Roman"/>
          <w:szCs w:val="28"/>
        </w:rPr>
      </w:pPr>
      <w:r>
        <w:rPr>
          <w:rFonts w:cs="Times New Roman"/>
          <w:szCs w:val="28"/>
        </w:rPr>
        <w:t>阜康市规划基期耕地面积为64231.01公顷，占士地总面积的7.81%，其中水浇地面积为63821.09公顷，占耕地总面积的99.36%：早地面积为409.92公顷，占耕地总面积的0.64%。</w:t>
      </w:r>
    </w:p>
    <w:p w14:paraId="21E2F650">
      <w:pPr>
        <w:adjustRightInd w:val="0"/>
        <w:snapToGrid w:val="0"/>
        <w:ind w:firstLine="480"/>
        <w:jc w:val="both"/>
        <w:rPr>
          <w:rFonts w:cs="Times New Roman"/>
          <w:szCs w:val="28"/>
        </w:rPr>
      </w:pPr>
      <w:r>
        <w:rPr>
          <w:rFonts w:cs="Times New Roman"/>
          <w:szCs w:val="28"/>
        </w:rPr>
        <w:t>（2）园地</w:t>
      </w:r>
    </w:p>
    <w:p w14:paraId="1B100DA4">
      <w:pPr>
        <w:adjustRightInd w:val="0"/>
        <w:snapToGrid w:val="0"/>
        <w:ind w:firstLine="480"/>
        <w:jc w:val="both"/>
        <w:rPr>
          <w:rFonts w:cs="Times New Roman"/>
          <w:szCs w:val="28"/>
        </w:rPr>
      </w:pPr>
      <w:r>
        <w:rPr>
          <w:rFonts w:cs="Times New Roman"/>
          <w:szCs w:val="28"/>
        </w:rPr>
        <w:t>阜康市规划基期同地面积为431.33公顷，占土地总面积的0.05%，其中果园面积为409.9公顷，占园地总面积的95.03%：其他园地面积为21.43公顷，占国地总面积的4.97%。</w:t>
      </w:r>
    </w:p>
    <w:p w14:paraId="51E8175B">
      <w:pPr>
        <w:adjustRightInd w:val="0"/>
        <w:snapToGrid w:val="0"/>
        <w:ind w:firstLine="480"/>
        <w:jc w:val="both"/>
        <w:rPr>
          <w:rFonts w:cs="Times New Roman"/>
          <w:szCs w:val="28"/>
        </w:rPr>
      </w:pPr>
      <w:r>
        <w:rPr>
          <w:rFonts w:cs="Times New Roman"/>
          <w:szCs w:val="28"/>
        </w:rPr>
        <w:t>（3）林地</w:t>
      </w:r>
    </w:p>
    <w:p w14:paraId="4FD4E289">
      <w:pPr>
        <w:adjustRightInd w:val="0"/>
        <w:snapToGrid w:val="0"/>
        <w:ind w:firstLine="480"/>
        <w:jc w:val="both"/>
        <w:rPr>
          <w:rFonts w:cs="Times New Roman"/>
          <w:szCs w:val="28"/>
        </w:rPr>
      </w:pPr>
      <w:r>
        <w:rPr>
          <w:rFonts w:cs="Times New Roman"/>
          <w:szCs w:val="28"/>
        </w:rPr>
        <w:t>阜康市规划基期林地面积为208065.27公顷，占土地总面积的25.31%，其中乔木林地面积为21511.08公顷，占林地总面积的10.34%；灌木林地面积为179509.09公顷，占林地总面积的86.28%；其他林地面积为7045.10公顷，占林地总面积的3.39%。</w:t>
      </w:r>
    </w:p>
    <w:p w14:paraId="350391DD">
      <w:pPr>
        <w:adjustRightInd w:val="0"/>
        <w:snapToGrid w:val="0"/>
        <w:ind w:firstLine="480"/>
        <w:jc w:val="both"/>
        <w:rPr>
          <w:rFonts w:cs="Times New Roman"/>
          <w:szCs w:val="28"/>
        </w:rPr>
      </w:pPr>
      <w:r>
        <w:rPr>
          <w:rFonts w:cs="Times New Roman"/>
          <w:szCs w:val="28"/>
        </w:rPr>
        <w:t>（4）草地</w:t>
      </w:r>
    </w:p>
    <w:p w14:paraId="64FF9AEF">
      <w:pPr>
        <w:adjustRightInd w:val="0"/>
        <w:snapToGrid w:val="0"/>
        <w:ind w:firstLine="480"/>
        <w:jc w:val="both"/>
        <w:rPr>
          <w:rFonts w:cs="Times New Roman"/>
          <w:szCs w:val="28"/>
        </w:rPr>
      </w:pPr>
      <w:r>
        <w:rPr>
          <w:rFonts w:cs="Times New Roman"/>
          <w:szCs w:val="28"/>
        </w:rPr>
        <w:t>阜康市规划基期草地面积为473479.52公顷，占土地总面积的57.59%，其中天然牧草地面积为379821.38公顷，占草地总面积的80.22%；人工牧草地面积为434.26公顷，占草地总面积的0.09%；其他草地面积为93223.88公顷，占草地总面积的19.69%。</w:t>
      </w:r>
    </w:p>
    <w:p w14:paraId="2F8CE08B">
      <w:pPr>
        <w:adjustRightInd w:val="0"/>
        <w:snapToGrid w:val="0"/>
        <w:ind w:firstLine="480"/>
        <w:jc w:val="both"/>
        <w:rPr>
          <w:rFonts w:cs="Times New Roman"/>
          <w:szCs w:val="28"/>
        </w:rPr>
      </w:pPr>
      <w:r>
        <w:rPr>
          <w:rFonts w:cs="Times New Roman"/>
          <w:szCs w:val="28"/>
        </w:rPr>
        <w:t>（5）湿地</w:t>
      </w:r>
      <w:bookmarkStart w:id="42" w:name="20210923阜康市国土空间总体规划-初步成果_页面_041"/>
      <w:bookmarkEnd w:id="42"/>
    </w:p>
    <w:p w14:paraId="1F0793A4">
      <w:pPr>
        <w:adjustRightInd w:val="0"/>
        <w:snapToGrid w:val="0"/>
        <w:ind w:firstLine="480"/>
        <w:jc w:val="both"/>
        <w:rPr>
          <w:rFonts w:cs="Times New Roman"/>
          <w:szCs w:val="28"/>
        </w:rPr>
      </w:pPr>
      <w:r>
        <w:rPr>
          <w:rFonts w:cs="Times New Roman"/>
          <w:szCs w:val="28"/>
        </w:rPr>
        <w:t>阜康市规划基期湿地面积为1813.64公顷，占土地总面积的0.22%，其中沼泽草地面积为70.12公顷，占湿地总面积的3.87%：内陆滩涂面积为1743.52公顷，占湿地总面积的96.13%。</w:t>
      </w:r>
    </w:p>
    <w:p w14:paraId="238F20DA">
      <w:pPr>
        <w:adjustRightInd w:val="0"/>
        <w:snapToGrid w:val="0"/>
        <w:ind w:firstLine="480"/>
        <w:jc w:val="both"/>
        <w:rPr>
          <w:rFonts w:cs="Times New Roman"/>
          <w:szCs w:val="28"/>
        </w:rPr>
      </w:pPr>
      <w:r>
        <w:rPr>
          <w:rFonts w:cs="Times New Roman"/>
          <w:szCs w:val="28"/>
        </w:rPr>
        <w:t>（6）农业设施建设用地</w:t>
      </w:r>
    </w:p>
    <w:p w14:paraId="5689BB7D">
      <w:pPr>
        <w:adjustRightInd w:val="0"/>
        <w:snapToGrid w:val="0"/>
        <w:ind w:firstLine="480"/>
        <w:jc w:val="both"/>
        <w:rPr>
          <w:rFonts w:cs="Times New Roman"/>
          <w:szCs w:val="28"/>
        </w:rPr>
      </w:pPr>
      <w:r>
        <w:rPr>
          <w:rFonts w:cs="Times New Roman"/>
          <w:szCs w:val="28"/>
        </w:rPr>
        <w:t>阜康市规划基期农业设施建设用地面积为2792.15公顷，占土地总面积的0.34%，其中乡村道路用地面积为1411.34公顷，占农业设施建设用地总面积的50.55%；种植设施建设用地面积为875.40公顷，占农业设施建设用地总面积的31.35%；畜禽养殖设施建设用地面积为504.58公顷，占农业设施建设用地总面积的18.07%；水产养殖设施建设用地面积为0.83公顷，占农业设施建设用地总面积的0.03%。</w:t>
      </w:r>
    </w:p>
    <w:p w14:paraId="7CEA948B">
      <w:pPr>
        <w:adjustRightInd w:val="0"/>
        <w:snapToGrid w:val="0"/>
        <w:ind w:firstLine="480"/>
        <w:jc w:val="both"/>
        <w:rPr>
          <w:rFonts w:cs="Times New Roman"/>
          <w:szCs w:val="28"/>
        </w:rPr>
      </w:pPr>
      <w:r>
        <w:rPr>
          <w:rFonts w:cs="Times New Roman"/>
          <w:szCs w:val="28"/>
        </w:rPr>
        <w:t>（7）居住用地</w:t>
      </w:r>
    </w:p>
    <w:p w14:paraId="2A2E0A6E">
      <w:pPr>
        <w:adjustRightInd w:val="0"/>
        <w:snapToGrid w:val="0"/>
        <w:ind w:firstLine="480"/>
        <w:jc w:val="both"/>
        <w:rPr>
          <w:rFonts w:cs="Times New Roman"/>
          <w:szCs w:val="28"/>
        </w:rPr>
      </w:pPr>
      <w:r>
        <w:rPr>
          <w:rFonts w:cs="Times New Roman"/>
          <w:szCs w:val="28"/>
        </w:rPr>
        <w:t>阜康市规划基期居住用地面积为5096.69公顷，占土地总面积的0.62%，其中城镇住宅用地面积为1116.87公顷，占居住用地总面积的21.91%：城镇社区服务设施用地面积为13.79公顷，占居住用地总面积的0.27%；农村宅基地面积为3929.59公顷，占居住用地总面积的77.1%：农村社区服务设施用地面积为36.44公顷，占居住用地总面积的0.71%。</w:t>
      </w:r>
    </w:p>
    <w:p w14:paraId="6B609141">
      <w:pPr>
        <w:adjustRightInd w:val="0"/>
        <w:snapToGrid w:val="0"/>
        <w:ind w:firstLine="480"/>
        <w:jc w:val="both"/>
        <w:rPr>
          <w:rFonts w:cs="Times New Roman"/>
          <w:szCs w:val="28"/>
        </w:rPr>
      </w:pPr>
      <w:r>
        <w:rPr>
          <w:rFonts w:cs="Times New Roman"/>
          <w:szCs w:val="28"/>
        </w:rPr>
        <w:t>（8）公共管理与公共服务用地</w:t>
      </w:r>
    </w:p>
    <w:p w14:paraId="25FF6458">
      <w:pPr>
        <w:adjustRightInd w:val="0"/>
        <w:snapToGrid w:val="0"/>
        <w:ind w:firstLine="480"/>
        <w:jc w:val="both"/>
        <w:rPr>
          <w:rFonts w:cs="Times New Roman"/>
          <w:szCs w:val="28"/>
        </w:rPr>
      </w:pPr>
      <w:r>
        <w:rPr>
          <w:rFonts w:cs="Times New Roman"/>
          <w:szCs w:val="28"/>
        </w:rPr>
        <w:t>阜康市规划基期公共管理与公共服务用地面积为542.16公顷，占土地总面积的0.07%，其中机关团体用地面积为</w:t>
      </w:r>
      <w:bookmarkStart w:id="43" w:name="20210923阜康市国土空间总体规划-初步成果_页面_042"/>
      <w:bookmarkEnd w:id="43"/>
      <w:r>
        <w:rPr>
          <w:rFonts w:cs="Times New Roman"/>
          <w:szCs w:val="28"/>
        </w:rPr>
        <w:t>193.41公顷，占公共管理与公共服务用地总面积的35.67%；文化用地面积为131.90公顷，占公共管理与公共服务用地总面积的24.33%：教育用地面积为161.21公顷，占公共管理与公共服务用地总面积的29.73%：体育用地面积为0.72公顷，占公共管理与公共服务用地总面积的0.13%；医疗卫生用地38.37公顷，占公共管理与公共服务用地总面积的7.08%；社会福利用地面积为16.55公顷，占公共管理与公共服务用地总面积的3.05%。</w:t>
      </w:r>
    </w:p>
    <w:p w14:paraId="10334B4F">
      <w:pPr>
        <w:adjustRightInd w:val="0"/>
        <w:snapToGrid w:val="0"/>
        <w:ind w:firstLine="480"/>
        <w:jc w:val="both"/>
        <w:rPr>
          <w:rFonts w:cs="Times New Roman"/>
          <w:szCs w:val="28"/>
        </w:rPr>
      </w:pPr>
      <w:r>
        <w:rPr>
          <w:rFonts w:cs="Times New Roman"/>
          <w:szCs w:val="28"/>
        </w:rPr>
        <w:t>（9）商业服务业用地</w:t>
      </w:r>
    </w:p>
    <w:p w14:paraId="71C68EE9">
      <w:pPr>
        <w:adjustRightInd w:val="0"/>
        <w:snapToGrid w:val="0"/>
        <w:ind w:firstLine="480"/>
        <w:jc w:val="both"/>
        <w:rPr>
          <w:rFonts w:cs="Times New Roman"/>
          <w:szCs w:val="28"/>
        </w:rPr>
      </w:pPr>
      <w:r>
        <w:rPr>
          <w:rFonts w:cs="Times New Roman"/>
          <w:szCs w:val="28"/>
        </w:rPr>
        <w:t>阜康市规划基期商业服务业用地面积为</w:t>
      </w:r>
      <w:r>
        <w:rPr>
          <w:rFonts w:cs="Times New Roman"/>
          <w:szCs w:val="28"/>
        </w:rPr>
        <w:tab/>
      </w:r>
      <w:r>
        <w:rPr>
          <w:rFonts w:cs="Times New Roman"/>
          <w:szCs w:val="28"/>
        </w:rPr>
        <w:t>1061.93公顷，占土地总面积的0.34%，其中商业用地面积为517.82公顷，占商业服务业用地总面积的48.76%：商务金融用地面积为3.02公顷，占商业服务业用地总面积的0.28%；娱乐康体用地面积为59.34公顷，占商业服务业用地总面积的5.59%；其他商业服务业用地面积为481.75公顷，占商业服务业用地总面积的45.37%。</w:t>
      </w:r>
    </w:p>
    <w:p w14:paraId="69656EF0">
      <w:pPr>
        <w:adjustRightInd w:val="0"/>
        <w:snapToGrid w:val="0"/>
        <w:ind w:firstLine="480"/>
        <w:jc w:val="both"/>
        <w:rPr>
          <w:rFonts w:cs="Times New Roman"/>
          <w:szCs w:val="28"/>
        </w:rPr>
      </w:pPr>
      <w:r>
        <w:rPr>
          <w:rFonts w:cs="Times New Roman"/>
          <w:szCs w:val="28"/>
        </w:rPr>
        <w:t>（10）工矿用地</w:t>
      </w:r>
    </w:p>
    <w:p w14:paraId="6AB8AE90">
      <w:pPr>
        <w:adjustRightInd w:val="0"/>
        <w:snapToGrid w:val="0"/>
        <w:ind w:firstLine="480"/>
        <w:jc w:val="both"/>
        <w:rPr>
          <w:rFonts w:cs="Times New Roman"/>
          <w:szCs w:val="28"/>
        </w:rPr>
      </w:pPr>
      <w:r>
        <w:rPr>
          <w:rFonts w:cs="Times New Roman"/>
          <w:szCs w:val="28"/>
        </w:rPr>
        <w:t>阜康市规划基期用地面积为9335.75公顷，占士地总面积的1.14%，其中工业用地面积为4607.71公顷，占工矿用地总面积的49.36%；采矿用地面积为4728.04公顷，占工矿用地总面积的50.64%。</w:t>
      </w:r>
    </w:p>
    <w:p w14:paraId="4A0DC857">
      <w:pPr>
        <w:adjustRightInd w:val="0"/>
        <w:snapToGrid w:val="0"/>
        <w:ind w:firstLine="480"/>
        <w:jc w:val="both"/>
        <w:rPr>
          <w:rFonts w:cs="Times New Roman"/>
          <w:szCs w:val="28"/>
        </w:rPr>
      </w:pPr>
      <w:r>
        <w:rPr>
          <w:rFonts w:cs="Times New Roman"/>
          <w:szCs w:val="28"/>
        </w:rPr>
        <w:t>（11）仓储用地</w:t>
      </w:r>
    </w:p>
    <w:p w14:paraId="2F6E2387">
      <w:pPr>
        <w:adjustRightInd w:val="0"/>
        <w:snapToGrid w:val="0"/>
        <w:ind w:firstLine="480"/>
        <w:jc w:val="both"/>
        <w:rPr>
          <w:rFonts w:cs="Times New Roman"/>
          <w:szCs w:val="28"/>
        </w:rPr>
        <w:sectPr>
          <w:type w:val="continuous"/>
          <w:pgSz w:w="11910" w:h="16850"/>
          <w:pgMar w:top="1600" w:right="1420" w:bottom="280" w:left="1680" w:header="720" w:footer="720" w:gutter="0"/>
          <w:cols w:space="720" w:num="1"/>
        </w:sectPr>
      </w:pPr>
    </w:p>
    <w:p w14:paraId="49D03A4C">
      <w:pPr>
        <w:adjustRightInd w:val="0"/>
        <w:snapToGrid w:val="0"/>
        <w:ind w:firstLine="480"/>
        <w:jc w:val="both"/>
        <w:rPr>
          <w:rFonts w:cs="Times New Roman"/>
          <w:szCs w:val="28"/>
        </w:rPr>
      </w:pPr>
      <w:bookmarkStart w:id="44" w:name="20210923阜康市国土空间总体规划-初步成果_页面_043"/>
      <w:bookmarkEnd w:id="44"/>
      <w:r>
        <w:rPr>
          <w:rFonts w:cs="Times New Roman"/>
          <w:szCs w:val="28"/>
        </w:rPr>
        <w:t>阜康市规划基期仓储用地面积为348.70公顷，占士地总面积的0.04%，全部为物流仓储用地用地。</w:t>
      </w:r>
    </w:p>
    <w:p w14:paraId="71602FE0">
      <w:pPr>
        <w:adjustRightInd w:val="0"/>
        <w:snapToGrid w:val="0"/>
        <w:ind w:firstLine="480"/>
        <w:jc w:val="both"/>
        <w:rPr>
          <w:rFonts w:cs="Times New Roman"/>
          <w:szCs w:val="28"/>
        </w:rPr>
      </w:pPr>
      <w:r>
        <w:rPr>
          <w:rFonts w:cs="Times New Roman"/>
          <w:szCs w:val="28"/>
        </w:rPr>
        <w:t>（12）交通运输用地</w:t>
      </w:r>
    </w:p>
    <w:p w14:paraId="02FBCCED">
      <w:pPr>
        <w:adjustRightInd w:val="0"/>
        <w:snapToGrid w:val="0"/>
        <w:ind w:firstLine="480"/>
        <w:jc w:val="both"/>
        <w:rPr>
          <w:rFonts w:cs="Times New Roman"/>
          <w:szCs w:val="28"/>
        </w:rPr>
      </w:pPr>
      <w:r>
        <w:rPr>
          <w:rFonts w:cs="Times New Roman"/>
          <w:szCs w:val="28"/>
        </w:rPr>
        <w:t>阜康市规划基期交通运输用地面积为4750.46公顷，占土地总面积的0.58%，其中铁路用地面积为298.73公顷，占交通运输用地总面积的6.29%；公路用地面积为4098.76公顷，占交通运输用地总面积的86.28%；管道运输用地面积为1.29公顷，占交通运输用地总面积的0.03%；城镇道路用地面积为265.59公顷，占交通运输用地总面积的5.59%；交通场站用地面积为86.09公顷，占交通运输用地总面积的1.81%。</w:t>
      </w:r>
    </w:p>
    <w:p w14:paraId="7E3863A9">
      <w:pPr>
        <w:adjustRightInd w:val="0"/>
        <w:snapToGrid w:val="0"/>
        <w:ind w:firstLine="480"/>
        <w:jc w:val="both"/>
        <w:rPr>
          <w:rFonts w:cs="Times New Roman"/>
          <w:szCs w:val="28"/>
        </w:rPr>
      </w:pPr>
      <w:r>
        <w:rPr>
          <w:rFonts w:cs="Times New Roman"/>
          <w:szCs w:val="28"/>
        </w:rPr>
        <w:t>（13）公用设施用地</w:t>
      </w:r>
    </w:p>
    <w:p w14:paraId="7550E5A3">
      <w:pPr>
        <w:adjustRightInd w:val="0"/>
        <w:snapToGrid w:val="0"/>
        <w:ind w:firstLine="480"/>
        <w:jc w:val="both"/>
        <w:rPr>
          <w:rFonts w:cs="Times New Roman"/>
          <w:szCs w:val="28"/>
        </w:rPr>
      </w:pPr>
      <w:r>
        <w:rPr>
          <w:rFonts w:cs="Times New Roman"/>
          <w:szCs w:val="28"/>
        </w:rPr>
        <w:t>阜康市规划基期公用设施用地面积为2234.27公顷，占土地总面积的0.27%，其中供水用地面积为67.02公顷、排水用地面积为57.87公顷、供电用地面积为21.10公顷、供燃气用地面积为2.96公顷、供热用地面积为12.5公顷、通信用地面积为0.93公顷、邮政用地面积为0.47公顷、环卫用地面积为57.85公顷、消防用地面积为1.71公顷、干渠面积为865.96公顷、水工设施用地面积为1136.14公顷、其他公用设施用地面积为9.76公顷。</w:t>
      </w:r>
    </w:p>
    <w:p w14:paraId="74E935C8">
      <w:pPr>
        <w:adjustRightInd w:val="0"/>
        <w:snapToGrid w:val="0"/>
        <w:ind w:firstLine="480"/>
        <w:jc w:val="both"/>
        <w:rPr>
          <w:rFonts w:cs="Times New Roman"/>
          <w:szCs w:val="28"/>
        </w:rPr>
      </w:pPr>
      <w:r>
        <w:rPr>
          <w:rFonts w:cs="Times New Roman"/>
          <w:szCs w:val="28"/>
        </w:rPr>
        <w:t>（14）绿地与开敞空间用地</w:t>
      </w:r>
    </w:p>
    <w:p w14:paraId="596F498D">
      <w:pPr>
        <w:adjustRightInd w:val="0"/>
        <w:snapToGrid w:val="0"/>
        <w:ind w:firstLine="480"/>
        <w:jc w:val="both"/>
        <w:rPr>
          <w:rFonts w:cs="Times New Roman"/>
          <w:szCs w:val="28"/>
        </w:rPr>
      </w:pPr>
      <w:r>
        <w:rPr>
          <w:rFonts w:cs="Times New Roman"/>
          <w:szCs w:val="28"/>
        </w:rPr>
        <w:t>阜康市规划基期绿地与开敞空间用地面积为</w:t>
      </w:r>
      <w:r>
        <w:rPr>
          <w:rFonts w:cs="Times New Roman"/>
          <w:szCs w:val="28"/>
        </w:rPr>
        <w:tab/>
      </w:r>
      <w:r>
        <w:rPr>
          <w:rFonts w:cs="Times New Roman"/>
          <w:szCs w:val="28"/>
        </w:rPr>
        <w:t>183.14公顷，占土地总面积的0.02%，其中公园绿地面积为141.41公</w:t>
      </w:r>
      <w:bookmarkStart w:id="45" w:name="20210923阜康市国土空间总体规划-初步成果_页面_044"/>
      <w:bookmarkEnd w:id="45"/>
      <w:r>
        <w:rPr>
          <w:rFonts w:cs="Times New Roman"/>
          <w:szCs w:val="28"/>
        </w:rPr>
        <w:t>顷，占绿地与开敞空间用地总面积的77.21%：防护绿地面积为5.33公顷，占绿地与开敞空问用地总面积的2.91%；广场用地面积为36.40公顷，占绿地与开敞空间用地总面积的19.88%。</w:t>
      </w:r>
    </w:p>
    <w:p w14:paraId="1D6595A5">
      <w:pPr>
        <w:adjustRightInd w:val="0"/>
        <w:snapToGrid w:val="0"/>
        <w:ind w:firstLine="480"/>
        <w:jc w:val="both"/>
        <w:rPr>
          <w:rFonts w:cs="Times New Roman"/>
          <w:szCs w:val="28"/>
        </w:rPr>
      </w:pPr>
      <w:r>
        <w:rPr>
          <w:rFonts w:cs="Times New Roman"/>
          <w:szCs w:val="28"/>
        </w:rPr>
        <w:t>（15）特殊用地</w:t>
      </w:r>
    </w:p>
    <w:p w14:paraId="5D2A923D">
      <w:pPr>
        <w:adjustRightInd w:val="0"/>
        <w:snapToGrid w:val="0"/>
        <w:ind w:firstLine="480"/>
        <w:jc w:val="both"/>
        <w:rPr>
          <w:rFonts w:cs="Times New Roman"/>
          <w:szCs w:val="28"/>
        </w:rPr>
      </w:pPr>
      <w:r>
        <w:rPr>
          <w:rFonts w:cs="Times New Roman"/>
          <w:szCs w:val="28"/>
        </w:rPr>
        <w:t>阜康市规划基期特殊用地面积为1593.13公顷，占士地总面积的0.19%，军事设施用地面积为100.80公顷，占特殊用地总面积的6.33%；宗教用地面积为15.52公顷，占特殊用地总面积的0.97%：文物古迹用地面积为0.19公顷，占特殊用地总面积的0.01%；监教场所用地面积为23.74公顷，占特殊用地总面积的1.49%；殡葬用地面积为1375.71公顷，占特殊用地总面积的86.35%·其他特殊用地面积为77.17公顷，占特殊用地总面积的4.84%。</w:t>
      </w:r>
    </w:p>
    <w:p w14:paraId="453909F3">
      <w:pPr>
        <w:adjustRightInd w:val="0"/>
        <w:snapToGrid w:val="0"/>
        <w:ind w:firstLine="480"/>
        <w:jc w:val="both"/>
        <w:rPr>
          <w:rFonts w:cs="Times New Roman"/>
          <w:szCs w:val="28"/>
        </w:rPr>
      </w:pPr>
      <w:r>
        <w:rPr>
          <w:rFonts w:cs="Times New Roman"/>
          <w:szCs w:val="28"/>
        </w:rPr>
        <w:t>（16）陆地水域</w:t>
      </w:r>
    </w:p>
    <w:p w14:paraId="39BB3020">
      <w:pPr>
        <w:adjustRightInd w:val="0"/>
        <w:snapToGrid w:val="0"/>
        <w:ind w:firstLine="480"/>
        <w:jc w:val="both"/>
        <w:rPr>
          <w:rFonts w:cs="Times New Roman"/>
          <w:szCs w:val="28"/>
        </w:rPr>
      </w:pPr>
      <w:r>
        <w:rPr>
          <w:rFonts w:cs="Times New Roman"/>
          <w:szCs w:val="28"/>
        </w:rPr>
        <w:t>阜康市规划基期陆地水域面积为11656.72公顷，占士地总面积的1.42%，河流水面面积为2128.38公顷，占陆地水域总面积的18.26%；湖泊水面面积为324.91公顷，占陆地水域总面积的2.79%；水库水面面积为2258.87公顷，占陆地水域总面积的19.38%；坑塘水面面积为407.77公顷，占陆地水域总面积的3.5%；沟渠面积为1679.46公顷，占陆地水域总面积的14.41%·冰川及常年积雪面积为4857.33公顷，占陆地水域总面积的41.67%。</w:t>
      </w:r>
      <w:bookmarkStart w:id="46" w:name="20210923阜康市国土空间总体规划-初步成果_页面_045"/>
      <w:bookmarkEnd w:id="46"/>
    </w:p>
    <w:p w14:paraId="2C4A88E0">
      <w:pPr>
        <w:adjustRightInd w:val="0"/>
        <w:snapToGrid w:val="0"/>
        <w:ind w:firstLine="480"/>
        <w:jc w:val="both"/>
        <w:rPr>
          <w:rFonts w:cs="Times New Roman"/>
          <w:szCs w:val="28"/>
        </w:rPr>
      </w:pPr>
      <w:r>
        <w:rPr>
          <w:rFonts w:cs="Times New Roman"/>
          <w:szCs w:val="28"/>
        </w:rPr>
        <w:t>（17）其他土地</w:t>
      </w:r>
    </w:p>
    <w:p w14:paraId="5D03FC5F">
      <w:pPr>
        <w:adjustRightInd w:val="0"/>
        <w:snapToGrid w:val="0"/>
        <w:ind w:firstLine="480"/>
        <w:jc w:val="both"/>
        <w:rPr>
          <w:rFonts w:cs="Times New Roman"/>
          <w:szCs w:val="28"/>
        </w:rPr>
      </w:pPr>
      <w:r>
        <w:rPr>
          <w:rFonts w:cs="Times New Roman"/>
          <w:szCs w:val="28"/>
        </w:rPr>
        <w:t>阜康市规划基期其他</w:t>
      </w:r>
      <w:r>
        <w:rPr>
          <w:rFonts w:hint="eastAsia" w:cs="Times New Roman"/>
          <w:szCs w:val="28"/>
          <w:lang w:val="en-US" w:eastAsia="zh-CN"/>
        </w:rPr>
        <w:t>土</w:t>
      </w:r>
      <w:r>
        <w:rPr>
          <w:rFonts w:cs="Times New Roman"/>
          <w:szCs w:val="28"/>
        </w:rPr>
        <w:t>地面积为34532.47公顷，占土地总面积的4.2%，空闲地面积为20公顷，占其他土地总面积的0.06%：田间道面积为536.21公顷，占其他土地总面积的1.55%；盐碱地面积为151.95公顷，占其他土地总面积的0.44%：沙地面积为881公顷，占其他土地总面积的2.55%；裸土地面积为55.66公顷，占其他土地总面积的0.16%；裸岩石砾地面积为32887.65公顷，占其他</w:t>
      </w:r>
      <w:r>
        <w:rPr>
          <w:rFonts w:hint="eastAsia" w:cs="Times New Roman"/>
          <w:szCs w:val="28"/>
          <w:lang w:val="en-US" w:eastAsia="zh-CN"/>
        </w:rPr>
        <w:t>土</w:t>
      </w:r>
      <w:r>
        <w:rPr>
          <w:rFonts w:cs="Times New Roman"/>
          <w:szCs w:val="28"/>
        </w:rPr>
        <w:t>地总面积的95.24%。</w:t>
      </w:r>
    </w:p>
    <w:p w14:paraId="7CF5BB60">
      <w:pPr>
        <w:adjustRightInd w:val="0"/>
        <w:snapToGrid w:val="0"/>
        <w:ind w:firstLine="480"/>
        <w:jc w:val="both"/>
        <w:rPr>
          <w:rFonts w:cs="Times New Roman"/>
        </w:rPr>
      </w:pPr>
      <w:r>
        <w:rPr>
          <w:rFonts w:cs="Times New Roman"/>
          <w:szCs w:val="28"/>
        </w:rPr>
        <w:t>2、</w:t>
      </w:r>
      <w:r>
        <w:rPr>
          <w:rFonts w:cs="Times New Roman"/>
        </w:rPr>
        <w:t>土地利用方式引发的水土流失影响</w:t>
      </w:r>
    </w:p>
    <w:p w14:paraId="7A223D2B">
      <w:pPr>
        <w:adjustRightInd w:val="0"/>
        <w:snapToGrid w:val="0"/>
        <w:ind w:firstLine="480"/>
        <w:jc w:val="both"/>
        <w:rPr>
          <w:rFonts w:cs="Times New Roman"/>
          <w:snapToGrid w:val="0"/>
        </w:rPr>
      </w:pPr>
      <w:r>
        <w:rPr>
          <w:rFonts w:cs="Times New Roman"/>
          <w:snapToGrid w:val="0"/>
        </w:rPr>
        <w:t>整体上阜康市农业用地面积变化幅度较小。在农区，近年来由于不合理的耕作制度，造成农区部分土地在冬季和春季大面积深翻裸露，成为风蚀、水蚀面源。</w:t>
      </w:r>
    </w:p>
    <w:p w14:paraId="0E919F06">
      <w:pPr>
        <w:adjustRightInd w:val="0"/>
        <w:snapToGrid w:val="0"/>
        <w:ind w:firstLine="480"/>
        <w:rPr>
          <w:rFonts w:cs="Times New Roman"/>
          <w:snapToGrid w:val="0"/>
        </w:rPr>
      </w:pPr>
      <w:r>
        <w:rPr>
          <w:rFonts w:cs="Times New Roman"/>
          <w:snapToGrid w:val="0"/>
        </w:rPr>
        <w:t>阜康市建设用地变化较为明显，其他用地面积减少也较多。建设用地增幅中城乡建设用地面积占用比例较大，由此可以看出，阜康市部分耕地和自然保留地正逐步调整为城乡建设用地，原有植被覆盖的人工和天然地由于阜康市发展的需要转化为人工裸地，使得天然植被遭到破坏，区域植被覆盖率降低。随着阜康市经济快速发展，示范农业进程加快，人民生活水平的不断提高，各类基础设施建设飞速推进，随之而来的大面积土地开挖、临时堆土、弃渣、滥伐、滥采等造成区域土地退化甚至沙化，破坏了土壤多样性和生态平衡，为水蚀、风蚀提供了有利条件，水土流失形势日趋严峻。</w:t>
      </w:r>
    </w:p>
    <w:p w14:paraId="7174104E">
      <w:pPr>
        <w:adjustRightInd w:val="0"/>
        <w:snapToGrid w:val="0"/>
        <w:ind w:firstLine="480"/>
        <w:rPr>
          <w:rFonts w:cs="Times New Roman"/>
          <w:snapToGrid w:val="0"/>
        </w:rPr>
      </w:pPr>
      <w:r>
        <w:rPr>
          <w:rFonts w:cs="Times New Roman"/>
          <w:snapToGrid w:val="0"/>
        </w:rPr>
        <w:t>3、土地适用性评价</w:t>
      </w:r>
    </w:p>
    <w:p w14:paraId="5CDE67B6">
      <w:pPr>
        <w:adjustRightInd w:val="0"/>
        <w:snapToGrid w:val="0"/>
        <w:ind w:firstLine="480"/>
        <w:rPr>
          <w:rFonts w:cs="Times New Roman"/>
          <w:snapToGrid w:val="0"/>
        </w:rPr>
      </w:pPr>
      <w:r>
        <w:rPr>
          <w:rFonts w:cs="Times New Roman"/>
          <w:snapToGrid w:val="0"/>
        </w:rPr>
        <w:t>土地利用应根据各区域的社会和经济发展状况、土地资源现状、土地利用调控确定本阜康市土地利用方向，重点落实土地利用总体规划分解下达的主要调控标，将耕地保有量、基本农田保护面积、城乡建设用地规模及重点建设项目布局、土地开发整理及农村建设用地整理规模、生态建设和保护措施落到实地。</w:t>
      </w:r>
    </w:p>
    <w:p w14:paraId="0E881997">
      <w:pPr>
        <w:adjustRightInd w:val="0"/>
        <w:snapToGrid w:val="0"/>
        <w:ind w:firstLine="480"/>
        <w:rPr>
          <w:rFonts w:cs="Times New Roman"/>
          <w:snapToGrid w:val="0"/>
        </w:rPr>
      </w:pPr>
      <w:r>
        <w:rPr>
          <w:rFonts w:cs="Times New Roman"/>
          <w:snapToGrid w:val="0"/>
        </w:rPr>
        <w:t>严格保护耕地，确保完成基本农田保护任务和耕地保有量；建设用地总规模不得突破规划分解指标；加强土地整理复垦工作，实现耕地占补平衡；基本农田保护区内的其土地利用必须以保护耕地和基本农田为第一要务，禁止建设用地扩张；城镇发展区、产业聚集区内的镇、村在建设占地过程中，布局要符合规划，用途要符合区域用地主导方向，要严格遵循挖潜第一、扩张第二，促进集约用地的原则；人文与生态保护区内的镇、村，土地利用方向以保护生态环境和人文景观为原则，村镇建设以内涵挖潜为主，引导和促进区域内生态与环境保护设施建设。</w:t>
      </w:r>
    </w:p>
    <w:p w14:paraId="038E5B29">
      <w:pPr>
        <w:pStyle w:val="5"/>
        <w:rPr>
          <w:rFonts w:eastAsia="仿宋_GB2312"/>
        </w:rPr>
      </w:pPr>
      <w:r>
        <w:rPr>
          <w:rFonts w:eastAsia="仿宋_GB2312"/>
        </w:rPr>
        <w:t>2.1.2 水</w:t>
      </w:r>
      <w:r>
        <w:rPr>
          <w:rFonts w:eastAsia="仿宋_GB2312"/>
          <w:b w:val="0"/>
        </w:rPr>
        <w:t>土</w:t>
      </w:r>
      <w:r>
        <w:rPr>
          <w:rFonts w:eastAsia="仿宋_GB2312"/>
        </w:rPr>
        <w:t>流失消长评价</w:t>
      </w:r>
    </w:p>
    <w:p w14:paraId="074BED4B">
      <w:pPr>
        <w:adjustRightInd w:val="0"/>
        <w:snapToGrid w:val="0"/>
        <w:ind w:firstLine="480"/>
        <w:rPr>
          <w:rFonts w:cs="Times New Roman"/>
        </w:rPr>
      </w:pPr>
      <w:r>
        <w:rPr>
          <w:rFonts w:cs="Times New Roman"/>
        </w:rPr>
        <w:t>与第一次全国水利普查成果(2011年)相比，2022年自治区水土流失动态监测中水土流失在面积和强度类型上发生较大变化，总体呈减少趋势，阜康市2022年水土流失面积较2011年减少了769.22km</w:t>
      </w:r>
      <w:r>
        <w:rPr>
          <w:rFonts w:cs="Times New Roman"/>
          <w:vertAlign w:val="superscript"/>
        </w:rPr>
        <w:t>2</w:t>
      </w:r>
      <w:r>
        <w:rPr>
          <w:rFonts w:cs="Times New Roman"/>
        </w:rPr>
        <w:t>；2022年自治区水土流失动态监测中阜康市水土流失在面积较2018年减少了38.71km</w:t>
      </w:r>
      <w:r>
        <w:rPr>
          <w:rFonts w:cs="Times New Roman"/>
          <w:vertAlign w:val="superscript"/>
        </w:rPr>
        <w:t>2</w:t>
      </w:r>
      <w:r>
        <w:rPr>
          <w:rFonts w:cs="Times New Roman"/>
        </w:rPr>
        <w:t>。与自治区水土流失消长趋势相比，截止到2022年，阜康市水土流失面积减少了10.91%。</w:t>
      </w:r>
    </w:p>
    <w:p w14:paraId="06DB0EF8">
      <w:pPr>
        <w:adjustRightInd w:val="0"/>
        <w:snapToGrid w:val="0"/>
        <w:ind w:firstLine="480"/>
        <w:rPr>
          <w:rFonts w:cs="Times New Roman"/>
        </w:rPr>
      </w:pPr>
      <w:r>
        <w:rPr>
          <w:rFonts w:cs="Times New Roman"/>
        </w:rPr>
        <w:t>总体来看，2011-2022年的12年间，阜康市水土流失面积明显减少，区域水土流失状况得到一定遏制。通过分析，水土流失面积减少的原因主要是“保护优先、防治结合”的水土保持基本方针见到了成效，具体表现为近年阜康市实施退耕还林使森林覆盖率提升。</w:t>
      </w:r>
    </w:p>
    <w:p w14:paraId="1CDA06D4">
      <w:pPr>
        <w:adjustRightInd w:val="0"/>
        <w:snapToGrid w:val="0"/>
        <w:ind w:firstLine="480"/>
        <w:rPr>
          <w:rFonts w:cs="Times New Roman"/>
        </w:rPr>
      </w:pPr>
      <w:r>
        <w:rPr>
          <w:rFonts w:cs="Times New Roman"/>
        </w:rPr>
        <w:t>实施退耕还林，减少了水土流失面积和强度。阜康市全面落实国家生态建设总体目标任务，“十二五”以来实施了退耕还林(草)、人工造林、高标准基本农田建设、农业综合开发和封禁保护等生态建设项目，以及地方政府投资的生态建设工程。水土保持措施的实施有效减少了水土流失面积和土壤侵蚀强度，林草植被得到快速恢复。2015年和2018年阜康市实施了退耕还林，使林草地植被盖度显著提高，水土流失面积和侵蚀强度降低。</w:t>
      </w:r>
    </w:p>
    <w:p w14:paraId="15AB91B7">
      <w:pPr>
        <w:adjustRightInd w:val="0"/>
        <w:snapToGrid w:val="0"/>
        <w:ind w:firstLine="480"/>
        <w:jc w:val="both"/>
        <w:rPr>
          <w:rFonts w:cs="Times New Roman"/>
          <w:szCs w:val="28"/>
          <w:vertAlign w:val="superscript"/>
        </w:rPr>
      </w:pPr>
      <w:r>
        <w:rPr>
          <w:rFonts w:cs="Times New Roman"/>
        </w:rPr>
        <w:t>表</w:t>
      </w:r>
      <w:r>
        <w:rPr>
          <w:rFonts w:cs="Times New Roman"/>
          <w:snapToGrid w:val="0"/>
        </w:rPr>
        <w:t xml:space="preserve">2.1-3          </w:t>
      </w:r>
      <w:r>
        <w:rPr>
          <w:rFonts w:cs="Times New Roman"/>
          <w:b/>
        </w:rPr>
        <w:t>2022年水土流失面积变化情况表</w:t>
      </w:r>
      <w:r>
        <w:rPr>
          <w:rFonts w:hint="eastAsia" w:cs="Times New Roman"/>
          <w:b/>
        </w:rPr>
        <w:t>（含兵团）</w:t>
      </w:r>
      <w:r>
        <w:rPr>
          <w:rFonts w:cs="Times New Roman"/>
        </w:rPr>
        <w:t xml:space="preserve">     </w:t>
      </w:r>
    </w:p>
    <w:tbl>
      <w:tblPr>
        <w:tblStyle w:val="48"/>
        <w:tblW w:w="5000" w:type="pct"/>
        <w:tblInd w:w="0" w:type="dxa"/>
        <w:tblLayout w:type="autofit"/>
        <w:tblCellMar>
          <w:top w:w="0" w:type="dxa"/>
          <w:left w:w="108" w:type="dxa"/>
          <w:bottom w:w="0" w:type="dxa"/>
          <w:right w:w="108" w:type="dxa"/>
        </w:tblCellMar>
      </w:tblPr>
      <w:tblGrid>
        <w:gridCol w:w="1199"/>
        <w:gridCol w:w="1199"/>
        <w:gridCol w:w="1199"/>
        <w:gridCol w:w="1199"/>
        <w:gridCol w:w="1199"/>
        <w:gridCol w:w="1269"/>
        <w:gridCol w:w="1265"/>
      </w:tblGrid>
      <w:tr w14:paraId="4EB6771A">
        <w:tblPrEx>
          <w:tblCellMar>
            <w:top w:w="0" w:type="dxa"/>
            <w:left w:w="108" w:type="dxa"/>
            <w:bottom w:w="0" w:type="dxa"/>
            <w:right w:w="108" w:type="dxa"/>
          </w:tblCellMar>
        </w:tblPrEx>
        <w:trPr>
          <w:trHeight w:val="421" w:hRule="atLeast"/>
        </w:trPr>
        <w:tc>
          <w:tcPr>
            <w:tcW w:w="703" w:type="pct"/>
            <w:tcBorders>
              <w:top w:val="single" w:color="auto" w:sz="4" w:space="0"/>
              <w:left w:val="single" w:color="auto" w:sz="4" w:space="0"/>
              <w:bottom w:val="single" w:color="auto" w:sz="4" w:space="0"/>
              <w:right w:val="single" w:color="auto" w:sz="4" w:space="0"/>
            </w:tcBorders>
            <w:shd w:val="clear" w:color="auto" w:fill="auto"/>
            <w:vAlign w:val="center"/>
          </w:tcPr>
          <w:p w14:paraId="0D4896BC">
            <w:pPr>
              <w:spacing w:line="240" w:lineRule="auto"/>
              <w:ind w:firstLine="0" w:firstLineChars="0"/>
              <w:jc w:val="center"/>
              <w:rPr>
                <w:rFonts w:cs="Times New Roman"/>
                <w:sz w:val="20"/>
                <w:szCs w:val="20"/>
              </w:rPr>
            </w:pPr>
            <w:r>
              <w:rPr>
                <w:rFonts w:cs="Times New Roman"/>
                <w:sz w:val="20"/>
                <w:szCs w:val="20"/>
              </w:rPr>
              <w:t>年度</w:t>
            </w:r>
          </w:p>
        </w:tc>
        <w:tc>
          <w:tcPr>
            <w:tcW w:w="703" w:type="pct"/>
            <w:tcBorders>
              <w:top w:val="single" w:color="auto" w:sz="4" w:space="0"/>
              <w:left w:val="nil"/>
              <w:bottom w:val="single" w:color="auto" w:sz="4" w:space="0"/>
              <w:right w:val="single" w:color="auto" w:sz="4" w:space="0"/>
            </w:tcBorders>
            <w:shd w:val="clear" w:color="auto" w:fill="auto"/>
            <w:vAlign w:val="center"/>
          </w:tcPr>
          <w:p w14:paraId="34CB6890">
            <w:pPr>
              <w:spacing w:line="240" w:lineRule="auto"/>
              <w:ind w:firstLine="0" w:firstLineChars="0"/>
              <w:jc w:val="center"/>
              <w:rPr>
                <w:rFonts w:cs="Times New Roman"/>
                <w:sz w:val="20"/>
                <w:szCs w:val="20"/>
              </w:rPr>
            </w:pPr>
            <w:r>
              <w:rPr>
                <w:rFonts w:cs="Times New Roman"/>
                <w:sz w:val="20"/>
                <w:szCs w:val="20"/>
              </w:rPr>
              <w:t>合计</w:t>
            </w:r>
          </w:p>
        </w:tc>
        <w:tc>
          <w:tcPr>
            <w:tcW w:w="703" w:type="pct"/>
            <w:tcBorders>
              <w:top w:val="single" w:color="auto" w:sz="4" w:space="0"/>
              <w:left w:val="nil"/>
              <w:bottom w:val="single" w:color="auto" w:sz="4" w:space="0"/>
              <w:right w:val="single" w:color="auto" w:sz="4" w:space="0"/>
            </w:tcBorders>
            <w:shd w:val="clear" w:color="auto" w:fill="auto"/>
            <w:vAlign w:val="center"/>
          </w:tcPr>
          <w:p w14:paraId="7A7733FA">
            <w:pPr>
              <w:spacing w:line="240" w:lineRule="auto"/>
              <w:ind w:firstLine="0" w:firstLineChars="0"/>
              <w:jc w:val="center"/>
              <w:rPr>
                <w:rFonts w:cs="Times New Roman"/>
                <w:sz w:val="20"/>
                <w:szCs w:val="20"/>
              </w:rPr>
            </w:pPr>
            <w:r>
              <w:rPr>
                <w:rFonts w:cs="Times New Roman"/>
                <w:sz w:val="20"/>
                <w:szCs w:val="20"/>
              </w:rPr>
              <w:t>轻度侵蚀</w:t>
            </w:r>
          </w:p>
        </w:tc>
        <w:tc>
          <w:tcPr>
            <w:tcW w:w="703" w:type="pct"/>
            <w:tcBorders>
              <w:top w:val="single" w:color="auto" w:sz="4" w:space="0"/>
              <w:left w:val="nil"/>
              <w:bottom w:val="single" w:color="auto" w:sz="4" w:space="0"/>
              <w:right w:val="single" w:color="auto" w:sz="4" w:space="0"/>
            </w:tcBorders>
            <w:shd w:val="clear" w:color="auto" w:fill="auto"/>
            <w:vAlign w:val="center"/>
          </w:tcPr>
          <w:p w14:paraId="4A11EB97">
            <w:pPr>
              <w:spacing w:line="240" w:lineRule="auto"/>
              <w:ind w:firstLine="0" w:firstLineChars="0"/>
              <w:jc w:val="center"/>
              <w:rPr>
                <w:rFonts w:cs="Times New Roman"/>
                <w:sz w:val="20"/>
                <w:szCs w:val="20"/>
              </w:rPr>
            </w:pPr>
            <w:r>
              <w:rPr>
                <w:rFonts w:cs="Times New Roman"/>
                <w:sz w:val="20"/>
                <w:szCs w:val="20"/>
              </w:rPr>
              <w:t>中度侵蚀</w:t>
            </w:r>
          </w:p>
        </w:tc>
        <w:tc>
          <w:tcPr>
            <w:tcW w:w="703" w:type="pct"/>
            <w:tcBorders>
              <w:top w:val="single" w:color="auto" w:sz="4" w:space="0"/>
              <w:left w:val="nil"/>
              <w:bottom w:val="single" w:color="auto" w:sz="4" w:space="0"/>
              <w:right w:val="single" w:color="auto" w:sz="4" w:space="0"/>
            </w:tcBorders>
            <w:shd w:val="clear" w:color="auto" w:fill="auto"/>
            <w:vAlign w:val="center"/>
          </w:tcPr>
          <w:p w14:paraId="2C87DDBE">
            <w:pPr>
              <w:spacing w:line="240" w:lineRule="auto"/>
              <w:ind w:firstLine="0" w:firstLineChars="0"/>
              <w:jc w:val="center"/>
              <w:rPr>
                <w:rFonts w:cs="Times New Roman"/>
                <w:sz w:val="20"/>
                <w:szCs w:val="20"/>
              </w:rPr>
            </w:pPr>
            <w:r>
              <w:rPr>
                <w:rFonts w:cs="Times New Roman"/>
                <w:sz w:val="20"/>
                <w:szCs w:val="20"/>
              </w:rPr>
              <w:t>强烈侵蚀</w:t>
            </w:r>
          </w:p>
        </w:tc>
        <w:tc>
          <w:tcPr>
            <w:tcW w:w="744" w:type="pct"/>
            <w:tcBorders>
              <w:top w:val="single" w:color="auto" w:sz="4" w:space="0"/>
              <w:left w:val="nil"/>
              <w:bottom w:val="single" w:color="auto" w:sz="4" w:space="0"/>
              <w:right w:val="single" w:color="auto" w:sz="4" w:space="0"/>
            </w:tcBorders>
            <w:shd w:val="clear" w:color="auto" w:fill="auto"/>
            <w:vAlign w:val="center"/>
          </w:tcPr>
          <w:p w14:paraId="73528C59">
            <w:pPr>
              <w:spacing w:line="240" w:lineRule="auto"/>
              <w:ind w:firstLine="0" w:firstLineChars="0"/>
              <w:jc w:val="center"/>
              <w:rPr>
                <w:rFonts w:cs="Times New Roman"/>
                <w:sz w:val="20"/>
                <w:szCs w:val="20"/>
              </w:rPr>
            </w:pPr>
            <w:r>
              <w:rPr>
                <w:rFonts w:cs="Times New Roman"/>
                <w:sz w:val="20"/>
                <w:szCs w:val="20"/>
              </w:rPr>
              <w:t>极强烈侵蚀</w:t>
            </w:r>
          </w:p>
        </w:tc>
        <w:tc>
          <w:tcPr>
            <w:tcW w:w="744" w:type="pct"/>
            <w:tcBorders>
              <w:top w:val="single" w:color="auto" w:sz="4" w:space="0"/>
              <w:left w:val="nil"/>
              <w:bottom w:val="single" w:color="auto" w:sz="4" w:space="0"/>
              <w:right w:val="single" w:color="auto" w:sz="4" w:space="0"/>
            </w:tcBorders>
            <w:shd w:val="clear" w:color="auto" w:fill="auto"/>
            <w:vAlign w:val="center"/>
          </w:tcPr>
          <w:p w14:paraId="40DF39BA">
            <w:pPr>
              <w:spacing w:line="240" w:lineRule="auto"/>
              <w:ind w:firstLine="0" w:firstLineChars="0"/>
              <w:jc w:val="center"/>
              <w:rPr>
                <w:rFonts w:cs="Times New Roman"/>
                <w:sz w:val="20"/>
                <w:szCs w:val="20"/>
              </w:rPr>
            </w:pPr>
            <w:r>
              <w:rPr>
                <w:rFonts w:cs="Times New Roman"/>
                <w:sz w:val="20"/>
                <w:szCs w:val="20"/>
              </w:rPr>
              <w:t>剧烈侵蚀</w:t>
            </w:r>
          </w:p>
        </w:tc>
      </w:tr>
      <w:tr w14:paraId="7F87ED01">
        <w:tblPrEx>
          <w:tblCellMar>
            <w:top w:w="0" w:type="dxa"/>
            <w:left w:w="108" w:type="dxa"/>
            <w:bottom w:w="0" w:type="dxa"/>
            <w:right w:w="108" w:type="dxa"/>
          </w:tblCellMar>
        </w:tblPrEx>
        <w:trPr>
          <w:trHeight w:val="290" w:hRule="atLeast"/>
        </w:trPr>
        <w:tc>
          <w:tcPr>
            <w:tcW w:w="703" w:type="pct"/>
            <w:tcBorders>
              <w:top w:val="nil"/>
              <w:left w:val="single" w:color="auto" w:sz="4" w:space="0"/>
              <w:bottom w:val="single" w:color="auto" w:sz="4" w:space="0"/>
              <w:right w:val="single" w:color="auto" w:sz="4" w:space="0"/>
            </w:tcBorders>
            <w:shd w:val="clear" w:color="auto" w:fill="auto"/>
            <w:noWrap/>
            <w:vAlign w:val="bottom"/>
          </w:tcPr>
          <w:p w14:paraId="4903F4D0">
            <w:pPr>
              <w:spacing w:line="240" w:lineRule="auto"/>
              <w:ind w:firstLine="0" w:firstLineChars="0"/>
              <w:rPr>
                <w:rFonts w:cs="Times New Roman"/>
                <w:sz w:val="20"/>
                <w:szCs w:val="20"/>
              </w:rPr>
            </w:pPr>
            <w:r>
              <w:rPr>
                <w:rFonts w:cs="Times New Roman"/>
                <w:sz w:val="20"/>
                <w:szCs w:val="20"/>
              </w:rPr>
              <w:t>2022年</w:t>
            </w:r>
          </w:p>
        </w:tc>
        <w:tc>
          <w:tcPr>
            <w:tcW w:w="703" w:type="pct"/>
            <w:tcBorders>
              <w:top w:val="nil"/>
              <w:left w:val="nil"/>
              <w:bottom w:val="single" w:color="auto" w:sz="4" w:space="0"/>
              <w:right w:val="single" w:color="auto" w:sz="4" w:space="0"/>
            </w:tcBorders>
            <w:shd w:val="clear" w:color="auto" w:fill="auto"/>
            <w:noWrap/>
            <w:vAlign w:val="bottom"/>
          </w:tcPr>
          <w:p w14:paraId="37D3BDA2">
            <w:pPr>
              <w:spacing w:line="240" w:lineRule="auto"/>
              <w:ind w:firstLine="0" w:firstLineChars="0"/>
              <w:jc w:val="right"/>
              <w:rPr>
                <w:rFonts w:cs="Times New Roman"/>
                <w:sz w:val="20"/>
                <w:szCs w:val="20"/>
              </w:rPr>
            </w:pPr>
            <w:r>
              <w:rPr>
                <w:rFonts w:cs="Times New Roman"/>
                <w:sz w:val="20"/>
                <w:szCs w:val="20"/>
              </w:rPr>
              <w:t>6598.37</w:t>
            </w:r>
          </w:p>
        </w:tc>
        <w:tc>
          <w:tcPr>
            <w:tcW w:w="703" w:type="pct"/>
            <w:tcBorders>
              <w:top w:val="nil"/>
              <w:left w:val="nil"/>
              <w:bottom w:val="single" w:color="auto" w:sz="4" w:space="0"/>
              <w:right w:val="single" w:color="auto" w:sz="4" w:space="0"/>
            </w:tcBorders>
            <w:shd w:val="clear" w:color="auto" w:fill="auto"/>
            <w:noWrap/>
            <w:vAlign w:val="bottom"/>
          </w:tcPr>
          <w:p w14:paraId="511EC32C">
            <w:pPr>
              <w:spacing w:line="240" w:lineRule="auto"/>
              <w:ind w:firstLine="0" w:firstLineChars="0"/>
              <w:jc w:val="right"/>
              <w:rPr>
                <w:rFonts w:cs="Times New Roman"/>
                <w:sz w:val="20"/>
                <w:szCs w:val="20"/>
              </w:rPr>
            </w:pPr>
            <w:r>
              <w:rPr>
                <w:rFonts w:cs="Times New Roman"/>
                <w:sz w:val="20"/>
                <w:szCs w:val="20"/>
              </w:rPr>
              <w:t>2204.6</w:t>
            </w:r>
          </w:p>
        </w:tc>
        <w:tc>
          <w:tcPr>
            <w:tcW w:w="703" w:type="pct"/>
            <w:tcBorders>
              <w:top w:val="nil"/>
              <w:left w:val="nil"/>
              <w:bottom w:val="single" w:color="auto" w:sz="4" w:space="0"/>
              <w:right w:val="single" w:color="auto" w:sz="4" w:space="0"/>
            </w:tcBorders>
            <w:shd w:val="clear" w:color="auto" w:fill="auto"/>
            <w:noWrap/>
            <w:vAlign w:val="bottom"/>
          </w:tcPr>
          <w:p w14:paraId="2432483A">
            <w:pPr>
              <w:spacing w:line="240" w:lineRule="auto"/>
              <w:ind w:firstLine="0" w:firstLineChars="0"/>
              <w:jc w:val="right"/>
              <w:rPr>
                <w:rFonts w:cs="Times New Roman"/>
                <w:sz w:val="20"/>
                <w:szCs w:val="20"/>
              </w:rPr>
            </w:pPr>
            <w:r>
              <w:rPr>
                <w:rFonts w:cs="Times New Roman"/>
                <w:sz w:val="20"/>
                <w:szCs w:val="20"/>
              </w:rPr>
              <w:t>239.41</w:t>
            </w:r>
          </w:p>
        </w:tc>
        <w:tc>
          <w:tcPr>
            <w:tcW w:w="703" w:type="pct"/>
            <w:tcBorders>
              <w:top w:val="nil"/>
              <w:left w:val="nil"/>
              <w:bottom w:val="single" w:color="auto" w:sz="4" w:space="0"/>
              <w:right w:val="single" w:color="auto" w:sz="4" w:space="0"/>
            </w:tcBorders>
            <w:shd w:val="clear" w:color="auto" w:fill="auto"/>
            <w:noWrap/>
            <w:vAlign w:val="bottom"/>
          </w:tcPr>
          <w:p w14:paraId="3809995C">
            <w:pPr>
              <w:spacing w:line="240" w:lineRule="auto"/>
              <w:ind w:firstLine="0" w:firstLineChars="0"/>
              <w:jc w:val="right"/>
              <w:rPr>
                <w:rFonts w:cs="Times New Roman"/>
                <w:sz w:val="20"/>
                <w:szCs w:val="20"/>
              </w:rPr>
            </w:pPr>
            <w:r>
              <w:rPr>
                <w:rFonts w:cs="Times New Roman"/>
                <w:sz w:val="20"/>
                <w:szCs w:val="20"/>
              </w:rPr>
              <w:t>3400.54</w:t>
            </w:r>
          </w:p>
        </w:tc>
        <w:tc>
          <w:tcPr>
            <w:tcW w:w="744" w:type="pct"/>
            <w:tcBorders>
              <w:top w:val="nil"/>
              <w:left w:val="nil"/>
              <w:bottom w:val="single" w:color="auto" w:sz="4" w:space="0"/>
              <w:right w:val="single" w:color="auto" w:sz="4" w:space="0"/>
            </w:tcBorders>
            <w:shd w:val="clear" w:color="auto" w:fill="auto"/>
            <w:noWrap/>
            <w:vAlign w:val="bottom"/>
          </w:tcPr>
          <w:p w14:paraId="634D326A">
            <w:pPr>
              <w:spacing w:line="240" w:lineRule="auto"/>
              <w:ind w:firstLine="0" w:firstLineChars="0"/>
              <w:jc w:val="right"/>
              <w:rPr>
                <w:rFonts w:cs="Times New Roman"/>
                <w:sz w:val="20"/>
                <w:szCs w:val="20"/>
              </w:rPr>
            </w:pPr>
            <w:r>
              <w:rPr>
                <w:rFonts w:cs="Times New Roman"/>
                <w:sz w:val="20"/>
                <w:szCs w:val="20"/>
              </w:rPr>
              <w:t>749.04</w:t>
            </w:r>
          </w:p>
        </w:tc>
        <w:tc>
          <w:tcPr>
            <w:tcW w:w="744" w:type="pct"/>
            <w:tcBorders>
              <w:top w:val="nil"/>
              <w:left w:val="nil"/>
              <w:bottom w:val="single" w:color="auto" w:sz="4" w:space="0"/>
              <w:right w:val="single" w:color="auto" w:sz="4" w:space="0"/>
            </w:tcBorders>
            <w:shd w:val="clear" w:color="auto" w:fill="auto"/>
            <w:noWrap/>
            <w:vAlign w:val="bottom"/>
          </w:tcPr>
          <w:p w14:paraId="2393FE1A">
            <w:pPr>
              <w:spacing w:line="240" w:lineRule="auto"/>
              <w:ind w:firstLine="0" w:firstLineChars="0"/>
              <w:jc w:val="right"/>
              <w:rPr>
                <w:rFonts w:cs="Times New Roman"/>
                <w:sz w:val="20"/>
                <w:szCs w:val="20"/>
              </w:rPr>
            </w:pPr>
            <w:r>
              <w:rPr>
                <w:rFonts w:cs="Times New Roman"/>
                <w:sz w:val="20"/>
                <w:szCs w:val="20"/>
              </w:rPr>
              <w:t>4.78</w:t>
            </w:r>
          </w:p>
        </w:tc>
      </w:tr>
      <w:tr w14:paraId="35035926">
        <w:tblPrEx>
          <w:tblCellMar>
            <w:top w:w="0" w:type="dxa"/>
            <w:left w:w="108" w:type="dxa"/>
            <w:bottom w:w="0" w:type="dxa"/>
            <w:right w:w="108" w:type="dxa"/>
          </w:tblCellMar>
        </w:tblPrEx>
        <w:trPr>
          <w:trHeight w:val="290" w:hRule="atLeast"/>
        </w:trPr>
        <w:tc>
          <w:tcPr>
            <w:tcW w:w="703" w:type="pct"/>
            <w:tcBorders>
              <w:top w:val="nil"/>
              <w:left w:val="single" w:color="auto" w:sz="4" w:space="0"/>
              <w:bottom w:val="single" w:color="auto" w:sz="4" w:space="0"/>
              <w:right w:val="single" w:color="auto" w:sz="4" w:space="0"/>
            </w:tcBorders>
            <w:shd w:val="clear" w:color="auto" w:fill="auto"/>
            <w:noWrap/>
            <w:vAlign w:val="bottom"/>
          </w:tcPr>
          <w:p w14:paraId="1C9C3D18">
            <w:pPr>
              <w:spacing w:line="240" w:lineRule="auto"/>
              <w:ind w:firstLine="0" w:firstLineChars="0"/>
              <w:rPr>
                <w:rFonts w:cs="Times New Roman"/>
                <w:sz w:val="20"/>
                <w:szCs w:val="20"/>
              </w:rPr>
            </w:pPr>
            <w:r>
              <w:rPr>
                <w:rFonts w:cs="Times New Roman"/>
                <w:sz w:val="20"/>
                <w:szCs w:val="20"/>
              </w:rPr>
              <w:t>2011年</w:t>
            </w:r>
          </w:p>
        </w:tc>
        <w:tc>
          <w:tcPr>
            <w:tcW w:w="703" w:type="pct"/>
            <w:tcBorders>
              <w:top w:val="nil"/>
              <w:left w:val="nil"/>
              <w:bottom w:val="single" w:color="auto" w:sz="4" w:space="0"/>
              <w:right w:val="single" w:color="auto" w:sz="4" w:space="0"/>
            </w:tcBorders>
            <w:shd w:val="clear" w:color="auto" w:fill="auto"/>
            <w:noWrap/>
            <w:vAlign w:val="bottom"/>
          </w:tcPr>
          <w:p w14:paraId="30E093C4">
            <w:pPr>
              <w:spacing w:line="240" w:lineRule="auto"/>
              <w:ind w:firstLine="0" w:firstLineChars="0"/>
              <w:jc w:val="right"/>
              <w:rPr>
                <w:rFonts w:cs="Times New Roman"/>
                <w:sz w:val="20"/>
                <w:szCs w:val="20"/>
              </w:rPr>
            </w:pPr>
            <w:r>
              <w:rPr>
                <w:rFonts w:cs="Times New Roman"/>
                <w:sz w:val="20"/>
                <w:szCs w:val="20"/>
              </w:rPr>
              <w:t>7406.3</w:t>
            </w:r>
          </w:p>
        </w:tc>
        <w:tc>
          <w:tcPr>
            <w:tcW w:w="703" w:type="pct"/>
            <w:tcBorders>
              <w:top w:val="nil"/>
              <w:left w:val="nil"/>
              <w:bottom w:val="single" w:color="auto" w:sz="4" w:space="0"/>
              <w:right w:val="single" w:color="auto" w:sz="4" w:space="0"/>
            </w:tcBorders>
            <w:shd w:val="clear" w:color="auto" w:fill="auto"/>
            <w:noWrap/>
            <w:vAlign w:val="bottom"/>
          </w:tcPr>
          <w:p w14:paraId="32919C12">
            <w:pPr>
              <w:spacing w:line="240" w:lineRule="auto"/>
              <w:ind w:firstLine="0" w:firstLineChars="0"/>
              <w:jc w:val="right"/>
              <w:rPr>
                <w:rFonts w:cs="Times New Roman"/>
                <w:sz w:val="20"/>
                <w:szCs w:val="20"/>
              </w:rPr>
            </w:pPr>
            <w:r>
              <w:rPr>
                <w:rFonts w:cs="Times New Roman"/>
                <w:sz w:val="20"/>
                <w:szCs w:val="20"/>
              </w:rPr>
              <w:t>2293.46</w:t>
            </w:r>
          </w:p>
        </w:tc>
        <w:tc>
          <w:tcPr>
            <w:tcW w:w="703" w:type="pct"/>
            <w:tcBorders>
              <w:top w:val="nil"/>
              <w:left w:val="nil"/>
              <w:bottom w:val="single" w:color="auto" w:sz="4" w:space="0"/>
              <w:right w:val="single" w:color="auto" w:sz="4" w:space="0"/>
            </w:tcBorders>
            <w:shd w:val="clear" w:color="auto" w:fill="auto"/>
            <w:noWrap/>
            <w:vAlign w:val="bottom"/>
          </w:tcPr>
          <w:p w14:paraId="171D3E86">
            <w:pPr>
              <w:spacing w:line="240" w:lineRule="auto"/>
              <w:ind w:firstLine="0" w:firstLineChars="0"/>
              <w:jc w:val="right"/>
              <w:rPr>
                <w:rFonts w:cs="Times New Roman"/>
                <w:sz w:val="20"/>
                <w:szCs w:val="20"/>
              </w:rPr>
            </w:pPr>
            <w:r>
              <w:rPr>
                <w:rFonts w:cs="Times New Roman"/>
                <w:sz w:val="20"/>
                <w:szCs w:val="20"/>
              </w:rPr>
              <w:t>278.19</w:t>
            </w:r>
          </w:p>
        </w:tc>
        <w:tc>
          <w:tcPr>
            <w:tcW w:w="703" w:type="pct"/>
            <w:tcBorders>
              <w:top w:val="nil"/>
              <w:left w:val="nil"/>
              <w:bottom w:val="single" w:color="auto" w:sz="4" w:space="0"/>
              <w:right w:val="single" w:color="auto" w:sz="4" w:space="0"/>
            </w:tcBorders>
            <w:shd w:val="clear" w:color="auto" w:fill="auto"/>
            <w:noWrap/>
            <w:vAlign w:val="bottom"/>
          </w:tcPr>
          <w:p w14:paraId="57F4684E">
            <w:pPr>
              <w:spacing w:line="240" w:lineRule="auto"/>
              <w:ind w:firstLine="0" w:firstLineChars="0"/>
              <w:jc w:val="right"/>
              <w:rPr>
                <w:rFonts w:cs="Times New Roman"/>
                <w:sz w:val="20"/>
                <w:szCs w:val="20"/>
              </w:rPr>
            </w:pPr>
            <w:r>
              <w:rPr>
                <w:rFonts w:cs="Times New Roman"/>
                <w:sz w:val="20"/>
                <w:szCs w:val="20"/>
              </w:rPr>
              <w:t>1.22</w:t>
            </w:r>
          </w:p>
        </w:tc>
        <w:tc>
          <w:tcPr>
            <w:tcW w:w="744" w:type="pct"/>
            <w:tcBorders>
              <w:top w:val="nil"/>
              <w:left w:val="nil"/>
              <w:bottom w:val="single" w:color="auto" w:sz="4" w:space="0"/>
              <w:right w:val="single" w:color="auto" w:sz="4" w:space="0"/>
            </w:tcBorders>
            <w:shd w:val="clear" w:color="auto" w:fill="auto"/>
            <w:noWrap/>
            <w:vAlign w:val="bottom"/>
          </w:tcPr>
          <w:p w14:paraId="56525911">
            <w:pPr>
              <w:spacing w:line="240" w:lineRule="auto"/>
              <w:ind w:firstLine="0" w:firstLineChars="0"/>
              <w:jc w:val="right"/>
              <w:rPr>
                <w:rFonts w:cs="Times New Roman"/>
                <w:sz w:val="20"/>
                <w:szCs w:val="20"/>
              </w:rPr>
            </w:pPr>
            <w:r>
              <w:rPr>
                <w:rFonts w:cs="Times New Roman"/>
                <w:sz w:val="20"/>
                <w:szCs w:val="20"/>
              </w:rPr>
              <w:t>2717.01</w:t>
            </w:r>
          </w:p>
        </w:tc>
        <w:tc>
          <w:tcPr>
            <w:tcW w:w="744" w:type="pct"/>
            <w:tcBorders>
              <w:top w:val="nil"/>
              <w:left w:val="nil"/>
              <w:bottom w:val="single" w:color="auto" w:sz="4" w:space="0"/>
              <w:right w:val="single" w:color="auto" w:sz="4" w:space="0"/>
            </w:tcBorders>
            <w:shd w:val="clear" w:color="auto" w:fill="auto"/>
            <w:noWrap/>
            <w:vAlign w:val="bottom"/>
          </w:tcPr>
          <w:p w14:paraId="302FCE1F">
            <w:pPr>
              <w:spacing w:line="240" w:lineRule="auto"/>
              <w:ind w:firstLine="0" w:firstLineChars="0"/>
              <w:jc w:val="right"/>
              <w:rPr>
                <w:rFonts w:cs="Times New Roman"/>
                <w:sz w:val="20"/>
                <w:szCs w:val="20"/>
              </w:rPr>
            </w:pPr>
            <w:r>
              <w:rPr>
                <w:rFonts w:cs="Times New Roman"/>
                <w:sz w:val="20"/>
                <w:szCs w:val="20"/>
              </w:rPr>
              <w:t>2116.42</w:t>
            </w:r>
          </w:p>
        </w:tc>
      </w:tr>
      <w:tr w14:paraId="7493B301">
        <w:tblPrEx>
          <w:tblCellMar>
            <w:top w:w="0" w:type="dxa"/>
            <w:left w:w="108" w:type="dxa"/>
            <w:bottom w:w="0" w:type="dxa"/>
            <w:right w:w="108" w:type="dxa"/>
          </w:tblCellMar>
        </w:tblPrEx>
        <w:trPr>
          <w:trHeight w:val="290" w:hRule="atLeast"/>
        </w:trPr>
        <w:tc>
          <w:tcPr>
            <w:tcW w:w="703" w:type="pct"/>
            <w:tcBorders>
              <w:top w:val="nil"/>
              <w:left w:val="single" w:color="auto" w:sz="4" w:space="0"/>
              <w:bottom w:val="single" w:color="auto" w:sz="4" w:space="0"/>
              <w:right w:val="single" w:color="auto" w:sz="4" w:space="0"/>
            </w:tcBorders>
            <w:shd w:val="clear" w:color="auto" w:fill="auto"/>
            <w:noWrap/>
            <w:vAlign w:val="bottom"/>
          </w:tcPr>
          <w:p w14:paraId="5C7FD122">
            <w:pPr>
              <w:spacing w:line="240" w:lineRule="auto"/>
              <w:ind w:firstLine="0" w:firstLineChars="0"/>
              <w:rPr>
                <w:rFonts w:cs="Times New Roman"/>
                <w:sz w:val="20"/>
                <w:szCs w:val="20"/>
              </w:rPr>
            </w:pPr>
            <w:r>
              <w:rPr>
                <w:rFonts w:cs="Times New Roman"/>
                <w:sz w:val="20"/>
                <w:szCs w:val="20"/>
              </w:rPr>
              <w:t>消长情况</w:t>
            </w:r>
          </w:p>
        </w:tc>
        <w:tc>
          <w:tcPr>
            <w:tcW w:w="703" w:type="pct"/>
            <w:tcBorders>
              <w:top w:val="nil"/>
              <w:left w:val="nil"/>
              <w:bottom w:val="single" w:color="auto" w:sz="4" w:space="0"/>
              <w:right w:val="single" w:color="auto" w:sz="4" w:space="0"/>
            </w:tcBorders>
            <w:shd w:val="clear" w:color="auto" w:fill="auto"/>
            <w:noWrap/>
            <w:vAlign w:val="bottom"/>
          </w:tcPr>
          <w:p w14:paraId="2E86E663">
            <w:pPr>
              <w:spacing w:line="240" w:lineRule="auto"/>
              <w:ind w:firstLine="0" w:firstLineChars="0"/>
              <w:jc w:val="right"/>
              <w:rPr>
                <w:rFonts w:cs="Times New Roman"/>
                <w:sz w:val="20"/>
                <w:szCs w:val="20"/>
              </w:rPr>
            </w:pPr>
            <w:r>
              <w:rPr>
                <w:rFonts w:cs="Times New Roman"/>
                <w:sz w:val="20"/>
                <w:szCs w:val="20"/>
              </w:rPr>
              <w:t>-807.93</w:t>
            </w:r>
          </w:p>
        </w:tc>
        <w:tc>
          <w:tcPr>
            <w:tcW w:w="703" w:type="pct"/>
            <w:tcBorders>
              <w:top w:val="nil"/>
              <w:left w:val="nil"/>
              <w:bottom w:val="single" w:color="auto" w:sz="4" w:space="0"/>
              <w:right w:val="single" w:color="auto" w:sz="4" w:space="0"/>
            </w:tcBorders>
            <w:shd w:val="clear" w:color="auto" w:fill="auto"/>
            <w:noWrap/>
            <w:vAlign w:val="bottom"/>
          </w:tcPr>
          <w:p w14:paraId="08412010">
            <w:pPr>
              <w:spacing w:line="240" w:lineRule="auto"/>
              <w:ind w:firstLine="0" w:firstLineChars="0"/>
              <w:jc w:val="right"/>
              <w:rPr>
                <w:rFonts w:cs="Times New Roman"/>
                <w:sz w:val="20"/>
                <w:szCs w:val="20"/>
              </w:rPr>
            </w:pPr>
            <w:r>
              <w:rPr>
                <w:rFonts w:cs="Times New Roman"/>
                <w:sz w:val="20"/>
                <w:szCs w:val="20"/>
              </w:rPr>
              <w:t>-88.86</w:t>
            </w:r>
          </w:p>
        </w:tc>
        <w:tc>
          <w:tcPr>
            <w:tcW w:w="703" w:type="pct"/>
            <w:tcBorders>
              <w:top w:val="nil"/>
              <w:left w:val="nil"/>
              <w:bottom w:val="single" w:color="auto" w:sz="4" w:space="0"/>
              <w:right w:val="single" w:color="auto" w:sz="4" w:space="0"/>
            </w:tcBorders>
            <w:shd w:val="clear" w:color="auto" w:fill="auto"/>
            <w:noWrap/>
            <w:vAlign w:val="bottom"/>
          </w:tcPr>
          <w:p w14:paraId="4577ACDA">
            <w:pPr>
              <w:spacing w:line="240" w:lineRule="auto"/>
              <w:ind w:firstLine="0" w:firstLineChars="0"/>
              <w:jc w:val="right"/>
              <w:rPr>
                <w:rFonts w:cs="Times New Roman"/>
                <w:sz w:val="20"/>
                <w:szCs w:val="20"/>
              </w:rPr>
            </w:pPr>
            <w:r>
              <w:rPr>
                <w:rFonts w:cs="Times New Roman"/>
                <w:sz w:val="20"/>
                <w:szCs w:val="20"/>
              </w:rPr>
              <w:t>-38.78</w:t>
            </w:r>
          </w:p>
        </w:tc>
        <w:tc>
          <w:tcPr>
            <w:tcW w:w="703" w:type="pct"/>
            <w:tcBorders>
              <w:top w:val="nil"/>
              <w:left w:val="nil"/>
              <w:bottom w:val="single" w:color="auto" w:sz="4" w:space="0"/>
              <w:right w:val="single" w:color="auto" w:sz="4" w:space="0"/>
            </w:tcBorders>
            <w:shd w:val="clear" w:color="auto" w:fill="auto"/>
            <w:noWrap/>
            <w:vAlign w:val="bottom"/>
          </w:tcPr>
          <w:p w14:paraId="1B2EF306">
            <w:pPr>
              <w:spacing w:line="240" w:lineRule="auto"/>
              <w:ind w:firstLine="0" w:firstLineChars="0"/>
              <w:jc w:val="right"/>
              <w:rPr>
                <w:rFonts w:cs="Times New Roman"/>
                <w:sz w:val="20"/>
                <w:szCs w:val="20"/>
              </w:rPr>
            </w:pPr>
            <w:r>
              <w:rPr>
                <w:rFonts w:cs="Times New Roman"/>
                <w:sz w:val="20"/>
                <w:szCs w:val="20"/>
              </w:rPr>
              <w:t>3399.32</w:t>
            </w:r>
          </w:p>
        </w:tc>
        <w:tc>
          <w:tcPr>
            <w:tcW w:w="744" w:type="pct"/>
            <w:tcBorders>
              <w:top w:val="nil"/>
              <w:left w:val="nil"/>
              <w:bottom w:val="single" w:color="auto" w:sz="4" w:space="0"/>
              <w:right w:val="single" w:color="auto" w:sz="4" w:space="0"/>
            </w:tcBorders>
            <w:shd w:val="clear" w:color="auto" w:fill="auto"/>
            <w:noWrap/>
            <w:vAlign w:val="bottom"/>
          </w:tcPr>
          <w:p w14:paraId="732E001F">
            <w:pPr>
              <w:spacing w:line="240" w:lineRule="auto"/>
              <w:ind w:firstLine="0" w:firstLineChars="0"/>
              <w:jc w:val="right"/>
              <w:rPr>
                <w:rFonts w:cs="Times New Roman"/>
                <w:sz w:val="20"/>
                <w:szCs w:val="20"/>
              </w:rPr>
            </w:pPr>
            <w:r>
              <w:rPr>
                <w:rFonts w:cs="Times New Roman"/>
                <w:sz w:val="20"/>
                <w:szCs w:val="20"/>
              </w:rPr>
              <w:t>-1967.97</w:t>
            </w:r>
          </w:p>
        </w:tc>
        <w:tc>
          <w:tcPr>
            <w:tcW w:w="744" w:type="pct"/>
            <w:tcBorders>
              <w:top w:val="nil"/>
              <w:left w:val="nil"/>
              <w:bottom w:val="single" w:color="auto" w:sz="4" w:space="0"/>
              <w:right w:val="single" w:color="auto" w:sz="4" w:space="0"/>
            </w:tcBorders>
            <w:shd w:val="clear" w:color="auto" w:fill="auto"/>
            <w:noWrap/>
            <w:vAlign w:val="bottom"/>
          </w:tcPr>
          <w:p w14:paraId="46C7A863">
            <w:pPr>
              <w:spacing w:line="240" w:lineRule="auto"/>
              <w:ind w:firstLine="0" w:firstLineChars="0"/>
              <w:jc w:val="right"/>
              <w:rPr>
                <w:rFonts w:cs="Times New Roman"/>
                <w:sz w:val="20"/>
                <w:szCs w:val="20"/>
              </w:rPr>
            </w:pPr>
            <w:r>
              <w:rPr>
                <w:rFonts w:cs="Times New Roman"/>
                <w:sz w:val="20"/>
                <w:szCs w:val="20"/>
              </w:rPr>
              <w:t>-2111.64</w:t>
            </w:r>
          </w:p>
        </w:tc>
      </w:tr>
    </w:tbl>
    <w:p w14:paraId="0DD81147">
      <w:pPr>
        <w:adjustRightInd w:val="0"/>
        <w:snapToGrid w:val="0"/>
        <w:ind w:firstLine="480"/>
        <w:jc w:val="both"/>
        <w:rPr>
          <w:rFonts w:cs="Times New Roman"/>
        </w:rPr>
      </w:pPr>
    </w:p>
    <w:p w14:paraId="7B0A441B">
      <w:pPr>
        <w:adjustRightInd w:val="0"/>
        <w:snapToGrid w:val="0"/>
        <w:ind w:firstLine="480"/>
        <w:jc w:val="both"/>
        <w:rPr>
          <w:rFonts w:cs="Times New Roman"/>
        </w:rPr>
      </w:pPr>
    </w:p>
    <w:p w14:paraId="114FF118">
      <w:pPr>
        <w:adjustRightInd w:val="0"/>
        <w:snapToGrid w:val="0"/>
        <w:ind w:firstLine="480"/>
        <w:jc w:val="both"/>
        <w:rPr>
          <w:rFonts w:cs="Times New Roman"/>
          <w:szCs w:val="28"/>
          <w:vertAlign w:val="superscript"/>
        </w:rPr>
      </w:pPr>
      <w:r>
        <w:rPr>
          <w:rFonts w:cs="Times New Roman"/>
        </w:rPr>
        <w:t>表</w:t>
      </w:r>
      <w:r>
        <w:rPr>
          <w:rFonts w:cs="Times New Roman"/>
          <w:snapToGrid w:val="0"/>
        </w:rPr>
        <w:t xml:space="preserve">2.1-4        </w:t>
      </w:r>
      <w:r>
        <w:rPr>
          <w:rFonts w:cs="Times New Roman"/>
          <w:b/>
        </w:rPr>
        <w:t>2018年水土流失面积变化情况表</w:t>
      </w:r>
      <w:r>
        <w:rPr>
          <w:rFonts w:cs="Times New Roman"/>
        </w:rPr>
        <w:t xml:space="preserve"> </w:t>
      </w:r>
      <w:r>
        <w:rPr>
          <w:rFonts w:hint="eastAsia" w:cs="Times New Roman"/>
          <w:b/>
        </w:rPr>
        <w:t>（含兵团）</w:t>
      </w:r>
      <w:r>
        <w:rPr>
          <w:rFonts w:cs="Times New Roman"/>
        </w:rPr>
        <w:t xml:space="preserve">      </w:t>
      </w:r>
    </w:p>
    <w:tbl>
      <w:tblPr>
        <w:tblStyle w:val="48"/>
        <w:tblW w:w="5000" w:type="pct"/>
        <w:tblInd w:w="0" w:type="dxa"/>
        <w:tblLayout w:type="autofit"/>
        <w:tblCellMar>
          <w:top w:w="0" w:type="dxa"/>
          <w:left w:w="108" w:type="dxa"/>
          <w:bottom w:w="0" w:type="dxa"/>
          <w:right w:w="108" w:type="dxa"/>
        </w:tblCellMar>
      </w:tblPr>
      <w:tblGrid>
        <w:gridCol w:w="1184"/>
        <w:gridCol w:w="1184"/>
        <w:gridCol w:w="1184"/>
        <w:gridCol w:w="1184"/>
        <w:gridCol w:w="1184"/>
        <w:gridCol w:w="1304"/>
        <w:gridCol w:w="1305"/>
      </w:tblGrid>
      <w:tr w14:paraId="4C5F1ED6">
        <w:tblPrEx>
          <w:tblCellMar>
            <w:top w:w="0" w:type="dxa"/>
            <w:left w:w="108" w:type="dxa"/>
            <w:bottom w:w="0" w:type="dxa"/>
            <w:right w:w="108" w:type="dxa"/>
          </w:tblCellMar>
        </w:tblPrEx>
        <w:trPr>
          <w:trHeight w:val="540" w:hRule="atLeast"/>
        </w:trPr>
        <w:tc>
          <w:tcPr>
            <w:tcW w:w="694" w:type="pct"/>
            <w:tcBorders>
              <w:top w:val="single" w:color="auto" w:sz="4" w:space="0"/>
              <w:left w:val="single" w:color="auto" w:sz="4" w:space="0"/>
              <w:bottom w:val="single" w:color="auto" w:sz="4" w:space="0"/>
              <w:right w:val="single" w:color="auto" w:sz="4" w:space="0"/>
            </w:tcBorders>
            <w:shd w:val="clear" w:color="auto" w:fill="auto"/>
            <w:vAlign w:val="center"/>
          </w:tcPr>
          <w:p w14:paraId="722A4579">
            <w:pPr>
              <w:spacing w:line="240" w:lineRule="auto"/>
              <w:ind w:firstLine="0" w:firstLineChars="0"/>
              <w:jc w:val="center"/>
              <w:rPr>
                <w:rFonts w:cs="Times New Roman"/>
                <w:sz w:val="21"/>
                <w:szCs w:val="21"/>
              </w:rPr>
            </w:pPr>
            <w:r>
              <w:rPr>
                <w:rFonts w:cs="Times New Roman"/>
                <w:sz w:val="21"/>
                <w:szCs w:val="21"/>
              </w:rPr>
              <w:t>年度</w:t>
            </w:r>
          </w:p>
        </w:tc>
        <w:tc>
          <w:tcPr>
            <w:tcW w:w="694" w:type="pct"/>
            <w:tcBorders>
              <w:top w:val="single" w:color="auto" w:sz="4" w:space="0"/>
              <w:left w:val="nil"/>
              <w:bottom w:val="single" w:color="auto" w:sz="4" w:space="0"/>
              <w:right w:val="single" w:color="auto" w:sz="4" w:space="0"/>
            </w:tcBorders>
            <w:shd w:val="clear" w:color="auto" w:fill="auto"/>
            <w:vAlign w:val="center"/>
          </w:tcPr>
          <w:p w14:paraId="5AB833FB">
            <w:pPr>
              <w:spacing w:line="240" w:lineRule="auto"/>
              <w:ind w:firstLine="0" w:firstLineChars="0"/>
              <w:jc w:val="center"/>
              <w:rPr>
                <w:rFonts w:cs="Times New Roman"/>
                <w:sz w:val="21"/>
                <w:szCs w:val="21"/>
              </w:rPr>
            </w:pPr>
            <w:r>
              <w:rPr>
                <w:rFonts w:cs="Times New Roman"/>
                <w:sz w:val="21"/>
                <w:szCs w:val="21"/>
              </w:rPr>
              <w:t>合计</w:t>
            </w:r>
          </w:p>
        </w:tc>
        <w:tc>
          <w:tcPr>
            <w:tcW w:w="694" w:type="pct"/>
            <w:tcBorders>
              <w:top w:val="single" w:color="auto" w:sz="4" w:space="0"/>
              <w:left w:val="nil"/>
              <w:bottom w:val="single" w:color="auto" w:sz="4" w:space="0"/>
              <w:right w:val="single" w:color="auto" w:sz="4" w:space="0"/>
            </w:tcBorders>
            <w:shd w:val="clear" w:color="auto" w:fill="auto"/>
            <w:vAlign w:val="center"/>
          </w:tcPr>
          <w:p w14:paraId="67AF1C4B">
            <w:pPr>
              <w:spacing w:line="240" w:lineRule="auto"/>
              <w:ind w:firstLine="0" w:firstLineChars="0"/>
              <w:jc w:val="center"/>
              <w:rPr>
                <w:rFonts w:cs="Times New Roman"/>
                <w:sz w:val="21"/>
                <w:szCs w:val="21"/>
              </w:rPr>
            </w:pPr>
            <w:r>
              <w:rPr>
                <w:rFonts w:cs="Times New Roman"/>
                <w:sz w:val="21"/>
                <w:szCs w:val="21"/>
              </w:rPr>
              <w:t>轻度侵蚀</w:t>
            </w:r>
          </w:p>
        </w:tc>
        <w:tc>
          <w:tcPr>
            <w:tcW w:w="694" w:type="pct"/>
            <w:tcBorders>
              <w:top w:val="single" w:color="auto" w:sz="4" w:space="0"/>
              <w:left w:val="nil"/>
              <w:bottom w:val="single" w:color="auto" w:sz="4" w:space="0"/>
              <w:right w:val="single" w:color="auto" w:sz="4" w:space="0"/>
            </w:tcBorders>
            <w:shd w:val="clear" w:color="auto" w:fill="auto"/>
            <w:vAlign w:val="center"/>
          </w:tcPr>
          <w:p w14:paraId="43DD499B">
            <w:pPr>
              <w:spacing w:line="240" w:lineRule="auto"/>
              <w:ind w:firstLine="0" w:firstLineChars="0"/>
              <w:jc w:val="center"/>
              <w:rPr>
                <w:rFonts w:cs="Times New Roman"/>
                <w:sz w:val="21"/>
                <w:szCs w:val="21"/>
              </w:rPr>
            </w:pPr>
            <w:r>
              <w:rPr>
                <w:rFonts w:cs="Times New Roman"/>
                <w:sz w:val="21"/>
                <w:szCs w:val="21"/>
              </w:rPr>
              <w:t>中度侵蚀</w:t>
            </w:r>
          </w:p>
        </w:tc>
        <w:tc>
          <w:tcPr>
            <w:tcW w:w="694" w:type="pct"/>
            <w:tcBorders>
              <w:top w:val="single" w:color="auto" w:sz="4" w:space="0"/>
              <w:left w:val="nil"/>
              <w:bottom w:val="single" w:color="auto" w:sz="4" w:space="0"/>
              <w:right w:val="single" w:color="auto" w:sz="4" w:space="0"/>
            </w:tcBorders>
            <w:shd w:val="clear" w:color="auto" w:fill="auto"/>
            <w:vAlign w:val="center"/>
          </w:tcPr>
          <w:p w14:paraId="1B5D896A">
            <w:pPr>
              <w:spacing w:line="240" w:lineRule="auto"/>
              <w:ind w:firstLine="0" w:firstLineChars="0"/>
              <w:jc w:val="center"/>
              <w:rPr>
                <w:rFonts w:cs="Times New Roman"/>
                <w:sz w:val="21"/>
                <w:szCs w:val="21"/>
              </w:rPr>
            </w:pPr>
            <w:r>
              <w:rPr>
                <w:rFonts w:cs="Times New Roman"/>
                <w:sz w:val="21"/>
                <w:szCs w:val="21"/>
              </w:rPr>
              <w:t>强烈侵蚀</w:t>
            </w:r>
          </w:p>
        </w:tc>
        <w:tc>
          <w:tcPr>
            <w:tcW w:w="764" w:type="pct"/>
            <w:tcBorders>
              <w:top w:val="single" w:color="auto" w:sz="4" w:space="0"/>
              <w:left w:val="nil"/>
              <w:bottom w:val="single" w:color="auto" w:sz="4" w:space="0"/>
              <w:right w:val="single" w:color="auto" w:sz="4" w:space="0"/>
            </w:tcBorders>
            <w:shd w:val="clear" w:color="auto" w:fill="auto"/>
            <w:vAlign w:val="center"/>
          </w:tcPr>
          <w:p w14:paraId="6E6D73A2">
            <w:pPr>
              <w:spacing w:line="240" w:lineRule="auto"/>
              <w:ind w:firstLine="0" w:firstLineChars="0"/>
              <w:jc w:val="center"/>
              <w:rPr>
                <w:rFonts w:cs="Times New Roman"/>
                <w:sz w:val="21"/>
                <w:szCs w:val="21"/>
              </w:rPr>
            </w:pPr>
            <w:r>
              <w:rPr>
                <w:rFonts w:cs="Times New Roman"/>
                <w:sz w:val="21"/>
                <w:szCs w:val="21"/>
              </w:rPr>
              <w:t>极强烈侵蚀</w:t>
            </w:r>
          </w:p>
        </w:tc>
        <w:tc>
          <w:tcPr>
            <w:tcW w:w="764" w:type="pct"/>
            <w:tcBorders>
              <w:top w:val="single" w:color="auto" w:sz="4" w:space="0"/>
              <w:left w:val="nil"/>
              <w:bottom w:val="single" w:color="auto" w:sz="4" w:space="0"/>
              <w:right w:val="single" w:color="auto" w:sz="4" w:space="0"/>
            </w:tcBorders>
            <w:shd w:val="clear" w:color="auto" w:fill="auto"/>
            <w:vAlign w:val="center"/>
          </w:tcPr>
          <w:p w14:paraId="77F9FCAB">
            <w:pPr>
              <w:spacing w:line="240" w:lineRule="auto"/>
              <w:ind w:firstLine="0" w:firstLineChars="0"/>
              <w:jc w:val="center"/>
              <w:rPr>
                <w:rFonts w:cs="Times New Roman"/>
                <w:sz w:val="21"/>
                <w:szCs w:val="21"/>
              </w:rPr>
            </w:pPr>
            <w:r>
              <w:rPr>
                <w:rFonts w:cs="Times New Roman"/>
                <w:sz w:val="21"/>
                <w:szCs w:val="21"/>
              </w:rPr>
              <w:t>剧烈侵蚀</w:t>
            </w:r>
          </w:p>
        </w:tc>
      </w:tr>
      <w:tr w14:paraId="73B14BBF">
        <w:tblPrEx>
          <w:tblCellMar>
            <w:top w:w="0" w:type="dxa"/>
            <w:left w:w="108" w:type="dxa"/>
            <w:bottom w:w="0" w:type="dxa"/>
            <w:right w:w="108" w:type="dxa"/>
          </w:tblCellMar>
        </w:tblPrEx>
        <w:trPr>
          <w:trHeight w:val="280" w:hRule="atLeast"/>
        </w:trPr>
        <w:tc>
          <w:tcPr>
            <w:tcW w:w="694" w:type="pct"/>
            <w:tcBorders>
              <w:top w:val="nil"/>
              <w:left w:val="single" w:color="auto" w:sz="4" w:space="0"/>
              <w:bottom w:val="single" w:color="auto" w:sz="4" w:space="0"/>
              <w:right w:val="single" w:color="auto" w:sz="4" w:space="0"/>
            </w:tcBorders>
            <w:shd w:val="clear" w:color="auto" w:fill="auto"/>
            <w:noWrap/>
            <w:vAlign w:val="bottom"/>
          </w:tcPr>
          <w:p w14:paraId="782ED52D">
            <w:pPr>
              <w:spacing w:line="240" w:lineRule="auto"/>
              <w:ind w:firstLine="0" w:firstLineChars="0"/>
              <w:rPr>
                <w:rFonts w:cs="Times New Roman"/>
                <w:sz w:val="21"/>
                <w:szCs w:val="21"/>
              </w:rPr>
            </w:pPr>
            <w:r>
              <w:rPr>
                <w:rFonts w:cs="Times New Roman"/>
                <w:sz w:val="21"/>
                <w:szCs w:val="21"/>
              </w:rPr>
              <w:t>2018年</w:t>
            </w:r>
          </w:p>
        </w:tc>
        <w:tc>
          <w:tcPr>
            <w:tcW w:w="694" w:type="pct"/>
            <w:tcBorders>
              <w:top w:val="nil"/>
              <w:left w:val="nil"/>
              <w:bottom w:val="single" w:color="auto" w:sz="4" w:space="0"/>
              <w:right w:val="single" w:color="auto" w:sz="4" w:space="0"/>
            </w:tcBorders>
            <w:shd w:val="clear" w:color="auto" w:fill="auto"/>
            <w:noWrap/>
            <w:vAlign w:val="bottom"/>
          </w:tcPr>
          <w:p w14:paraId="37B50C98">
            <w:pPr>
              <w:spacing w:line="240" w:lineRule="auto"/>
              <w:ind w:firstLine="0" w:firstLineChars="0"/>
              <w:jc w:val="right"/>
              <w:rPr>
                <w:rFonts w:cs="Times New Roman"/>
                <w:sz w:val="21"/>
                <w:szCs w:val="21"/>
              </w:rPr>
            </w:pPr>
            <w:r>
              <w:rPr>
                <w:rFonts w:cs="Times New Roman"/>
                <w:sz w:val="21"/>
                <w:szCs w:val="21"/>
              </w:rPr>
              <w:t>6637.08</w:t>
            </w:r>
          </w:p>
        </w:tc>
        <w:tc>
          <w:tcPr>
            <w:tcW w:w="694" w:type="pct"/>
            <w:tcBorders>
              <w:top w:val="nil"/>
              <w:left w:val="nil"/>
              <w:bottom w:val="single" w:color="auto" w:sz="4" w:space="0"/>
              <w:right w:val="single" w:color="auto" w:sz="4" w:space="0"/>
            </w:tcBorders>
            <w:shd w:val="clear" w:color="auto" w:fill="auto"/>
            <w:noWrap/>
            <w:vAlign w:val="bottom"/>
          </w:tcPr>
          <w:p w14:paraId="37B0F6C4">
            <w:pPr>
              <w:spacing w:line="240" w:lineRule="auto"/>
              <w:ind w:firstLine="0" w:firstLineChars="0"/>
              <w:jc w:val="right"/>
              <w:rPr>
                <w:rFonts w:cs="Times New Roman"/>
                <w:sz w:val="21"/>
                <w:szCs w:val="21"/>
              </w:rPr>
            </w:pPr>
            <w:r>
              <w:rPr>
                <w:rFonts w:cs="Times New Roman"/>
                <w:sz w:val="21"/>
                <w:szCs w:val="21"/>
              </w:rPr>
              <w:t>1876.99</w:t>
            </w:r>
          </w:p>
        </w:tc>
        <w:tc>
          <w:tcPr>
            <w:tcW w:w="694" w:type="pct"/>
            <w:tcBorders>
              <w:top w:val="nil"/>
              <w:left w:val="nil"/>
              <w:bottom w:val="single" w:color="auto" w:sz="4" w:space="0"/>
              <w:right w:val="single" w:color="auto" w:sz="4" w:space="0"/>
            </w:tcBorders>
            <w:shd w:val="clear" w:color="auto" w:fill="auto"/>
            <w:noWrap/>
            <w:vAlign w:val="bottom"/>
          </w:tcPr>
          <w:p w14:paraId="1AF784FD">
            <w:pPr>
              <w:spacing w:line="240" w:lineRule="auto"/>
              <w:ind w:firstLine="0" w:firstLineChars="0"/>
              <w:jc w:val="right"/>
              <w:rPr>
                <w:rFonts w:cs="Times New Roman"/>
                <w:sz w:val="21"/>
                <w:szCs w:val="21"/>
              </w:rPr>
            </w:pPr>
            <w:r>
              <w:rPr>
                <w:rFonts w:cs="Times New Roman"/>
                <w:sz w:val="21"/>
                <w:szCs w:val="21"/>
              </w:rPr>
              <w:t>571.95</w:t>
            </w:r>
          </w:p>
        </w:tc>
        <w:tc>
          <w:tcPr>
            <w:tcW w:w="694" w:type="pct"/>
            <w:tcBorders>
              <w:top w:val="nil"/>
              <w:left w:val="nil"/>
              <w:bottom w:val="single" w:color="auto" w:sz="4" w:space="0"/>
              <w:right w:val="single" w:color="auto" w:sz="4" w:space="0"/>
            </w:tcBorders>
            <w:shd w:val="clear" w:color="auto" w:fill="auto"/>
            <w:noWrap/>
            <w:vAlign w:val="bottom"/>
          </w:tcPr>
          <w:p w14:paraId="24B591D6">
            <w:pPr>
              <w:spacing w:line="240" w:lineRule="auto"/>
              <w:ind w:firstLine="0" w:firstLineChars="0"/>
              <w:jc w:val="right"/>
              <w:rPr>
                <w:rFonts w:cs="Times New Roman"/>
                <w:sz w:val="21"/>
                <w:szCs w:val="21"/>
              </w:rPr>
            </w:pPr>
            <w:r>
              <w:rPr>
                <w:rFonts w:cs="Times New Roman"/>
                <w:sz w:val="21"/>
                <w:szCs w:val="21"/>
              </w:rPr>
              <w:t>3416.53</w:t>
            </w:r>
          </w:p>
        </w:tc>
        <w:tc>
          <w:tcPr>
            <w:tcW w:w="764" w:type="pct"/>
            <w:tcBorders>
              <w:top w:val="nil"/>
              <w:left w:val="nil"/>
              <w:bottom w:val="single" w:color="auto" w:sz="4" w:space="0"/>
              <w:right w:val="single" w:color="auto" w:sz="4" w:space="0"/>
            </w:tcBorders>
            <w:shd w:val="clear" w:color="auto" w:fill="auto"/>
            <w:noWrap/>
            <w:vAlign w:val="bottom"/>
          </w:tcPr>
          <w:p w14:paraId="64A893DC">
            <w:pPr>
              <w:spacing w:line="240" w:lineRule="auto"/>
              <w:ind w:firstLine="0" w:firstLineChars="0"/>
              <w:jc w:val="right"/>
              <w:rPr>
                <w:rFonts w:cs="Times New Roman"/>
                <w:sz w:val="21"/>
                <w:szCs w:val="21"/>
              </w:rPr>
            </w:pPr>
            <w:r>
              <w:rPr>
                <w:rFonts w:cs="Times New Roman"/>
                <w:sz w:val="21"/>
                <w:szCs w:val="21"/>
              </w:rPr>
              <w:t>765.4</w:t>
            </w:r>
          </w:p>
        </w:tc>
        <w:tc>
          <w:tcPr>
            <w:tcW w:w="764" w:type="pct"/>
            <w:tcBorders>
              <w:top w:val="nil"/>
              <w:left w:val="nil"/>
              <w:bottom w:val="single" w:color="auto" w:sz="4" w:space="0"/>
              <w:right w:val="single" w:color="auto" w:sz="4" w:space="0"/>
            </w:tcBorders>
            <w:shd w:val="clear" w:color="auto" w:fill="auto"/>
            <w:noWrap/>
            <w:vAlign w:val="bottom"/>
          </w:tcPr>
          <w:p w14:paraId="323D45F3">
            <w:pPr>
              <w:spacing w:line="240" w:lineRule="auto"/>
              <w:ind w:firstLine="0" w:firstLineChars="0"/>
              <w:jc w:val="right"/>
              <w:rPr>
                <w:rFonts w:cs="Times New Roman"/>
                <w:sz w:val="21"/>
                <w:szCs w:val="21"/>
              </w:rPr>
            </w:pPr>
            <w:r>
              <w:rPr>
                <w:rFonts w:cs="Times New Roman"/>
                <w:sz w:val="21"/>
                <w:szCs w:val="21"/>
              </w:rPr>
              <w:t>6.21</w:t>
            </w:r>
          </w:p>
        </w:tc>
      </w:tr>
      <w:tr w14:paraId="67EF6A9F">
        <w:tblPrEx>
          <w:tblCellMar>
            <w:top w:w="0" w:type="dxa"/>
            <w:left w:w="108" w:type="dxa"/>
            <w:bottom w:w="0" w:type="dxa"/>
            <w:right w:w="108" w:type="dxa"/>
          </w:tblCellMar>
        </w:tblPrEx>
        <w:trPr>
          <w:trHeight w:val="280" w:hRule="atLeast"/>
        </w:trPr>
        <w:tc>
          <w:tcPr>
            <w:tcW w:w="694" w:type="pct"/>
            <w:tcBorders>
              <w:top w:val="nil"/>
              <w:left w:val="single" w:color="auto" w:sz="4" w:space="0"/>
              <w:bottom w:val="single" w:color="auto" w:sz="4" w:space="0"/>
              <w:right w:val="single" w:color="auto" w:sz="4" w:space="0"/>
            </w:tcBorders>
            <w:shd w:val="clear" w:color="auto" w:fill="auto"/>
            <w:noWrap/>
            <w:vAlign w:val="bottom"/>
          </w:tcPr>
          <w:p w14:paraId="73B3E1BC">
            <w:pPr>
              <w:spacing w:line="240" w:lineRule="auto"/>
              <w:ind w:firstLine="0" w:firstLineChars="0"/>
              <w:rPr>
                <w:rFonts w:cs="Times New Roman"/>
                <w:sz w:val="21"/>
                <w:szCs w:val="21"/>
              </w:rPr>
            </w:pPr>
            <w:r>
              <w:rPr>
                <w:rFonts w:cs="Times New Roman"/>
                <w:sz w:val="21"/>
                <w:szCs w:val="21"/>
              </w:rPr>
              <w:t>2011年</w:t>
            </w:r>
          </w:p>
        </w:tc>
        <w:tc>
          <w:tcPr>
            <w:tcW w:w="694" w:type="pct"/>
            <w:tcBorders>
              <w:top w:val="nil"/>
              <w:left w:val="nil"/>
              <w:bottom w:val="single" w:color="auto" w:sz="4" w:space="0"/>
              <w:right w:val="single" w:color="auto" w:sz="4" w:space="0"/>
            </w:tcBorders>
            <w:shd w:val="clear" w:color="auto" w:fill="auto"/>
            <w:noWrap/>
            <w:vAlign w:val="bottom"/>
          </w:tcPr>
          <w:p w14:paraId="56E7D32B">
            <w:pPr>
              <w:spacing w:line="240" w:lineRule="auto"/>
              <w:ind w:firstLine="0" w:firstLineChars="0"/>
              <w:jc w:val="right"/>
              <w:rPr>
                <w:rFonts w:cs="Times New Roman"/>
                <w:sz w:val="21"/>
                <w:szCs w:val="21"/>
              </w:rPr>
            </w:pPr>
            <w:r>
              <w:rPr>
                <w:rFonts w:cs="Times New Roman"/>
                <w:sz w:val="21"/>
                <w:szCs w:val="21"/>
              </w:rPr>
              <w:t>7406.3</w:t>
            </w:r>
          </w:p>
        </w:tc>
        <w:tc>
          <w:tcPr>
            <w:tcW w:w="694" w:type="pct"/>
            <w:tcBorders>
              <w:top w:val="nil"/>
              <w:left w:val="nil"/>
              <w:bottom w:val="single" w:color="auto" w:sz="4" w:space="0"/>
              <w:right w:val="single" w:color="auto" w:sz="4" w:space="0"/>
            </w:tcBorders>
            <w:shd w:val="clear" w:color="auto" w:fill="auto"/>
            <w:noWrap/>
            <w:vAlign w:val="bottom"/>
          </w:tcPr>
          <w:p w14:paraId="169D0BCA">
            <w:pPr>
              <w:spacing w:line="240" w:lineRule="auto"/>
              <w:ind w:firstLine="0" w:firstLineChars="0"/>
              <w:jc w:val="right"/>
              <w:rPr>
                <w:rFonts w:cs="Times New Roman"/>
                <w:sz w:val="21"/>
                <w:szCs w:val="21"/>
              </w:rPr>
            </w:pPr>
            <w:r>
              <w:rPr>
                <w:rFonts w:cs="Times New Roman"/>
                <w:sz w:val="21"/>
                <w:szCs w:val="21"/>
              </w:rPr>
              <w:t>2293.46</w:t>
            </w:r>
          </w:p>
        </w:tc>
        <w:tc>
          <w:tcPr>
            <w:tcW w:w="694" w:type="pct"/>
            <w:tcBorders>
              <w:top w:val="nil"/>
              <w:left w:val="nil"/>
              <w:bottom w:val="single" w:color="auto" w:sz="4" w:space="0"/>
              <w:right w:val="single" w:color="auto" w:sz="4" w:space="0"/>
            </w:tcBorders>
            <w:shd w:val="clear" w:color="auto" w:fill="auto"/>
            <w:noWrap/>
            <w:vAlign w:val="bottom"/>
          </w:tcPr>
          <w:p w14:paraId="21D9FED4">
            <w:pPr>
              <w:spacing w:line="240" w:lineRule="auto"/>
              <w:ind w:firstLine="0" w:firstLineChars="0"/>
              <w:jc w:val="right"/>
              <w:rPr>
                <w:rFonts w:cs="Times New Roman"/>
                <w:sz w:val="21"/>
                <w:szCs w:val="21"/>
              </w:rPr>
            </w:pPr>
            <w:r>
              <w:rPr>
                <w:rFonts w:cs="Times New Roman"/>
                <w:sz w:val="21"/>
                <w:szCs w:val="21"/>
              </w:rPr>
              <w:t>278.19</w:t>
            </w:r>
          </w:p>
        </w:tc>
        <w:tc>
          <w:tcPr>
            <w:tcW w:w="694" w:type="pct"/>
            <w:tcBorders>
              <w:top w:val="nil"/>
              <w:left w:val="nil"/>
              <w:bottom w:val="single" w:color="auto" w:sz="4" w:space="0"/>
              <w:right w:val="single" w:color="auto" w:sz="4" w:space="0"/>
            </w:tcBorders>
            <w:shd w:val="clear" w:color="auto" w:fill="auto"/>
            <w:noWrap/>
            <w:vAlign w:val="bottom"/>
          </w:tcPr>
          <w:p w14:paraId="4311D891">
            <w:pPr>
              <w:spacing w:line="240" w:lineRule="auto"/>
              <w:ind w:firstLine="0" w:firstLineChars="0"/>
              <w:jc w:val="right"/>
              <w:rPr>
                <w:rFonts w:cs="Times New Roman"/>
                <w:sz w:val="21"/>
                <w:szCs w:val="21"/>
              </w:rPr>
            </w:pPr>
            <w:r>
              <w:rPr>
                <w:rFonts w:cs="Times New Roman"/>
                <w:sz w:val="21"/>
                <w:szCs w:val="21"/>
              </w:rPr>
              <w:t>1.22</w:t>
            </w:r>
          </w:p>
        </w:tc>
        <w:tc>
          <w:tcPr>
            <w:tcW w:w="764" w:type="pct"/>
            <w:tcBorders>
              <w:top w:val="nil"/>
              <w:left w:val="nil"/>
              <w:bottom w:val="single" w:color="auto" w:sz="4" w:space="0"/>
              <w:right w:val="single" w:color="auto" w:sz="4" w:space="0"/>
            </w:tcBorders>
            <w:shd w:val="clear" w:color="auto" w:fill="auto"/>
            <w:noWrap/>
            <w:vAlign w:val="bottom"/>
          </w:tcPr>
          <w:p w14:paraId="1EAE0C71">
            <w:pPr>
              <w:spacing w:line="240" w:lineRule="auto"/>
              <w:ind w:firstLine="0" w:firstLineChars="0"/>
              <w:jc w:val="right"/>
              <w:rPr>
                <w:rFonts w:cs="Times New Roman"/>
                <w:sz w:val="21"/>
                <w:szCs w:val="21"/>
              </w:rPr>
            </w:pPr>
            <w:r>
              <w:rPr>
                <w:rFonts w:cs="Times New Roman"/>
                <w:sz w:val="21"/>
                <w:szCs w:val="21"/>
              </w:rPr>
              <w:t>2717.01</w:t>
            </w:r>
          </w:p>
        </w:tc>
        <w:tc>
          <w:tcPr>
            <w:tcW w:w="764" w:type="pct"/>
            <w:tcBorders>
              <w:top w:val="nil"/>
              <w:left w:val="nil"/>
              <w:bottom w:val="single" w:color="auto" w:sz="4" w:space="0"/>
              <w:right w:val="single" w:color="auto" w:sz="4" w:space="0"/>
            </w:tcBorders>
            <w:shd w:val="clear" w:color="auto" w:fill="auto"/>
            <w:noWrap/>
            <w:vAlign w:val="bottom"/>
          </w:tcPr>
          <w:p w14:paraId="162015C2">
            <w:pPr>
              <w:spacing w:line="240" w:lineRule="auto"/>
              <w:ind w:firstLine="0" w:firstLineChars="0"/>
              <w:jc w:val="right"/>
              <w:rPr>
                <w:rFonts w:cs="Times New Roman"/>
                <w:sz w:val="21"/>
                <w:szCs w:val="21"/>
              </w:rPr>
            </w:pPr>
            <w:r>
              <w:rPr>
                <w:rFonts w:cs="Times New Roman"/>
                <w:sz w:val="21"/>
                <w:szCs w:val="21"/>
              </w:rPr>
              <w:t>2116.42</w:t>
            </w:r>
          </w:p>
        </w:tc>
      </w:tr>
      <w:tr w14:paraId="4B145FF8">
        <w:tblPrEx>
          <w:tblCellMar>
            <w:top w:w="0" w:type="dxa"/>
            <w:left w:w="108" w:type="dxa"/>
            <w:bottom w:w="0" w:type="dxa"/>
            <w:right w:w="108" w:type="dxa"/>
          </w:tblCellMar>
        </w:tblPrEx>
        <w:trPr>
          <w:trHeight w:val="280" w:hRule="atLeast"/>
        </w:trPr>
        <w:tc>
          <w:tcPr>
            <w:tcW w:w="694" w:type="pct"/>
            <w:tcBorders>
              <w:top w:val="nil"/>
              <w:left w:val="single" w:color="auto" w:sz="4" w:space="0"/>
              <w:bottom w:val="single" w:color="auto" w:sz="4" w:space="0"/>
              <w:right w:val="single" w:color="auto" w:sz="4" w:space="0"/>
            </w:tcBorders>
            <w:shd w:val="clear" w:color="auto" w:fill="auto"/>
            <w:noWrap/>
            <w:vAlign w:val="bottom"/>
          </w:tcPr>
          <w:p w14:paraId="66DA49F9">
            <w:pPr>
              <w:spacing w:line="240" w:lineRule="auto"/>
              <w:ind w:firstLine="0" w:firstLineChars="0"/>
              <w:rPr>
                <w:rFonts w:cs="Times New Roman"/>
                <w:sz w:val="21"/>
                <w:szCs w:val="21"/>
              </w:rPr>
            </w:pPr>
            <w:r>
              <w:rPr>
                <w:rFonts w:cs="Times New Roman"/>
                <w:sz w:val="21"/>
                <w:szCs w:val="21"/>
              </w:rPr>
              <w:t>消长情况</w:t>
            </w:r>
          </w:p>
        </w:tc>
        <w:tc>
          <w:tcPr>
            <w:tcW w:w="694" w:type="pct"/>
            <w:tcBorders>
              <w:top w:val="nil"/>
              <w:left w:val="nil"/>
              <w:bottom w:val="single" w:color="auto" w:sz="4" w:space="0"/>
              <w:right w:val="single" w:color="auto" w:sz="4" w:space="0"/>
            </w:tcBorders>
            <w:shd w:val="clear" w:color="auto" w:fill="auto"/>
            <w:noWrap/>
            <w:vAlign w:val="bottom"/>
          </w:tcPr>
          <w:p w14:paraId="5F54CB18">
            <w:pPr>
              <w:spacing w:line="240" w:lineRule="auto"/>
              <w:ind w:firstLine="0" w:firstLineChars="0"/>
              <w:jc w:val="right"/>
              <w:rPr>
                <w:rFonts w:cs="Times New Roman"/>
                <w:sz w:val="21"/>
                <w:szCs w:val="21"/>
              </w:rPr>
            </w:pPr>
            <w:r>
              <w:rPr>
                <w:rFonts w:cs="Times New Roman"/>
                <w:sz w:val="21"/>
                <w:szCs w:val="21"/>
              </w:rPr>
              <w:t>-769.22</w:t>
            </w:r>
          </w:p>
        </w:tc>
        <w:tc>
          <w:tcPr>
            <w:tcW w:w="694" w:type="pct"/>
            <w:tcBorders>
              <w:top w:val="nil"/>
              <w:left w:val="nil"/>
              <w:bottom w:val="single" w:color="auto" w:sz="4" w:space="0"/>
              <w:right w:val="single" w:color="auto" w:sz="4" w:space="0"/>
            </w:tcBorders>
            <w:shd w:val="clear" w:color="auto" w:fill="auto"/>
            <w:noWrap/>
            <w:vAlign w:val="bottom"/>
          </w:tcPr>
          <w:p w14:paraId="5300384D">
            <w:pPr>
              <w:spacing w:line="240" w:lineRule="auto"/>
              <w:ind w:firstLine="0" w:firstLineChars="0"/>
              <w:jc w:val="right"/>
              <w:rPr>
                <w:rFonts w:cs="Times New Roman"/>
                <w:sz w:val="21"/>
                <w:szCs w:val="21"/>
              </w:rPr>
            </w:pPr>
            <w:r>
              <w:rPr>
                <w:rFonts w:cs="Times New Roman"/>
                <w:sz w:val="21"/>
                <w:szCs w:val="21"/>
              </w:rPr>
              <w:t>-416.47</w:t>
            </w:r>
          </w:p>
        </w:tc>
        <w:tc>
          <w:tcPr>
            <w:tcW w:w="694" w:type="pct"/>
            <w:tcBorders>
              <w:top w:val="nil"/>
              <w:left w:val="nil"/>
              <w:bottom w:val="single" w:color="auto" w:sz="4" w:space="0"/>
              <w:right w:val="single" w:color="auto" w:sz="4" w:space="0"/>
            </w:tcBorders>
            <w:shd w:val="clear" w:color="auto" w:fill="auto"/>
            <w:noWrap/>
            <w:vAlign w:val="bottom"/>
          </w:tcPr>
          <w:p w14:paraId="4A7CC0FB">
            <w:pPr>
              <w:spacing w:line="240" w:lineRule="auto"/>
              <w:ind w:firstLine="0" w:firstLineChars="0"/>
              <w:jc w:val="right"/>
              <w:rPr>
                <w:rFonts w:cs="Times New Roman"/>
                <w:sz w:val="21"/>
                <w:szCs w:val="21"/>
              </w:rPr>
            </w:pPr>
            <w:r>
              <w:rPr>
                <w:rFonts w:cs="Times New Roman"/>
                <w:sz w:val="21"/>
                <w:szCs w:val="21"/>
              </w:rPr>
              <w:t>293.76</w:t>
            </w:r>
          </w:p>
        </w:tc>
        <w:tc>
          <w:tcPr>
            <w:tcW w:w="694" w:type="pct"/>
            <w:tcBorders>
              <w:top w:val="nil"/>
              <w:left w:val="nil"/>
              <w:bottom w:val="single" w:color="auto" w:sz="4" w:space="0"/>
              <w:right w:val="single" w:color="auto" w:sz="4" w:space="0"/>
            </w:tcBorders>
            <w:shd w:val="clear" w:color="auto" w:fill="auto"/>
            <w:noWrap/>
            <w:vAlign w:val="bottom"/>
          </w:tcPr>
          <w:p w14:paraId="2F044350">
            <w:pPr>
              <w:spacing w:line="240" w:lineRule="auto"/>
              <w:ind w:firstLine="0" w:firstLineChars="0"/>
              <w:jc w:val="right"/>
              <w:rPr>
                <w:rFonts w:cs="Times New Roman"/>
                <w:sz w:val="21"/>
                <w:szCs w:val="21"/>
              </w:rPr>
            </w:pPr>
            <w:r>
              <w:rPr>
                <w:rFonts w:cs="Times New Roman"/>
                <w:sz w:val="21"/>
                <w:szCs w:val="21"/>
              </w:rPr>
              <w:t>3415.31</w:t>
            </w:r>
          </w:p>
        </w:tc>
        <w:tc>
          <w:tcPr>
            <w:tcW w:w="764" w:type="pct"/>
            <w:tcBorders>
              <w:top w:val="nil"/>
              <w:left w:val="nil"/>
              <w:bottom w:val="single" w:color="auto" w:sz="4" w:space="0"/>
              <w:right w:val="single" w:color="auto" w:sz="4" w:space="0"/>
            </w:tcBorders>
            <w:shd w:val="clear" w:color="auto" w:fill="auto"/>
            <w:noWrap/>
            <w:vAlign w:val="bottom"/>
          </w:tcPr>
          <w:p w14:paraId="51971DA4">
            <w:pPr>
              <w:spacing w:line="240" w:lineRule="auto"/>
              <w:ind w:firstLine="0" w:firstLineChars="0"/>
              <w:jc w:val="right"/>
              <w:rPr>
                <w:rFonts w:cs="Times New Roman"/>
                <w:sz w:val="21"/>
                <w:szCs w:val="21"/>
              </w:rPr>
            </w:pPr>
            <w:r>
              <w:rPr>
                <w:rFonts w:cs="Times New Roman"/>
                <w:sz w:val="21"/>
                <w:szCs w:val="21"/>
              </w:rPr>
              <w:t>-1951.61</w:t>
            </w:r>
          </w:p>
        </w:tc>
        <w:tc>
          <w:tcPr>
            <w:tcW w:w="764" w:type="pct"/>
            <w:tcBorders>
              <w:top w:val="nil"/>
              <w:left w:val="nil"/>
              <w:bottom w:val="single" w:color="auto" w:sz="4" w:space="0"/>
              <w:right w:val="single" w:color="auto" w:sz="4" w:space="0"/>
            </w:tcBorders>
            <w:shd w:val="clear" w:color="auto" w:fill="auto"/>
            <w:noWrap/>
            <w:vAlign w:val="bottom"/>
          </w:tcPr>
          <w:p w14:paraId="2D5904A8">
            <w:pPr>
              <w:spacing w:line="240" w:lineRule="auto"/>
              <w:ind w:firstLine="0" w:firstLineChars="0"/>
              <w:jc w:val="right"/>
              <w:rPr>
                <w:rFonts w:cs="Times New Roman"/>
                <w:sz w:val="21"/>
                <w:szCs w:val="21"/>
              </w:rPr>
            </w:pPr>
            <w:r>
              <w:rPr>
                <w:rFonts w:cs="Times New Roman"/>
                <w:sz w:val="21"/>
                <w:szCs w:val="21"/>
              </w:rPr>
              <w:t>-2110.21</w:t>
            </w:r>
          </w:p>
        </w:tc>
      </w:tr>
    </w:tbl>
    <w:p w14:paraId="16A88D1A">
      <w:pPr>
        <w:adjustRightInd w:val="0"/>
        <w:snapToGrid w:val="0"/>
        <w:ind w:firstLine="480"/>
        <w:rPr>
          <w:rFonts w:cs="Times New Roman"/>
        </w:rPr>
      </w:pPr>
    </w:p>
    <w:p w14:paraId="5B39D96A">
      <w:pPr>
        <w:pStyle w:val="5"/>
        <w:rPr>
          <w:rFonts w:eastAsia="仿宋_GB2312"/>
        </w:rPr>
      </w:pPr>
      <w:r>
        <w:rPr>
          <w:rFonts w:eastAsia="仿宋_GB2312"/>
        </w:rPr>
        <w:t>2.1.3 水资源丰缺程度评价</w:t>
      </w:r>
    </w:p>
    <w:p w14:paraId="57813F20">
      <w:pPr>
        <w:adjustRightInd w:val="0"/>
        <w:snapToGrid w:val="0"/>
        <w:ind w:firstLine="480"/>
        <w:rPr>
          <w:rFonts w:cs="Times New Roman"/>
          <w:snapToGrid w:val="0"/>
        </w:rPr>
      </w:pPr>
      <w:r>
        <w:rPr>
          <w:rFonts w:cs="Times New Roman"/>
          <w:snapToGrid w:val="0"/>
        </w:rPr>
        <w:t xml:space="preserve">1、现状供水量 </w:t>
      </w:r>
    </w:p>
    <w:p w14:paraId="145F9787">
      <w:pPr>
        <w:adjustRightInd w:val="0"/>
        <w:snapToGrid w:val="0"/>
        <w:ind w:firstLine="480"/>
        <w:rPr>
          <w:rFonts w:cs="Times New Roman"/>
          <w:snapToGrid w:val="0"/>
        </w:rPr>
      </w:pPr>
      <w:r>
        <w:rPr>
          <w:rFonts w:cs="Times New Roman"/>
          <w:snapToGrid w:val="0"/>
        </w:rPr>
        <w:t>阜康市地表水资源十分有限，自上世纪七、八十年代开始开采地下水至今，特别是在上世纪九十年代土地开发热当中，盲目开发大片荒地，超量抽取地下水，地下水的开发逐年增加，地下水位呈现持续下降状态，超采区范围比较广。同时，缺水与用水浪费现象并存，与水相关的生态环境恶化问题任然尤为突出。一些地区和用水户只顾眼前利益，在有条件利用地表水的情况下，仍然继续大量超采地下水。从地下水位多年变化资料看，冲洪积扇中上部，地下水位普遍下降，是地下水的主要超采区。地下水位持续下降，不但使平原泉水逐渐消失，还会危及依靠泉水生存的荒草地植被。平原区地下水位下降，使得荒草地植被，特别是沙漠南缘植被覆盖度衰减。由于多年累计，生态恢复周期较长，地下水超采问题治理依然是今后的重点。阜康市地表水供水量1.9436亿m³，地下水开采量0.9473亿m³。</w:t>
      </w:r>
    </w:p>
    <w:p w14:paraId="3244D4E9">
      <w:pPr>
        <w:adjustRightInd w:val="0"/>
        <w:snapToGrid w:val="0"/>
        <w:ind w:firstLine="480"/>
        <w:rPr>
          <w:rFonts w:cs="Times New Roman"/>
          <w:snapToGrid w:val="0"/>
        </w:rPr>
      </w:pPr>
      <w:r>
        <w:rPr>
          <w:rFonts w:cs="Times New Roman"/>
          <w:snapToGrid w:val="0"/>
        </w:rPr>
        <w:t>2、现状用水量</w:t>
      </w:r>
    </w:p>
    <w:p w14:paraId="40D5FCA0">
      <w:pPr>
        <w:adjustRightInd w:val="0"/>
        <w:snapToGrid w:val="0"/>
        <w:ind w:firstLine="480"/>
        <w:rPr>
          <w:rFonts w:cs="Times New Roman"/>
          <w:snapToGrid w:val="0"/>
        </w:rPr>
      </w:pPr>
      <w:r>
        <w:rPr>
          <w:rFonts w:cs="Times New Roman"/>
          <w:snapToGrid w:val="0"/>
        </w:rPr>
        <w:t>2022年昌吉州下达阜康市用水总量控制指标为22921.4万m</w:t>
      </w:r>
      <w:r>
        <w:rPr>
          <w:rFonts w:cs="Times New Roman"/>
          <w:snapToGrid w:val="0"/>
          <w:vertAlign w:val="superscript"/>
        </w:rPr>
        <w:t>3</w:t>
      </w:r>
      <w:r>
        <w:rPr>
          <w:rFonts w:cs="Times New Roman"/>
          <w:snapToGrid w:val="0"/>
        </w:rPr>
        <w:t>，其中，地表水14455.8万m</w:t>
      </w:r>
      <w:r>
        <w:rPr>
          <w:rFonts w:cs="Times New Roman"/>
          <w:snapToGrid w:val="0"/>
          <w:vertAlign w:val="superscript"/>
        </w:rPr>
        <w:t>3</w:t>
      </w:r>
      <w:r>
        <w:rPr>
          <w:rFonts w:cs="Times New Roman"/>
          <w:snapToGrid w:val="0"/>
        </w:rPr>
        <w:t>，地下水7936.6万m</w:t>
      </w:r>
      <w:r>
        <w:rPr>
          <w:rFonts w:cs="Times New Roman"/>
          <w:snapToGrid w:val="0"/>
          <w:vertAlign w:val="superscript"/>
        </w:rPr>
        <w:t>3</w:t>
      </w:r>
      <w:r>
        <w:rPr>
          <w:rFonts w:cs="Times New Roman"/>
          <w:snapToGrid w:val="0"/>
        </w:rPr>
        <w:t>、中水529万m</w:t>
      </w:r>
      <w:r>
        <w:rPr>
          <w:rFonts w:cs="Times New Roman"/>
          <w:snapToGrid w:val="0"/>
          <w:vertAlign w:val="superscript"/>
        </w:rPr>
        <w:t>3</w:t>
      </w:r>
      <w:r>
        <w:rPr>
          <w:rFonts w:cs="Times New Roman"/>
          <w:snapToGrid w:val="0"/>
        </w:rPr>
        <w:t>；</w:t>
      </w:r>
      <w:r>
        <w:rPr>
          <w:rFonts w:hint="eastAsia" w:cs="Times New Roman"/>
          <w:snapToGrid w:val="0"/>
        </w:rPr>
        <w:t>2022年</w:t>
      </w:r>
      <w:r>
        <w:rPr>
          <w:rFonts w:cs="Times New Roman"/>
          <w:snapToGrid w:val="0"/>
        </w:rPr>
        <w:t>实际分配总用水量</w:t>
      </w:r>
      <w:r>
        <w:rPr>
          <w:rFonts w:hint="eastAsia" w:cs="Times New Roman"/>
          <w:snapToGrid w:val="0"/>
        </w:rPr>
        <w:t>22280</w:t>
      </w:r>
      <w:r>
        <w:rPr>
          <w:rFonts w:cs="Times New Roman"/>
          <w:snapToGrid w:val="0"/>
        </w:rPr>
        <w:t>万m</w:t>
      </w:r>
      <w:r>
        <w:rPr>
          <w:rFonts w:cs="Times New Roman"/>
          <w:snapToGrid w:val="0"/>
          <w:vertAlign w:val="superscript"/>
        </w:rPr>
        <w:t>3</w:t>
      </w:r>
      <w:r>
        <w:rPr>
          <w:rFonts w:cs="Times New Roman"/>
          <w:snapToGrid w:val="0"/>
        </w:rPr>
        <w:t>（地表水14336万m</w:t>
      </w:r>
      <w:r>
        <w:rPr>
          <w:rFonts w:cs="Times New Roman"/>
          <w:snapToGrid w:val="0"/>
          <w:vertAlign w:val="superscript"/>
        </w:rPr>
        <w:t>3</w:t>
      </w:r>
      <w:r>
        <w:rPr>
          <w:rFonts w:cs="Times New Roman"/>
          <w:snapToGrid w:val="0"/>
        </w:rPr>
        <w:t>，地下水7638万m</w:t>
      </w:r>
      <w:r>
        <w:rPr>
          <w:rFonts w:cs="Times New Roman"/>
          <w:snapToGrid w:val="0"/>
          <w:vertAlign w:val="superscript"/>
        </w:rPr>
        <w:t>3</w:t>
      </w:r>
      <w:r>
        <w:rPr>
          <w:rFonts w:cs="Times New Roman"/>
          <w:snapToGrid w:val="0"/>
        </w:rPr>
        <w:t>，中水306万m</w:t>
      </w:r>
      <w:r>
        <w:rPr>
          <w:rFonts w:cs="Times New Roman"/>
          <w:snapToGrid w:val="0"/>
          <w:vertAlign w:val="superscript"/>
        </w:rPr>
        <w:t>3</w:t>
      </w:r>
      <w:r>
        <w:rPr>
          <w:rFonts w:hint="eastAsia" w:cs="Times New Roman"/>
          <w:snapToGrid w:val="0"/>
        </w:rPr>
        <w:t>），</w:t>
      </w:r>
      <w:r>
        <w:rPr>
          <w:rFonts w:cs="Times New Roman"/>
          <w:snapToGrid w:val="0"/>
        </w:rPr>
        <w:t>客水3042万m</w:t>
      </w:r>
      <w:r>
        <w:rPr>
          <w:rFonts w:cs="Times New Roman"/>
          <w:snapToGrid w:val="0"/>
          <w:vertAlign w:val="superscript"/>
        </w:rPr>
        <w:t>3</w:t>
      </w:r>
      <w:r>
        <w:rPr>
          <w:rFonts w:cs="Times New Roman"/>
          <w:snapToGrid w:val="0"/>
        </w:rPr>
        <w:t>。实际取用水量</w:t>
      </w:r>
      <w:r>
        <w:rPr>
          <w:rFonts w:hint="eastAsia" w:cs="Times New Roman"/>
          <w:snapToGrid w:val="0"/>
        </w:rPr>
        <w:t>18458</w:t>
      </w:r>
      <w:r>
        <w:rPr>
          <w:rFonts w:cs="Times New Roman"/>
          <w:snapToGrid w:val="0"/>
        </w:rPr>
        <w:t>万m</w:t>
      </w:r>
      <w:r>
        <w:rPr>
          <w:rFonts w:cs="Times New Roman"/>
          <w:snapToGrid w:val="0"/>
          <w:vertAlign w:val="superscript"/>
        </w:rPr>
        <w:t>3</w:t>
      </w:r>
      <w:r>
        <w:rPr>
          <w:rFonts w:cs="Times New Roman"/>
          <w:snapToGrid w:val="0"/>
        </w:rPr>
        <w:t>（地表水10488万m</w:t>
      </w:r>
      <w:r>
        <w:rPr>
          <w:rFonts w:cs="Times New Roman"/>
          <w:snapToGrid w:val="0"/>
          <w:vertAlign w:val="superscript"/>
        </w:rPr>
        <w:t>3</w:t>
      </w:r>
      <w:r>
        <w:rPr>
          <w:rFonts w:cs="Times New Roman"/>
          <w:snapToGrid w:val="0"/>
        </w:rPr>
        <w:t>，地下水7936万m</w:t>
      </w:r>
      <w:r>
        <w:rPr>
          <w:rFonts w:cs="Times New Roman"/>
          <w:snapToGrid w:val="0"/>
          <w:vertAlign w:val="superscript"/>
        </w:rPr>
        <w:t>3</w:t>
      </w:r>
      <w:r>
        <w:rPr>
          <w:rFonts w:hint="eastAsia" w:cs="Times New Roman"/>
          <w:snapToGrid w:val="0"/>
        </w:rPr>
        <w:t>），</w:t>
      </w:r>
      <w:r>
        <w:rPr>
          <w:rFonts w:cs="Times New Roman"/>
          <w:snapToGrid w:val="0"/>
        </w:rPr>
        <w:t>客水5180万m</w:t>
      </w:r>
      <w:r>
        <w:rPr>
          <w:rFonts w:cs="Times New Roman"/>
          <w:snapToGrid w:val="0"/>
          <w:vertAlign w:val="superscript"/>
        </w:rPr>
        <w:t>3</w:t>
      </w:r>
      <w:r>
        <w:rPr>
          <w:rFonts w:cs="Times New Roman"/>
          <w:snapToGrid w:val="0"/>
        </w:rPr>
        <w:t>。</w:t>
      </w:r>
    </w:p>
    <w:p w14:paraId="2525EAEA">
      <w:pPr>
        <w:adjustRightInd w:val="0"/>
        <w:snapToGrid w:val="0"/>
        <w:ind w:firstLine="480"/>
        <w:rPr>
          <w:rFonts w:cs="Times New Roman"/>
          <w:snapToGrid w:val="0"/>
        </w:rPr>
      </w:pPr>
      <w:r>
        <w:rPr>
          <w:rFonts w:cs="Times New Roman"/>
          <w:snapToGrid w:val="0"/>
        </w:rPr>
        <w:t>3、现状水资源开发利用程度</w:t>
      </w:r>
    </w:p>
    <w:p w14:paraId="3AB1DDB6">
      <w:pPr>
        <w:adjustRightInd w:val="0"/>
        <w:snapToGrid w:val="0"/>
        <w:ind w:firstLine="480"/>
        <w:rPr>
          <w:rFonts w:cs="Times New Roman"/>
          <w:snapToGrid w:val="0"/>
        </w:rPr>
      </w:pPr>
      <w:r>
        <w:rPr>
          <w:rFonts w:cs="Times New Roman"/>
          <w:snapToGrid w:val="0"/>
        </w:rPr>
        <w:t>根据《昌吉州地表水资源调查评价》（2006年)成果，阜康市地表水开发利用率已接近70%，地下水属严重超采，总体上已开发利用过度，水资源开发利用形势非常严峻，未来进一步开发利用的潜力已很低。根据缺水类型的划分标准，阜康市缺水总体上属于资源型缺水，局部区域属于工程型缺水。因此，解决阜康市未来缺水问题的关键是在地下水超采问题治理、节水、治污和产业结构调整的基础上，进一步挖掘当地水资源。</w:t>
      </w:r>
    </w:p>
    <w:p w14:paraId="54936CA0">
      <w:pPr>
        <w:adjustRightInd w:val="0"/>
        <w:snapToGrid w:val="0"/>
        <w:ind w:firstLine="480"/>
        <w:rPr>
          <w:rFonts w:cs="Times New Roman"/>
          <w:snapToGrid w:val="0"/>
        </w:rPr>
      </w:pPr>
      <w:r>
        <w:rPr>
          <w:rFonts w:cs="Times New Roman"/>
          <w:snapToGrid w:val="0"/>
        </w:rPr>
        <w:t>4、用水总量控制方案</w:t>
      </w:r>
    </w:p>
    <w:p w14:paraId="46980A52">
      <w:pPr>
        <w:adjustRightInd w:val="0"/>
        <w:snapToGrid w:val="0"/>
        <w:ind w:firstLine="480"/>
        <w:rPr>
          <w:rFonts w:cs="Times New Roman"/>
          <w:snapToGrid w:val="0"/>
        </w:rPr>
      </w:pPr>
      <w:r>
        <w:rPr>
          <w:rFonts w:cs="Times New Roman"/>
          <w:snapToGrid w:val="0"/>
        </w:rPr>
        <w:t>根据“昌吉州十四五水利发展规划修编报告”要求，2020年阜康市用水量计划指标为2.3473亿m³，其中地下水控制指标0.8543亿m³，地表水及其他水源控制指标1.4930亿m³， “十四五”期间阜康市应进一步对各业进行挖潜，提高用水效率，调整用水结构，降低农业用水比重，解决用水矛盾。根据《阜康市水利发展“十四五”规划》提出的阜康市地表水、地下水源、其他水源的可供水量控制指标，其中地下水源可供水量为上限指标，其他水源可供水量为下限指标。阜康市地表水可供水量控制指标由2019年的2.6976亿m</w:t>
      </w:r>
      <w:r>
        <w:rPr>
          <w:rFonts w:cs="Times New Roman"/>
          <w:snapToGrid w:val="0"/>
          <w:vertAlign w:val="superscript"/>
        </w:rPr>
        <w:t>3</w:t>
      </w:r>
      <w:r>
        <w:rPr>
          <w:rFonts w:cs="Times New Roman"/>
          <w:snapToGrid w:val="0"/>
        </w:rPr>
        <w:t>下降到2020年2.3476亿m</w:t>
      </w:r>
      <w:r>
        <w:rPr>
          <w:rFonts w:cs="Times New Roman"/>
          <w:snapToGrid w:val="0"/>
          <w:vertAlign w:val="superscript"/>
        </w:rPr>
        <w:t>3</w:t>
      </w:r>
      <w:r>
        <w:rPr>
          <w:rFonts w:cs="Times New Roman"/>
          <w:snapToGrid w:val="0"/>
        </w:rPr>
        <w:t>，到2025年下降到2.2094亿m</w:t>
      </w:r>
      <w:r>
        <w:rPr>
          <w:rFonts w:cs="Times New Roman"/>
          <w:snapToGrid w:val="0"/>
          <w:vertAlign w:val="superscript"/>
        </w:rPr>
        <w:t>3</w:t>
      </w:r>
      <w:r>
        <w:rPr>
          <w:rFonts w:cs="Times New Roman"/>
          <w:snapToGrid w:val="0"/>
        </w:rPr>
        <w:t>，到2030年下降到2.0714亿m</w:t>
      </w:r>
      <w:r>
        <w:rPr>
          <w:rFonts w:cs="Times New Roman"/>
          <w:snapToGrid w:val="0"/>
          <w:vertAlign w:val="superscript"/>
        </w:rPr>
        <w:t>3</w:t>
      </w:r>
      <w:r>
        <w:rPr>
          <w:rFonts w:cs="Times New Roman"/>
          <w:snapToGrid w:val="0"/>
        </w:rPr>
        <w:t>。阜康市地下水可供水量控制指标由2019年的1.3838亿m</w:t>
      </w:r>
      <w:r>
        <w:rPr>
          <w:rFonts w:cs="Times New Roman"/>
          <w:snapToGrid w:val="0"/>
          <w:vertAlign w:val="superscript"/>
        </w:rPr>
        <w:t>3</w:t>
      </w:r>
      <w:r>
        <w:rPr>
          <w:rFonts w:cs="Times New Roman"/>
          <w:snapToGrid w:val="0"/>
        </w:rPr>
        <w:t>下降到2020年0.8543亿m</w:t>
      </w:r>
      <w:r>
        <w:rPr>
          <w:rFonts w:cs="Times New Roman"/>
          <w:snapToGrid w:val="0"/>
          <w:vertAlign w:val="superscript"/>
        </w:rPr>
        <w:t>3</w:t>
      </w:r>
      <w:r>
        <w:rPr>
          <w:rFonts w:cs="Times New Roman"/>
          <w:snapToGrid w:val="0"/>
        </w:rPr>
        <w:t>，到2030年下降到0.5511万m</w:t>
      </w:r>
      <w:r>
        <w:rPr>
          <w:rFonts w:cs="Times New Roman"/>
          <w:snapToGrid w:val="0"/>
          <w:vertAlign w:val="superscript"/>
        </w:rPr>
        <w:t>3</w:t>
      </w:r>
      <w:r>
        <w:rPr>
          <w:rFonts w:cs="Times New Roman"/>
          <w:snapToGrid w:val="0"/>
        </w:rPr>
        <w:t>。其他水源可供水量指标由现状年的337万m</w:t>
      </w:r>
      <w:r>
        <w:rPr>
          <w:rFonts w:cs="Times New Roman"/>
          <w:snapToGrid w:val="0"/>
          <w:vertAlign w:val="superscript"/>
        </w:rPr>
        <w:t>3</w:t>
      </w:r>
      <w:r>
        <w:rPr>
          <w:rFonts w:cs="Times New Roman"/>
          <w:snapToGrid w:val="0"/>
        </w:rPr>
        <w:t>增加到2020年的527万m</w:t>
      </w:r>
      <w:r>
        <w:rPr>
          <w:rFonts w:cs="Times New Roman"/>
          <w:snapToGrid w:val="0"/>
          <w:vertAlign w:val="superscript"/>
        </w:rPr>
        <w:t>3</w:t>
      </w:r>
      <w:r>
        <w:rPr>
          <w:rFonts w:cs="Times New Roman"/>
          <w:snapToGrid w:val="0"/>
        </w:rPr>
        <w:t>，到2030年增加到536万m</w:t>
      </w:r>
      <w:r>
        <w:rPr>
          <w:rFonts w:cs="Times New Roman"/>
          <w:snapToGrid w:val="0"/>
          <w:vertAlign w:val="superscript"/>
        </w:rPr>
        <w:t>3</w:t>
      </w:r>
      <w:r>
        <w:rPr>
          <w:rFonts w:cs="Times New Roman"/>
          <w:snapToGrid w:val="0"/>
        </w:rPr>
        <w:t>。在阜康市水资源总量基本保持不变的情况下，随着社会经济不断发展和人口规模持续增长，水资源成为制约土地利用规模的主要因素，农业用水占可利用水资源量的比例较高，随着人口增加和城镇化工业化水平提高，城镇人民生活用水和工业用水必将有较大幅度增长，在可利用水资源难以大幅度增加的情况下，制约土地利用的进一步发展，水资源供需矛盾日益突出。</w:t>
      </w:r>
    </w:p>
    <w:p w14:paraId="7361B6AF">
      <w:pPr>
        <w:pStyle w:val="5"/>
        <w:rPr>
          <w:rFonts w:eastAsia="仿宋_GB2312"/>
        </w:rPr>
      </w:pPr>
      <w:r>
        <w:rPr>
          <w:rFonts w:eastAsia="仿宋_GB2312"/>
        </w:rPr>
        <w:t>2.1.4饮用水水源地面源污染评价</w:t>
      </w:r>
    </w:p>
    <w:p w14:paraId="75B51775">
      <w:pPr>
        <w:adjustRightInd w:val="0"/>
        <w:snapToGrid w:val="0"/>
        <w:ind w:firstLine="480"/>
        <w:rPr>
          <w:rFonts w:cs="Times New Roman"/>
          <w:snapToGrid w:val="0"/>
        </w:rPr>
      </w:pPr>
      <w:r>
        <w:rPr>
          <w:rFonts w:cs="Times New Roman"/>
          <w:snapToGrid w:val="0"/>
        </w:rPr>
        <w:t>1、阜康市饮用水水源地概况</w:t>
      </w:r>
    </w:p>
    <w:p w14:paraId="06579D6C">
      <w:pPr>
        <w:ind w:firstLine="480"/>
        <w:rPr>
          <w:rFonts w:cs="Times New Roman"/>
          <w:snapToGrid w:val="0"/>
        </w:rPr>
      </w:pPr>
      <w:r>
        <w:rPr>
          <w:rFonts w:cs="Times New Roman"/>
          <w:snapToGrid w:val="0"/>
        </w:rPr>
        <w:t>阜康市现有水源共18处（已批复的水源地7处），其中地表水供水的水源地6处，地下水供水水源地5处，机井和泉水供水的水源点7处。现状部分水源地由于近几年新建上游供水工程代替，已废弃/计划撤销/停用水源，共7处（其中阜康市第二水厂已申请撤销），现可使用水源12处，无备用水源地。水源地总设计规模（包含城镇人口）为74182.64m³/d，实际供水规模为14758m³/d，总受益人口9.61万人，总受益户数29549户；</w:t>
      </w:r>
    </w:p>
    <w:p w14:paraId="5C1EA1F5">
      <w:pPr>
        <w:adjustRightInd w:val="0"/>
        <w:snapToGrid w:val="0"/>
        <w:ind w:firstLine="480"/>
        <w:rPr>
          <w:rFonts w:cs="Times New Roman"/>
          <w:snapToGrid w:val="0"/>
        </w:rPr>
      </w:pPr>
      <w:r>
        <w:rPr>
          <w:rFonts w:cs="Times New Roman"/>
          <w:snapToGrid w:val="0"/>
        </w:rPr>
        <w:t>阜康市水源地水质均为Ⅱ类及Ⅲ类，已完成水源地规范化建设采取了隔离防护工程、标识与警告设施工程建设，主要包括防护围栏、警示牌、宣传牌、界桩、界碑、监控设备及监控中心。阜康市未完成水源地保护规划建设的还有多处，部分饮用水水源地保护区内仍有村民住户，生活垃圾随意堆放，生活污水未经处理直接排放，随着新农村建设力度的进一步加大，这一现象逐渐消除。同时，农业生产中不合理施用化肥、农药，对水源地也构成一定的环境压力。阜康市饮用水污染源主要来自生活污染源、农业污染源以及流动污染源三大类，经过治理水源水质基本符合《地表环境水质量标准》（GB/3838-2002）III类标准。</w:t>
      </w:r>
    </w:p>
    <w:p w14:paraId="10935975">
      <w:pPr>
        <w:adjustRightInd w:val="0"/>
        <w:snapToGrid w:val="0"/>
        <w:ind w:firstLine="480"/>
        <w:rPr>
          <w:rFonts w:cs="Times New Roman"/>
          <w:snapToGrid w:val="0"/>
        </w:rPr>
      </w:pPr>
      <w:r>
        <w:rPr>
          <w:rFonts w:cs="Times New Roman"/>
          <w:snapToGrid w:val="0"/>
        </w:rPr>
        <w:t>（1）生活污染源</w:t>
      </w:r>
    </w:p>
    <w:p w14:paraId="1A4D293A">
      <w:pPr>
        <w:adjustRightInd w:val="0"/>
        <w:snapToGrid w:val="0"/>
        <w:ind w:firstLine="480"/>
        <w:rPr>
          <w:rFonts w:cs="Times New Roman"/>
          <w:snapToGrid w:val="0"/>
        </w:rPr>
      </w:pPr>
      <w:r>
        <w:rPr>
          <w:rFonts w:cs="Times New Roman"/>
          <w:snapToGrid w:val="0"/>
        </w:rPr>
        <w:t>根据阜康市实际情况出台人口搬迁及优惠政策，制定搬迁计划，逐步迁出饮用水源一、二级保护区内的人口，对于二级保护区内短期无法完成搬迁的，要加强对生活源防渗排污管道的铺设和管理，将生活废水统一收集，送至保护区外集中处理，达标排放。</w:t>
      </w:r>
    </w:p>
    <w:p w14:paraId="4F83DE5C">
      <w:pPr>
        <w:adjustRightInd w:val="0"/>
        <w:snapToGrid w:val="0"/>
        <w:ind w:firstLine="480"/>
        <w:rPr>
          <w:rFonts w:cs="Times New Roman"/>
          <w:snapToGrid w:val="0"/>
        </w:rPr>
      </w:pPr>
      <w:r>
        <w:rPr>
          <w:rFonts w:cs="Times New Roman"/>
          <w:snapToGrid w:val="0"/>
        </w:rPr>
        <w:t>（2）工业污染源</w:t>
      </w:r>
    </w:p>
    <w:p w14:paraId="6E01FE93">
      <w:pPr>
        <w:adjustRightInd w:val="0"/>
        <w:snapToGrid w:val="0"/>
        <w:ind w:firstLine="480"/>
        <w:rPr>
          <w:rFonts w:cs="Times New Roman"/>
          <w:snapToGrid w:val="0"/>
        </w:rPr>
      </w:pPr>
      <w:r>
        <w:rPr>
          <w:rFonts w:cs="Times New Roman"/>
          <w:snapToGrid w:val="0"/>
        </w:rPr>
        <w:t>水源保护区上游的工业污染源应合理布局。严格整治、化工、造纸等高污染建设项目：禁止向该区域河流、沟渠排放未经处理或虽经处理但不达标的工业废水；工业固体废物应及时运至不影响水源水质安全的区域处理</w:t>
      </w:r>
      <w:r>
        <w:rPr>
          <w:rFonts w:hint="eastAsia" w:cs="Times New Roman"/>
          <w:snapToGrid w:val="0"/>
        </w:rPr>
        <w:t>，阜东、阜西等工业污水处理厂的淤泥等其他工业废弃物等</w:t>
      </w:r>
      <w:r>
        <w:rPr>
          <w:rFonts w:cs="Times New Roman"/>
          <w:snapToGrid w:val="0"/>
        </w:rPr>
        <w:t>。</w:t>
      </w:r>
    </w:p>
    <w:p w14:paraId="367F36E6">
      <w:pPr>
        <w:adjustRightInd w:val="0"/>
        <w:snapToGrid w:val="0"/>
        <w:ind w:firstLine="480"/>
        <w:rPr>
          <w:rFonts w:cs="Times New Roman"/>
          <w:snapToGrid w:val="0"/>
        </w:rPr>
      </w:pPr>
      <w:r>
        <w:rPr>
          <w:rFonts w:cs="Times New Roman"/>
          <w:snapToGrid w:val="0"/>
        </w:rPr>
        <w:t>（3）农业污染源</w:t>
      </w:r>
    </w:p>
    <w:p w14:paraId="3E050643">
      <w:pPr>
        <w:adjustRightInd w:val="0"/>
        <w:snapToGrid w:val="0"/>
        <w:ind w:firstLine="480"/>
        <w:rPr>
          <w:rFonts w:cs="Times New Roman"/>
          <w:snapToGrid w:val="0"/>
        </w:rPr>
      </w:pPr>
      <w:r>
        <w:rPr>
          <w:rFonts w:cs="Times New Roman"/>
          <w:snapToGrid w:val="0"/>
        </w:rPr>
        <w:t>禁止在饮用水水源一级保护区内施用化肥、农药，限制在饮用水水源二级保护区内施用化肥、农药。合理开发保护区内的土地，对保护区内的土地进行置换，严格控制保护区内的种植面积，对于占用耕地的发展生态农业，逐步降低农药化肥使用，减少农业面源污染。全面清除饮用水水源一级保护区内的畜禽养殖行为，逐步清除饮用水水源二级保护区内的畜禽养殖行为。对于保护区内分散式畜禽养殖圈舍应尽量远离取水口。</w:t>
      </w:r>
    </w:p>
    <w:p w14:paraId="5D622239">
      <w:pPr>
        <w:adjustRightInd w:val="0"/>
        <w:snapToGrid w:val="0"/>
        <w:ind w:firstLine="480"/>
        <w:rPr>
          <w:rFonts w:cs="Times New Roman"/>
          <w:snapToGrid w:val="0"/>
        </w:rPr>
      </w:pPr>
      <w:r>
        <w:rPr>
          <w:rFonts w:cs="Times New Roman"/>
          <w:snapToGrid w:val="0"/>
        </w:rPr>
        <w:t>（4）流动污染源</w:t>
      </w:r>
    </w:p>
    <w:p w14:paraId="254CB8B1">
      <w:pPr>
        <w:adjustRightInd w:val="0"/>
        <w:snapToGrid w:val="0"/>
        <w:ind w:firstLine="480"/>
        <w:rPr>
          <w:rFonts w:cs="Times New Roman"/>
          <w:snapToGrid w:val="0"/>
        </w:rPr>
      </w:pPr>
      <w:r>
        <w:rPr>
          <w:rFonts w:cs="Times New Roman"/>
          <w:snapToGrid w:val="0"/>
        </w:rPr>
        <w:t>在饮用水源一级保护区内，禁止或严格限制公里运输有毒有害物质。饮用水源二级保护区内，不得建设服务站、加油站，严格限制运输有毒有害物质，根据水源保护区的不同级别，对公路运输的物品及所有车辆进行限制性通行。在进入水源保护区范围的入口处，应设立检测管理点，对进入保护区的车辆及物品进行检查，防止车辆漏油、物品散落等。对存在危险品运输公路和跨线桥两侧设置警示牌和限速牌，同时应建设防护墙(栏)等安全隔离防护设施，修建应急收集池(沟)，必要时设置小型净化。</w:t>
      </w:r>
    </w:p>
    <w:p w14:paraId="0B562317">
      <w:pPr>
        <w:adjustRightInd w:val="0"/>
        <w:snapToGrid w:val="0"/>
        <w:ind w:firstLine="480"/>
        <w:rPr>
          <w:rFonts w:cs="Times New Roman"/>
          <w:snapToGrid w:val="0"/>
        </w:rPr>
      </w:pPr>
      <w:r>
        <w:rPr>
          <w:rFonts w:cs="Times New Roman"/>
          <w:snapToGrid w:val="0"/>
        </w:rPr>
        <w:t>2、水土流失和水土保持对水源地的影响</w:t>
      </w:r>
    </w:p>
    <w:p w14:paraId="72F7C455">
      <w:pPr>
        <w:adjustRightInd w:val="0"/>
        <w:snapToGrid w:val="0"/>
        <w:ind w:firstLine="480"/>
        <w:rPr>
          <w:rFonts w:cs="Times New Roman"/>
          <w:snapToGrid w:val="0"/>
        </w:rPr>
      </w:pPr>
      <w:r>
        <w:rPr>
          <w:rFonts w:cs="Times New Roman"/>
          <w:snapToGrid w:val="0"/>
        </w:rPr>
        <w:t>水土流失是水资源短缺和水污染的重要因素之一，是当前制约社会经济可持续发展的主要瓶颈。在土壤侵蚀的同时，不仅向江河湖库输送大量的泥沙，而且径流与泥沙作为载体将土壤中的农药、化肥、畜禽粪便等有毒、有害物质、垃圾、重金属等大量面源污染物带出，造成耕地污染、水体污染（尤其影响城市饮用水集中供水水源地安全），进而造成农作物污染、减产，危害人类身体健康。水土保持工程的实施一方面增强了土壤和植被对降水的拦截、涵蓄能力，调节径流，延缓地表产流过程，节约冲沙水量，提高水资源利用效率；另一方面，调节了地表径流与地下径流转换，发挥土壤的缓冲和净化作用，净化水质，通过与农药、化肥等控制措施相配套，进一步减少了氮磷和农药污染的流失，改善水源地水质。因此，对于规划区重要饮用水源地，加强对区域内生产建设项目的管理，最大限度地减少人为因素造成新的水土流失；因地制宜实施局部水土流失综合治理和生态修复，减少土壤侵蚀量恢复原地貌植被。</w:t>
      </w:r>
    </w:p>
    <w:p w14:paraId="29A2097D">
      <w:pPr>
        <w:pStyle w:val="5"/>
        <w:rPr>
          <w:rFonts w:eastAsia="仿宋_GB2312"/>
        </w:rPr>
      </w:pPr>
      <w:r>
        <w:rPr>
          <w:rFonts w:eastAsia="仿宋_GB2312"/>
        </w:rPr>
        <w:t>2.1.5 生态状况评价</w:t>
      </w:r>
    </w:p>
    <w:p w14:paraId="197552B1">
      <w:pPr>
        <w:pStyle w:val="4"/>
        <w:adjustRightInd w:val="0"/>
        <w:snapToGrid w:val="0"/>
        <w:ind w:firstLine="480"/>
        <w:rPr>
          <w:snapToGrid w:val="0"/>
          <w:sz w:val="24"/>
          <w:szCs w:val="24"/>
        </w:rPr>
      </w:pPr>
      <w:r>
        <w:rPr>
          <w:rFonts w:hint="eastAsia"/>
          <w:snapToGrid w:val="0"/>
          <w:sz w:val="24"/>
          <w:szCs w:val="24"/>
        </w:rPr>
        <w:t>根据《阜康市林业和草原保护发展“十四五”规划》（2023年9月）数据，</w:t>
      </w:r>
      <w:r>
        <w:rPr>
          <w:snapToGrid w:val="0"/>
          <w:sz w:val="24"/>
          <w:szCs w:val="24"/>
        </w:rPr>
        <w:t>阜康市</w:t>
      </w:r>
      <w:r>
        <w:rPr>
          <w:rFonts w:hint="eastAsia"/>
          <w:snapToGrid w:val="0"/>
          <w:sz w:val="24"/>
          <w:szCs w:val="24"/>
        </w:rPr>
        <w:t>现有</w:t>
      </w:r>
      <w:r>
        <w:rPr>
          <w:snapToGrid w:val="0"/>
          <w:sz w:val="24"/>
          <w:szCs w:val="24"/>
        </w:rPr>
        <w:t>林地总面积</w:t>
      </w:r>
      <w:r>
        <w:rPr>
          <w:rFonts w:hint="eastAsia"/>
          <w:snapToGrid w:val="0"/>
          <w:sz w:val="24"/>
          <w:szCs w:val="24"/>
        </w:rPr>
        <w:t>378.77万亩</w:t>
      </w:r>
      <w:r>
        <w:rPr>
          <w:snapToGrid w:val="0"/>
          <w:sz w:val="24"/>
          <w:szCs w:val="24"/>
        </w:rPr>
        <w:t>，</w:t>
      </w:r>
      <w:r>
        <w:rPr>
          <w:rFonts w:hint="eastAsia"/>
          <w:snapToGrid w:val="0"/>
          <w:sz w:val="24"/>
          <w:szCs w:val="24"/>
        </w:rPr>
        <w:t>森林面积187.30万亩，</w:t>
      </w:r>
      <w:r>
        <w:rPr>
          <w:snapToGrid w:val="0"/>
          <w:sz w:val="24"/>
          <w:szCs w:val="24"/>
        </w:rPr>
        <w:t>森林覆盖量</w:t>
      </w:r>
      <w:r>
        <w:rPr>
          <w:rFonts w:hint="eastAsia"/>
          <w:snapToGrid w:val="0"/>
          <w:sz w:val="24"/>
          <w:szCs w:val="24"/>
        </w:rPr>
        <w:t>15.06</w:t>
      </w:r>
      <w:r>
        <w:rPr>
          <w:snapToGrid w:val="0"/>
          <w:sz w:val="24"/>
          <w:szCs w:val="24"/>
        </w:rPr>
        <w:t>%</w:t>
      </w:r>
      <w:r>
        <w:rPr>
          <w:rFonts w:hint="eastAsia"/>
          <w:snapToGrid w:val="0"/>
          <w:sz w:val="24"/>
          <w:szCs w:val="24"/>
        </w:rPr>
        <w:t>（不含兵团）</w:t>
      </w:r>
      <w:r>
        <w:rPr>
          <w:snapToGrid w:val="0"/>
          <w:sz w:val="24"/>
          <w:szCs w:val="24"/>
        </w:rPr>
        <w:t>，森林蓄积量235.7万立方米，</w:t>
      </w:r>
      <w:r>
        <w:rPr>
          <w:rFonts w:hint="eastAsia"/>
          <w:snapToGrid w:val="0"/>
          <w:sz w:val="24"/>
          <w:szCs w:val="24"/>
        </w:rPr>
        <w:t>草原</w:t>
      </w:r>
      <w:r>
        <w:rPr>
          <w:snapToGrid w:val="0"/>
          <w:sz w:val="24"/>
          <w:szCs w:val="24"/>
        </w:rPr>
        <w:t>综合植被覆盖率63.2%，人均公共绿地面积（城镇）82.8立方米。自然保护区</w:t>
      </w:r>
      <w:r>
        <w:rPr>
          <w:rFonts w:hint="eastAsia"/>
          <w:snapToGrid w:val="0"/>
          <w:sz w:val="24"/>
          <w:szCs w:val="24"/>
        </w:rPr>
        <w:t>57万亩</w:t>
      </w:r>
      <w:r>
        <w:rPr>
          <w:snapToGrid w:val="0"/>
          <w:sz w:val="24"/>
          <w:szCs w:val="24"/>
        </w:rPr>
        <w:t>，野生动物保护区</w:t>
      </w:r>
      <w:r>
        <w:rPr>
          <w:rFonts w:hint="eastAsia"/>
          <w:snapToGrid w:val="0"/>
          <w:sz w:val="24"/>
          <w:szCs w:val="24"/>
        </w:rPr>
        <w:t>99.90万亩</w:t>
      </w:r>
      <w:r>
        <w:rPr>
          <w:snapToGrid w:val="0"/>
          <w:sz w:val="24"/>
          <w:szCs w:val="24"/>
        </w:rPr>
        <w:t>。全市天然草地面积</w:t>
      </w:r>
      <w:r>
        <w:rPr>
          <w:rFonts w:hint="eastAsia"/>
          <w:snapToGrid w:val="0"/>
          <w:sz w:val="24"/>
          <w:szCs w:val="24"/>
        </w:rPr>
        <w:t>785.90</w:t>
      </w:r>
      <w:r>
        <w:rPr>
          <w:snapToGrid w:val="0"/>
          <w:sz w:val="24"/>
          <w:szCs w:val="24"/>
        </w:rPr>
        <w:t>万亩</w:t>
      </w:r>
      <w:r>
        <w:rPr>
          <w:rFonts w:hint="eastAsia"/>
          <w:snapToGrid w:val="0"/>
          <w:sz w:val="24"/>
          <w:szCs w:val="24"/>
        </w:rPr>
        <w:t>（不含兵团）</w:t>
      </w:r>
      <w:r>
        <w:rPr>
          <w:snapToGrid w:val="0"/>
          <w:sz w:val="24"/>
          <w:szCs w:val="24"/>
        </w:rPr>
        <w:t>。</w:t>
      </w:r>
    </w:p>
    <w:p w14:paraId="7F00F691">
      <w:pPr>
        <w:adjustRightInd w:val="0"/>
        <w:snapToGrid w:val="0"/>
        <w:ind w:firstLine="480"/>
        <w:rPr>
          <w:rFonts w:cs="Times New Roman"/>
          <w:snapToGrid w:val="0"/>
        </w:rPr>
      </w:pPr>
      <w:r>
        <w:rPr>
          <w:rFonts w:cs="Times New Roman"/>
          <w:snapToGrid w:val="0"/>
        </w:rPr>
        <w:t>阜康市干旱缺水，生态环境十分脆弱，加上水资源时空分布不均和多年来受全球气候变化和人为因素的影响，天然植被退化、森林资源减少，局部土地退化现象较为严重。此外，能源开发以及工业发展，也都给绿洲内外的生态环境带来一定影响。虽然近些年来经过不懈地治理，境内局部生态环境得到改善，但整体形势依然严峻，保护和改善生态环境的任务仍然十分艰巨。</w:t>
      </w:r>
    </w:p>
    <w:p w14:paraId="2A66BF22">
      <w:pPr>
        <w:pStyle w:val="5"/>
        <w:rPr>
          <w:rFonts w:eastAsia="仿宋_GB2312"/>
        </w:rPr>
      </w:pPr>
      <w:r>
        <w:rPr>
          <w:rFonts w:eastAsia="仿宋_GB2312"/>
        </w:rPr>
        <w:t>2.1.6 水土保持监测评价</w:t>
      </w:r>
    </w:p>
    <w:p w14:paraId="42BF57BD">
      <w:pPr>
        <w:adjustRightInd w:val="0"/>
        <w:snapToGrid w:val="0"/>
        <w:ind w:firstLine="480"/>
        <w:rPr>
          <w:rFonts w:cs="Times New Roman"/>
        </w:rPr>
      </w:pPr>
      <w:r>
        <w:rPr>
          <w:rFonts w:cs="Times New Roman"/>
        </w:rPr>
        <w:t>随着经济的快速发展，生产建设项目的不断增多，大部分生产建设项目水土保持监测工作尚未落到实处，专门的水土保持管理机构尚未成立，水土保持监测上报制度不完善，水土保持监测信息网络尚未建立，已经不能满足新形势下对水土保持监测信息化的要求。亟需成立专门的水土保持管理机构，完善监测上报制度，构建完善的水土保持监测信息网络，建立水土保持数据库，对开发建设项目水土流失情况进行实时监测，保证水土流失防治工作落到实处。</w:t>
      </w:r>
    </w:p>
    <w:p w14:paraId="4195C613">
      <w:pPr>
        <w:pStyle w:val="5"/>
        <w:rPr>
          <w:rFonts w:eastAsia="仿宋_GB2312"/>
        </w:rPr>
      </w:pPr>
      <w:r>
        <w:rPr>
          <w:rFonts w:eastAsia="仿宋_GB2312"/>
        </w:rPr>
        <w:t>2.1.7 水土保持监督管理评价</w:t>
      </w:r>
    </w:p>
    <w:p w14:paraId="51CC2D3F">
      <w:pPr>
        <w:adjustRightInd w:val="0"/>
        <w:snapToGrid w:val="0"/>
        <w:ind w:firstLine="480"/>
        <w:rPr>
          <w:rFonts w:cs="Times New Roman"/>
        </w:rPr>
      </w:pPr>
      <w:r>
        <w:rPr>
          <w:rFonts w:cs="Times New Roman"/>
        </w:rPr>
        <w:t>为掌握全阜康市生产建设项目水土流失动态变化，阜康市水行政主管部门定期对阜康市范围内的已建和在建项目的水土流失情况进行摸底调查。严格按照水土保持法律法规，实地调查，及时查处水土保持违法情况并提出相应的整改意见。</w:t>
      </w:r>
    </w:p>
    <w:p w14:paraId="20F0B230">
      <w:pPr>
        <w:adjustRightInd w:val="0"/>
        <w:snapToGrid w:val="0"/>
        <w:ind w:firstLine="480"/>
        <w:rPr>
          <w:rFonts w:cs="Times New Roman"/>
        </w:rPr>
      </w:pPr>
      <w:r>
        <w:rPr>
          <w:rFonts w:cs="Times New Roman"/>
        </w:rPr>
        <w:t>在后续工作中，应结合《全国水土保持信息化规划》、《新疆维吾尔自治区水土保持信息化规划》，积极落实水土保持预防监督的“天地一体化”动态监管，初步形成“基础支撑、全面监管、各级协同”的水土保持信息化体系，实现信息技术与水土保持业务的深度融合，推进水土保持传统管理方式向信息化、精细化管理方式的转变，为构建水土保持动态监管新格局提供支撑。</w:t>
      </w:r>
    </w:p>
    <w:p w14:paraId="081054D1">
      <w:pPr>
        <w:adjustRightInd w:val="0"/>
        <w:snapToGrid w:val="0"/>
        <w:ind w:firstLine="480"/>
        <w:rPr>
          <w:rFonts w:cs="Times New Roman"/>
        </w:rPr>
      </w:pPr>
      <w:r>
        <w:rPr>
          <w:rFonts w:cs="Times New Roman"/>
        </w:rPr>
        <w:t>阜康市水土保持网络和信息化水平较低，水土保持信息资源组织和管理多以文件形式分散存放，缺少以业务流、数据流为手段的数据采集和更新模式，信息资源对重大工作与应急响应的支持有限。缺少水土保持业务流信息管理系统，缺少模型化、软件化、定量化的业务分析评价。水土保持信息服务能力不足，缺少与决策层的纵向信息共享，缺少其他单位的横向信息共享，缺少面向领导决策层的信息服务和推送能力。</w:t>
      </w:r>
    </w:p>
    <w:p w14:paraId="52D7D64B">
      <w:pPr>
        <w:adjustRightInd w:val="0"/>
        <w:snapToGrid w:val="0"/>
        <w:ind w:firstLine="480"/>
        <w:rPr>
          <w:rFonts w:cs="Times New Roman"/>
        </w:rPr>
      </w:pPr>
      <w:r>
        <w:rPr>
          <w:rFonts w:cs="Times New Roman"/>
        </w:rPr>
        <w:t>总体上看，阜康市水土保持法管理和监督管理机构不断完善规范，监督执法能力不断加强，使水土保持监督管理工作有法可依、有章可循，人为水土流失治理成效突出，但尚存在根据新水土保持法要求更新配套相应地方规范性文件不及时、水土保持监督管理机构不健全、水土保持监督管理履行能力不均衡等问题，需要在今后的工作中全面落实提升。</w:t>
      </w:r>
    </w:p>
    <w:p w14:paraId="4CF0AF48">
      <w:pPr>
        <w:pStyle w:val="44"/>
        <w:spacing w:before="120" w:after="120"/>
        <w:rPr>
          <w:rFonts w:eastAsia="仿宋_GB2312" w:cs="Times New Roman"/>
        </w:rPr>
      </w:pPr>
      <w:bookmarkStart w:id="47" w:name="_Toc150724269"/>
      <w:bookmarkStart w:id="48" w:name="_Toc34820161"/>
      <w:r>
        <w:rPr>
          <w:rFonts w:eastAsia="仿宋_GB2312" w:cs="Times New Roman"/>
        </w:rPr>
        <w:t>2.2 水土保持需求分析</w:t>
      </w:r>
      <w:bookmarkEnd w:id="47"/>
      <w:bookmarkEnd w:id="48"/>
    </w:p>
    <w:p w14:paraId="488140D0">
      <w:pPr>
        <w:pStyle w:val="376"/>
        <w:adjustRightInd w:val="0"/>
        <w:ind w:firstLine="480"/>
        <w:rPr>
          <w:color w:val="auto"/>
        </w:rPr>
      </w:pPr>
      <w:r>
        <w:rPr>
          <w:color w:val="auto"/>
        </w:rPr>
        <w:t>本规划基于</w:t>
      </w:r>
      <w:r>
        <w:rPr>
          <w:color w:val="auto"/>
          <w:shd w:val="clear" w:color="auto" w:fill="FFFFFF"/>
        </w:rPr>
        <w:t>阜康市</w:t>
      </w:r>
      <w:r>
        <w:rPr>
          <w:color w:val="auto"/>
        </w:rPr>
        <w:t>国民经济和社会发展规划、土地利用总体规划和林地保护利用规划等相关行业规划资料，分析相关规划中涉及</w:t>
      </w:r>
      <w:r>
        <w:rPr>
          <w:color w:val="auto"/>
          <w:shd w:val="clear" w:color="auto" w:fill="FFFFFF"/>
        </w:rPr>
        <w:t>阜康市</w:t>
      </w:r>
      <w:r>
        <w:rPr>
          <w:color w:val="auto"/>
        </w:rPr>
        <w:t>在土地资源保护、农业生产条件改善、水系生态环境建设、植被资源保护与人居环境维护等方面的水土保持需求。</w:t>
      </w:r>
    </w:p>
    <w:p w14:paraId="21A0355E">
      <w:pPr>
        <w:pStyle w:val="5"/>
        <w:rPr>
          <w:rFonts w:eastAsia="仿宋_GB2312"/>
        </w:rPr>
      </w:pPr>
      <w:bookmarkStart w:id="49" w:name="_Toc31127"/>
      <w:r>
        <w:rPr>
          <w:rFonts w:eastAsia="仿宋_GB2312"/>
        </w:rPr>
        <w:t>2.2.1 土地资源对水土保持的需求</w:t>
      </w:r>
      <w:bookmarkEnd w:id="49"/>
    </w:p>
    <w:p w14:paraId="7AA10337">
      <w:pPr>
        <w:adjustRightInd w:val="0"/>
        <w:snapToGrid w:val="0"/>
        <w:ind w:firstLine="480"/>
        <w:jc w:val="both"/>
        <w:rPr>
          <w:rFonts w:cs="Times New Roman"/>
        </w:rPr>
      </w:pPr>
      <w:r>
        <w:rPr>
          <w:rFonts w:cs="Times New Roman"/>
        </w:rPr>
        <w:t>水土保持是维持土地资源可持徒开发利用的重安保用。由阜康市用地利用情况可以看出，建设用地增长幅度较快，在城乡建设、新型工业化的发展，尤其是能源、交通、水利等基础设施建设正处在高峰期，经济发展对建设用地需求非常旺盛。阜康市生产建设项目人为因素导致的水土</w:t>
      </w:r>
      <w:r>
        <w:rPr>
          <w:rFonts w:hint="eastAsia" w:cs="Times New Roman"/>
          <w:lang w:val="en-US" w:eastAsia="zh-CN"/>
        </w:rPr>
        <w:t>流失</w:t>
      </w:r>
      <w:r>
        <w:rPr>
          <w:rFonts w:cs="Times New Roman"/>
        </w:rPr>
        <w:t>是阜康市水土流失的重要因素之,</w:t>
      </w:r>
      <w:r>
        <w:rPr>
          <w:rFonts w:hint="eastAsia" w:cs="Times New Roman"/>
          <w:lang w:eastAsia="zh-CN"/>
        </w:rPr>
        <w:t>水土</w:t>
      </w:r>
      <w:r>
        <w:rPr>
          <w:rFonts w:cs="Times New Roman"/>
        </w:rPr>
        <w:t>保持工作的重点应为生产建设活动造成人为水土流失为对生态环境危害的防治工作，要严格限定建设用地范围，防止盲目扩张和低水平重复建设。在编制有关基础设施建设、城镇建设等方面的规划时，组织编制机构应当从水土保持角度，分析论证这些规划所涉及的项目总体布局、规模以及建设的区域和范围对水土资源和生态环境的影响，并提出相应水土流失预防和治理的对策措施，实现</w:t>
      </w:r>
      <w:r>
        <w:rPr>
          <w:rFonts w:hint="eastAsia" w:cs="Times New Roman"/>
          <w:lang w:eastAsia="zh-CN"/>
        </w:rPr>
        <w:t>水土</w:t>
      </w:r>
      <w:r>
        <w:rPr>
          <w:rFonts w:cs="Times New Roman"/>
        </w:rPr>
        <w:t>流失和生态环境由事后治理向事前预防保护的转变。单项生产建设项目依法编制水土保持方案，并落实后续设计以及水保监测、监理等工作，将方案措施落到实处。</w:t>
      </w:r>
    </w:p>
    <w:p w14:paraId="0E055FD3">
      <w:pPr>
        <w:adjustRightInd w:val="0"/>
        <w:snapToGrid w:val="0"/>
        <w:ind w:firstLine="480"/>
        <w:jc w:val="both"/>
        <w:rPr>
          <w:rFonts w:cs="Times New Roman"/>
        </w:rPr>
      </w:pPr>
      <w:r>
        <w:rPr>
          <w:rFonts w:cs="Times New Roman"/>
        </w:rPr>
        <w:t>（1）严格保护耕地特别是基本农田，保障粮食安全</w:t>
      </w:r>
    </w:p>
    <w:p w14:paraId="7F39EB74">
      <w:pPr>
        <w:adjustRightInd w:val="0"/>
        <w:snapToGrid w:val="0"/>
        <w:ind w:firstLine="480"/>
        <w:jc w:val="both"/>
        <w:rPr>
          <w:rFonts w:cs="Times New Roman"/>
        </w:rPr>
      </w:pPr>
      <w:r>
        <w:rPr>
          <w:rFonts w:cs="Times New Roman"/>
        </w:rPr>
        <w:t>依托优越的地理区位，坚持区域化布局、规模化发展、产业化经营，着力打造国家级商品粮基地、新疆优质商品棉基地、乌昌地区蔬菜供应储备基地、西北地区重要的制种基地以及新疆重要的现代化、高标准优质畜产品基地。各类开发建设项目占地应尽量避免占用耕地。</w:t>
      </w:r>
    </w:p>
    <w:p w14:paraId="6C0ABE1E">
      <w:pPr>
        <w:adjustRightInd w:val="0"/>
        <w:snapToGrid w:val="0"/>
        <w:ind w:firstLine="480"/>
        <w:jc w:val="both"/>
        <w:rPr>
          <w:rFonts w:cs="Times New Roman"/>
        </w:rPr>
      </w:pPr>
      <w:r>
        <w:rPr>
          <w:rFonts w:cs="Times New Roman"/>
        </w:rPr>
        <w:t>（2）坚持土地节约集约利用，提高土地利用效率</w:t>
      </w:r>
    </w:p>
    <w:p w14:paraId="732C8433">
      <w:pPr>
        <w:adjustRightInd w:val="0"/>
        <w:snapToGrid w:val="0"/>
        <w:ind w:firstLine="480"/>
        <w:jc w:val="both"/>
        <w:rPr>
          <w:rFonts w:cs="Times New Roman"/>
        </w:rPr>
      </w:pPr>
      <w:r>
        <w:rPr>
          <w:rFonts w:cs="Times New Roman"/>
        </w:rPr>
        <w:t>坚持开源与节流并举，把节约集约放在首位，优先利用存量建设用地，多途径释放建设用地节约集约潜力，土地利用效率和节约集约水平不断提高，新增建设用地规模得到有效控制，城镇存量土地得到充分利用。同时强力推进新型工业化，加快培育战略性新兴产业、加快产业阜康市建设，保障建设用地的供应。</w:t>
      </w:r>
    </w:p>
    <w:p w14:paraId="0DD889BF">
      <w:pPr>
        <w:adjustRightInd w:val="0"/>
        <w:snapToGrid w:val="0"/>
        <w:ind w:firstLine="480"/>
        <w:jc w:val="both"/>
        <w:rPr>
          <w:rFonts w:cs="Times New Roman"/>
        </w:rPr>
      </w:pPr>
      <w:r>
        <w:rPr>
          <w:rFonts w:cs="Times New Roman"/>
        </w:rPr>
        <w:t>（3）调整优化土地利用结构</w:t>
      </w:r>
    </w:p>
    <w:p w14:paraId="4729298C">
      <w:pPr>
        <w:adjustRightInd w:val="0"/>
        <w:snapToGrid w:val="0"/>
        <w:ind w:firstLine="480"/>
        <w:jc w:val="both"/>
        <w:rPr>
          <w:rFonts w:cs="Times New Roman"/>
        </w:rPr>
      </w:pPr>
      <w:r>
        <w:rPr>
          <w:rFonts w:cs="Times New Roman"/>
        </w:rPr>
        <w:t>坚持以“科学跨越、富民强州”为主题，以改革开放和技术创新为动力，以现代文化为引领，以科技、教育为支撑，在更高层面上促进新型工业化、农牧业现代化、新型城镇化良性互动，努力形成以工促农、以城带乡、统筹协调的发展新局面，力争在全疆率先实现新型工业化、农牧业现代化。通过因地制宜、合理调配，不断优化城乡空间布局，实现城镇建设、产业集聚区建设、基础设施建设、新农村建设空间的有效置换和统筹利用。</w:t>
      </w:r>
    </w:p>
    <w:p w14:paraId="112BAC70">
      <w:pPr>
        <w:adjustRightInd w:val="0"/>
        <w:snapToGrid w:val="0"/>
        <w:ind w:firstLine="480"/>
        <w:jc w:val="both"/>
        <w:rPr>
          <w:rFonts w:cs="Times New Roman"/>
        </w:rPr>
      </w:pPr>
      <w:r>
        <w:rPr>
          <w:rFonts w:cs="Times New Roman"/>
        </w:rPr>
        <w:t>（4）体现以水定地为原则，发挥水资源的刚性最大约束</w:t>
      </w:r>
    </w:p>
    <w:p w14:paraId="53831097">
      <w:pPr>
        <w:adjustRightInd w:val="0"/>
        <w:snapToGrid w:val="0"/>
        <w:ind w:firstLine="480"/>
        <w:jc w:val="both"/>
        <w:rPr>
          <w:rFonts w:cs="Times New Roman"/>
        </w:rPr>
      </w:pPr>
      <w:r>
        <w:rPr>
          <w:rFonts w:cs="Times New Roman"/>
        </w:rPr>
        <w:t>坚持以水定地。根据关于印发新疆用水总量控制方案的函（新水函20186号），阜康市处于新疆干旱地区，绿洲经济特点显著，水资源及时空分布决定土地利用方式，严格执行自治区确定到2020年农业用水比重下降到90%以下的目标，严格控制地下水超采区域开采地下水，通过适度减少农业用地规模和采取节水措施降低灌溉定额，提高灌溉水利用系数，稳定农业用地规模，增强土地资源对经济社会可持续发展的保障能力。</w:t>
      </w:r>
    </w:p>
    <w:p w14:paraId="66204AC4">
      <w:pPr>
        <w:adjustRightInd w:val="0"/>
        <w:snapToGrid w:val="0"/>
        <w:ind w:firstLine="480"/>
        <w:jc w:val="both"/>
        <w:rPr>
          <w:rFonts w:cs="Times New Roman"/>
        </w:rPr>
      </w:pPr>
      <w:r>
        <w:rPr>
          <w:rFonts w:cs="Times New Roman"/>
        </w:rPr>
        <w:t>进一步落实用水总量控制目标，实施最严格的水资源管理制度，以水资源和水环境承载能力为约束，以节水型社会建设为抓手，以强化生态环境保护为重点，以控制农业用水量为核心，将用水总量控制指标、灌溉面积退减指标、用水效率控制指标、高效节水灌溉面积发展指标与保护土地资源和三条红线控制指标紧密结合。按照“高效利用、利于稳定、分步实施、远期达标”的退地基本原则，退减无合法土地开发手续的耕地，退减不具备治理修复条件的土壤污染地块。</w:t>
      </w:r>
    </w:p>
    <w:p w14:paraId="7FE14034">
      <w:pPr>
        <w:adjustRightInd w:val="0"/>
        <w:snapToGrid w:val="0"/>
        <w:ind w:firstLine="480"/>
        <w:jc w:val="both"/>
        <w:rPr>
          <w:rFonts w:cs="Times New Roman"/>
        </w:rPr>
      </w:pPr>
      <w:r>
        <w:rPr>
          <w:rFonts w:cs="Times New Roman"/>
        </w:rPr>
        <w:t>土地资源的合理利用、农业生产条件的进一步改善 以及水资源合理分配都对水土保持提出了更高需求。</w:t>
      </w:r>
    </w:p>
    <w:p w14:paraId="7F690685">
      <w:pPr>
        <w:pStyle w:val="5"/>
        <w:rPr>
          <w:rFonts w:eastAsia="仿宋_GB2312"/>
        </w:rPr>
      </w:pPr>
      <w:bookmarkStart w:id="50" w:name="_Toc19288"/>
      <w:r>
        <w:rPr>
          <w:rFonts w:eastAsia="仿宋_GB2312"/>
        </w:rPr>
        <w:t>2.2.2 改善生态环境和维护生态安全对水土保持的需求</w:t>
      </w:r>
      <w:bookmarkEnd w:id="50"/>
    </w:p>
    <w:p w14:paraId="7B2C116D">
      <w:pPr>
        <w:adjustRightInd w:val="0"/>
        <w:snapToGrid w:val="0"/>
        <w:ind w:firstLine="480"/>
        <w:rPr>
          <w:rFonts w:cs="Times New Roman"/>
        </w:rPr>
      </w:pPr>
      <w:r>
        <w:rPr>
          <w:rFonts w:cs="Times New Roman"/>
        </w:rPr>
        <w:t>阜康市以全面深化改革为抓手，以加快转变经济发展方式为主线，以改革开放为动力，着力构建现代基础支撑体系、生态安全体系和民生保障体系，促进经济社会又好又快发展和社会大局稳定，着力打造生态旅游目的地。水土流失既涉及资源又涉及环境，是阜康市重大的生态与环境问题。保护和建设林草植被，促进生态系统良性循环和维护生态安全，是水土保持必须担当的重要任务之一。</w:t>
      </w:r>
    </w:p>
    <w:p w14:paraId="64A57F34">
      <w:pPr>
        <w:adjustRightInd w:val="0"/>
        <w:snapToGrid w:val="0"/>
        <w:ind w:firstLine="480"/>
        <w:rPr>
          <w:rFonts w:cs="Times New Roman"/>
        </w:rPr>
      </w:pPr>
      <w:r>
        <w:rPr>
          <w:rFonts w:cs="Times New Roman"/>
        </w:rPr>
        <w:t>（1）水土保持有助于增加林草植被和改善生态系统</w:t>
      </w:r>
    </w:p>
    <w:p w14:paraId="3C0DCA6D">
      <w:pPr>
        <w:adjustRightInd w:val="0"/>
        <w:snapToGrid w:val="0"/>
        <w:ind w:firstLine="480"/>
        <w:rPr>
          <w:rFonts w:cs="Times New Roman"/>
        </w:rPr>
      </w:pPr>
      <w:r>
        <w:rPr>
          <w:rFonts w:cs="Times New Roman"/>
        </w:rPr>
        <w:t>水土保持可以增加林草植被覆盖，提升生态系统稳定性，增强水源涵养能力，对改善生态系统具有积极作用。</w:t>
      </w:r>
    </w:p>
    <w:p w14:paraId="781B9DF2">
      <w:pPr>
        <w:adjustRightInd w:val="0"/>
        <w:snapToGrid w:val="0"/>
        <w:ind w:firstLine="480"/>
        <w:rPr>
          <w:rFonts w:cs="Times New Roman"/>
        </w:rPr>
      </w:pPr>
      <w:r>
        <w:rPr>
          <w:rFonts w:cs="Times New Roman"/>
        </w:rPr>
        <w:t>水土保持通过配套水系工程建设，促进传统粗放的农牧业生产方式向高效集约化经营转变，提高了农牧业综合生产能力，同时，通过封育、轮封和人工造林种草，保护和改善了大面积的森林生态系统。随着林草措施效益的持续发挥，生物多样性得到不断提高，区域生态系统日趋稳定并实现良性循环。</w:t>
      </w:r>
    </w:p>
    <w:p w14:paraId="568751C3">
      <w:pPr>
        <w:adjustRightInd w:val="0"/>
        <w:snapToGrid w:val="0"/>
        <w:ind w:firstLine="480"/>
        <w:rPr>
          <w:rFonts w:cs="Times New Roman"/>
        </w:rPr>
      </w:pPr>
      <w:r>
        <w:rPr>
          <w:rFonts w:cs="Times New Roman"/>
        </w:rPr>
        <w:t>（2）综合防治，优化水土资源配置，促进生态恢复和改善</w:t>
      </w:r>
    </w:p>
    <w:p w14:paraId="205881A1">
      <w:pPr>
        <w:adjustRightInd w:val="0"/>
        <w:snapToGrid w:val="0"/>
        <w:ind w:firstLine="480"/>
        <w:rPr>
          <w:rFonts w:cs="Times New Roman"/>
        </w:rPr>
      </w:pPr>
      <w:r>
        <w:rPr>
          <w:rFonts w:cs="Times New Roman"/>
        </w:rPr>
        <w:t>水土保持以小流域为单元，因地制宜，因害设防，建立水土流失综合防治体系。经过治理，将降水资源最大限度地拦截，有效补充当地的生态用水；通过控制水土流失，使良好的光、热、水资源与宝贵的土地资源实现了优化配置，促进区域生态的恢复和改善。</w:t>
      </w:r>
    </w:p>
    <w:p w14:paraId="7E71C484">
      <w:pPr>
        <w:adjustRightInd w:val="0"/>
        <w:snapToGrid w:val="0"/>
        <w:ind w:firstLine="480"/>
        <w:rPr>
          <w:rFonts w:cs="Times New Roman"/>
        </w:rPr>
      </w:pPr>
      <w:r>
        <w:rPr>
          <w:rFonts w:cs="Times New Roman"/>
        </w:rPr>
        <w:t>进一步加强水土流失防治，充分发挥水土保持对生态改善和生态安全维护的作用刻不容缓。水土保持在生态建设中具有独特的优势，能够充分考虑自然、社会等各种因素，统筹协调各方面力量，科学配置各项措施，确保人口、资源、环境和经济社会的协调发展。</w:t>
      </w:r>
    </w:p>
    <w:p w14:paraId="6D8D03A5">
      <w:pPr>
        <w:adjustRightInd w:val="0"/>
        <w:snapToGrid w:val="0"/>
        <w:ind w:firstLine="480"/>
        <w:rPr>
          <w:rFonts w:cs="Times New Roman"/>
        </w:rPr>
      </w:pPr>
      <w:r>
        <w:rPr>
          <w:rFonts w:cs="Times New Roman"/>
        </w:rPr>
        <w:t>（3）提升生态功能和维护生态安全</w:t>
      </w:r>
    </w:p>
    <w:p w14:paraId="55D1CF58">
      <w:pPr>
        <w:adjustRightInd w:val="0"/>
        <w:snapToGrid w:val="0"/>
        <w:ind w:firstLine="480"/>
        <w:jc w:val="both"/>
        <w:rPr>
          <w:rFonts w:cs="Times New Roman"/>
          <w:snapToGrid w:val="0"/>
        </w:rPr>
      </w:pPr>
      <w:r>
        <w:rPr>
          <w:rFonts w:cs="Times New Roman"/>
          <w:snapToGrid w:val="0"/>
        </w:rPr>
        <w:t>阜康市自2010年以来，对荒漠化严重的地区进行封育、退耕还林和退耕还草，结合灌区水资源条件，因地制宜，加强对现有植被的保护，充分发挥植被自我修复能力，以种草、植灌为主发展草原植被，达到改善生态环境，实现人与自然和谐共处的目的。同时加强草场管理，保护草原质量，减少草原的载畜量，以使其能休养生息、自行修复或增加草原植被。在水力侵蚀地区，以天然沟壑及其两侧山坡地形的小流域为单元，依据本流域规划，采取工程、植物措施，建立水土流失综合防治体系。在风力侵蚀、风沙危害地区，采取开发水源，植树种草，设置人工沙障和网格林带等措施，建立防风固沙防护体系，控制风沙危害。</w:t>
      </w:r>
    </w:p>
    <w:p w14:paraId="6D0C4D4A">
      <w:pPr>
        <w:adjustRightInd w:val="0"/>
        <w:snapToGrid w:val="0"/>
        <w:ind w:firstLine="480"/>
        <w:jc w:val="both"/>
        <w:rPr>
          <w:rFonts w:cs="Times New Roman"/>
        </w:rPr>
      </w:pPr>
      <w:r>
        <w:rPr>
          <w:rFonts w:cs="Times New Roman"/>
          <w:snapToGrid w:val="0"/>
        </w:rPr>
        <w:t>按照林网化的建设，形成林、草、作物为主要特征的大面积人工绿洲将会有效改善土地沙化，增加植被，促进生态向良性方向转化</w:t>
      </w:r>
      <w:r>
        <w:rPr>
          <w:rFonts w:cs="Times New Roman"/>
        </w:rPr>
        <w:t>。</w:t>
      </w:r>
    </w:p>
    <w:p w14:paraId="0BFE066C">
      <w:pPr>
        <w:pStyle w:val="5"/>
        <w:rPr>
          <w:rFonts w:eastAsia="仿宋_GB2312"/>
        </w:rPr>
      </w:pPr>
      <w:bookmarkStart w:id="51" w:name="_Toc21862"/>
      <w:r>
        <w:rPr>
          <w:rFonts w:eastAsia="仿宋_GB2312"/>
        </w:rPr>
        <w:t>2.2.3 促进河库渠治理与保障防洪安全对水土保持的需求</w:t>
      </w:r>
      <w:bookmarkEnd w:id="51"/>
    </w:p>
    <w:p w14:paraId="2B491E80">
      <w:pPr>
        <w:pStyle w:val="376"/>
        <w:adjustRightInd w:val="0"/>
        <w:ind w:firstLine="480"/>
        <w:rPr>
          <w:color w:val="auto"/>
          <w:kern w:val="2"/>
        </w:rPr>
      </w:pPr>
      <w:r>
        <w:rPr>
          <w:color w:val="auto"/>
          <w:kern w:val="2"/>
        </w:rPr>
        <w:t>通过加强</w:t>
      </w:r>
      <w:r>
        <w:rPr>
          <w:color w:val="auto"/>
          <w:kern w:val="2"/>
          <w:lang w:eastAsia="zh-CN"/>
        </w:rPr>
        <w:t>阜康市</w:t>
      </w:r>
      <w:r>
        <w:rPr>
          <w:color w:val="auto"/>
          <w:kern w:val="2"/>
        </w:rPr>
        <w:t>的库</w:t>
      </w:r>
      <w:r>
        <w:rPr>
          <w:color w:val="auto"/>
          <w:kern w:val="2"/>
          <w:lang w:eastAsia="zh-CN"/>
        </w:rPr>
        <w:t>、</w:t>
      </w:r>
      <w:r>
        <w:rPr>
          <w:color w:val="auto"/>
          <w:kern w:val="2"/>
        </w:rPr>
        <w:t>渠的进一步治理，实现人口聚集区河道水清岸绿。全面实施小流域综合治理，增加植被覆盖和建设拦沙减沙体系，能够有效增强涵养水源功能，在一定程度上具有减轻库渠泥沙淤积作用。通过种植水土保持林和种草等植物措施，有效改变下垫面条件，直接或间接地起到拦蓄地表径流、的作用，有效地减少水库淤积。</w:t>
      </w:r>
    </w:p>
    <w:p w14:paraId="2F23CFFF">
      <w:pPr>
        <w:pStyle w:val="5"/>
        <w:rPr>
          <w:rFonts w:eastAsia="仿宋_GB2312"/>
        </w:rPr>
      </w:pPr>
      <w:bookmarkStart w:id="52" w:name="_Toc8315"/>
      <w:r>
        <w:rPr>
          <w:rFonts w:eastAsia="仿宋_GB2312"/>
        </w:rPr>
        <w:t>2.2.4 灌溉饮用水水源地保护与饮水安全对水土保持的需求</w:t>
      </w:r>
      <w:bookmarkEnd w:id="52"/>
    </w:p>
    <w:p w14:paraId="0BEF25A8">
      <w:pPr>
        <w:pStyle w:val="376"/>
        <w:adjustRightInd w:val="0"/>
        <w:ind w:firstLine="488"/>
        <w:rPr>
          <w:color w:val="auto"/>
          <w:spacing w:val="2"/>
        </w:rPr>
      </w:pPr>
      <w:r>
        <w:rPr>
          <w:color w:val="auto"/>
          <w:spacing w:val="2"/>
        </w:rPr>
        <w:t>饮用水资源是人类生存的基本条件</w:t>
      </w:r>
      <w:r>
        <w:rPr>
          <w:rFonts w:hint="eastAsia"/>
          <w:color w:val="auto"/>
          <w:spacing w:val="2"/>
        </w:rPr>
        <w:t>饮用水资源是人类生存的基本条件，阜康市多处主要灌溉饮用水水源地，担负着全县人民群众生活饮用水及生产用水的任务，对保障区域的发展与稳定起着至关重要作用。目前阜康市部分水源地周边的生产建设项目造成饮用水水源地存在环境风险隐患，造成局部地区的点源、面源污染、生产生活垃圾排放以及生产建设活动的影响，造成水土污染，严重影响水源地供水安全，改善下垫面状况。大力实施清洁水系行动，全面加强水源地保护，推进涵养区、源头区等水源地环境整治，保障饮用水安全。大力推动中水回用、污泥无害化处理和资源化利用，加强城乡黑臭水体整治。发挥水对城市的生态环境功能，形成</w:t>
      </w:r>
      <w:r>
        <w:rPr>
          <w:color w:val="auto"/>
          <w:spacing w:val="2"/>
        </w:rPr>
        <w:t>“</w:t>
      </w:r>
      <w:r>
        <w:rPr>
          <w:rFonts w:hint="eastAsia"/>
          <w:color w:val="auto"/>
          <w:spacing w:val="2"/>
        </w:rPr>
        <w:t>水清、岸绿和景美</w:t>
      </w:r>
      <w:r>
        <w:rPr>
          <w:color w:val="auto"/>
          <w:spacing w:val="2"/>
        </w:rPr>
        <w:t>”</w:t>
      </w:r>
      <w:r>
        <w:rPr>
          <w:rFonts w:hint="eastAsia"/>
          <w:color w:val="auto"/>
          <w:spacing w:val="2"/>
        </w:rPr>
        <w:t>的要求。</w:t>
      </w:r>
    </w:p>
    <w:p w14:paraId="70846476">
      <w:pPr>
        <w:pStyle w:val="5"/>
        <w:rPr>
          <w:rFonts w:eastAsia="仿宋_GB2312"/>
        </w:rPr>
      </w:pPr>
      <w:bookmarkStart w:id="53" w:name="_Toc3564"/>
      <w:r>
        <w:rPr>
          <w:rFonts w:eastAsia="仿宋_GB2312"/>
        </w:rPr>
        <w:t>2.2.5 人居环境维护对水土保持的需求</w:t>
      </w:r>
      <w:bookmarkEnd w:id="53"/>
    </w:p>
    <w:p w14:paraId="220EF92E">
      <w:pPr>
        <w:pStyle w:val="376"/>
        <w:adjustRightInd w:val="0"/>
        <w:ind w:firstLine="480"/>
        <w:rPr>
          <w:color w:val="auto"/>
        </w:rPr>
      </w:pPr>
      <w:r>
        <w:rPr>
          <w:color w:val="auto"/>
        </w:rPr>
        <w:t>人与自然是生命共同体，人类必须尊重自然、顺应自然、保护自然。党的十九大报告中指出，加快生态文明体制改革，建设美丽中国。坚持节约优先、保护优先、自然恢复为主的方针，形成节约资源和保护环境的空间格局、产业结构、生产方式、生活方式，还自然以宁静、和谐、美丽。目前，随着城镇化、工业化建设进程的加快，生产建设项目形成大量的废土弃渣，破坏地表植被，造成新的水土流失。而随着城镇居民生活水平的提高，城市生活垃圾、生活污水以及其他废弃物排放增加，如果缺乏有效的管理和充分利用，很容易给城镇居民健康带来危害。</w:t>
      </w:r>
      <w:r>
        <w:rPr>
          <w:color w:val="auto"/>
          <w:lang w:eastAsia="zh-CN"/>
        </w:rPr>
        <w:t>阜康市</w:t>
      </w:r>
      <w:r>
        <w:rPr>
          <w:color w:val="auto"/>
        </w:rPr>
        <w:t>地处天山北坡人居环境农田防护区，</w:t>
      </w:r>
      <w:r>
        <w:rPr>
          <w:color w:val="auto"/>
          <w:spacing w:val="-4"/>
        </w:rPr>
        <w:t>属国家层面的重点</w:t>
      </w:r>
      <w:r>
        <w:rPr>
          <w:color w:val="auto"/>
          <w:spacing w:val="-136"/>
        </w:rPr>
        <w:t xml:space="preserve"> </w:t>
      </w:r>
      <w:r>
        <w:rPr>
          <w:color w:val="auto"/>
          <w:spacing w:val="2"/>
        </w:rPr>
        <w:t>开发区域，是天山北坡地区优势产业集聚区，城镇相对集中，</w:t>
      </w:r>
      <w:r>
        <w:rPr>
          <w:color w:val="auto"/>
          <w:spacing w:val="-111"/>
        </w:rPr>
        <w:t xml:space="preserve"> </w:t>
      </w:r>
      <w:r>
        <w:rPr>
          <w:color w:val="auto"/>
          <w:spacing w:val="2"/>
        </w:rPr>
        <w:t>人口密集、开发强度高、资源环境负荷重，绿洲边缘及上游山地水土</w:t>
      </w:r>
      <w:r>
        <w:rPr>
          <w:color w:val="auto"/>
          <w:spacing w:val="-111"/>
        </w:rPr>
        <w:t xml:space="preserve"> </w:t>
      </w:r>
      <w:r>
        <w:rPr>
          <w:color w:val="auto"/>
          <w:spacing w:val="2"/>
        </w:rPr>
        <w:t>流失会对城市人居环境产生很大影响。因此，需要重点对人居环境区域加强治理和监管，提</w:t>
      </w:r>
      <w:r>
        <w:rPr>
          <w:color w:val="auto"/>
          <w:spacing w:val="-111"/>
        </w:rPr>
        <w:t xml:space="preserve"> </w:t>
      </w:r>
      <w:r>
        <w:rPr>
          <w:color w:val="auto"/>
        </w:rPr>
        <w:t>升人居环境质量。</w:t>
      </w:r>
    </w:p>
    <w:p w14:paraId="337A2C5C">
      <w:pPr>
        <w:pStyle w:val="376"/>
        <w:adjustRightInd w:val="0"/>
        <w:ind w:firstLine="488"/>
        <w:rPr>
          <w:color w:val="auto"/>
        </w:rPr>
      </w:pPr>
      <w:r>
        <w:rPr>
          <w:color w:val="auto"/>
          <w:spacing w:val="2"/>
        </w:rPr>
        <w:t>综合上述需求分析，根据</w:t>
      </w:r>
      <w:r>
        <w:rPr>
          <w:color w:val="auto"/>
          <w:spacing w:val="2"/>
          <w:lang w:eastAsia="zh-CN"/>
        </w:rPr>
        <w:t>阜康市</w:t>
      </w:r>
      <w:r>
        <w:rPr>
          <w:color w:val="auto"/>
          <w:spacing w:val="2"/>
        </w:rPr>
        <w:t>水土流失现状分布与特点，考虑到水土保持综合防治任务的长期性、反复性和艰巨性，结合以往水土保持与生态建设历程和经验，本规划坚持“预防为主，保护优先，综合治理，突出重点</w:t>
      </w:r>
      <w:r>
        <w:rPr>
          <w:color w:val="auto"/>
        </w:rPr>
        <w:t>”</w:t>
      </w:r>
      <w:r>
        <w:rPr>
          <w:color w:val="auto"/>
          <w:spacing w:val="2"/>
        </w:rPr>
        <w:t>的原则，对未来1</w:t>
      </w:r>
      <w:r>
        <w:rPr>
          <w:color w:val="auto"/>
          <w:spacing w:val="2"/>
          <w:lang w:eastAsia="zh-CN"/>
        </w:rPr>
        <w:t>0</w:t>
      </w:r>
      <w:r>
        <w:rPr>
          <w:color w:val="auto"/>
          <w:spacing w:val="2"/>
        </w:rPr>
        <w:t>年水土流失防治任务的总体安排是：对存在水土流失潜在危险的区域全面实施预防保护，重点是分布在</w:t>
      </w:r>
      <w:r>
        <w:rPr>
          <w:color w:val="auto"/>
          <w:spacing w:val="2"/>
          <w:lang w:eastAsia="zh-CN"/>
        </w:rPr>
        <w:t>示范区</w:t>
      </w:r>
      <w:r>
        <w:rPr>
          <w:color w:val="auto"/>
          <w:spacing w:val="2"/>
        </w:rPr>
        <w:t>内的林草覆盖率较高的草场、</w:t>
      </w:r>
      <w:r>
        <w:rPr>
          <w:color w:val="auto"/>
          <w:spacing w:val="2"/>
          <w:lang w:eastAsia="zh-CN"/>
        </w:rPr>
        <w:t>农</w:t>
      </w:r>
      <w:r>
        <w:rPr>
          <w:color w:val="auto"/>
          <w:spacing w:val="2"/>
        </w:rPr>
        <w:t>场；对适宜治理的水土流失区域进行系统全面治理，重点是对以防风减灾、农田防护、土壤保持、蓄水减灾、生态维护为主导基础功能的区域进行综合治理。</w:t>
      </w:r>
    </w:p>
    <w:p w14:paraId="7104864F">
      <w:pPr>
        <w:pStyle w:val="5"/>
        <w:rPr>
          <w:rFonts w:eastAsia="仿宋_GB2312"/>
        </w:rPr>
      </w:pPr>
      <w:bookmarkStart w:id="54" w:name="_Toc31289"/>
      <w:r>
        <w:rPr>
          <w:rFonts w:eastAsia="仿宋_GB2312"/>
        </w:rPr>
        <w:t>2.2.6 完善机构及人员配备，促进水土保持规范化管理</w:t>
      </w:r>
      <w:bookmarkEnd w:id="54"/>
    </w:p>
    <w:p w14:paraId="55A16A14">
      <w:pPr>
        <w:pStyle w:val="376"/>
        <w:adjustRightInd w:val="0"/>
        <w:ind w:firstLine="488"/>
        <w:rPr>
          <w:color w:val="auto"/>
          <w:spacing w:val="2"/>
        </w:rPr>
      </w:pPr>
      <w:r>
        <w:rPr>
          <w:color w:val="auto"/>
          <w:spacing w:val="2"/>
        </w:rPr>
        <w:t>目前阜康市水土保持工作安排在阜康市水利局水政办由专人负责，没有设立专门的水土保持科室，建议改善现状机构设置，设立水土保持科室、增强固定水土保持专业技术人员、增加水土保持监督执法人员，进一步建立健全水土保持机构，解决人员少，能力不足等问题，适应新形势发展的需要，进一步突出水土保持监管能力提升建设，全面监管阜康市水土流失状况，建立完备的水土保持监管体系，完善技术标准，充分运用高新技术监测，逐步实现水土流失动态监测全覆盖。</w:t>
      </w:r>
    </w:p>
    <w:p w14:paraId="1664D85A">
      <w:pPr>
        <w:pStyle w:val="2"/>
        <w:tabs>
          <w:tab w:val="left" w:pos="0"/>
        </w:tabs>
        <w:spacing w:before="120" w:after="120"/>
        <w:rPr>
          <w:rFonts w:eastAsia="仿宋_GB2312" w:cs="Times New Roman"/>
          <w:color w:val="auto"/>
          <w:szCs w:val="36"/>
        </w:rPr>
        <w:sectPr>
          <w:pgSz w:w="11907" w:h="16840"/>
          <w:pgMar w:top="1440" w:right="1797" w:bottom="1440" w:left="1797" w:header="851" w:footer="992" w:gutter="0"/>
          <w:cols w:space="720" w:num="1"/>
          <w:docGrid w:linePitch="312" w:charSpace="0"/>
        </w:sectPr>
      </w:pPr>
    </w:p>
    <w:p w14:paraId="45A83C42">
      <w:pPr>
        <w:pStyle w:val="2"/>
        <w:spacing w:before="120" w:after="120"/>
        <w:rPr>
          <w:rFonts w:eastAsia="仿宋_GB2312" w:cs="Times New Roman"/>
          <w:color w:val="auto"/>
        </w:rPr>
      </w:pPr>
      <w:bookmarkStart w:id="55" w:name="_Toc150724270"/>
      <w:r>
        <w:rPr>
          <w:rFonts w:eastAsia="仿宋_GB2312" w:cs="Times New Roman"/>
          <w:color w:val="auto"/>
        </w:rPr>
        <w:t>3 规划目标、任务和规模</w:t>
      </w:r>
      <w:bookmarkEnd w:id="55"/>
    </w:p>
    <w:p w14:paraId="621C8D69">
      <w:pPr>
        <w:pStyle w:val="44"/>
        <w:spacing w:before="120" w:after="120"/>
        <w:rPr>
          <w:rFonts w:eastAsia="仿宋_GB2312" w:cs="Times New Roman"/>
        </w:rPr>
      </w:pPr>
      <w:bookmarkStart w:id="56" w:name="_Toc150724271"/>
      <w:r>
        <w:rPr>
          <w:rFonts w:eastAsia="仿宋_GB2312" w:cs="Times New Roman"/>
        </w:rPr>
        <w:t>3.1规划指导思想和原则</w:t>
      </w:r>
      <w:bookmarkEnd w:id="56"/>
    </w:p>
    <w:p w14:paraId="7C69E263">
      <w:pPr>
        <w:pStyle w:val="5"/>
        <w:rPr>
          <w:rFonts w:eastAsia="仿宋_GB2312"/>
        </w:rPr>
      </w:pPr>
      <w:r>
        <w:rPr>
          <w:rFonts w:eastAsia="仿宋_GB2312"/>
        </w:rPr>
        <w:t>3.1.1 规划指导思想</w:t>
      </w:r>
    </w:p>
    <w:p w14:paraId="051EE9BA">
      <w:pPr>
        <w:pStyle w:val="376"/>
        <w:adjustRightInd w:val="0"/>
        <w:ind w:firstLine="480"/>
        <w:rPr>
          <w:color w:val="auto"/>
        </w:rPr>
      </w:pPr>
      <w:r>
        <w:rPr>
          <w:color w:val="auto"/>
        </w:rPr>
        <w:t>党的十九大就生态文明建设的发展理念、目标任务和战略举措作出了全面安排部署，明确提出要加大生态系统保护力度，推进水土流失综合治理。强调要推动形成节约资源和保护环境的空间格局、产业结构、生产方式、生活方式。习近平总书记在党的十九大报告中指出，要“加快生态文明体制改革，建设美丽中国”，其中之一是要加大生态系统保护力度，开展国土绿化行动，推进荒漠化、石漠化、水土流失综合治理，强化湿地保护和恢复，加强地质灾害防治。2018年全国生态环境保护大会中，习近平总书记做出的重要讲话，指出要自觉把经济社会发展同生态文明建设统筹起来，充分发挥党的领导和我国社会主义制度能够集中力量办大事的政治优势，充分利用改革开放40年来积累的坚实物质基础，加大力度推进生态文明建设、解决生态环境问题，坚决打好污染防治攻坚战，推动我国生态文明建设迈上新台阶。2018年新疆维吾尔自治区生态环境保护大会中，自治区党委书记陈全国在讲话中指出，要认真贯彻习近平生态文明思想，贯彻落实全国生态环境保护大会精神特别是习近平总书记重要讲话精神，坚持节约优先、保护优先、自然恢复为主的方针，加大力度推进生态文明建设，解决生态环境问题，让新疆的天更蓝、山更绿、水更清、环境更优美。要树牢新发展理念和正确政绩观。牢固树立人与自然和谐共生的科学自然观，绿水青山就是金山银山、冰天雪地也是金山银山的重要发展理念，良好生态环境是最普惠民生福祉的宗旨精神，山水林田湖草是生命共同体的系统思想，推动全区生态文明建设迈上新台阶。</w:t>
      </w:r>
    </w:p>
    <w:p w14:paraId="0DF93E7E">
      <w:pPr>
        <w:pStyle w:val="4"/>
        <w:adjustRightInd w:val="0"/>
        <w:snapToGrid w:val="0"/>
        <w:ind w:firstLine="480"/>
        <w:jc w:val="both"/>
        <w:rPr>
          <w:snapToGrid w:val="0"/>
          <w:sz w:val="24"/>
          <w:szCs w:val="24"/>
        </w:rPr>
      </w:pPr>
      <w:r>
        <w:rPr>
          <w:sz w:val="24"/>
          <w:szCs w:val="24"/>
        </w:rPr>
        <w:t>新时代水土保持工作，以习近平新时代中国特色社会主义思想为指导，全面贯彻党的十九大和十九届二中、三中全会、四中全会精神，坚决贯彻落实习近平总书记关于新疆工作的重要讲话和重要指示精神，贯彻落实以习近平同志为核心的党中央治疆方略、特别是社会稳定和长治久安总目标，认真落实党中央、国务院和自治区生态文明建设决策部署，树立尊重自然、顺应自然、保护自然的生态文明理念，坚持以人民为中心的发展思想，坚持人与自然和谐共生基本方略，牢固树立和践行绿水青山就是金山银山的理念，按照大力推进生态文明、努力建设美丽新疆，共筑丝绸之路经济带，促进资源节约型和环境友好型“两型”社会建设的要求，以合理开发、利用和保护水土资源为主线，全面总结和吸收新疆昌吉以往水土保持成功经验，制定与自然条件相适应、与经济社会可持续发展相协调的分区防治目标和任务，对昌吉州水土保持工作进行全局性、前瞻性规划，加强预防保护和监督管理，注重综合治理，尊重自然、保护优先、强化治理，推进水土流失防治体系和防治能力现代化，充分发挥水土保持的生态、经济和社会效益，实现水土资源可持续利用，创造更加适宜的生产生活条件，为保护和改善自治区生态环境、加快生态文明建设、推动经济社会持续健康发展提供重要支撑，为昌吉州努力实现社会稳定长治久安的总目标、贫困地区脱贫增收、生态环境良好和全面建成小康社会提供有力的保障。</w:t>
      </w:r>
    </w:p>
    <w:p w14:paraId="2DDF2AE9">
      <w:pPr>
        <w:pStyle w:val="5"/>
        <w:rPr>
          <w:rFonts w:eastAsia="仿宋_GB2312"/>
        </w:rPr>
      </w:pPr>
      <w:r>
        <w:rPr>
          <w:rFonts w:eastAsia="仿宋_GB2312"/>
        </w:rPr>
        <w:t>3.1.2 规划原则</w:t>
      </w:r>
    </w:p>
    <w:p w14:paraId="657DFCE4">
      <w:pPr>
        <w:adjustRightInd w:val="0"/>
        <w:snapToGrid w:val="0"/>
        <w:ind w:firstLine="482"/>
        <w:rPr>
          <w:rFonts w:cs="Times New Roman"/>
          <w:b/>
        </w:rPr>
      </w:pPr>
      <w:r>
        <w:rPr>
          <w:rFonts w:cs="Times New Roman"/>
          <w:b/>
        </w:rPr>
        <w:t>1、坚持以人为本，人与自然和谐相处的原则</w:t>
      </w:r>
    </w:p>
    <w:p w14:paraId="2D5BA546">
      <w:pPr>
        <w:pStyle w:val="376"/>
        <w:adjustRightInd w:val="0"/>
        <w:ind w:firstLine="480"/>
        <w:rPr>
          <w:color w:val="auto"/>
        </w:rPr>
      </w:pPr>
      <w:r>
        <w:rPr>
          <w:color w:val="auto"/>
        </w:rPr>
        <w:t>水土保持是以人为本，发展民生水利的重要措施，是保护水土资源、实现人与自然和谐的重要举措。把保障水土流失区广大人民群众的根本利益作为水土保持工作的根本出发点和落脚点，尊重群众意愿，从提高群众生活水平和生活质量的要求出发，着力解决好与人民群众利益密切相关的水土流失问题，努力形成保障民生、服务民生、改善民生的水土保持发展局面，满足人民群众对水土资源和生态的需求。</w:t>
      </w:r>
    </w:p>
    <w:p w14:paraId="2FE03E3B">
      <w:pPr>
        <w:adjustRightInd w:val="0"/>
        <w:snapToGrid w:val="0"/>
        <w:ind w:firstLine="482"/>
        <w:rPr>
          <w:rFonts w:cs="Times New Roman"/>
          <w:b/>
        </w:rPr>
      </w:pPr>
      <w:r>
        <w:rPr>
          <w:rFonts w:cs="Times New Roman"/>
          <w:b/>
        </w:rPr>
        <w:t>2、坚持统筹兼顾，全面规划的原则</w:t>
      </w:r>
    </w:p>
    <w:p w14:paraId="48C02211">
      <w:pPr>
        <w:pStyle w:val="376"/>
        <w:adjustRightInd w:val="0"/>
        <w:ind w:firstLine="480"/>
        <w:rPr>
          <w:color w:val="auto"/>
        </w:rPr>
      </w:pPr>
      <w:r>
        <w:rPr>
          <w:color w:val="auto"/>
        </w:rPr>
        <w:t>规划涵盖整个</w:t>
      </w:r>
      <w:r>
        <w:rPr>
          <w:color w:val="auto"/>
          <w:lang w:eastAsia="zh-CN"/>
        </w:rPr>
        <w:t>阜康市</w:t>
      </w:r>
      <w:r>
        <w:rPr>
          <w:color w:val="auto"/>
        </w:rPr>
        <w:t>，涉及多行业多部门，内容涵盖预防、治理、监测、监督、科技、宣传、教育等诸多方面，必须统筹兼顾城镇与乡村、建设与保护、重点防治区与一般区域、水土保持与相关行业，全面规划、广泛征求地方和相关部门的意见，形成以规划为依据，政府引导、部门协作、全社会共同参与的水土流失防治新局面。</w:t>
      </w:r>
    </w:p>
    <w:p w14:paraId="0DE7CEB4">
      <w:pPr>
        <w:adjustRightInd w:val="0"/>
        <w:snapToGrid w:val="0"/>
        <w:ind w:firstLine="482"/>
        <w:rPr>
          <w:rFonts w:cs="Times New Roman"/>
          <w:b/>
        </w:rPr>
      </w:pPr>
      <w:r>
        <w:rPr>
          <w:rFonts w:cs="Times New Roman"/>
          <w:b/>
        </w:rPr>
        <w:t>3、坚持因地制宜，分区防治的原则</w:t>
      </w:r>
    </w:p>
    <w:p w14:paraId="10F191C8">
      <w:pPr>
        <w:pStyle w:val="376"/>
        <w:adjustRightInd w:val="0"/>
        <w:ind w:firstLine="480"/>
        <w:rPr>
          <w:color w:val="auto"/>
        </w:rPr>
      </w:pPr>
      <w:r>
        <w:rPr>
          <w:color w:val="auto"/>
          <w:lang w:eastAsia="zh-CN"/>
        </w:rPr>
        <w:t>阜康市</w:t>
      </w:r>
      <w:r>
        <w:rPr>
          <w:color w:val="auto"/>
        </w:rPr>
        <w:t>自然条件、水土流失、社会经济条件差异</w:t>
      </w:r>
      <w:r>
        <w:rPr>
          <w:color w:val="auto"/>
          <w:lang w:eastAsia="zh-CN"/>
        </w:rPr>
        <w:t>不大</w:t>
      </w:r>
      <w:r>
        <w:rPr>
          <w:color w:val="auto"/>
        </w:rPr>
        <w:t>，规划要在</w:t>
      </w:r>
      <w:r>
        <w:rPr>
          <w:rFonts w:hint="eastAsia"/>
          <w:color w:val="auto"/>
          <w:lang w:eastAsia="zh-CN"/>
        </w:rPr>
        <w:t>新疆维吾尔自治区</w:t>
      </w:r>
      <w:r>
        <w:rPr>
          <w:color w:val="auto"/>
        </w:rPr>
        <w:t>、昌吉州水土保持区划的基础上，与区域经济社会发展需求紧密结合，坚持预防为主、保护优先、因地制宜、综合防治的方针，在规划时按照各区水土保持主导功能，调查总结有效的防治模式，并结合当地生态建设和经济发展的主要矛盾和问题，制定切实可行的水土流失防治对策，因地制宜，分类指导，分区防治。</w:t>
      </w:r>
    </w:p>
    <w:p w14:paraId="1E725696">
      <w:pPr>
        <w:adjustRightInd w:val="0"/>
        <w:snapToGrid w:val="0"/>
        <w:ind w:firstLine="482"/>
        <w:rPr>
          <w:rFonts w:cs="Times New Roman"/>
          <w:b/>
        </w:rPr>
      </w:pPr>
      <w:r>
        <w:rPr>
          <w:rFonts w:cs="Times New Roman"/>
          <w:b/>
        </w:rPr>
        <w:t>4、坚持突出重点，分步实施的原则</w:t>
      </w:r>
    </w:p>
    <w:p w14:paraId="2370836C">
      <w:pPr>
        <w:pStyle w:val="376"/>
        <w:adjustRightInd w:val="0"/>
        <w:ind w:firstLine="480"/>
        <w:rPr>
          <w:color w:val="auto"/>
        </w:rPr>
      </w:pPr>
      <w:r>
        <w:rPr>
          <w:color w:val="auto"/>
          <w:lang w:eastAsia="zh-CN"/>
        </w:rPr>
        <w:t>阜康市内</w:t>
      </w:r>
      <w:r>
        <w:rPr>
          <w:color w:val="auto"/>
        </w:rPr>
        <w:t>虽</w:t>
      </w:r>
      <w:r>
        <w:rPr>
          <w:color w:val="auto"/>
          <w:lang w:eastAsia="zh-CN"/>
        </w:rPr>
        <w:t>水土流失</w:t>
      </w:r>
      <w:r>
        <w:rPr>
          <w:color w:val="auto"/>
        </w:rPr>
        <w:t>情况，在充分发挥自然修复能力同时，本规划必须紧密结合当前经济社会发展水平和水土流失治理步伐，适当提速，在</w:t>
      </w:r>
      <w:r>
        <w:rPr>
          <w:color w:val="auto"/>
          <w:lang w:eastAsia="zh-CN"/>
        </w:rPr>
        <w:t>阜康市</w:t>
      </w:r>
      <w:r>
        <w:rPr>
          <w:color w:val="auto"/>
        </w:rPr>
        <w:t>水土流失重点预防区和重点治理区复核划定的基础上，确定重点项目布局，结合昌吉州近几年对</w:t>
      </w:r>
      <w:r>
        <w:rPr>
          <w:color w:val="auto"/>
          <w:lang w:eastAsia="zh-CN"/>
        </w:rPr>
        <w:t>阜康市</w:t>
      </w:r>
      <w:r>
        <w:rPr>
          <w:color w:val="auto"/>
        </w:rPr>
        <w:t>安排治理水土流失任务量，重点突出，区分轻重缓急，分期分步实施，整体推进水土保持工作。</w:t>
      </w:r>
    </w:p>
    <w:p w14:paraId="2E6E924A">
      <w:pPr>
        <w:adjustRightInd w:val="0"/>
        <w:snapToGrid w:val="0"/>
        <w:ind w:firstLine="482"/>
        <w:rPr>
          <w:rFonts w:cs="Times New Roman"/>
          <w:b/>
        </w:rPr>
      </w:pPr>
      <w:r>
        <w:rPr>
          <w:rFonts w:cs="Times New Roman"/>
          <w:b/>
        </w:rPr>
        <w:t>5、坚持依法行政，综合监管的原则</w:t>
      </w:r>
    </w:p>
    <w:p w14:paraId="62EEE25E">
      <w:pPr>
        <w:pStyle w:val="376"/>
        <w:adjustRightInd w:val="0"/>
        <w:ind w:firstLine="480"/>
        <w:rPr>
          <w:color w:val="auto"/>
        </w:rPr>
      </w:pPr>
      <w:r>
        <w:rPr>
          <w:color w:val="auto"/>
        </w:rPr>
        <w:t>充分考虑当前经济社会发展水平及</w:t>
      </w:r>
      <w:r>
        <w:rPr>
          <w:color w:val="auto"/>
          <w:lang w:eastAsia="zh-CN"/>
        </w:rPr>
        <w:t>阜康市</w:t>
      </w:r>
      <w:r>
        <w:rPr>
          <w:color w:val="auto"/>
        </w:rPr>
        <w:t>的重大经济战略布局，加快中华人民共和国水土保持法制体系建设，加强监督执法；研究分析水土流失对水土资源的影响，合理界定不同区域的水土保持主导功能，制定相应的水土保护监管准则，完善水土保持综合监管体系，进一步强化政府社会管理和公共服务能力。</w:t>
      </w:r>
    </w:p>
    <w:p w14:paraId="016F26EA">
      <w:pPr>
        <w:adjustRightInd w:val="0"/>
        <w:snapToGrid w:val="0"/>
        <w:ind w:firstLine="482"/>
        <w:rPr>
          <w:rFonts w:cs="Times New Roman"/>
          <w:b/>
        </w:rPr>
      </w:pPr>
      <w:r>
        <w:rPr>
          <w:rFonts w:cs="Times New Roman"/>
          <w:b/>
        </w:rPr>
        <w:t>6、坚持科技支撑，技术创新的原则</w:t>
      </w:r>
    </w:p>
    <w:p w14:paraId="20348EAA">
      <w:pPr>
        <w:pStyle w:val="376"/>
        <w:adjustRightInd w:val="0"/>
        <w:ind w:firstLine="480"/>
        <w:rPr>
          <w:color w:val="auto"/>
        </w:rPr>
      </w:pPr>
      <w:r>
        <w:rPr>
          <w:color w:val="auto"/>
        </w:rPr>
        <w:t>以科技为先导，遵循水土流失发展规律，充分依托</w:t>
      </w:r>
      <w:r>
        <w:rPr>
          <w:color w:val="auto"/>
          <w:lang w:eastAsia="zh-CN"/>
        </w:rPr>
        <w:t>“</w:t>
      </w:r>
      <w:r>
        <w:rPr>
          <w:color w:val="auto"/>
        </w:rPr>
        <w:t>3S</w:t>
      </w:r>
      <w:r>
        <w:rPr>
          <w:color w:val="auto"/>
          <w:lang w:eastAsia="zh-CN"/>
        </w:rPr>
        <w:t>”</w:t>
      </w:r>
      <w:r>
        <w:rPr>
          <w:color w:val="auto"/>
        </w:rPr>
        <w:t>技术、数据库及网络信息技术研究提出基础理论和关键技术发展规划，在</w:t>
      </w:r>
      <w:bookmarkStart w:id="206" w:name="_GoBack"/>
      <w:bookmarkEnd w:id="206"/>
      <w:r>
        <w:rPr>
          <w:color w:val="auto"/>
        </w:rPr>
        <w:t>充分掌握水土保持科学技术发展前沿及趋势分析的基础上，充分吸纳近年来水土保持形成的新理念、新技术、新方法、新工艺，提高水土流失防治水平，打造水土保持精品工程、惠民工程，推动水土保持不断创新发展，提出水土流失综合防治效率。</w:t>
      </w:r>
    </w:p>
    <w:p w14:paraId="1B51D751">
      <w:pPr>
        <w:adjustRightInd w:val="0"/>
        <w:snapToGrid w:val="0"/>
        <w:ind w:firstLine="482"/>
        <w:rPr>
          <w:rFonts w:cs="Times New Roman"/>
          <w:b/>
        </w:rPr>
      </w:pPr>
      <w:r>
        <w:rPr>
          <w:rFonts w:cs="Times New Roman"/>
          <w:b/>
        </w:rPr>
        <w:t>7、坚持全民参与，多元投资的原则</w:t>
      </w:r>
    </w:p>
    <w:p w14:paraId="2DBE0F50">
      <w:pPr>
        <w:pStyle w:val="4"/>
        <w:adjustRightInd w:val="0"/>
        <w:snapToGrid w:val="0"/>
        <w:ind w:firstLine="480"/>
        <w:jc w:val="both"/>
        <w:rPr>
          <w:snapToGrid w:val="0"/>
          <w:sz w:val="24"/>
          <w:szCs w:val="24"/>
        </w:rPr>
      </w:pPr>
      <w:r>
        <w:rPr>
          <w:sz w:val="24"/>
          <w:szCs w:val="24"/>
        </w:rPr>
        <w:t>坚持制度创新，大力开展政府和社会资本合作的水土保持治理新模式，积极引导农村经济合作社、承包大户和民营企业参与到水土保持工作中来，形成多元化投资、全民办水保的水土保持工作新局面。</w:t>
      </w:r>
    </w:p>
    <w:p w14:paraId="6F5E39D4">
      <w:pPr>
        <w:pStyle w:val="44"/>
        <w:spacing w:before="120" w:after="120"/>
        <w:rPr>
          <w:rFonts w:eastAsia="仿宋_GB2312" w:cs="Times New Roman"/>
        </w:rPr>
      </w:pPr>
      <w:bookmarkStart w:id="57" w:name="_Toc150724272"/>
      <w:r>
        <w:rPr>
          <w:rFonts w:eastAsia="仿宋_GB2312" w:cs="Times New Roman"/>
        </w:rPr>
        <w:t>3.2规划依据</w:t>
      </w:r>
      <w:bookmarkEnd w:id="57"/>
    </w:p>
    <w:p w14:paraId="0CDD6055">
      <w:pPr>
        <w:pStyle w:val="5"/>
        <w:rPr>
          <w:rFonts w:eastAsia="仿宋_GB2312"/>
        </w:rPr>
      </w:pPr>
      <w:bookmarkStart w:id="58" w:name="_Toc175454007"/>
      <w:bookmarkStart w:id="59" w:name="_Toc445887654"/>
      <w:bookmarkStart w:id="60" w:name="_Toc175544299"/>
      <w:bookmarkStart w:id="61" w:name="_Toc327788956"/>
      <w:r>
        <w:rPr>
          <w:rFonts w:eastAsia="仿宋_GB2312"/>
        </w:rPr>
        <w:t>3.2.1主要法律、法规</w:t>
      </w:r>
      <w:bookmarkEnd w:id="58"/>
      <w:bookmarkEnd w:id="59"/>
      <w:bookmarkEnd w:id="60"/>
    </w:p>
    <w:p w14:paraId="23C564BD">
      <w:pPr>
        <w:adjustRightInd w:val="0"/>
        <w:snapToGrid w:val="0"/>
        <w:ind w:firstLine="480"/>
        <w:rPr>
          <w:rFonts w:cs="Times New Roman"/>
        </w:rPr>
      </w:pPr>
      <w:r>
        <w:rPr>
          <w:rFonts w:cs="Times New Roman"/>
        </w:rPr>
        <w:t>1、《中华人民共和国水土保持法》（全国人大常委会，1991年发布，2010年12月修订，2011年3月1日起实施）；</w:t>
      </w:r>
    </w:p>
    <w:p w14:paraId="66B6618D">
      <w:pPr>
        <w:adjustRightInd w:val="0"/>
        <w:snapToGrid w:val="0"/>
        <w:ind w:firstLine="480"/>
        <w:rPr>
          <w:rFonts w:cs="Times New Roman"/>
        </w:rPr>
      </w:pPr>
      <w:r>
        <w:rPr>
          <w:rFonts w:cs="Times New Roman"/>
        </w:rPr>
        <w:t>2、《中华人民共和国水法》（全国人大常委会，1988年发布，2002年8月29日修订，2002年10月1日起实施）；</w:t>
      </w:r>
    </w:p>
    <w:p w14:paraId="7DC95594">
      <w:pPr>
        <w:adjustRightInd w:val="0"/>
        <w:snapToGrid w:val="0"/>
        <w:ind w:firstLine="480"/>
        <w:rPr>
          <w:rFonts w:cs="Times New Roman"/>
        </w:rPr>
      </w:pPr>
      <w:r>
        <w:rPr>
          <w:rFonts w:cs="Times New Roman"/>
        </w:rPr>
        <w:t>3、《中华人民共和国防洪法》（全国人大常委会，1997年发布，2016年7月修订）；</w:t>
      </w:r>
    </w:p>
    <w:p w14:paraId="2FE51C88">
      <w:pPr>
        <w:adjustRightInd w:val="0"/>
        <w:snapToGrid w:val="0"/>
        <w:ind w:firstLine="480"/>
        <w:rPr>
          <w:rFonts w:cs="Times New Roman"/>
        </w:rPr>
      </w:pPr>
      <w:r>
        <w:rPr>
          <w:rFonts w:cs="Times New Roman"/>
        </w:rPr>
        <w:t>4、《中华人民共和国森林法》（全国人大常委会，1984年发布，2009年8月27日修正）；</w:t>
      </w:r>
    </w:p>
    <w:p w14:paraId="03845A5D">
      <w:pPr>
        <w:adjustRightInd w:val="0"/>
        <w:snapToGrid w:val="0"/>
        <w:ind w:firstLine="480"/>
        <w:rPr>
          <w:rFonts w:cs="Times New Roman"/>
        </w:rPr>
      </w:pPr>
      <w:r>
        <w:rPr>
          <w:rFonts w:cs="Times New Roman"/>
        </w:rPr>
        <w:t>5、《中华人民共和国草原法》（全国人大常委会，1985年6月18日通过，2013年6月29日第二次修正）；</w:t>
      </w:r>
    </w:p>
    <w:p w14:paraId="078B43CE">
      <w:pPr>
        <w:adjustRightInd w:val="0"/>
        <w:snapToGrid w:val="0"/>
        <w:ind w:firstLine="480"/>
        <w:rPr>
          <w:rFonts w:cs="Times New Roman"/>
        </w:rPr>
      </w:pPr>
      <w:r>
        <w:rPr>
          <w:rFonts w:cs="Times New Roman"/>
        </w:rPr>
        <w:t>6、《中华人民共和国水污染防治法》（全国人大常委会，2017年6月27日发布，2018年1月1日起实施）；</w:t>
      </w:r>
    </w:p>
    <w:p w14:paraId="04B4FB26">
      <w:pPr>
        <w:adjustRightInd w:val="0"/>
        <w:snapToGrid w:val="0"/>
        <w:ind w:firstLine="480"/>
        <w:rPr>
          <w:rFonts w:cs="Times New Roman"/>
        </w:rPr>
      </w:pPr>
      <w:r>
        <w:rPr>
          <w:rFonts w:cs="Times New Roman"/>
        </w:rPr>
        <w:t>7、《中华人民共和国环境保护法》（全国人大常委会，1989年发布，2014年4月24日修订，2015年1月1日起实施）；</w:t>
      </w:r>
    </w:p>
    <w:p w14:paraId="2E1394F5">
      <w:pPr>
        <w:adjustRightInd w:val="0"/>
        <w:snapToGrid w:val="0"/>
        <w:ind w:firstLine="480"/>
        <w:rPr>
          <w:rFonts w:cs="Times New Roman"/>
        </w:rPr>
      </w:pPr>
      <w:r>
        <w:rPr>
          <w:rFonts w:cs="Times New Roman"/>
        </w:rPr>
        <w:t>8、《中华人民共和国环境影响评价法》（全国人大常委会，2002年发布，2018年12月29日第二次修订）；</w:t>
      </w:r>
    </w:p>
    <w:p w14:paraId="40463EAA">
      <w:pPr>
        <w:adjustRightInd w:val="0"/>
        <w:snapToGrid w:val="0"/>
        <w:ind w:firstLine="480"/>
        <w:rPr>
          <w:rFonts w:cs="Times New Roman"/>
          <w:snapToGrid w:val="0"/>
        </w:rPr>
      </w:pPr>
      <w:r>
        <w:rPr>
          <w:rFonts w:cs="Times New Roman"/>
        </w:rPr>
        <w:t>9、新疆维吾尔自治区实施《中华人民共和国水土保持法》办法（新疆维吾尔自治区人大常委会，1994年9月24日发布，2013年7月31日修订）。</w:t>
      </w:r>
    </w:p>
    <w:p w14:paraId="61DEDA6B">
      <w:pPr>
        <w:pStyle w:val="5"/>
        <w:rPr>
          <w:rFonts w:eastAsia="仿宋_GB2312"/>
        </w:rPr>
      </w:pPr>
      <w:bookmarkStart w:id="62" w:name="_Toc445887655"/>
      <w:bookmarkStart w:id="63" w:name="_Toc175454008"/>
      <w:bookmarkStart w:id="64" w:name="_Toc175544300"/>
      <w:r>
        <w:rPr>
          <w:rFonts w:eastAsia="仿宋_GB2312"/>
        </w:rPr>
        <w:t>3.2.2 有关技术规范及技术标准</w:t>
      </w:r>
      <w:bookmarkEnd w:id="62"/>
      <w:bookmarkEnd w:id="63"/>
      <w:bookmarkEnd w:id="64"/>
    </w:p>
    <w:p w14:paraId="3D6E32D5">
      <w:pPr>
        <w:adjustRightInd w:val="0"/>
        <w:snapToGrid w:val="0"/>
        <w:ind w:firstLine="480"/>
        <w:rPr>
          <w:rFonts w:cs="Times New Roman"/>
          <w:snapToGrid w:val="0"/>
        </w:rPr>
      </w:pPr>
      <w:r>
        <w:rPr>
          <w:rFonts w:cs="Times New Roman"/>
          <w:snapToGrid w:val="0"/>
        </w:rPr>
        <w:t>1、《水土保持规划编制规范》（SL335-2014）；</w:t>
      </w:r>
    </w:p>
    <w:p w14:paraId="47A0E7CD">
      <w:pPr>
        <w:adjustRightInd w:val="0"/>
        <w:snapToGrid w:val="0"/>
        <w:ind w:firstLine="480"/>
        <w:rPr>
          <w:rFonts w:cs="Times New Roman"/>
          <w:snapToGrid w:val="0"/>
        </w:rPr>
      </w:pPr>
      <w:r>
        <w:rPr>
          <w:rFonts w:cs="Times New Roman"/>
          <w:snapToGrid w:val="0"/>
        </w:rPr>
        <w:t>2、《水土流失重点防治区划分导则》（SL717-2015）；</w:t>
      </w:r>
    </w:p>
    <w:p w14:paraId="02E975D3">
      <w:pPr>
        <w:adjustRightInd w:val="0"/>
        <w:snapToGrid w:val="0"/>
        <w:ind w:firstLine="480"/>
        <w:rPr>
          <w:rFonts w:cs="Times New Roman"/>
          <w:snapToGrid w:val="0"/>
        </w:rPr>
      </w:pPr>
      <w:r>
        <w:rPr>
          <w:rFonts w:cs="Times New Roman"/>
          <w:snapToGrid w:val="0"/>
        </w:rPr>
        <w:t>3、《水土保持综合治理 规划通则》(GB/T15772-2008)；</w:t>
      </w:r>
    </w:p>
    <w:p w14:paraId="5159C4AB">
      <w:pPr>
        <w:adjustRightInd w:val="0"/>
        <w:snapToGrid w:val="0"/>
        <w:ind w:firstLine="480"/>
        <w:rPr>
          <w:rFonts w:cs="Times New Roman"/>
          <w:snapToGrid w:val="0"/>
        </w:rPr>
      </w:pPr>
      <w:r>
        <w:rPr>
          <w:rFonts w:cs="Times New Roman"/>
          <w:snapToGrid w:val="0"/>
        </w:rPr>
        <w:t>4、《水土保持综合治理 验收规范》(GB/T15773-2008)；</w:t>
      </w:r>
    </w:p>
    <w:p w14:paraId="7BDAA39E">
      <w:pPr>
        <w:adjustRightInd w:val="0"/>
        <w:snapToGrid w:val="0"/>
        <w:ind w:firstLine="480"/>
        <w:rPr>
          <w:rFonts w:cs="Times New Roman"/>
          <w:snapToGrid w:val="0"/>
        </w:rPr>
      </w:pPr>
      <w:r>
        <w:rPr>
          <w:rFonts w:cs="Times New Roman"/>
          <w:snapToGrid w:val="0"/>
        </w:rPr>
        <w:t>5、《水土保持综合治理 效益计算方法》(GB/T15774-2008)；</w:t>
      </w:r>
    </w:p>
    <w:p w14:paraId="0DC3F0E4">
      <w:pPr>
        <w:adjustRightInd w:val="0"/>
        <w:snapToGrid w:val="0"/>
        <w:ind w:firstLine="480"/>
        <w:rPr>
          <w:rFonts w:cs="Times New Roman"/>
          <w:snapToGrid w:val="0"/>
        </w:rPr>
      </w:pPr>
      <w:r>
        <w:rPr>
          <w:rFonts w:cs="Times New Roman"/>
          <w:snapToGrid w:val="0"/>
        </w:rPr>
        <w:t>6、《水土保持综合治理 技术规范》(GB/T16453.1～6-2008)；</w:t>
      </w:r>
    </w:p>
    <w:p w14:paraId="30FD247C">
      <w:pPr>
        <w:adjustRightInd w:val="0"/>
        <w:snapToGrid w:val="0"/>
        <w:ind w:firstLine="480"/>
        <w:rPr>
          <w:rFonts w:cs="Times New Roman"/>
          <w:snapToGrid w:val="0"/>
        </w:rPr>
      </w:pPr>
      <w:r>
        <w:rPr>
          <w:rFonts w:cs="Times New Roman"/>
          <w:snapToGrid w:val="0"/>
        </w:rPr>
        <w:t>7、《土壤侵蚀分类分级标准》（SL190-2007）；</w:t>
      </w:r>
    </w:p>
    <w:p w14:paraId="7A6D71B9">
      <w:pPr>
        <w:adjustRightInd w:val="0"/>
        <w:snapToGrid w:val="0"/>
        <w:ind w:firstLine="480"/>
        <w:rPr>
          <w:rFonts w:cs="Times New Roman"/>
          <w:snapToGrid w:val="0"/>
        </w:rPr>
      </w:pPr>
      <w:r>
        <w:rPr>
          <w:rFonts w:cs="Times New Roman"/>
          <w:snapToGrid w:val="0"/>
        </w:rPr>
        <w:t>8、《水利水电工程制图标准 水土保持图》（SL73.6-2015）；</w:t>
      </w:r>
    </w:p>
    <w:p w14:paraId="53B0CDC0">
      <w:pPr>
        <w:adjustRightInd w:val="0"/>
        <w:snapToGrid w:val="0"/>
        <w:ind w:firstLine="480"/>
        <w:rPr>
          <w:rFonts w:cs="Times New Roman"/>
          <w:snapToGrid w:val="0"/>
        </w:rPr>
      </w:pPr>
      <w:r>
        <w:rPr>
          <w:rFonts w:cs="Times New Roman"/>
          <w:snapToGrid w:val="0"/>
        </w:rPr>
        <w:t>9、《水土保持监测技术规程》（SL277-2002）。</w:t>
      </w:r>
    </w:p>
    <w:p w14:paraId="40D22F38">
      <w:pPr>
        <w:pStyle w:val="5"/>
        <w:rPr>
          <w:rFonts w:eastAsia="仿宋_GB2312"/>
        </w:rPr>
      </w:pPr>
      <w:bookmarkStart w:id="65" w:name="_Toc175454009"/>
      <w:bookmarkStart w:id="66" w:name="_Toc175544301"/>
      <w:bookmarkStart w:id="67" w:name="_Toc445887656"/>
      <w:r>
        <w:rPr>
          <w:rFonts w:eastAsia="仿宋_GB2312"/>
        </w:rPr>
        <w:t>3.2.3 相关</w:t>
      </w:r>
      <w:bookmarkEnd w:id="65"/>
      <w:bookmarkEnd w:id="66"/>
      <w:r>
        <w:rPr>
          <w:rFonts w:eastAsia="仿宋_GB2312"/>
        </w:rPr>
        <w:t>文件、规划及资料</w:t>
      </w:r>
      <w:bookmarkEnd w:id="67"/>
    </w:p>
    <w:bookmarkEnd w:id="61"/>
    <w:p w14:paraId="5A6A4378">
      <w:pPr>
        <w:adjustRightInd w:val="0"/>
        <w:snapToGrid w:val="0"/>
        <w:ind w:firstLine="480"/>
        <w:rPr>
          <w:rFonts w:cs="Times New Roman"/>
          <w:snapToGrid w:val="0"/>
        </w:rPr>
      </w:pPr>
      <w:r>
        <w:rPr>
          <w:rFonts w:cs="Times New Roman"/>
          <w:snapToGrid w:val="0"/>
        </w:rPr>
        <w:t>1、《第一次全国水利普查公报》（水利部，2013年4月）；</w:t>
      </w:r>
    </w:p>
    <w:p w14:paraId="39AB416A">
      <w:pPr>
        <w:adjustRightInd w:val="0"/>
        <w:snapToGrid w:val="0"/>
        <w:ind w:firstLine="480"/>
        <w:rPr>
          <w:rFonts w:cs="Times New Roman"/>
          <w:snapToGrid w:val="0"/>
        </w:rPr>
      </w:pPr>
      <w:r>
        <w:rPr>
          <w:rFonts w:cs="Times New Roman"/>
          <w:snapToGrid w:val="0"/>
        </w:rPr>
        <w:t>2、</w:t>
      </w:r>
      <w:r>
        <w:rPr>
          <w:rFonts w:cs="Times New Roman"/>
        </w:rPr>
        <w:t>《全国水土保持规划（2015~2030年）》</w:t>
      </w:r>
      <w:r>
        <w:rPr>
          <w:rFonts w:cs="Times New Roman"/>
          <w:snapToGrid w:val="0"/>
        </w:rPr>
        <w:t>；</w:t>
      </w:r>
    </w:p>
    <w:p w14:paraId="79F94BC8">
      <w:pPr>
        <w:adjustRightInd w:val="0"/>
        <w:snapToGrid w:val="0"/>
        <w:ind w:firstLine="480"/>
        <w:rPr>
          <w:rFonts w:cs="Times New Roman"/>
          <w:snapToGrid w:val="0"/>
        </w:rPr>
      </w:pPr>
      <w:r>
        <w:rPr>
          <w:rFonts w:cs="Times New Roman"/>
          <w:snapToGrid w:val="0"/>
        </w:rPr>
        <w:t>3、《新疆维吾尔自治区水土保持规划》（2018～2030）；</w:t>
      </w:r>
    </w:p>
    <w:p w14:paraId="6BDD3469">
      <w:pPr>
        <w:adjustRightInd w:val="0"/>
        <w:snapToGrid w:val="0"/>
        <w:ind w:firstLine="480"/>
        <w:rPr>
          <w:rFonts w:cs="Times New Roman"/>
          <w:snapToGrid w:val="0"/>
        </w:rPr>
      </w:pPr>
      <w:r>
        <w:rPr>
          <w:rFonts w:cs="Times New Roman"/>
          <w:snapToGrid w:val="0"/>
        </w:rPr>
        <w:t>4、《新疆昌吉州阜康市农田水利基本建设综合规划》（2010～2020）；</w:t>
      </w:r>
    </w:p>
    <w:p w14:paraId="20308A9F">
      <w:pPr>
        <w:adjustRightInd w:val="0"/>
        <w:snapToGrid w:val="0"/>
        <w:ind w:firstLine="480"/>
        <w:rPr>
          <w:rFonts w:cs="Times New Roman"/>
          <w:snapToGrid w:val="0"/>
        </w:rPr>
      </w:pPr>
      <w:r>
        <w:rPr>
          <w:rFonts w:cs="Times New Roman"/>
          <w:snapToGrid w:val="0"/>
        </w:rPr>
        <w:t>5、</w:t>
      </w:r>
      <w:r>
        <w:rPr>
          <w:rFonts w:hint="eastAsia" w:cs="Times New Roman"/>
          <w:snapToGrid w:val="0"/>
        </w:rPr>
        <w:t>《阜康市国土空间总体规划》（2021-2035）</w:t>
      </w:r>
      <w:r>
        <w:rPr>
          <w:rFonts w:cs="Times New Roman"/>
          <w:snapToGrid w:val="0"/>
        </w:rPr>
        <w:t>；</w:t>
      </w:r>
    </w:p>
    <w:p w14:paraId="0142AD96">
      <w:pPr>
        <w:adjustRightInd w:val="0"/>
        <w:snapToGrid w:val="0"/>
        <w:ind w:firstLine="480"/>
        <w:rPr>
          <w:rFonts w:cs="Times New Roman"/>
          <w:snapToGrid w:val="0"/>
        </w:rPr>
      </w:pPr>
      <w:r>
        <w:rPr>
          <w:rFonts w:cs="Times New Roman"/>
          <w:snapToGrid w:val="0"/>
        </w:rPr>
        <w:t>6、《阜康市国民经济和社会发展第“十三五”规划纲要》（2016～2020）；</w:t>
      </w:r>
    </w:p>
    <w:p w14:paraId="760A1354">
      <w:pPr>
        <w:adjustRightInd w:val="0"/>
        <w:snapToGrid w:val="0"/>
        <w:ind w:firstLine="480"/>
        <w:rPr>
          <w:rFonts w:cs="Times New Roman"/>
          <w:snapToGrid w:val="0"/>
        </w:rPr>
      </w:pPr>
      <w:r>
        <w:rPr>
          <w:rFonts w:cs="Times New Roman"/>
          <w:snapToGrid w:val="0"/>
        </w:rPr>
        <w:t>7、《阜康市环境保护与生态建设 “十三五”规划》（2016～2020）；</w:t>
      </w:r>
    </w:p>
    <w:p w14:paraId="7B94746D">
      <w:pPr>
        <w:adjustRightInd w:val="0"/>
        <w:snapToGrid w:val="0"/>
        <w:ind w:firstLine="480"/>
        <w:rPr>
          <w:rFonts w:cs="Times New Roman"/>
          <w:snapToGrid w:val="0"/>
        </w:rPr>
      </w:pPr>
      <w:r>
        <w:rPr>
          <w:rFonts w:cs="Times New Roman"/>
          <w:snapToGrid w:val="0"/>
        </w:rPr>
        <w:t>8、《阜康市林业建设 “十三五”规划》（2016～2020）；</w:t>
      </w:r>
    </w:p>
    <w:p w14:paraId="0943692B">
      <w:pPr>
        <w:adjustRightInd w:val="0"/>
        <w:snapToGrid w:val="0"/>
        <w:ind w:firstLine="480"/>
        <w:rPr>
          <w:rFonts w:cs="Times New Roman"/>
          <w:snapToGrid w:val="0"/>
        </w:rPr>
      </w:pPr>
      <w:r>
        <w:rPr>
          <w:rFonts w:cs="Times New Roman"/>
          <w:snapToGrid w:val="0"/>
        </w:rPr>
        <w:t>9、</w:t>
      </w:r>
      <w:r>
        <w:rPr>
          <w:rFonts w:cs="Times New Roman"/>
        </w:rPr>
        <w:t>《新疆维吾尔自治区202</w:t>
      </w:r>
      <w:r>
        <w:rPr>
          <w:rFonts w:hint="eastAsia" w:cs="Times New Roman"/>
        </w:rPr>
        <w:t>2</w:t>
      </w:r>
      <w:r>
        <w:rPr>
          <w:rFonts w:cs="Times New Roman"/>
        </w:rPr>
        <w:t>年水土流失动态监测成果》及相关资料</w:t>
      </w:r>
      <w:r>
        <w:rPr>
          <w:rFonts w:cs="Times New Roman"/>
          <w:snapToGrid w:val="0"/>
        </w:rPr>
        <w:t>；</w:t>
      </w:r>
    </w:p>
    <w:p w14:paraId="7A265BED">
      <w:pPr>
        <w:adjustRightInd w:val="0"/>
        <w:snapToGrid w:val="0"/>
        <w:ind w:firstLine="480"/>
        <w:rPr>
          <w:rFonts w:cs="Times New Roman"/>
          <w:snapToGrid w:val="0"/>
        </w:rPr>
      </w:pPr>
      <w:r>
        <w:rPr>
          <w:rFonts w:cs="Times New Roman"/>
          <w:snapToGrid w:val="0"/>
        </w:rPr>
        <w:t>10、《新疆维吾尔自治区昌吉回族自治州水土保持规划》（2021～2030）。</w:t>
      </w:r>
    </w:p>
    <w:p w14:paraId="2CA193FA">
      <w:pPr>
        <w:pStyle w:val="44"/>
        <w:spacing w:before="120" w:after="120"/>
        <w:rPr>
          <w:rFonts w:eastAsia="仿宋_GB2312" w:cs="Times New Roman"/>
        </w:rPr>
      </w:pPr>
      <w:bookmarkStart w:id="68" w:name="_Toc150724273"/>
      <w:r>
        <w:rPr>
          <w:rFonts w:eastAsia="仿宋_GB2312" w:cs="Times New Roman"/>
        </w:rPr>
        <w:t>3.3 规划范围和规划水平年</w:t>
      </w:r>
      <w:bookmarkEnd w:id="68"/>
    </w:p>
    <w:p w14:paraId="4DB6A17B">
      <w:pPr>
        <w:pStyle w:val="5"/>
        <w:rPr>
          <w:rFonts w:eastAsia="仿宋_GB2312"/>
        </w:rPr>
      </w:pPr>
      <w:bookmarkStart w:id="69" w:name="_Hlk174276821"/>
      <w:r>
        <w:rPr>
          <w:rFonts w:eastAsia="仿宋_GB2312"/>
        </w:rPr>
        <w:t>3.3.1 规划范围</w:t>
      </w:r>
    </w:p>
    <w:p w14:paraId="725DC658">
      <w:pPr>
        <w:pStyle w:val="370"/>
        <w:ind w:firstLine="480"/>
        <w:rPr>
          <w:rFonts w:eastAsia="仿宋_GB2312"/>
          <w:snapToGrid/>
          <w:kern w:val="0"/>
          <w:szCs w:val="24"/>
        </w:rPr>
      </w:pPr>
      <w:r>
        <w:rPr>
          <w:rFonts w:eastAsia="仿宋_GB2312"/>
          <w:snapToGrid/>
          <w:kern w:val="0"/>
          <w:szCs w:val="24"/>
        </w:rPr>
        <w:t>本次规划范围为阜康市下辖3个街道、4个镇、3个乡，不含兵团辖区。</w:t>
      </w:r>
    </w:p>
    <w:p w14:paraId="128F15EF">
      <w:pPr>
        <w:pStyle w:val="5"/>
        <w:rPr>
          <w:rFonts w:eastAsia="仿宋_GB2312"/>
        </w:rPr>
      </w:pPr>
      <w:r>
        <w:rPr>
          <w:rFonts w:eastAsia="仿宋_GB2312"/>
        </w:rPr>
        <w:t>3.3.2 规划水平年</w:t>
      </w:r>
    </w:p>
    <w:p w14:paraId="16491DF6">
      <w:pPr>
        <w:adjustRightInd w:val="0"/>
        <w:snapToGrid w:val="0"/>
        <w:ind w:firstLine="480"/>
        <w:rPr>
          <w:rFonts w:cs="Times New Roman"/>
        </w:rPr>
      </w:pPr>
      <w:r>
        <w:rPr>
          <w:rFonts w:cs="Times New Roman"/>
        </w:rPr>
        <w:t>根据水利部《关于全国水土保持规划项目任务书的批复》（水规计[2010]540号）中的省级水土保持规划编制工作指导性意见，结合本次规划的目的和任务，确定本次规划水平年为：现状水平年为2023年，近期水平年为2025年，远期水平年为2030年。</w:t>
      </w:r>
    </w:p>
    <w:bookmarkEnd w:id="69"/>
    <w:p w14:paraId="0E0F1952">
      <w:pPr>
        <w:pStyle w:val="44"/>
        <w:spacing w:before="120" w:after="120"/>
        <w:rPr>
          <w:rFonts w:eastAsia="仿宋_GB2312" w:cs="Times New Roman"/>
        </w:rPr>
      </w:pPr>
      <w:bookmarkStart w:id="70" w:name="_Toc150724274"/>
      <w:r>
        <w:rPr>
          <w:rFonts w:eastAsia="仿宋_GB2312" w:cs="Times New Roman"/>
        </w:rPr>
        <w:t>3.4 规划目的</w:t>
      </w:r>
      <w:bookmarkEnd w:id="70"/>
    </w:p>
    <w:p w14:paraId="744B260B">
      <w:pPr>
        <w:adjustRightInd w:val="0"/>
        <w:snapToGrid w:val="0"/>
        <w:ind w:firstLine="480"/>
        <w:rPr>
          <w:rFonts w:cs="Times New Roman"/>
        </w:rPr>
      </w:pPr>
      <w:r>
        <w:rPr>
          <w:rFonts w:cs="Times New Roman"/>
        </w:rPr>
        <w:t>本次规划的目的为：通过规划，从宏观上、战略上研究及制定阜康市不同区域水土资源合理利用、开发和保护的准则和限制条件，为依法行政、科学防治水土流失，有效规范各类生产建设行为提供依据。同时从阜康市层面为各部门和社会共同参与水流失防治提供科学指导和有力支撑。</w:t>
      </w:r>
    </w:p>
    <w:p w14:paraId="01FF6A3D">
      <w:pPr>
        <w:adjustRightInd w:val="0"/>
        <w:snapToGrid w:val="0"/>
        <w:ind w:firstLine="480"/>
        <w:rPr>
          <w:rFonts w:cs="Times New Roman"/>
        </w:rPr>
      </w:pPr>
      <w:r>
        <w:rPr>
          <w:rFonts w:cs="Times New Roman"/>
        </w:rPr>
        <w:t>根据水利部《关于全国水土保持规划项目任务书的批复》（水规计[2010] 540 号）中的省级水土保持规划编制工作指导性意见，本次规划的主要任务为：</w:t>
      </w:r>
    </w:p>
    <w:p w14:paraId="3E9B4B8D">
      <w:pPr>
        <w:adjustRightInd w:val="0"/>
        <w:snapToGrid w:val="0"/>
        <w:ind w:firstLine="480"/>
        <w:rPr>
          <w:rFonts w:cs="Times New Roman"/>
        </w:rPr>
      </w:pPr>
      <w:r>
        <w:rPr>
          <w:rFonts w:cs="Times New Roman"/>
        </w:rPr>
        <w:t>1、落实《新疆维吾尔自治区水土保持规划》提出的总体防治任务，依法对阜康市水土流失重点保护预防、重点治理区进行复核和划定，明确全市预防、治理和综合监管重点项目布局与规划；</w:t>
      </w:r>
    </w:p>
    <w:p w14:paraId="66AE2C33">
      <w:pPr>
        <w:adjustRightInd w:val="0"/>
        <w:snapToGrid w:val="0"/>
        <w:ind w:firstLine="480"/>
        <w:rPr>
          <w:rFonts w:cs="Times New Roman"/>
        </w:rPr>
      </w:pPr>
      <w:r>
        <w:rPr>
          <w:rFonts w:cs="Times New Roman"/>
        </w:rPr>
        <w:t>2、完成阜康市水土保持监测、水土保持科技支撑能力建设规划；</w:t>
      </w:r>
    </w:p>
    <w:p w14:paraId="42E2986A">
      <w:pPr>
        <w:adjustRightInd w:val="0"/>
        <w:snapToGrid w:val="0"/>
        <w:ind w:firstLine="480"/>
        <w:rPr>
          <w:rFonts w:cs="Times New Roman"/>
        </w:rPr>
      </w:pPr>
      <w:r>
        <w:rPr>
          <w:rFonts w:cs="Times New Roman"/>
        </w:rPr>
        <w:t>3、提出阜康市近期重点建设项目安排和规划实施保障措施；</w:t>
      </w:r>
    </w:p>
    <w:p w14:paraId="09FDE5F7">
      <w:pPr>
        <w:adjustRightInd w:val="0"/>
        <w:snapToGrid w:val="0"/>
        <w:ind w:firstLine="480"/>
        <w:rPr>
          <w:rFonts w:cs="Times New Roman"/>
        </w:rPr>
      </w:pPr>
      <w:r>
        <w:rPr>
          <w:rFonts w:cs="Times New Roman"/>
        </w:rPr>
        <w:t>4、指导阜康市各功能区以及重要区域、流域综合开发规划和行业发展规划的水土保持规划编制。</w:t>
      </w:r>
    </w:p>
    <w:p w14:paraId="0727627C">
      <w:pPr>
        <w:pStyle w:val="44"/>
        <w:spacing w:before="120" w:after="120"/>
        <w:rPr>
          <w:rFonts w:eastAsia="仿宋_GB2312" w:cs="Times New Roman"/>
        </w:rPr>
      </w:pPr>
      <w:bookmarkStart w:id="71" w:name="_Toc150724275"/>
      <w:r>
        <w:rPr>
          <w:rFonts w:eastAsia="仿宋_GB2312" w:cs="Times New Roman"/>
        </w:rPr>
        <w:t>3.5 规划目标</w:t>
      </w:r>
      <w:bookmarkEnd w:id="71"/>
    </w:p>
    <w:p w14:paraId="0CF9F363">
      <w:pPr>
        <w:pStyle w:val="5"/>
        <w:rPr>
          <w:rFonts w:eastAsia="仿宋_GB2312"/>
        </w:rPr>
      </w:pPr>
      <w:bookmarkStart w:id="72" w:name="_Toc28929"/>
      <w:bookmarkStart w:id="73" w:name="_Toc475322033"/>
      <w:bookmarkStart w:id="74" w:name="_Toc22621"/>
      <w:r>
        <w:rPr>
          <w:rFonts w:eastAsia="仿宋_GB2312"/>
        </w:rPr>
        <w:t>3.5.1 水土流失治理目标</w:t>
      </w:r>
    </w:p>
    <w:p w14:paraId="34A35C0C">
      <w:pPr>
        <w:adjustRightInd w:val="0"/>
        <w:snapToGrid w:val="0"/>
        <w:ind w:firstLine="480"/>
        <w:rPr>
          <w:rFonts w:cs="Times New Roman"/>
        </w:rPr>
      </w:pPr>
      <w:r>
        <w:rPr>
          <w:rFonts w:cs="Times New Roman"/>
        </w:rPr>
        <w:t xml:space="preserve">（一）水土流失治理目标 </w:t>
      </w:r>
    </w:p>
    <w:p w14:paraId="247BA00C">
      <w:pPr>
        <w:adjustRightInd w:val="0"/>
        <w:snapToGrid w:val="0"/>
        <w:ind w:firstLine="480"/>
        <w:rPr>
          <w:rFonts w:cs="Times New Roman"/>
        </w:rPr>
      </w:pPr>
      <w:r>
        <w:rPr>
          <w:rFonts w:cs="Times New Roman"/>
        </w:rPr>
        <w:t>通过规划，提出近期和远期目标，从宏观上、战略上研究制定全县不同区域水土资源合理利用、开发和保护的准则和限制条件，为依法行政、科学防治水土流失，有效规范各类生产建设行为提供依据。同时从阜康市层面为全县各部门和社会共同参与水土流失防治提供科学指导和有力支撑。依据《新疆维吾尔自治区水土保持率分市县目标值确定报告》以及《新疆维吾尔自治区2022年水土流失动态监测年报》。</w:t>
      </w:r>
    </w:p>
    <w:p w14:paraId="608ADE63">
      <w:pPr>
        <w:adjustRightInd w:val="0"/>
        <w:snapToGrid w:val="0"/>
        <w:ind w:firstLine="480"/>
        <w:rPr>
          <w:rFonts w:cs="Times New Roman"/>
        </w:rPr>
      </w:pPr>
      <w:r>
        <w:rPr>
          <w:rFonts w:cs="Times New Roman"/>
        </w:rPr>
        <w:t>依据《新疆维吾尔自治区水土保持率分市县目标值确定报告》，阜康市水土保持率分阶段目标分解情况中，2025年水土保持率目标值为23.16%，治理水土流失面积43.20km</w:t>
      </w:r>
      <w:r>
        <w:rPr>
          <w:rFonts w:cs="Times New Roman"/>
          <w:vertAlign w:val="superscript"/>
        </w:rPr>
        <w:t>2</w:t>
      </w:r>
      <w:r>
        <w:rPr>
          <w:rFonts w:cs="Times New Roman"/>
        </w:rPr>
        <w:t>；2030年水土保持率目标值为23.68%，治理水土流失面积44.54km</w:t>
      </w:r>
      <w:r>
        <w:rPr>
          <w:rFonts w:cs="Times New Roman"/>
          <w:vertAlign w:val="superscript"/>
        </w:rPr>
        <w:t>2</w:t>
      </w:r>
      <w:r>
        <w:rPr>
          <w:rFonts w:cs="Times New Roman"/>
        </w:rPr>
        <w:t>。</w:t>
      </w:r>
    </w:p>
    <w:p w14:paraId="0680AE0C">
      <w:pPr>
        <w:adjustRightInd w:val="0"/>
        <w:snapToGrid w:val="0"/>
        <w:ind w:firstLine="480"/>
        <w:rPr>
          <w:rFonts w:cs="Times New Roman"/>
        </w:rPr>
      </w:pPr>
      <w:r>
        <w:rPr>
          <w:rFonts w:cs="Times New Roman"/>
        </w:rPr>
        <w:t>《新疆维吾尔自治区昌吉回族自治州水土保持规划》分解到阜康市水土保持治理任务与规模治理，2025年水土流失面积58km</w:t>
      </w:r>
      <w:r>
        <w:rPr>
          <w:rFonts w:cs="Times New Roman"/>
          <w:vertAlign w:val="superscript"/>
        </w:rPr>
        <w:t>2</w:t>
      </w:r>
      <w:r>
        <w:rPr>
          <w:rFonts w:cs="Times New Roman"/>
        </w:rPr>
        <w:t>；2030年治理水土流失面积79km</w:t>
      </w:r>
      <w:r>
        <w:rPr>
          <w:rFonts w:cs="Times New Roman"/>
          <w:vertAlign w:val="superscript"/>
        </w:rPr>
        <w:t>2</w:t>
      </w:r>
      <w:r>
        <w:rPr>
          <w:rFonts w:cs="Times New Roman"/>
        </w:rPr>
        <w:t>。</w:t>
      </w:r>
      <w:r>
        <w:rPr>
          <w:rFonts w:hint="eastAsia" w:cs="Times New Roman"/>
        </w:rPr>
        <w:t>本次规划近期为2024年~2025年，远期为2026年~2030年，根据规划时间对近期目标进行修正。</w:t>
      </w:r>
    </w:p>
    <w:p w14:paraId="6B000C5F">
      <w:pPr>
        <w:adjustRightInd w:val="0"/>
        <w:snapToGrid w:val="0"/>
        <w:ind w:firstLine="480"/>
        <w:rPr>
          <w:rFonts w:cs="Times New Roman"/>
        </w:rPr>
      </w:pPr>
      <w:bookmarkStart w:id="75" w:name="_Hlk174276845"/>
      <w:r>
        <w:rPr>
          <w:rFonts w:cs="Times New Roman"/>
        </w:rPr>
        <w:t>本次规划参照《新疆维吾尔自治区水土保持率分市县目标值确定报告》、《新疆维吾尔自治区昌吉回族自治州水土保持规划》等成果资料综合确定规划目标值。</w:t>
      </w:r>
    </w:p>
    <w:p w14:paraId="7BE79783">
      <w:pPr>
        <w:adjustRightInd w:val="0"/>
        <w:snapToGrid w:val="0"/>
        <w:ind w:firstLine="480"/>
        <w:rPr>
          <w:rFonts w:cs="Times New Roman"/>
        </w:rPr>
      </w:pPr>
      <w:r>
        <w:rPr>
          <w:rFonts w:cs="Times New Roman"/>
        </w:rPr>
        <w:t>1、近期目标</w:t>
      </w:r>
    </w:p>
    <w:p w14:paraId="7EAC784B">
      <w:pPr>
        <w:adjustRightInd w:val="0"/>
        <w:snapToGrid w:val="0"/>
        <w:ind w:firstLine="480"/>
        <w:rPr>
          <w:rFonts w:cs="Times New Roman"/>
        </w:rPr>
      </w:pPr>
      <w:r>
        <w:rPr>
          <w:rFonts w:hint="eastAsia" w:cs="Times New Roman"/>
        </w:rPr>
        <w:t>2024年~</w:t>
      </w:r>
      <w:r>
        <w:rPr>
          <w:rFonts w:cs="Times New Roman"/>
        </w:rPr>
        <w:t>2025年，规划新增水土流失治理面积</w:t>
      </w:r>
      <w:r>
        <w:rPr>
          <w:rFonts w:hint="eastAsia" w:cs="Times New Roman"/>
        </w:rPr>
        <w:t>24</w:t>
      </w:r>
      <w:r>
        <w:rPr>
          <w:rFonts w:cs="Times New Roman"/>
        </w:rPr>
        <w:t>km</w:t>
      </w:r>
      <w:r>
        <w:rPr>
          <w:rFonts w:cs="Times New Roman"/>
          <w:vertAlign w:val="superscript"/>
        </w:rPr>
        <w:t>2</w:t>
      </w:r>
      <w:r>
        <w:rPr>
          <w:rFonts w:cs="Times New Roman"/>
        </w:rPr>
        <w:t>，新增减少土壤流失量</w:t>
      </w:r>
      <w:r>
        <w:rPr>
          <w:rFonts w:hint="eastAsia" w:cs="Times New Roman"/>
        </w:rPr>
        <w:t>14</w:t>
      </w:r>
      <w:r>
        <w:rPr>
          <w:rFonts w:cs="Times New Roman"/>
        </w:rPr>
        <w:t>万t，水土流失面积和侵蚀强度有所下降，人为水土流失得到有效控制；林草植被得到有效保护与恢复，林草覆盖面积有所增加，重点区域水土流失得到有效治理。初步建成与阜康市经济社会发展与资源环境承载力相适应的水土保持防治体系，重点防治地区生态进一步趋向好转，可持续发展能力显著增强，城乡环境质量全面改善，自然生态系统得到有效保护，生态文明观念更加牢固，人民群众富裕文明程度明显提高，水土保持监督执法能力稳步提升，人为水土流失得以有效控制。</w:t>
      </w:r>
    </w:p>
    <w:p w14:paraId="398FD141">
      <w:pPr>
        <w:adjustRightInd w:val="0"/>
        <w:snapToGrid w:val="0"/>
        <w:ind w:firstLine="480"/>
        <w:rPr>
          <w:rFonts w:cs="Times New Roman"/>
        </w:rPr>
      </w:pPr>
      <w:r>
        <w:rPr>
          <w:rFonts w:cs="Times New Roman"/>
        </w:rPr>
        <w:t>2、远期目标：</w:t>
      </w:r>
    </w:p>
    <w:p w14:paraId="2865ECAD">
      <w:pPr>
        <w:adjustRightInd w:val="0"/>
        <w:snapToGrid w:val="0"/>
        <w:ind w:firstLine="480"/>
        <w:rPr>
          <w:rFonts w:cs="Times New Roman"/>
        </w:rPr>
      </w:pPr>
      <w:r>
        <w:rPr>
          <w:rFonts w:cs="Times New Roman"/>
        </w:rPr>
        <w:t>2026年到2030年，新增水土流失治理面积</w:t>
      </w:r>
      <w:r>
        <w:rPr>
          <w:rFonts w:hint="eastAsia" w:cs="Times New Roman"/>
        </w:rPr>
        <w:t>79</w:t>
      </w:r>
      <w:r>
        <w:rPr>
          <w:rFonts w:cs="Times New Roman"/>
        </w:rPr>
        <w:t>km</w:t>
      </w:r>
      <w:r>
        <w:rPr>
          <w:rFonts w:cs="Times New Roman"/>
          <w:vertAlign w:val="superscript"/>
        </w:rPr>
        <w:t>2</w:t>
      </w:r>
      <w:r>
        <w:rPr>
          <w:rFonts w:cs="Times New Roman"/>
        </w:rPr>
        <w:t>，新增减少土壤流失量</w:t>
      </w:r>
      <w:r>
        <w:rPr>
          <w:rFonts w:hint="eastAsia" w:cs="Times New Roman"/>
        </w:rPr>
        <w:t>57</w:t>
      </w:r>
      <w:r>
        <w:rPr>
          <w:rFonts w:cs="Times New Roman"/>
        </w:rPr>
        <w:t>万t，基本建成与阜康市经济社会发展与资源环境承载力相适应的水土保持生态经济发展格局，重点防治地区生态实现良性循环，水土流失重点预防区全面实施预防保护，生态和人居环境得到明显改善，农业生产基础条件得以大幅度提升，抗御水、旱、风沙灾害能力得到显著提升，健全水土保持法律、法规体系和监督管理体系，生产建设项目“三同时”制度得到全面落实，生产建设活动导致的人为水土流失得到全面控制。</w:t>
      </w:r>
    </w:p>
    <w:bookmarkEnd w:id="75"/>
    <w:p w14:paraId="5C1C1D61">
      <w:pPr>
        <w:adjustRightInd w:val="0"/>
        <w:snapToGrid w:val="0"/>
        <w:ind w:firstLine="480"/>
        <w:rPr>
          <w:rFonts w:cs="Times New Roman"/>
        </w:rPr>
      </w:pPr>
      <w:r>
        <w:rPr>
          <w:rFonts w:cs="Times New Roman"/>
        </w:rPr>
        <w:t>表3.5-1          本次规划阜康市治理总体目标</w:t>
      </w:r>
    </w:p>
    <w:tbl>
      <w:tblPr>
        <w:tblStyle w:val="48"/>
        <w:tblW w:w="8800" w:type="dxa"/>
        <w:tblInd w:w="96" w:type="dxa"/>
        <w:tblLayout w:type="fixed"/>
        <w:tblCellMar>
          <w:top w:w="0" w:type="dxa"/>
          <w:left w:w="108" w:type="dxa"/>
          <w:bottom w:w="0" w:type="dxa"/>
          <w:right w:w="108" w:type="dxa"/>
        </w:tblCellMar>
      </w:tblPr>
      <w:tblGrid>
        <w:gridCol w:w="1430"/>
        <w:gridCol w:w="2410"/>
        <w:gridCol w:w="2551"/>
        <w:gridCol w:w="2409"/>
      </w:tblGrid>
      <w:tr w14:paraId="35761341">
        <w:tblPrEx>
          <w:tblCellMar>
            <w:top w:w="0" w:type="dxa"/>
            <w:left w:w="108" w:type="dxa"/>
            <w:bottom w:w="0" w:type="dxa"/>
            <w:right w:w="108" w:type="dxa"/>
          </w:tblCellMar>
        </w:tblPrEx>
        <w:trPr>
          <w:trHeight w:val="399" w:hRule="atLeast"/>
        </w:trPr>
        <w:tc>
          <w:tcPr>
            <w:tcW w:w="143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4649DC5">
            <w:pPr>
              <w:adjustRightInd w:val="0"/>
              <w:snapToGrid w:val="0"/>
              <w:spacing w:line="240" w:lineRule="auto"/>
              <w:ind w:firstLine="0" w:firstLineChars="0"/>
              <w:jc w:val="center"/>
              <w:rPr>
                <w:rFonts w:cs="Times New Roman"/>
                <w:sz w:val="20"/>
                <w:szCs w:val="20"/>
              </w:rPr>
            </w:pPr>
            <w:r>
              <w:rPr>
                <w:rFonts w:cs="Times New Roman"/>
                <w:sz w:val="20"/>
                <w:szCs w:val="20"/>
              </w:rPr>
              <w:t>规划区</w:t>
            </w:r>
          </w:p>
        </w:tc>
        <w:tc>
          <w:tcPr>
            <w:tcW w:w="241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2305535A">
            <w:pPr>
              <w:adjustRightInd w:val="0"/>
              <w:snapToGrid w:val="0"/>
              <w:spacing w:line="240" w:lineRule="auto"/>
              <w:ind w:firstLine="0" w:firstLineChars="0"/>
              <w:jc w:val="center"/>
              <w:rPr>
                <w:rFonts w:cs="Times New Roman"/>
                <w:sz w:val="20"/>
                <w:szCs w:val="20"/>
              </w:rPr>
            </w:pPr>
            <w:r>
              <w:rPr>
                <w:rFonts w:cs="Times New Roman"/>
                <w:sz w:val="20"/>
                <w:szCs w:val="20"/>
              </w:rPr>
              <w:t>规划时段</w:t>
            </w:r>
          </w:p>
        </w:tc>
        <w:tc>
          <w:tcPr>
            <w:tcW w:w="4960" w:type="dxa"/>
            <w:gridSpan w:val="2"/>
            <w:tcBorders>
              <w:top w:val="single" w:color="auto" w:sz="4" w:space="0"/>
              <w:left w:val="nil"/>
              <w:bottom w:val="single" w:color="auto" w:sz="4" w:space="0"/>
              <w:right w:val="single" w:color="auto" w:sz="4" w:space="0"/>
            </w:tcBorders>
            <w:shd w:val="clear" w:color="auto" w:fill="auto"/>
            <w:noWrap/>
            <w:vAlign w:val="center"/>
          </w:tcPr>
          <w:p w14:paraId="1E5B73CC">
            <w:pPr>
              <w:adjustRightInd w:val="0"/>
              <w:snapToGrid w:val="0"/>
              <w:spacing w:line="240" w:lineRule="auto"/>
              <w:ind w:firstLine="0" w:firstLineChars="0"/>
              <w:jc w:val="center"/>
              <w:rPr>
                <w:rFonts w:cs="Times New Roman"/>
                <w:sz w:val="20"/>
                <w:szCs w:val="20"/>
              </w:rPr>
            </w:pPr>
            <w:r>
              <w:rPr>
                <w:rFonts w:cs="Times New Roman"/>
                <w:sz w:val="20"/>
                <w:szCs w:val="20"/>
              </w:rPr>
              <w:t>规划目标</w:t>
            </w:r>
          </w:p>
        </w:tc>
      </w:tr>
      <w:tr w14:paraId="5C65068B">
        <w:tblPrEx>
          <w:tblCellMar>
            <w:top w:w="0" w:type="dxa"/>
            <w:left w:w="108" w:type="dxa"/>
            <w:bottom w:w="0" w:type="dxa"/>
            <w:right w:w="108" w:type="dxa"/>
          </w:tblCellMar>
        </w:tblPrEx>
        <w:trPr>
          <w:trHeight w:val="399" w:hRule="atLeast"/>
        </w:trPr>
        <w:tc>
          <w:tcPr>
            <w:tcW w:w="1430" w:type="dxa"/>
            <w:vMerge w:val="continue"/>
            <w:tcBorders>
              <w:top w:val="single" w:color="auto" w:sz="4" w:space="0"/>
              <w:left w:val="single" w:color="auto" w:sz="4" w:space="0"/>
              <w:bottom w:val="single" w:color="auto" w:sz="4" w:space="0"/>
              <w:right w:val="single" w:color="auto" w:sz="4" w:space="0"/>
            </w:tcBorders>
            <w:vAlign w:val="center"/>
          </w:tcPr>
          <w:p w14:paraId="0DCD7CA8">
            <w:pPr>
              <w:adjustRightInd w:val="0"/>
              <w:snapToGrid w:val="0"/>
              <w:spacing w:line="240" w:lineRule="auto"/>
              <w:ind w:firstLine="0" w:firstLineChars="0"/>
              <w:rPr>
                <w:rFonts w:cs="Times New Roman"/>
                <w:sz w:val="20"/>
                <w:szCs w:val="20"/>
              </w:rPr>
            </w:pPr>
          </w:p>
        </w:tc>
        <w:tc>
          <w:tcPr>
            <w:tcW w:w="2410" w:type="dxa"/>
            <w:vMerge w:val="continue"/>
            <w:tcBorders>
              <w:top w:val="single" w:color="auto" w:sz="4" w:space="0"/>
              <w:left w:val="single" w:color="auto" w:sz="4" w:space="0"/>
              <w:bottom w:val="single" w:color="auto" w:sz="4" w:space="0"/>
              <w:right w:val="single" w:color="auto" w:sz="4" w:space="0"/>
            </w:tcBorders>
            <w:vAlign w:val="center"/>
          </w:tcPr>
          <w:p w14:paraId="1F33FCEB">
            <w:pPr>
              <w:adjustRightInd w:val="0"/>
              <w:snapToGrid w:val="0"/>
              <w:spacing w:line="240" w:lineRule="auto"/>
              <w:ind w:firstLine="0" w:firstLineChars="0"/>
              <w:rPr>
                <w:rFonts w:cs="Times New Roman"/>
                <w:sz w:val="20"/>
                <w:szCs w:val="20"/>
              </w:rPr>
            </w:pPr>
          </w:p>
        </w:tc>
        <w:tc>
          <w:tcPr>
            <w:tcW w:w="2551" w:type="dxa"/>
            <w:tcBorders>
              <w:top w:val="nil"/>
              <w:left w:val="nil"/>
              <w:bottom w:val="single" w:color="auto" w:sz="4" w:space="0"/>
              <w:right w:val="single" w:color="auto" w:sz="4" w:space="0"/>
            </w:tcBorders>
            <w:shd w:val="clear" w:color="auto" w:fill="auto"/>
            <w:noWrap/>
            <w:vAlign w:val="center"/>
          </w:tcPr>
          <w:p w14:paraId="287A8C94">
            <w:pPr>
              <w:adjustRightInd w:val="0"/>
              <w:snapToGrid w:val="0"/>
              <w:spacing w:line="240" w:lineRule="auto"/>
              <w:ind w:firstLine="0" w:firstLineChars="0"/>
              <w:jc w:val="center"/>
              <w:rPr>
                <w:rFonts w:cs="Times New Roman"/>
                <w:sz w:val="20"/>
                <w:szCs w:val="20"/>
              </w:rPr>
            </w:pPr>
            <w:r>
              <w:rPr>
                <w:rFonts w:cs="Times New Roman"/>
                <w:sz w:val="20"/>
                <w:szCs w:val="20"/>
              </w:rPr>
              <w:t>水土流失治理面积（km</w:t>
            </w:r>
            <w:r>
              <w:rPr>
                <w:rFonts w:cs="Times New Roman"/>
                <w:sz w:val="20"/>
                <w:szCs w:val="20"/>
                <w:vertAlign w:val="superscript"/>
              </w:rPr>
              <w:t>2</w:t>
            </w:r>
            <w:r>
              <w:rPr>
                <w:rFonts w:cs="Times New Roman"/>
                <w:sz w:val="20"/>
                <w:szCs w:val="20"/>
              </w:rPr>
              <w:t>）</w:t>
            </w:r>
          </w:p>
        </w:tc>
        <w:tc>
          <w:tcPr>
            <w:tcW w:w="2409" w:type="dxa"/>
            <w:tcBorders>
              <w:top w:val="nil"/>
              <w:left w:val="nil"/>
              <w:bottom w:val="single" w:color="auto" w:sz="4" w:space="0"/>
              <w:right w:val="single" w:color="auto" w:sz="4" w:space="0"/>
            </w:tcBorders>
            <w:shd w:val="clear" w:color="auto" w:fill="auto"/>
            <w:noWrap/>
            <w:vAlign w:val="center"/>
          </w:tcPr>
          <w:p w14:paraId="006FCF01">
            <w:pPr>
              <w:adjustRightInd w:val="0"/>
              <w:snapToGrid w:val="0"/>
              <w:spacing w:line="240" w:lineRule="auto"/>
              <w:ind w:firstLine="0" w:firstLineChars="0"/>
              <w:jc w:val="center"/>
              <w:rPr>
                <w:rFonts w:cs="Times New Roman"/>
                <w:sz w:val="20"/>
                <w:szCs w:val="20"/>
              </w:rPr>
            </w:pPr>
            <w:r>
              <w:rPr>
                <w:rFonts w:cs="Times New Roman"/>
                <w:sz w:val="20"/>
                <w:szCs w:val="20"/>
              </w:rPr>
              <w:t>减少土壤流失量（万t）</w:t>
            </w:r>
          </w:p>
        </w:tc>
      </w:tr>
      <w:tr w14:paraId="2486B6EF">
        <w:tblPrEx>
          <w:tblCellMar>
            <w:top w:w="0" w:type="dxa"/>
            <w:left w:w="108" w:type="dxa"/>
            <w:bottom w:w="0" w:type="dxa"/>
            <w:right w:w="108" w:type="dxa"/>
          </w:tblCellMar>
        </w:tblPrEx>
        <w:trPr>
          <w:trHeight w:val="474" w:hRule="atLeast"/>
        </w:trPr>
        <w:tc>
          <w:tcPr>
            <w:tcW w:w="1430" w:type="dxa"/>
            <w:vMerge w:val="restart"/>
            <w:tcBorders>
              <w:top w:val="nil"/>
              <w:left w:val="single" w:color="auto" w:sz="4" w:space="0"/>
              <w:bottom w:val="single" w:color="000000" w:sz="4" w:space="0"/>
              <w:right w:val="single" w:color="auto" w:sz="4" w:space="0"/>
            </w:tcBorders>
            <w:shd w:val="clear" w:color="auto" w:fill="auto"/>
            <w:noWrap/>
            <w:vAlign w:val="center"/>
          </w:tcPr>
          <w:p w14:paraId="2AB8F0A5">
            <w:pPr>
              <w:adjustRightInd w:val="0"/>
              <w:snapToGrid w:val="0"/>
              <w:spacing w:line="240" w:lineRule="auto"/>
              <w:ind w:firstLine="0" w:firstLineChars="0"/>
              <w:jc w:val="center"/>
              <w:rPr>
                <w:rFonts w:cs="Times New Roman"/>
                <w:sz w:val="20"/>
                <w:szCs w:val="20"/>
              </w:rPr>
            </w:pPr>
            <w:r>
              <w:rPr>
                <w:rFonts w:cs="Times New Roman"/>
                <w:sz w:val="20"/>
                <w:szCs w:val="20"/>
              </w:rPr>
              <w:t>阜康市</w:t>
            </w:r>
          </w:p>
        </w:tc>
        <w:tc>
          <w:tcPr>
            <w:tcW w:w="2410" w:type="dxa"/>
            <w:tcBorders>
              <w:top w:val="nil"/>
              <w:left w:val="nil"/>
              <w:bottom w:val="single" w:color="auto" w:sz="4" w:space="0"/>
              <w:right w:val="single" w:color="auto" w:sz="4" w:space="0"/>
            </w:tcBorders>
            <w:shd w:val="clear" w:color="auto" w:fill="auto"/>
            <w:noWrap/>
            <w:vAlign w:val="center"/>
          </w:tcPr>
          <w:p w14:paraId="13F4A955">
            <w:pPr>
              <w:adjustRightInd w:val="0"/>
              <w:snapToGrid w:val="0"/>
              <w:spacing w:line="240" w:lineRule="auto"/>
              <w:ind w:firstLine="0" w:firstLineChars="0"/>
              <w:jc w:val="center"/>
              <w:rPr>
                <w:rFonts w:cs="Times New Roman"/>
                <w:sz w:val="20"/>
                <w:szCs w:val="20"/>
              </w:rPr>
            </w:pPr>
            <w:r>
              <w:rPr>
                <w:rFonts w:cs="Times New Roman"/>
                <w:sz w:val="20"/>
                <w:szCs w:val="20"/>
              </w:rPr>
              <w:t>近期202</w:t>
            </w:r>
            <w:r>
              <w:rPr>
                <w:rFonts w:hint="eastAsia" w:cs="Times New Roman"/>
                <w:sz w:val="20"/>
                <w:szCs w:val="20"/>
              </w:rPr>
              <w:t>4</w:t>
            </w:r>
            <w:r>
              <w:rPr>
                <w:rFonts w:cs="Times New Roman"/>
                <w:sz w:val="20"/>
                <w:szCs w:val="20"/>
              </w:rPr>
              <w:t>～2025年</w:t>
            </w:r>
          </w:p>
        </w:tc>
        <w:tc>
          <w:tcPr>
            <w:tcW w:w="2551" w:type="dxa"/>
            <w:tcBorders>
              <w:top w:val="nil"/>
              <w:left w:val="nil"/>
              <w:bottom w:val="single" w:color="auto" w:sz="4" w:space="0"/>
              <w:right w:val="single" w:color="auto" w:sz="4" w:space="0"/>
            </w:tcBorders>
            <w:shd w:val="clear" w:color="auto" w:fill="auto"/>
            <w:noWrap/>
            <w:vAlign w:val="center"/>
          </w:tcPr>
          <w:p w14:paraId="2C10EEFB">
            <w:pPr>
              <w:adjustRightInd w:val="0"/>
              <w:snapToGrid w:val="0"/>
              <w:spacing w:line="240" w:lineRule="auto"/>
              <w:ind w:firstLine="0" w:firstLineChars="0"/>
              <w:jc w:val="center"/>
              <w:rPr>
                <w:rFonts w:cs="Times New Roman"/>
                <w:sz w:val="20"/>
                <w:szCs w:val="20"/>
              </w:rPr>
            </w:pPr>
            <w:r>
              <w:rPr>
                <w:rFonts w:hint="eastAsia" w:cs="Times New Roman"/>
                <w:sz w:val="20"/>
                <w:szCs w:val="20"/>
              </w:rPr>
              <w:t>24</w:t>
            </w:r>
          </w:p>
        </w:tc>
        <w:tc>
          <w:tcPr>
            <w:tcW w:w="2409" w:type="dxa"/>
            <w:tcBorders>
              <w:top w:val="nil"/>
              <w:left w:val="nil"/>
              <w:bottom w:val="single" w:color="auto" w:sz="4" w:space="0"/>
              <w:right w:val="single" w:color="auto" w:sz="4" w:space="0"/>
            </w:tcBorders>
            <w:shd w:val="clear" w:color="auto" w:fill="auto"/>
            <w:noWrap/>
            <w:vAlign w:val="center"/>
          </w:tcPr>
          <w:p w14:paraId="20ACE981">
            <w:pPr>
              <w:adjustRightInd w:val="0"/>
              <w:snapToGrid w:val="0"/>
              <w:spacing w:line="240" w:lineRule="auto"/>
              <w:ind w:firstLine="0" w:firstLineChars="0"/>
              <w:jc w:val="center"/>
              <w:rPr>
                <w:rFonts w:cs="Times New Roman"/>
                <w:sz w:val="20"/>
                <w:szCs w:val="20"/>
              </w:rPr>
            </w:pPr>
            <w:r>
              <w:rPr>
                <w:rFonts w:hint="eastAsia" w:cs="Times New Roman"/>
                <w:sz w:val="20"/>
                <w:szCs w:val="20"/>
              </w:rPr>
              <w:t>14</w:t>
            </w:r>
          </w:p>
        </w:tc>
      </w:tr>
      <w:tr w14:paraId="3099C693">
        <w:tblPrEx>
          <w:tblCellMar>
            <w:top w:w="0" w:type="dxa"/>
            <w:left w:w="108" w:type="dxa"/>
            <w:bottom w:w="0" w:type="dxa"/>
            <w:right w:w="108" w:type="dxa"/>
          </w:tblCellMar>
        </w:tblPrEx>
        <w:trPr>
          <w:trHeight w:val="399" w:hRule="atLeast"/>
        </w:trPr>
        <w:tc>
          <w:tcPr>
            <w:tcW w:w="1430" w:type="dxa"/>
            <w:vMerge w:val="continue"/>
            <w:tcBorders>
              <w:top w:val="nil"/>
              <w:left w:val="single" w:color="auto" w:sz="4" w:space="0"/>
              <w:bottom w:val="single" w:color="000000" w:sz="4" w:space="0"/>
              <w:right w:val="single" w:color="auto" w:sz="4" w:space="0"/>
            </w:tcBorders>
            <w:vAlign w:val="center"/>
          </w:tcPr>
          <w:p w14:paraId="5F24A3B9">
            <w:pPr>
              <w:adjustRightInd w:val="0"/>
              <w:snapToGrid w:val="0"/>
              <w:spacing w:line="240" w:lineRule="auto"/>
              <w:ind w:firstLine="0" w:firstLineChars="0"/>
              <w:rPr>
                <w:rFonts w:cs="Times New Roman"/>
                <w:sz w:val="20"/>
                <w:szCs w:val="20"/>
              </w:rPr>
            </w:pPr>
          </w:p>
        </w:tc>
        <w:tc>
          <w:tcPr>
            <w:tcW w:w="2410" w:type="dxa"/>
            <w:tcBorders>
              <w:top w:val="nil"/>
              <w:left w:val="nil"/>
              <w:bottom w:val="single" w:color="auto" w:sz="4" w:space="0"/>
              <w:right w:val="single" w:color="auto" w:sz="4" w:space="0"/>
            </w:tcBorders>
            <w:shd w:val="clear" w:color="auto" w:fill="auto"/>
            <w:noWrap/>
            <w:vAlign w:val="center"/>
          </w:tcPr>
          <w:p w14:paraId="1BA9D331">
            <w:pPr>
              <w:adjustRightInd w:val="0"/>
              <w:snapToGrid w:val="0"/>
              <w:spacing w:line="240" w:lineRule="auto"/>
              <w:ind w:firstLine="0" w:firstLineChars="0"/>
              <w:jc w:val="center"/>
              <w:rPr>
                <w:rFonts w:cs="Times New Roman"/>
                <w:sz w:val="20"/>
                <w:szCs w:val="20"/>
              </w:rPr>
            </w:pPr>
            <w:r>
              <w:rPr>
                <w:rFonts w:cs="Times New Roman"/>
                <w:sz w:val="20"/>
                <w:szCs w:val="20"/>
              </w:rPr>
              <w:t>远期2026～2030年</w:t>
            </w:r>
          </w:p>
        </w:tc>
        <w:tc>
          <w:tcPr>
            <w:tcW w:w="2551" w:type="dxa"/>
            <w:tcBorders>
              <w:top w:val="nil"/>
              <w:left w:val="nil"/>
              <w:bottom w:val="single" w:color="auto" w:sz="4" w:space="0"/>
              <w:right w:val="single" w:color="auto" w:sz="4" w:space="0"/>
            </w:tcBorders>
            <w:shd w:val="clear" w:color="auto" w:fill="auto"/>
            <w:noWrap/>
            <w:vAlign w:val="center"/>
          </w:tcPr>
          <w:p w14:paraId="5D17B041">
            <w:pPr>
              <w:adjustRightInd w:val="0"/>
              <w:snapToGrid w:val="0"/>
              <w:spacing w:line="240" w:lineRule="auto"/>
              <w:ind w:firstLine="0" w:firstLineChars="0"/>
              <w:jc w:val="center"/>
              <w:rPr>
                <w:rFonts w:cs="Times New Roman"/>
                <w:sz w:val="20"/>
                <w:szCs w:val="20"/>
              </w:rPr>
            </w:pPr>
            <w:r>
              <w:rPr>
                <w:rFonts w:hint="eastAsia" w:cs="Times New Roman"/>
                <w:sz w:val="20"/>
                <w:szCs w:val="20"/>
              </w:rPr>
              <w:t>79</w:t>
            </w:r>
          </w:p>
        </w:tc>
        <w:tc>
          <w:tcPr>
            <w:tcW w:w="2409" w:type="dxa"/>
            <w:tcBorders>
              <w:top w:val="nil"/>
              <w:left w:val="nil"/>
              <w:bottom w:val="single" w:color="auto" w:sz="4" w:space="0"/>
              <w:right w:val="single" w:color="auto" w:sz="4" w:space="0"/>
            </w:tcBorders>
            <w:shd w:val="clear" w:color="auto" w:fill="auto"/>
            <w:noWrap/>
            <w:vAlign w:val="center"/>
          </w:tcPr>
          <w:p w14:paraId="70D182F4">
            <w:pPr>
              <w:adjustRightInd w:val="0"/>
              <w:snapToGrid w:val="0"/>
              <w:spacing w:line="240" w:lineRule="auto"/>
              <w:ind w:firstLine="0" w:firstLineChars="0"/>
              <w:jc w:val="center"/>
              <w:rPr>
                <w:rFonts w:cs="Times New Roman"/>
                <w:sz w:val="20"/>
                <w:szCs w:val="20"/>
              </w:rPr>
            </w:pPr>
            <w:r>
              <w:rPr>
                <w:rFonts w:hint="eastAsia" w:cs="Times New Roman"/>
                <w:sz w:val="20"/>
                <w:szCs w:val="20"/>
              </w:rPr>
              <w:t>57</w:t>
            </w:r>
          </w:p>
        </w:tc>
      </w:tr>
      <w:tr w14:paraId="7200280B">
        <w:tblPrEx>
          <w:tblCellMar>
            <w:top w:w="0" w:type="dxa"/>
            <w:left w:w="108" w:type="dxa"/>
            <w:bottom w:w="0" w:type="dxa"/>
            <w:right w:w="108" w:type="dxa"/>
          </w:tblCellMar>
        </w:tblPrEx>
        <w:trPr>
          <w:trHeight w:val="399" w:hRule="atLeast"/>
        </w:trPr>
        <w:tc>
          <w:tcPr>
            <w:tcW w:w="1430" w:type="dxa"/>
            <w:vMerge w:val="continue"/>
            <w:tcBorders>
              <w:top w:val="nil"/>
              <w:left w:val="single" w:color="auto" w:sz="4" w:space="0"/>
              <w:bottom w:val="single" w:color="000000" w:sz="4" w:space="0"/>
              <w:right w:val="single" w:color="auto" w:sz="4" w:space="0"/>
            </w:tcBorders>
            <w:vAlign w:val="center"/>
          </w:tcPr>
          <w:p w14:paraId="1663B9AA">
            <w:pPr>
              <w:adjustRightInd w:val="0"/>
              <w:snapToGrid w:val="0"/>
              <w:spacing w:line="240" w:lineRule="auto"/>
              <w:ind w:firstLine="0" w:firstLineChars="0"/>
              <w:rPr>
                <w:rFonts w:cs="Times New Roman"/>
                <w:sz w:val="20"/>
                <w:szCs w:val="20"/>
              </w:rPr>
            </w:pPr>
          </w:p>
        </w:tc>
        <w:tc>
          <w:tcPr>
            <w:tcW w:w="2410" w:type="dxa"/>
            <w:tcBorders>
              <w:top w:val="nil"/>
              <w:left w:val="nil"/>
              <w:bottom w:val="single" w:color="auto" w:sz="4" w:space="0"/>
              <w:right w:val="single" w:color="auto" w:sz="4" w:space="0"/>
            </w:tcBorders>
            <w:shd w:val="clear" w:color="auto" w:fill="auto"/>
            <w:noWrap/>
            <w:vAlign w:val="center"/>
          </w:tcPr>
          <w:p w14:paraId="0AD67472">
            <w:pPr>
              <w:adjustRightInd w:val="0"/>
              <w:snapToGrid w:val="0"/>
              <w:spacing w:line="240" w:lineRule="auto"/>
              <w:ind w:firstLine="0" w:firstLineChars="0"/>
              <w:jc w:val="center"/>
              <w:rPr>
                <w:rFonts w:cs="Times New Roman"/>
                <w:sz w:val="20"/>
                <w:szCs w:val="20"/>
              </w:rPr>
            </w:pPr>
            <w:r>
              <w:rPr>
                <w:rFonts w:cs="Times New Roman"/>
                <w:sz w:val="20"/>
                <w:szCs w:val="20"/>
              </w:rPr>
              <w:t>合计</w:t>
            </w:r>
          </w:p>
        </w:tc>
        <w:tc>
          <w:tcPr>
            <w:tcW w:w="2551" w:type="dxa"/>
            <w:tcBorders>
              <w:top w:val="nil"/>
              <w:left w:val="nil"/>
              <w:bottom w:val="single" w:color="auto" w:sz="4" w:space="0"/>
              <w:right w:val="single" w:color="auto" w:sz="4" w:space="0"/>
            </w:tcBorders>
            <w:shd w:val="clear" w:color="auto" w:fill="auto"/>
            <w:noWrap/>
            <w:vAlign w:val="center"/>
          </w:tcPr>
          <w:p w14:paraId="603DEA0A">
            <w:pPr>
              <w:adjustRightInd w:val="0"/>
              <w:snapToGrid w:val="0"/>
              <w:spacing w:line="240" w:lineRule="auto"/>
              <w:ind w:firstLine="0" w:firstLineChars="0"/>
              <w:jc w:val="center"/>
              <w:rPr>
                <w:rFonts w:cs="Times New Roman"/>
                <w:sz w:val="20"/>
                <w:szCs w:val="20"/>
              </w:rPr>
            </w:pPr>
            <w:r>
              <w:rPr>
                <w:rFonts w:hint="eastAsia" w:cs="Times New Roman"/>
                <w:sz w:val="20"/>
                <w:szCs w:val="20"/>
              </w:rPr>
              <w:t>103</w:t>
            </w:r>
          </w:p>
        </w:tc>
        <w:tc>
          <w:tcPr>
            <w:tcW w:w="2409" w:type="dxa"/>
            <w:tcBorders>
              <w:top w:val="nil"/>
              <w:left w:val="nil"/>
              <w:bottom w:val="single" w:color="auto" w:sz="4" w:space="0"/>
              <w:right w:val="single" w:color="auto" w:sz="4" w:space="0"/>
            </w:tcBorders>
            <w:shd w:val="clear" w:color="auto" w:fill="auto"/>
            <w:noWrap/>
            <w:vAlign w:val="center"/>
          </w:tcPr>
          <w:p w14:paraId="42487D6A">
            <w:pPr>
              <w:adjustRightInd w:val="0"/>
              <w:snapToGrid w:val="0"/>
              <w:spacing w:line="240" w:lineRule="auto"/>
              <w:ind w:firstLine="0" w:firstLineChars="0"/>
              <w:jc w:val="center"/>
              <w:rPr>
                <w:rFonts w:cs="Times New Roman"/>
                <w:sz w:val="20"/>
                <w:szCs w:val="20"/>
              </w:rPr>
            </w:pPr>
            <w:r>
              <w:rPr>
                <w:rFonts w:hint="eastAsia" w:cs="Times New Roman"/>
                <w:sz w:val="20"/>
                <w:szCs w:val="20"/>
              </w:rPr>
              <w:t>71</w:t>
            </w:r>
          </w:p>
        </w:tc>
      </w:tr>
    </w:tbl>
    <w:p w14:paraId="0068395B">
      <w:pPr>
        <w:pStyle w:val="209"/>
        <w:ind w:firstLine="420"/>
      </w:pPr>
    </w:p>
    <w:p w14:paraId="7010B61D">
      <w:pPr>
        <w:pStyle w:val="5"/>
        <w:rPr>
          <w:rFonts w:eastAsia="仿宋_GB2312"/>
        </w:rPr>
      </w:pPr>
      <w:r>
        <w:rPr>
          <w:rFonts w:eastAsia="仿宋_GB2312"/>
        </w:rPr>
        <w:t>3.5.2 水土流失监测目标</w:t>
      </w:r>
    </w:p>
    <w:p w14:paraId="4C276A39">
      <w:pPr>
        <w:adjustRightInd w:val="0"/>
        <w:snapToGrid w:val="0"/>
        <w:ind w:firstLine="480"/>
        <w:jc w:val="both"/>
        <w:rPr>
          <w:rFonts w:cs="Times New Roman"/>
        </w:rPr>
      </w:pPr>
      <w:r>
        <w:rPr>
          <w:rFonts w:cs="Times New Roman"/>
        </w:rPr>
        <w:t>按照水土保持事业发展的总体布局，围绕向社会提供准确、及时、有效的水土保持基础信息和为阜康市生态文明建设及国民经济发展决策提供依据的目标，建成完善的覆盖阜康市的水土保持监测网络，以及水土保持监测数据库和信息管理系统，健全水土保持监测工作管理制度，研究制定阜康市的水土保持监测体系和预测预报模型，形成高效便捷的信息采集、管理、发布和服务体系，实现对阜康市水土流失及其防治的动态监测和定期公告。</w:t>
      </w:r>
    </w:p>
    <w:p w14:paraId="1F22F7EF">
      <w:pPr>
        <w:pStyle w:val="5"/>
        <w:rPr>
          <w:rFonts w:eastAsia="仿宋_GB2312"/>
        </w:rPr>
      </w:pPr>
      <w:r>
        <w:rPr>
          <w:rFonts w:eastAsia="仿宋_GB2312"/>
        </w:rPr>
        <w:t>3.5.3 水土保持信息化目标</w:t>
      </w:r>
    </w:p>
    <w:p w14:paraId="1B8E3C88">
      <w:pPr>
        <w:adjustRightInd w:val="0"/>
        <w:snapToGrid w:val="0"/>
        <w:ind w:firstLine="480"/>
        <w:jc w:val="both"/>
        <w:rPr>
          <w:rFonts w:cs="Times New Roman"/>
        </w:rPr>
      </w:pPr>
      <w:r>
        <w:rPr>
          <w:rFonts w:cs="Times New Roman"/>
        </w:rPr>
        <w:t>依托昌吉州水利信息化综合平台和昌吉州水土保持数据中心</w:t>
      </w:r>
      <w:r>
        <w:rPr>
          <w:rFonts w:hint="eastAsia" w:cs="Times New Roman"/>
        </w:rPr>
        <w:t>和全国水土保持上报系统</w:t>
      </w:r>
      <w:r>
        <w:rPr>
          <w:rFonts w:cs="Times New Roman"/>
        </w:rPr>
        <w:t>，建立衔接州、阜康市的水土保持数据采集、传输、交换和发布体系。</w:t>
      </w:r>
    </w:p>
    <w:p w14:paraId="3AB4E36E">
      <w:pPr>
        <w:adjustRightInd w:val="0"/>
        <w:snapToGrid w:val="0"/>
        <w:ind w:firstLine="480"/>
        <w:jc w:val="both"/>
        <w:rPr>
          <w:rFonts w:cs="Times New Roman"/>
        </w:rPr>
      </w:pPr>
      <w:r>
        <w:rPr>
          <w:rFonts w:cs="Times New Roman"/>
        </w:rPr>
        <w:t>信息化技术人员素质不断提高，阜康市水土保持专业人员能够熟练掌握和使用全国水土保持监督管理系统、综合治理系统、动态监测系统、数据发布系统的查询、统计、信息采集、分类汇总、数据归档、逐级审核上报等功能以及水土保持重点工程图斑上图的精细化管理等。</w:t>
      </w:r>
    </w:p>
    <w:p w14:paraId="4885CB60">
      <w:pPr>
        <w:adjustRightInd w:val="0"/>
        <w:snapToGrid w:val="0"/>
        <w:ind w:firstLine="480"/>
        <w:jc w:val="both"/>
        <w:rPr>
          <w:rFonts w:cs="Times New Roman"/>
        </w:rPr>
      </w:pPr>
      <w:r>
        <w:rPr>
          <w:rFonts w:cs="Times New Roman"/>
        </w:rPr>
        <w:t>实现信息资源的充分共享和利用，有效发挥水土保持数据平台快捷有效的作用，顺利实现阜康市水行政主管部门监督管理、综合治理、监测评价等核心业务的信息化应用，水土保持行政许可项目基本实现在线处理等。为相关行业和社会公众提供高效、便捷的水土保持专业信息服务。</w:t>
      </w:r>
    </w:p>
    <w:p w14:paraId="4FD8089A">
      <w:pPr>
        <w:pStyle w:val="5"/>
        <w:rPr>
          <w:rFonts w:eastAsia="仿宋_GB2312"/>
        </w:rPr>
      </w:pPr>
      <w:r>
        <w:rPr>
          <w:rFonts w:eastAsia="仿宋_GB2312"/>
        </w:rPr>
        <w:t>3.5.4 水土保持科技发展目标</w:t>
      </w:r>
    </w:p>
    <w:p w14:paraId="2DCED6E9">
      <w:pPr>
        <w:adjustRightInd w:val="0"/>
        <w:snapToGrid w:val="0"/>
        <w:ind w:firstLine="480"/>
        <w:jc w:val="both"/>
        <w:rPr>
          <w:rFonts w:cs="Times New Roman"/>
        </w:rPr>
      </w:pPr>
      <w:r>
        <w:rPr>
          <w:rFonts w:cs="Times New Roman"/>
        </w:rPr>
        <w:t>要加大阜康市水土保持基础研究和技术研发，逐步健全完善水土保持科技创新体系，提高信息与技术服务。加强实验基础设施和条件平台建设，组织实施重大自主创新项目，推动项目、基地、人才的有机结合，提高研究水平。注重人才培养，完善科技人才激励机制，增强创新能力。</w:t>
      </w:r>
    </w:p>
    <w:p w14:paraId="73176FC0">
      <w:pPr>
        <w:adjustRightInd w:val="0"/>
        <w:snapToGrid w:val="0"/>
        <w:ind w:firstLine="480"/>
        <w:jc w:val="both"/>
        <w:rPr>
          <w:rFonts w:cs="Times New Roman"/>
        </w:rPr>
      </w:pPr>
      <w:r>
        <w:rPr>
          <w:rFonts w:cs="Times New Roman"/>
        </w:rPr>
        <w:t>要做好顶层设计，编制《阜康市水土保持科技发展规划》，并纳入各级政府的科技规划，围绕水土保持中心工作，研究今后阜康市一个时期水土保持科技发展的重点方向、重点领域，提出关键问题和治理模式，开展阜康市水土保持重大技术的研究工作。</w:t>
      </w:r>
    </w:p>
    <w:p w14:paraId="6527010C">
      <w:pPr>
        <w:adjustRightInd w:val="0"/>
        <w:snapToGrid w:val="0"/>
        <w:ind w:firstLine="480"/>
        <w:jc w:val="both"/>
        <w:rPr>
          <w:rFonts w:cs="Times New Roman"/>
        </w:rPr>
      </w:pPr>
      <w:r>
        <w:rPr>
          <w:rFonts w:cs="Times New Roman"/>
        </w:rPr>
        <w:t>要加大水土保持科技投入，重大科技项目计划和科技创新计划应安排水土保持相关的重大项目，列入财政专项，专门支持有关水土保持的研究和创新活动。</w:t>
      </w:r>
    </w:p>
    <w:p w14:paraId="24602392">
      <w:pPr>
        <w:adjustRightInd w:val="0"/>
        <w:snapToGrid w:val="0"/>
        <w:ind w:firstLine="480"/>
        <w:jc w:val="both"/>
        <w:rPr>
          <w:rFonts w:cs="Times New Roman"/>
        </w:rPr>
      </w:pPr>
      <w:r>
        <w:rPr>
          <w:rFonts w:cs="Times New Roman"/>
        </w:rPr>
        <w:t>围绕生态修复、经济开发、治理效益、监测监督、新技术应用和管理等主要环节加强技术推广与示范，在不同的治理区域重点建设一批重点示范项目、科技示范园项目和湖库区水源面源污染控制工程，通过试验示范的辐射作用，来推广治理经验和开发的科研成果。</w:t>
      </w:r>
    </w:p>
    <w:p w14:paraId="17415555">
      <w:pPr>
        <w:adjustRightInd w:val="0"/>
        <w:snapToGrid w:val="0"/>
        <w:ind w:firstLine="480"/>
        <w:jc w:val="both"/>
        <w:rPr>
          <w:rFonts w:cs="Times New Roman"/>
        </w:rPr>
      </w:pPr>
      <w:r>
        <w:rPr>
          <w:rFonts w:cs="Times New Roman"/>
        </w:rPr>
        <w:t>做好水土保持科普、宣传和教育活动，推出一批水土保持宣传教育力作，搭建一批水土保持宣传教育平台，打造一批水土保持形象宣传阵地，建立一支水土保持宣传教育队伍。</w:t>
      </w:r>
    </w:p>
    <w:p w14:paraId="407367AF">
      <w:pPr>
        <w:pStyle w:val="5"/>
        <w:rPr>
          <w:rFonts w:eastAsia="仿宋_GB2312"/>
        </w:rPr>
      </w:pPr>
      <w:r>
        <w:rPr>
          <w:rFonts w:eastAsia="仿宋_GB2312"/>
        </w:rPr>
        <w:t>3.5.5 水土保持监督管理目标</w:t>
      </w:r>
    </w:p>
    <w:p w14:paraId="265D7B31">
      <w:pPr>
        <w:adjustRightInd w:val="0"/>
        <w:snapToGrid w:val="0"/>
        <w:ind w:firstLine="480"/>
        <w:jc w:val="both"/>
        <w:rPr>
          <w:rFonts w:cs="Times New Roman"/>
        </w:rPr>
      </w:pPr>
      <w:r>
        <w:rPr>
          <w:rFonts w:cs="Times New Roman"/>
        </w:rPr>
        <w:t>要完善监管制度建设，制定水土保持相关规划管理相关配套制度、水土流失预防工作的监管制度、水土保持重点工程建设管理制度、生产建设项目监管制度、水土保持监测评价制度、水土保持目标责任制和考核奖惩制度、水土保持生态补偿及水土保持补偿制度等。</w:t>
      </w:r>
    </w:p>
    <w:p w14:paraId="6B4BDFBD">
      <w:pPr>
        <w:adjustRightInd w:val="0"/>
        <w:snapToGrid w:val="0"/>
        <w:ind w:firstLine="480"/>
        <w:jc w:val="both"/>
        <w:rPr>
          <w:rFonts w:cs="Times New Roman"/>
        </w:rPr>
      </w:pPr>
      <w:r>
        <w:rPr>
          <w:rFonts w:cs="Times New Roman"/>
        </w:rPr>
        <w:t>要加强监管能力建设，建立阜康市水土保持监督管理机构，配套完善调查取证等执法装备，加强人员配置和队伍建设、强化培训和考核，制定监管能力标准化建设方案。以全过程监管为核心，加强政务公开、增加监管透明度，提高实时即时监控和处置能力，有效管控生产建设项目水土保持的设计、施工、监测、监理、验收、评估等市场行为。</w:t>
      </w:r>
    </w:p>
    <w:p w14:paraId="58D346CD">
      <w:pPr>
        <w:pStyle w:val="44"/>
        <w:spacing w:before="120" w:after="120"/>
        <w:rPr>
          <w:rFonts w:eastAsia="仿宋_GB2312" w:cs="Times New Roman"/>
        </w:rPr>
      </w:pPr>
      <w:bookmarkStart w:id="76" w:name="_Toc150724276"/>
      <w:r>
        <w:rPr>
          <w:rFonts w:eastAsia="仿宋_GB2312" w:cs="Times New Roman"/>
        </w:rPr>
        <w:t>3.6 规划任务</w:t>
      </w:r>
      <w:bookmarkEnd w:id="76"/>
    </w:p>
    <w:p w14:paraId="3E1F0EB5">
      <w:pPr>
        <w:adjustRightInd w:val="0"/>
        <w:snapToGrid w:val="0"/>
        <w:ind w:firstLine="480"/>
        <w:jc w:val="both"/>
        <w:rPr>
          <w:rFonts w:cs="Times New Roman"/>
        </w:rPr>
      </w:pPr>
      <w:r>
        <w:rPr>
          <w:rFonts w:cs="Times New Roman"/>
        </w:rPr>
        <w:t>根据水利部《关于全国水土保持规划项目任务书的批复》（水规计[2010]540号）中的省水土保持规划编制工作指导性意见和新疆维吾尔自治区水土保持规划（2018-2030年）（报批稿），本规划的主要任务为：落实《新疆维吾尔自治区水土保持规划》提出的总体防治任务，按照《水土流失重点防治区划分导则》（SL717-2015）依法对新疆水土流失重点预防和治理区进行复核和划定的成果进一步细化和分解，明确阜康市预防、治理和综合监管重点项目布局与规划；完成阜康市水土保持监测、信息化和监督管理规划；完成水土保持科技支撑能力建设规划；提出阜康市近期重点建设项目安排和规划实施保障措施；指导阜康市以及重要区域、流域综合开发和行业发展的水土保持规划编制。近远期任务具体为：</w:t>
      </w:r>
    </w:p>
    <w:p w14:paraId="78EF362D">
      <w:pPr>
        <w:adjustRightInd w:val="0"/>
        <w:snapToGrid w:val="0"/>
        <w:ind w:firstLine="480"/>
        <w:jc w:val="both"/>
        <w:rPr>
          <w:rFonts w:cs="Times New Roman"/>
        </w:rPr>
      </w:pPr>
      <w:r>
        <w:rPr>
          <w:rFonts w:cs="Times New Roman"/>
        </w:rPr>
        <w:t>（1）昌吉州规划中确定的阜康市预防治理任务与规模昌吉州水土保持规划中，2021年到2030年，阜康市水土流失重点治理面积</w:t>
      </w:r>
      <w:r>
        <w:rPr>
          <w:rFonts w:hint="eastAsia" w:cs="Times New Roman"/>
        </w:rPr>
        <w:t>137</w:t>
      </w:r>
      <w:r>
        <w:rPr>
          <w:rFonts w:cs="Times New Roman"/>
        </w:rPr>
        <w:t>km</w:t>
      </w:r>
      <w:r>
        <w:rPr>
          <w:rFonts w:cs="Times New Roman"/>
          <w:vertAlign w:val="superscript"/>
        </w:rPr>
        <w:t>2</w:t>
      </w:r>
      <w:r>
        <w:rPr>
          <w:rFonts w:cs="Times New Roman"/>
        </w:rPr>
        <w:t>。减少土壤流失量</w:t>
      </w:r>
      <w:r>
        <w:rPr>
          <w:rFonts w:hint="eastAsia" w:cs="Times New Roman"/>
        </w:rPr>
        <w:t>91</w:t>
      </w:r>
      <w:r>
        <w:rPr>
          <w:rFonts w:cs="Times New Roman"/>
        </w:rPr>
        <w:t>万t。</w:t>
      </w:r>
    </w:p>
    <w:p w14:paraId="4C2CE05D">
      <w:pPr>
        <w:adjustRightInd w:val="0"/>
        <w:snapToGrid w:val="0"/>
        <w:ind w:firstLine="480"/>
        <w:jc w:val="both"/>
        <w:rPr>
          <w:rFonts w:cs="Times New Roman"/>
        </w:rPr>
      </w:pPr>
      <w:r>
        <w:rPr>
          <w:rFonts w:cs="Times New Roman"/>
        </w:rPr>
        <w:t xml:space="preserve">表3.6-1       昌吉州规划中确定的阜康市治理任务 </w:t>
      </w:r>
    </w:p>
    <w:tbl>
      <w:tblPr>
        <w:tblStyle w:val="48"/>
        <w:tblW w:w="5000" w:type="pct"/>
        <w:tblInd w:w="0" w:type="dxa"/>
        <w:tblLayout w:type="autofit"/>
        <w:tblCellMar>
          <w:top w:w="0" w:type="dxa"/>
          <w:left w:w="108" w:type="dxa"/>
          <w:bottom w:w="0" w:type="dxa"/>
          <w:right w:w="108" w:type="dxa"/>
        </w:tblCellMar>
      </w:tblPr>
      <w:tblGrid>
        <w:gridCol w:w="1360"/>
        <w:gridCol w:w="2308"/>
        <w:gridCol w:w="2538"/>
        <w:gridCol w:w="2323"/>
      </w:tblGrid>
      <w:tr w14:paraId="314D319F">
        <w:tblPrEx>
          <w:tblCellMar>
            <w:top w:w="0" w:type="dxa"/>
            <w:left w:w="108" w:type="dxa"/>
            <w:bottom w:w="0" w:type="dxa"/>
            <w:right w:w="108" w:type="dxa"/>
          </w:tblCellMar>
        </w:tblPrEx>
        <w:trPr>
          <w:trHeight w:val="399" w:hRule="atLeast"/>
        </w:trPr>
        <w:tc>
          <w:tcPr>
            <w:tcW w:w="813"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C9D36CA">
            <w:pPr>
              <w:adjustRightInd w:val="0"/>
              <w:snapToGrid w:val="0"/>
              <w:spacing w:line="240" w:lineRule="auto"/>
              <w:ind w:firstLine="0" w:firstLineChars="0"/>
              <w:jc w:val="center"/>
              <w:rPr>
                <w:rFonts w:cs="Times New Roman"/>
                <w:sz w:val="20"/>
                <w:szCs w:val="20"/>
              </w:rPr>
            </w:pPr>
            <w:r>
              <w:rPr>
                <w:rFonts w:cs="Times New Roman"/>
                <w:sz w:val="20"/>
                <w:szCs w:val="20"/>
              </w:rPr>
              <w:t>规划区</w:t>
            </w:r>
          </w:p>
        </w:tc>
        <w:tc>
          <w:tcPr>
            <w:tcW w:w="1369"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64BD6E8">
            <w:pPr>
              <w:adjustRightInd w:val="0"/>
              <w:snapToGrid w:val="0"/>
              <w:spacing w:line="240" w:lineRule="auto"/>
              <w:ind w:firstLine="0" w:firstLineChars="0"/>
              <w:jc w:val="center"/>
              <w:rPr>
                <w:rFonts w:cs="Times New Roman"/>
                <w:sz w:val="20"/>
                <w:szCs w:val="20"/>
              </w:rPr>
            </w:pPr>
            <w:r>
              <w:rPr>
                <w:rFonts w:cs="Times New Roman"/>
                <w:sz w:val="20"/>
                <w:szCs w:val="20"/>
              </w:rPr>
              <w:t>规划时段</w:t>
            </w:r>
          </w:p>
        </w:tc>
        <w:tc>
          <w:tcPr>
            <w:tcW w:w="2818" w:type="pct"/>
            <w:gridSpan w:val="2"/>
            <w:tcBorders>
              <w:top w:val="single" w:color="auto" w:sz="4" w:space="0"/>
              <w:left w:val="nil"/>
              <w:bottom w:val="single" w:color="auto" w:sz="4" w:space="0"/>
              <w:right w:val="single" w:color="auto" w:sz="4" w:space="0"/>
            </w:tcBorders>
            <w:shd w:val="clear" w:color="auto" w:fill="auto"/>
            <w:noWrap/>
            <w:vAlign w:val="center"/>
          </w:tcPr>
          <w:p w14:paraId="76804111">
            <w:pPr>
              <w:adjustRightInd w:val="0"/>
              <w:snapToGrid w:val="0"/>
              <w:spacing w:line="240" w:lineRule="auto"/>
              <w:ind w:firstLine="0" w:firstLineChars="0"/>
              <w:jc w:val="center"/>
              <w:rPr>
                <w:rFonts w:cs="Times New Roman"/>
                <w:sz w:val="20"/>
                <w:szCs w:val="20"/>
              </w:rPr>
            </w:pPr>
            <w:r>
              <w:rPr>
                <w:rFonts w:cs="Times New Roman"/>
                <w:sz w:val="20"/>
                <w:szCs w:val="20"/>
              </w:rPr>
              <w:t>规划目标</w:t>
            </w:r>
          </w:p>
        </w:tc>
      </w:tr>
      <w:tr w14:paraId="0FAE16E3">
        <w:tblPrEx>
          <w:tblCellMar>
            <w:top w:w="0" w:type="dxa"/>
            <w:left w:w="108" w:type="dxa"/>
            <w:bottom w:w="0" w:type="dxa"/>
            <w:right w:w="108" w:type="dxa"/>
          </w:tblCellMar>
        </w:tblPrEx>
        <w:trPr>
          <w:trHeight w:val="399" w:hRule="atLeast"/>
        </w:trPr>
        <w:tc>
          <w:tcPr>
            <w:tcW w:w="813" w:type="pct"/>
            <w:vMerge w:val="continue"/>
            <w:tcBorders>
              <w:top w:val="single" w:color="auto" w:sz="4" w:space="0"/>
              <w:left w:val="single" w:color="auto" w:sz="4" w:space="0"/>
              <w:bottom w:val="single" w:color="auto" w:sz="4" w:space="0"/>
              <w:right w:val="single" w:color="auto" w:sz="4" w:space="0"/>
            </w:tcBorders>
            <w:vAlign w:val="center"/>
          </w:tcPr>
          <w:p w14:paraId="797571C2">
            <w:pPr>
              <w:adjustRightInd w:val="0"/>
              <w:snapToGrid w:val="0"/>
              <w:spacing w:line="240" w:lineRule="auto"/>
              <w:ind w:firstLine="0" w:firstLineChars="0"/>
              <w:rPr>
                <w:rFonts w:cs="Times New Roman"/>
                <w:sz w:val="20"/>
                <w:szCs w:val="20"/>
              </w:rPr>
            </w:pPr>
          </w:p>
        </w:tc>
        <w:tc>
          <w:tcPr>
            <w:tcW w:w="1369" w:type="pct"/>
            <w:vMerge w:val="continue"/>
            <w:tcBorders>
              <w:top w:val="single" w:color="auto" w:sz="4" w:space="0"/>
              <w:left w:val="single" w:color="auto" w:sz="4" w:space="0"/>
              <w:bottom w:val="single" w:color="auto" w:sz="4" w:space="0"/>
              <w:right w:val="single" w:color="auto" w:sz="4" w:space="0"/>
            </w:tcBorders>
            <w:vAlign w:val="center"/>
          </w:tcPr>
          <w:p w14:paraId="299A06E1">
            <w:pPr>
              <w:adjustRightInd w:val="0"/>
              <w:snapToGrid w:val="0"/>
              <w:spacing w:line="240" w:lineRule="auto"/>
              <w:ind w:firstLine="0" w:firstLineChars="0"/>
              <w:rPr>
                <w:rFonts w:cs="Times New Roman"/>
                <w:sz w:val="20"/>
                <w:szCs w:val="20"/>
              </w:rPr>
            </w:pPr>
          </w:p>
        </w:tc>
        <w:tc>
          <w:tcPr>
            <w:tcW w:w="1449" w:type="pct"/>
            <w:tcBorders>
              <w:top w:val="nil"/>
              <w:left w:val="nil"/>
              <w:bottom w:val="single" w:color="auto" w:sz="4" w:space="0"/>
              <w:right w:val="single" w:color="auto" w:sz="4" w:space="0"/>
            </w:tcBorders>
            <w:shd w:val="clear" w:color="auto" w:fill="auto"/>
            <w:noWrap/>
            <w:vAlign w:val="center"/>
          </w:tcPr>
          <w:p w14:paraId="1506B2B1">
            <w:pPr>
              <w:adjustRightInd w:val="0"/>
              <w:snapToGrid w:val="0"/>
              <w:spacing w:line="240" w:lineRule="auto"/>
              <w:ind w:firstLine="0" w:firstLineChars="0"/>
              <w:jc w:val="center"/>
              <w:rPr>
                <w:rFonts w:cs="Times New Roman"/>
                <w:sz w:val="20"/>
                <w:szCs w:val="20"/>
              </w:rPr>
            </w:pPr>
            <w:r>
              <w:rPr>
                <w:rFonts w:cs="Times New Roman"/>
                <w:sz w:val="20"/>
                <w:szCs w:val="20"/>
              </w:rPr>
              <w:t>水土流失治理面积（km</w:t>
            </w:r>
            <w:r>
              <w:rPr>
                <w:rFonts w:cs="Times New Roman"/>
                <w:sz w:val="20"/>
                <w:szCs w:val="20"/>
                <w:vertAlign w:val="superscript"/>
              </w:rPr>
              <w:t>2</w:t>
            </w:r>
            <w:r>
              <w:rPr>
                <w:rFonts w:cs="Times New Roman"/>
                <w:sz w:val="20"/>
                <w:szCs w:val="20"/>
              </w:rPr>
              <w:t>）</w:t>
            </w:r>
          </w:p>
        </w:tc>
        <w:tc>
          <w:tcPr>
            <w:tcW w:w="1369" w:type="pct"/>
            <w:tcBorders>
              <w:top w:val="nil"/>
              <w:left w:val="nil"/>
              <w:bottom w:val="single" w:color="auto" w:sz="4" w:space="0"/>
              <w:right w:val="single" w:color="auto" w:sz="4" w:space="0"/>
            </w:tcBorders>
            <w:shd w:val="clear" w:color="auto" w:fill="auto"/>
            <w:noWrap/>
            <w:vAlign w:val="center"/>
          </w:tcPr>
          <w:p w14:paraId="3D01F8AF">
            <w:pPr>
              <w:adjustRightInd w:val="0"/>
              <w:snapToGrid w:val="0"/>
              <w:spacing w:line="240" w:lineRule="auto"/>
              <w:ind w:firstLine="0" w:firstLineChars="0"/>
              <w:jc w:val="center"/>
              <w:rPr>
                <w:rFonts w:cs="Times New Roman"/>
                <w:sz w:val="20"/>
                <w:szCs w:val="20"/>
              </w:rPr>
            </w:pPr>
            <w:r>
              <w:rPr>
                <w:rFonts w:cs="Times New Roman"/>
                <w:sz w:val="20"/>
                <w:szCs w:val="20"/>
              </w:rPr>
              <w:t>减少土壤流失量（万t）</w:t>
            </w:r>
          </w:p>
        </w:tc>
      </w:tr>
      <w:tr w14:paraId="381461D9">
        <w:tblPrEx>
          <w:tblCellMar>
            <w:top w:w="0" w:type="dxa"/>
            <w:left w:w="108" w:type="dxa"/>
            <w:bottom w:w="0" w:type="dxa"/>
            <w:right w:w="108" w:type="dxa"/>
          </w:tblCellMar>
        </w:tblPrEx>
        <w:trPr>
          <w:trHeight w:val="474" w:hRule="atLeast"/>
        </w:trPr>
        <w:tc>
          <w:tcPr>
            <w:tcW w:w="813" w:type="pct"/>
            <w:vMerge w:val="restart"/>
            <w:tcBorders>
              <w:top w:val="nil"/>
              <w:left w:val="single" w:color="auto" w:sz="4" w:space="0"/>
              <w:bottom w:val="single" w:color="000000" w:sz="4" w:space="0"/>
              <w:right w:val="single" w:color="auto" w:sz="4" w:space="0"/>
            </w:tcBorders>
            <w:shd w:val="clear" w:color="auto" w:fill="auto"/>
            <w:noWrap/>
            <w:vAlign w:val="center"/>
          </w:tcPr>
          <w:p w14:paraId="24B0B69E">
            <w:pPr>
              <w:adjustRightInd w:val="0"/>
              <w:snapToGrid w:val="0"/>
              <w:spacing w:line="240" w:lineRule="auto"/>
              <w:ind w:firstLine="0" w:firstLineChars="0"/>
              <w:jc w:val="center"/>
              <w:rPr>
                <w:rFonts w:cs="Times New Roman"/>
                <w:sz w:val="20"/>
                <w:szCs w:val="20"/>
              </w:rPr>
            </w:pPr>
            <w:r>
              <w:rPr>
                <w:rFonts w:cs="Times New Roman"/>
                <w:sz w:val="20"/>
                <w:szCs w:val="20"/>
              </w:rPr>
              <w:t>阜康市</w:t>
            </w:r>
          </w:p>
        </w:tc>
        <w:tc>
          <w:tcPr>
            <w:tcW w:w="1369" w:type="pct"/>
            <w:tcBorders>
              <w:top w:val="nil"/>
              <w:left w:val="nil"/>
              <w:bottom w:val="single" w:color="auto" w:sz="4" w:space="0"/>
              <w:right w:val="single" w:color="auto" w:sz="4" w:space="0"/>
            </w:tcBorders>
            <w:shd w:val="clear" w:color="auto" w:fill="auto"/>
            <w:noWrap/>
            <w:vAlign w:val="center"/>
          </w:tcPr>
          <w:p w14:paraId="2A5A8F0F">
            <w:pPr>
              <w:adjustRightInd w:val="0"/>
              <w:snapToGrid w:val="0"/>
              <w:spacing w:line="240" w:lineRule="auto"/>
              <w:ind w:firstLine="0" w:firstLineChars="0"/>
              <w:jc w:val="center"/>
              <w:rPr>
                <w:rFonts w:cs="Times New Roman"/>
                <w:sz w:val="20"/>
                <w:szCs w:val="20"/>
              </w:rPr>
            </w:pPr>
            <w:r>
              <w:rPr>
                <w:rFonts w:cs="Times New Roman"/>
                <w:sz w:val="20"/>
                <w:szCs w:val="20"/>
              </w:rPr>
              <w:t>近期2021～2025年</w:t>
            </w:r>
          </w:p>
        </w:tc>
        <w:tc>
          <w:tcPr>
            <w:tcW w:w="1449" w:type="pct"/>
            <w:tcBorders>
              <w:top w:val="nil"/>
              <w:left w:val="nil"/>
              <w:bottom w:val="single" w:color="auto" w:sz="4" w:space="0"/>
              <w:right w:val="single" w:color="auto" w:sz="4" w:space="0"/>
            </w:tcBorders>
            <w:shd w:val="clear" w:color="auto" w:fill="auto"/>
            <w:noWrap/>
            <w:vAlign w:val="center"/>
          </w:tcPr>
          <w:p w14:paraId="6F2F0D1C">
            <w:pPr>
              <w:adjustRightInd w:val="0"/>
              <w:snapToGrid w:val="0"/>
              <w:spacing w:line="240" w:lineRule="auto"/>
              <w:ind w:firstLine="0" w:firstLineChars="0"/>
              <w:jc w:val="center"/>
              <w:rPr>
                <w:rFonts w:cs="Times New Roman"/>
                <w:sz w:val="20"/>
                <w:szCs w:val="20"/>
              </w:rPr>
            </w:pPr>
            <w:r>
              <w:rPr>
                <w:rFonts w:cs="Times New Roman"/>
                <w:sz w:val="20"/>
                <w:szCs w:val="20"/>
              </w:rPr>
              <w:t>58</w:t>
            </w:r>
          </w:p>
        </w:tc>
        <w:tc>
          <w:tcPr>
            <w:tcW w:w="1369" w:type="pct"/>
            <w:tcBorders>
              <w:top w:val="nil"/>
              <w:left w:val="nil"/>
              <w:bottom w:val="single" w:color="auto" w:sz="4" w:space="0"/>
              <w:right w:val="single" w:color="auto" w:sz="4" w:space="0"/>
            </w:tcBorders>
            <w:shd w:val="clear" w:color="auto" w:fill="auto"/>
            <w:noWrap/>
            <w:vAlign w:val="center"/>
          </w:tcPr>
          <w:p w14:paraId="7B16E321">
            <w:pPr>
              <w:adjustRightInd w:val="0"/>
              <w:snapToGrid w:val="0"/>
              <w:spacing w:line="240" w:lineRule="auto"/>
              <w:ind w:firstLine="0" w:firstLineChars="0"/>
              <w:jc w:val="center"/>
              <w:rPr>
                <w:rFonts w:cs="Times New Roman"/>
                <w:sz w:val="20"/>
                <w:szCs w:val="20"/>
              </w:rPr>
            </w:pPr>
            <w:r>
              <w:rPr>
                <w:rFonts w:cs="Times New Roman"/>
                <w:sz w:val="20"/>
                <w:szCs w:val="20"/>
              </w:rPr>
              <w:t>34</w:t>
            </w:r>
          </w:p>
        </w:tc>
      </w:tr>
      <w:tr w14:paraId="0703CA0F">
        <w:tblPrEx>
          <w:tblCellMar>
            <w:top w:w="0" w:type="dxa"/>
            <w:left w:w="108" w:type="dxa"/>
            <w:bottom w:w="0" w:type="dxa"/>
            <w:right w:w="108" w:type="dxa"/>
          </w:tblCellMar>
        </w:tblPrEx>
        <w:trPr>
          <w:trHeight w:val="399" w:hRule="atLeast"/>
        </w:trPr>
        <w:tc>
          <w:tcPr>
            <w:tcW w:w="813" w:type="pct"/>
            <w:vMerge w:val="continue"/>
            <w:tcBorders>
              <w:top w:val="nil"/>
              <w:left w:val="single" w:color="auto" w:sz="4" w:space="0"/>
              <w:bottom w:val="single" w:color="000000" w:sz="4" w:space="0"/>
              <w:right w:val="single" w:color="auto" w:sz="4" w:space="0"/>
            </w:tcBorders>
            <w:vAlign w:val="center"/>
          </w:tcPr>
          <w:p w14:paraId="00FA9B3A">
            <w:pPr>
              <w:adjustRightInd w:val="0"/>
              <w:snapToGrid w:val="0"/>
              <w:spacing w:line="240" w:lineRule="auto"/>
              <w:ind w:firstLine="0" w:firstLineChars="0"/>
              <w:rPr>
                <w:rFonts w:cs="Times New Roman"/>
                <w:sz w:val="20"/>
                <w:szCs w:val="20"/>
              </w:rPr>
            </w:pPr>
          </w:p>
        </w:tc>
        <w:tc>
          <w:tcPr>
            <w:tcW w:w="1369" w:type="pct"/>
            <w:tcBorders>
              <w:top w:val="nil"/>
              <w:left w:val="nil"/>
              <w:bottom w:val="single" w:color="auto" w:sz="4" w:space="0"/>
              <w:right w:val="single" w:color="auto" w:sz="4" w:space="0"/>
            </w:tcBorders>
            <w:shd w:val="clear" w:color="auto" w:fill="auto"/>
            <w:noWrap/>
            <w:vAlign w:val="center"/>
          </w:tcPr>
          <w:p w14:paraId="2921A7EF">
            <w:pPr>
              <w:adjustRightInd w:val="0"/>
              <w:snapToGrid w:val="0"/>
              <w:spacing w:line="240" w:lineRule="auto"/>
              <w:ind w:firstLine="0" w:firstLineChars="0"/>
              <w:jc w:val="center"/>
              <w:rPr>
                <w:rFonts w:cs="Times New Roman"/>
                <w:sz w:val="20"/>
                <w:szCs w:val="20"/>
              </w:rPr>
            </w:pPr>
            <w:r>
              <w:rPr>
                <w:rFonts w:cs="Times New Roman"/>
                <w:sz w:val="20"/>
                <w:szCs w:val="20"/>
              </w:rPr>
              <w:t>远期2026～2030年</w:t>
            </w:r>
          </w:p>
        </w:tc>
        <w:tc>
          <w:tcPr>
            <w:tcW w:w="1449" w:type="pct"/>
            <w:tcBorders>
              <w:top w:val="nil"/>
              <w:left w:val="nil"/>
              <w:bottom w:val="single" w:color="auto" w:sz="4" w:space="0"/>
              <w:right w:val="single" w:color="auto" w:sz="4" w:space="0"/>
            </w:tcBorders>
            <w:shd w:val="clear" w:color="auto" w:fill="auto"/>
            <w:noWrap/>
            <w:vAlign w:val="center"/>
          </w:tcPr>
          <w:p w14:paraId="0B344795">
            <w:pPr>
              <w:adjustRightInd w:val="0"/>
              <w:snapToGrid w:val="0"/>
              <w:spacing w:line="240" w:lineRule="auto"/>
              <w:ind w:firstLine="0" w:firstLineChars="0"/>
              <w:jc w:val="center"/>
              <w:rPr>
                <w:rFonts w:cs="Times New Roman"/>
                <w:sz w:val="20"/>
                <w:szCs w:val="20"/>
              </w:rPr>
            </w:pPr>
            <w:r>
              <w:rPr>
                <w:rFonts w:cs="Times New Roman"/>
                <w:sz w:val="20"/>
                <w:szCs w:val="20"/>
              </w:rPr>
              <w:t>79</w:t>
            </w:r>
          </w:p>
        </w:tc>
        <w:tc>
          <w:tcPr>
            <w:tcW w:w="1369" w:type="pct"/>
            <w:tcBorders>
              <w:top w:val="nil"/>
              <w:left w:val="nil"/>
              <w:bottom w:val="single" w:color="auto" w:sz="4" w:space="0"/>
              <w:right w:val="single" w:color="auto" w:sz="4" w:space="0"/>
            </w:tcBorders>
            <w:shd w:val="clear" w:color="auto" w:fill="auto"/>
            <w:noWrap/>
            <w:vAlign w:val="center"/>
          </w:tcPr>
          <w:p w14:paraId="6FAAD03E">
            <w:pPr>
              <w:adjustRightInd w:val="0"/>
              <w:snapToGrid w:val="0"/>
              <w:spacing w:line="240" w:lineRule="auto"/>
              <w:ind w:firstLine="0" w:firstLineChars="0"/>
              <w:jc w:val="center"/>
              <w:rPr>
                <w:rFonts w:cs="Times New Roman"/>
                <w:sz w:val="20"/>
                <w:szCs w:val="20"/>
              </w:rPr>
            </w:pPr>
            <w:r>
              <w:rPr>
                <w:rFonts w:cs="Times New Roman"/>
                <w:sz w:val="20"/>
                <w:szCs w:val="20"/>
              </w:rPr>
              <w:t>57</w:t>
            </w:r>
          </w:p>
        </w:tc>
      </w:tr>
      <w:tr w14:paraId="320A2793">
        <w:tblPrEx>
          <w:tblCellMar>
            <w:top w:w="0" w:type="dxa"/>
            <w:left w:w="108" w:type="dxa"/>
            <w:bottom w:w="0" w:type="dxa"/>
            <w:right w:w="108" w:type="dxa"/>
          </w:tblCellMar>
        </w:tblPrEx>
        <w:trPr>
          <w:trHeight w:val="399" w:hRule="atLeast"/>
        </w:trPr>
        <w:tc>
          <w:tcPr>
            <w:tcW w:w="813" w:type="pct"/>
            <w:vMerge w:val="continue"/>
            <w:tcBorders>
              <w:top w:val="nil"/>
              <w:left w:val="single" w:color="auto" w:sz="4" w:space="0"/>
              <w:bottom w:val="single" w:color="000000" w:sz="4" w:space="0"/>
              <w:right w:val="single" w:color="auto" w:sz="4" w:space="0"/>
            </w:tcBorders>
            <w:vAlign w:val="center"/>
          </w:tcPr>
          <w:p w14:paraId="376B5021">
            <w:pPr>
              <w:adjustRightInd w:val="0"/>
              <w:snapToGrid w:val="0"/>
              <w:spacing w:line="240" w:lineRule="auto"/>
              <w:ind w:firstLine="0" w:firstLineChars="0"/>
              <w:rPr>
                <w:rFonts w:cs="Times New Roman"/>
                <w:sz w:val="20"/>
                <w:szCs w:val="20"/>
              </w:rPr>
            </w:pPr>
          </w:p>
        </w:tc>
        <w:tc>
          <w:tcPr>
            <w:tcW w:w="1369" w:type="pct"/>
            <w:tcBorders>
              <w:top w:val="nil"/>
              <w:left w:val="nil"/>
              <w:bottom w:val="single" w:color="auto" w:sz="4" w:space="0"/>
              <w:right w:val="single" w:color="auto" w:sz="4" w:space="0"/>
            </w:tcBorders>
            <w:shd w:val="clear" w:color="auto" w:fill="auto"/>
            <w:noWrap/>
            <w:vAlign w:val="center"/>
          </w:tcPr>
          <w:p w14:paraId="2AEDE20C">
            <w:pPr>
              <w:adjustRightInd w:val="0"/>
              <w:snapToGrid w:val="0"/>
              <w:spacing w:line="240" w:lineRule="auto"/>
              <w:ind w:firstLine="0" w:firstLineChars="0"/>
              <w:jc w:val="center"/>
              <w:rPr>
                <w:rFonts w:cs="Times New Roman"/>
                <w:sz w:val="20"/>
                <w:szCs w:val="20"/>
              </w:rPr>
            </w:pPr>
            <w:r>
              <w:rPr>
                <w:rFonts w:cs="Times New Roman"/>
                <w:sz w:val="20"/>
                <w:szCs w:val="20"/>
              </w:rPr>
              <w:t>合计</w:t>
            </w:r>
          </w:p>
        </w:tc>
        <w:tc>
          <w:tcPr>
            <w:tcW w:w="1449" w:type="pct"/>
            <w:tcBorders>
              <w:top w:val="nil"/>
              <w:left w:val="nil"/>
              <w:bottom w:val="single" w:color="auto" w:sz="4" w:space="0"/>
              <w:right w:val="single" w:color="auto" w:sz="4" w:space="0"/>
            </w:tcBorders>
            <w:shd w:val="clear" w:color="auto" w:fill="auto"/>
            <w:noWrap/>
            <w:vAlign w:val="center"/>
          </w:tcPr>
          <w:p w14:paraId="0305BAF5">
            <w:pPr>
              <w:adjustRightInd w:val="0"/>
              <w:snapToGrid w:val="0"/>
              <w:spacing w:line="240" w:lineRule="auto"/>
              <w:ind w:firstLine="0" w:firstLineChars="0"/>
              <w:jc w:val="center"/>
              <w:rPr>
                <w:rFonts w:cs="Times New Roman"/>
                <w:sz w:val="20"/>
                <w:szCs w:val="20"/>
              </w:rPr>
            </w:pPr>
            <w:r>
              <w:rPr>
                <w:rFonts w:cs="Times New Roman"/>
                <w:sz w:val="20"/>
                <w:szCs w:val="20"/>
              </w:rPr>
              <w:t>137</w:t>
            </w:r>
          </w:p>
        </w:tc>
        <w:tc>
          <w:tcPr>
            <w:tcW w:w="1369" w:type="pct"/>
            <w:tcBorders>
              <w:top w:val="nil"/>
              <w:left w:val="nil"/>
              <w:bottom w:val="single" w:color="auto" w:sz="4" w:space="0"/>
              <w:right w:val="single" w:color="auto" w:sz="4" w:space="0"/>
            </w:tcBorders>
            <w:shd w:val="clear" w:color="auto" w:fill="auto"/>
            <w:noWrap/>
            <w:vAlign w:val="center"/>
          </w:tcPr>
          <w:p w14:paraId="0DE1FF41">
            <w:pPr>
              <w:adjustRightInd w:val="0"/>
              <w:snapToGrid w:val="0"/>
              <w:spacing w:line="240" w:lineRule="auto"/>
              <w:ind w:firstLine="0" w:firstLineChars="0"/>
              <w:jc w:val="center"/>
              <w:rPr>
                <w:rFonts w:cs="Times New Roman"/>
                <w:sz w:val="20"/>
                <w:szCs w:val="20"/>
              </w:rPr>
            </w:pPr>
            <w:r>
              <w:rPr>
                <w:rFonts w:cs="Times New Roman"/>
                <w:sz w:val="20"/>
                <w:szCs w:val="20"/>
              </w:rPr>
              <w:t>91</w:t>
            </w:r>
          </w:p>
        </w:tc>
      </w:tr>
    </w:tbl>
    <w:p w14:paraId="372BCAAA">
      <w:pPr>
        <w:adjustRightInd w:val="0"/>
        <w:snapToGrid w:val="0"/>
        <w:ind w:firstLine="480"/>
        <w:jc w:val="both"/>
        <w:rPr>
          <w:rFonts w:cs="Times New Roman"/>
        </w:rPr>
      </w:pPr>
      <w:r>
        <w:rPr>
          <w:rFonts w:cs="Times New Roman"/>
        </w:rPr>
        <w:t>（2）</w:t>
      </w:r>
      <w:bookmarkStart w:id="77" w:name="_Hlk174276885"/>
      <w:r>
        <w:rPr>
          <w:rFonts w:cs="Times New Roman"/>
        </w:rPr>
        <w:t>本次规划阜康市水土保持治理任务与规模</w:t>
      </w:r>
    </w:p>
    <w:p w14:paraId="0289AFE8">
      <w:pPr>
        <w:adjustRightInd w:val="0"/>
        <w:snapToGrid w:val="0"/>
        <w:ind w:firstLine="480"/>
        <w:jc w:val="both"/>
        <w:rPr>
          <w:rFonts w:cs="Times New Roman"/>
        </w:rPr>
      </w:pPr>
      <w:r>
        <w:rPr>
          <w:rFonts w:cs="Times New Roman"/>
        </w:rPr>
        <w:t xml:space="preserve"> 本次规划202</w:t>
      </w:r>
      <w:r>
        <w:rPr>
          <w:rFonts w:hint="eastAsia" w:cs="Times New Roman"/>
        </w:rPr>
        <w:t>4</w:t>
      </w:r>
      <w:r>
        <w:rPr>
          <w:rFonts w:cs="Times New Roman"/>
        </w:rPr>
        <w:t>年到2030年，阜康市水土流失重点治理面积</w:t>
      </w:r>
      <w:r>
        <w:rPr>
          <w:rFonts w:hint="eastAsia" w:cs="Times New Roman"/>
        </w:rPr>
        <w:t>103</w:t>
      </w:r>
      <w:r>
        <w:rPr>
          <w:rFonts w:cs="Times New Roman"/>
        </w:rPr>
        <w:t>km</w:t>
      </w:r>
      <w:r>
        <w:rPr>
          <w:rFonts w:cs="Times New Roman"/>
          <w:vertAlign w:val="superscript"/>
        </w:rPr>
        <w:t>2</w:t>
      </w:r>
      <w:r>
        <w:rPr>
          <w:rFonts w:cs="Times New Roman"/>
        </w:rPr>
        <w:t>。减少土壤流失量</w:t>
      </w:r>
      <w:r>
        <w:rPr>
          <w:rFonts w:hint="eastAsia" w:cs="Times New Roman"/>
        </w:rPr>
        <w:t>71</w:t>
      </w:r>
      <w:r>
        <w:rPr>
          <w:rFonts w:cs="Times New Roman"/>
        </w:rPr>
        <w:t>万t。</w:t>
      </w:r>
      <w:bookmarkEnd w:id="77"/>
      <w:r>
        <w:rPr>
          <w:rFonts w:cs="Times New Roman"/>
        </w:rPr>
        <w:t>阜康市预防治理规划目标值见表3.6-2。</w:t>
      </w:r>
    </w:p>
    <w:p w14:paraId="60D8DA5C">
      <w:pPr>
        <w:adjustRightInd w:val="0"/>
        <w:snapToGrid w:val="0"/>
        <w:ind w:firstLine="600" w:firstLineChars="250"/>
        <w:rPr>
          <w:rFonts w:cs="Times New Roman"/>
          <w:bCs/>
        </w:rPr>
      </w:pPr>
      <w:r>
        <w:rPr>
          <w:rFonts w:cs="Times New Roman"/>
          <w:bCs/>
        </w:rPr>
        <w:t xml:space="preserve">表3.6-2    </w:t>
      </w:r>
      <w:r>
        <w:rPr>
          <w:rFonts w:cs="Times New Roman"/>
          <w:b/>
          <w:bCs/>
        </w:rPr>
        <w:t xml:space="preserve">阜康市水土保持规划预防治理任务 </w:t>
      </w:r>
      <w:r>
        <w:rPr>
          <w:rFonts w:cs="Times New Roman"/>
          <w:bCs/>
        </w:rPr>
        <w:t xml:space="preserve"> </w:t>
      </w:r>
    </w:p>
    <w:tbl>
      <w:tblPr>
        <w:tblStyle w:val="48"/>
        <w:tblW w:w="5000" w:type="pct"/>
        <w:tblInd w:w="0" w:type="dxa"/>
        <w:tblLayout w:type="autofit"/>
        <w:tblCellMar>
          <w:top w:w="0" w:type="dxa"/>
          <w:left w:w="108" w:type="dxa"/>
          <w:bottom w:w="0" w:type="dxa"/>
          <w:right w:w="108" w:type="dxa"/>
        </w:tblCellMar>
      </w:tblPr>
      <w:tblGrid>
        <w:gridCol w:w="1360"/>
        <w:gridCol w:w="2308"/>
        <w:gridCol w:w="2538"/>
        <w:gridCol w:w="2323"/>
      </w:tblGrid>
      <w:tr w14:paraId="1BA6618D">
        <w:tblPrEx>
          <w:tblCellMar>
            <w:top w:w="0" w:type="dxa"/>
            <w:left w:w="108" w:type="dxa"/>
            <w:bottom w:w="0" w:type="dxa"/>
            <w:right w:w="108" w:type="dxa"/>
          </w:tblCellMar>
        </w:tblPrEx>
        <w:trPr>
          <w:trHeight w:val="215" w:hRule="atLeast"/>
        </w:trPr>
        <w:tc>
          <w:tcPr>
            <w:tcW w:w="813"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F0E4DEA">
            <w:pPr>
              <w:adjustRightInd w:val="0"/>
              <w:snapToGrid w:val="0"/>
              <w:spacing w:line="240" w:lineRule="auto"/>
              <w:ind w:firstLine="0" w:firstLineChars="0"/>
              <w:jc w:val="center"/>
              <w:rPr>
                <w:rFonts w:cs="Times New Roman"/>
                <w:sz w:val="20"/>
                <w:szCs w:val="20"/>
              </w:rPr>
            </w:pPr>
            <w:r>
              <w:rPr>
                <w:rFonts w:cs="Times New Roman"/>
                <w:sz w:val="20"/>
                <w:szCs w:val="20"/>
              </w:rPr>
              <w:t>规划区</w:t>
            </w:r>
          </w:p>
        </w:tc>
        <w:tc>
          <w:tcPr>
            <w:tcW w:w="1369"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2CFC162">
            <w:pPr>
              <w:adjustRightInd w:val="0"/>
              <w:snapToGrid w:val="0"/>
              <w:spacing w:line="240" w:lineRule="auto"/>
              <w:ind w:firstLine="0" w:firstLineChars="0"/>
              <w:jc w:val="center"/>
              <w:rPr>
                <w:rFonts w:cs="Times New Roman"/>
                <w:sz w:val="20"/>
                <w:szCs w:val="20"/>
              </w:rPr>
            </w:pPr>
            <w:r>
              <w:rPr>
                <w:rFonts w:cs="Times New Roman"/>
                <w:sz w:val="20"/>
                <w:szCs w:val="20"/>
              </w:rPr>
              <w:t>规划时段</w:t>
            </w:r>
          </w:p>
        </w:tc>
        <w:tc>
          <w:tcPr>
            <w:tcW w:w="2818" w:type="pct"/>
            <w:gridSpan w:val="2"/>
            <w:tcBorders>
              <w:top w:val="single" w:color="auto" w:sz="4" w:space="0"/>
              <w:left w:val="nil"/>
              <w:bottom w:val="single" w:color="auto" w:sz="4" w:space="0"/>
              <w:right w:val="single" w:color="auto" w:sz="4" w:space="0"/>
            </w:tcBorders>
            <w:shd w:val="clear" w:color="auto" w:fill="auto"/>
            <w:noWrap/>
            <w:vAlign w:val="center"/>
          </w:tcPr>
          <w:p w14:paraId="773A88FE">
            <w:pPr>
              <w:adjustRightInd w:val="0"/>
              <w:snapToGrid w:val="0"/>
              <w:spacing w:line="240" w:lineRule="auto"/>
              <w:ind w:firstLine="0" w:firstLineChars="0"/>
              <w:jc w:val="center"/>
              <w:rPr>
                <w:rFonts w:cs="Times New Roman"/>
                <w:sz w:val="20"/>
                <w:szCs w:val="20"/>
              </w:rPr>
            </w:pPr>
            <w:r>
              <w:rPr>
                <w:rFonts w:cs="Times New Roman"/>
                <w:sz w:val="20"/>
                <w:szCs w:val="20"/>
              </w:rPr>
              <w:t>规划目标</w:t>
            </w:r>
          </w:p>
        </w:tc>
      </w:tr>
      <w:tr w14:paraId="7C8842BA">
        <w:tblPrEx>
          <w:tblCellMar>
            <w:top w:w="0" w:type="dxa"/>
            <w:left w:w="108" w:type="dxa"/>
            <w:bottom w:w="0" w:type="dxa"/>
            <w:right w:w="108" w:type="dxa"/>
          </w:tblCellMar>
        </w:tblPrEx>
        <w:trPr>
          <w:trHeight w:val="399" w:hRule="atLeast"/>
        </w:trPr>
        <w:tc>
          <w:tcPr>
            <w:tcW w:w="813" w:type="pct"/>
            <w:vMerge w:val="continue"/>
            <w:tcBorders>
              <w:top w:val="single" w:color="auto" w:sz="4" w:space="0"/>
              <w:left w:val="single" w:color="auto" w:sz="4" w:space="0"/>
              <w:bottom w:val="single" w:color="auto" w:sz="4" w:space="0"/>
              <w:right w:val="single" w:color="auto" w:sz="4" w:space="0"/>
            </w:tcBorders>
            <w:vAlign w:val="center"/>
          </w:tcPr>
          <w:p w14:paraId="58F93091">
            <w:pPr>
              <w:adjustRightInd w:val="0"/>
              <w:snapToGrid w:val="0"/>
              <w:spacing w:line="240" w:lineRule="auto"/>
              <w:ind w:firstLine="0" w:firstLineChars="0"/>
              <w:rPr>
                <w:rFonts w:cs="Times New Roman"/>
                <w:sz w:val="20"/>
                <w:szCs w:val="20"/>
              </w:rPr>
            </w:pPr>
          </w:p>
        </w:tc>
        <w:tc>
          <w:tcPr>
            <w:tcW w:w="1369" w:type="pct"/>
            <w:vMerge w:val="continue"/>
            <w:tcBorders>
              <w:top w:val="single" w:color="auto" w:sz="4" w:space="0"/>
              <w:left w:val="single" w:color="auto" w:sz="4" w:space="0"/>
              <w:bottom w:val="single" w:color="auto" w:sz="4" w:space="0"/>
              <w:right w:val="single" w:color="auto" w:sz="4" w:space="0"/>
            </w:tcBorders>
            <w:vAlign w:val="center"/>
          </w:tcPr>
          <w:p w14:paraId="6AC91C6A">
            <w:pPr>
              <w:adjustRightInd w:val="0"/>
              <w:snapToGrid w:val="0"/>
              <w:spacing w:line="240" w:lineRule="auto"/>
              <w:ind w:firstLine="0" w:firstLineChars="0"/>
              <w:rPr>
                <w:rFonts w:cs="Times New Roman"/>
                <w:sz w:val="20"/>
                <w:szCs w:val="20"/>
              </w:rPr>
            </w:pPr>
          </w:p>
        </w:tc>
        <w:tc>
          <w:tcPr>
            <w:tcW w:w="1449" w:type="pct"/>
            <w:tcBorders>
              <w:top w:val="nil"/>
              <w:left w:val="nil"/>
              <w:bottom w:val="single" w:color="auto" w:sz="4" w:space="0"/>
              <w:right w:val="single" w:color="auto" w:sz="4" w:space="0"/>
            </w:tcBorders>
            <w:shd w:val="clear" w:color="auto" w:fill="auto"/>
            <w:noWrap/>
            <w:vAlign w:val="center"/>
          </w:tcPr>
          <w:p w14:paraId="4054045F">
            <w:pPr>
              <w:adjustRightInd w:val="0"/>
              <w:snapToGrid w:val="0"/>
              <w:spacing w:line="240" w:lineRule="auto"/>
              <w:ind w:firstLine="0" w:firstLineChars="0"/>
              <w:jc w:val="center"/>
              <w:rPr>
                <w:rFonts w:cs="Times New Roman"/>
                <w:sz w:val="20"/>
                <w:szCs w:val="20"/>
              </w:rPr>
            </w:pPr>
            <w:r>
              <w:rPr>
                <w:rFonts w:cs="Times New Roman"/>
                <w:sz w:val="20"/>
                <w:szCs w:val="20"/>
              </w:rPr>
              <w:t>水土流失治理面积（km</w:t>
            </w:r>
            <w:r>
              <w:rPr>
                <w:rFonts w:cs="Times New Roman"/>
                <w:sz w:val="20"/>
                <w:szCs w:val="20"/>
                <w:vertAlign w:val="superscript"/>
              </w:rPr>
              <w:t>2</w:t>
            </w:r>
            <w:r>
              <w:rPr>
                <w:rFonts w:cs="Times New Roman"/>
                <w:sz w:val="20"/>
                <w:szCs w:val="20"/>
              </w:rPr>
              <w:t>）</w:t>
            </w:r>
          </w:p>
        </w:tc>
        <w:tc>
          <w:tcPr>
            <w:tcW w:w="1369" w:type="pct"/>
            <w:tcBorders>
              <w:top w:val="nil"/>
              <w:left w:val="nil"/>
              <w:bottom w:val="single" w:color="auto" w:sz="4" w:space="0"/>
              <w:right w:val="single" w:color="auto" w:sz="4" w:space="0"/>
            </w:tcBorders>
            <w:shd w:val="clear" w:color="auto" w:fill="auto"/>
            <w:noWrap/>
            <w:vAlign w:val="center"/>
          </w:tcPr>
          <w:p w14:paraId="72387FB5">
            <w:pPr>
              <w:adjustRightInd w:val="0"/>
              <w:snapToGrid w:val="0"/>
              <w:spacing w:line="240" w:lineRule="auto"/>
              <w:ind w:firstLine="0" w:firstLineChars="0"/>
              <w:jc w:val="center"/>
              <w:rPr>
                <w:rFonts w:cs="Times New Roman"/>
                <w:sz w:val="20"/>
                <w:szCs w:val="20"/>
              </w:rPr>
            </w:pPr>
            <w:r>
              <w:rPr>
                <w:rFonts w:cs="Times New Roman"/>
                <w:sz w:val="20"/>
                <w:szCs w:val="20"/>
              </w:rPr>
              <w:t>减少土壤流失量（万t）</w:t>
            </w:r>
          </w:p>
        </w:tc>
      </w:tr>
      <w:tr w14:paraId="1A4D654F">
        <w:tblPrEx>
          <w:tblCellMar>
            <w:top w:w="0" w:type="dxa"/>
            <w:left w:w="108" w:type="dxa"/>
            <w:bottom w:w="0" w:type="dxa"/>
            <w:right w:w="108" w:type="dxa"/>
          </w:tblCellMar>
        </w:tblPrEx>
        <w:trPr>
          <w:trHeight w:val="395" w:hRule="atLeast"/>
        </w:trPr>
        <w:tc>
          <w:tcPr>
            <w:tcW w:w="813" w:type="pct"/>
            <w:vMerge w:val="restart"/>
            <w:tcBorders>
              <w:top w:val="nil"/>
              <w:left w:val="single" w:color="auto" w:sz="4" w:space="0"/>
              <w:bottom w:val="single" w:color="000000" w:sz="4" w:space="0"/>
              <w:right w:val="single" w:color="auto" w:sz="4" w:space="0"/>
            </w:tcBorders>
            <w:shd w:val="clear" w:color="auto" w:fill="auto"/>
            <w:noWrap/>
            <w:vAlign w:val="center"/>
          </w:tcPr>
          <w:p w14:paraId="1274E311">
            <w:pPr>
              <w:adjustRightInd w:val="0"/>
              <w:snapToGrid w:val="0"/>
              <w:spacing w:line="240" w:lineRule="auto"/>
              <w:ind w:firstLine="0" w:firstLineChars="0"/>
              <w:jc w:val="center"/>
              <w:rPr>
                <w:rFonts w:cs="Times New Roman"/>
                <w:sz w:val="20"/>
                <w:szCs w:val="20"/>
              </w:rPr>
            </w:pPr>
            <w:r>
              <w:rPr>
                <w:rFonts w:cs="Times New Roman"/>
                <w:sz w:val="20"/>
                <w:szCs w:val="20"/>
              </w:rPr>
              <w:t>阜康市</w:t>
            </w:r>
          </w:p>
        </w:tc>
        <w:tc>
          <w:tcPr>
            <w:tcW w:w="1369" w:type="pct"/>
            <w:tcBorders>
              <w:top w:val="nil"/>
              <w:left w:val="nil"/>
              <w:bottom w:val="single" w:color="auto" w:sz="4" w:space="0"/>
              <w:right w:val="single" w:color="auto" w:sz="4" w:space="0"/>
            </w:tcBorders>
            <w:shd w:val="clear" w:color="auto" w:fill="auto"/>
            <w:noWrap/>
            <w:vAlign w:val="center"/>
          </w:tcPr>
          <w:p w14:paraId="2937C2A4">
            <w:pPr>
              <w:adjustRightInd w:val="0"/>
              <w:snapToGrid w:val="0"/>
              <w:spacing w:line="240" w:lineRule="auto"/>
              <w:ind w:firstLine="0" w:firstLineChars="0"/>
              <w:jc w:val="center"/>
              <w:rPr>
                <w:rFonts w:cs="Times New Roman"/>
                <w:sz w:val="20"/>
                <w:szCs w:val="20"/>
              </w:rPr>
            </w:pPr>
            <w:r>
              <w:rPr>
                <w:rFonts w:cs="Times New Roman"/>
                <w:sz w:val="20"/>
                <w:szCs w:val="20"/>
              </w:rPr>
              <w:t>近期202</w:t>
            </w:r>
            <w:r>
              <w:rPr>
                <w:rFonts w:hint="eastAsia" w:cs="Times New Roman"/>
                <w:sz w:val="20"/>
                <w:szCs w:val="20"/>
              </w:rPr>
              <w:t>4</w:t>
            </w:r>
            <w:r>
              <w:rPr>
                <w:rFonts w:cs="Times New Roman"/>
                <w:sz w:val="20"/>
                <w:szCs w:val="20"/>
              </w:rPr>
              <w:t>～2025年</w:t>
            </w:r>
          </w:p>
        </w:tc>
        <w:tc>
          <w:tcPr>
            <w:tcW w:w="1449" w:type="pct"/>
            <w:tcBorders>
              <w:top w:val="nil"/>
              <w:left w:val="nil"/>
              <w:bottom w:val="single" w:color="auto" w:sz="4" w:space="0"/>
              <w:right w:val="single" w:color="auto" w:sz="4" w:space="0"/>
            </w:tcBorders>
            <w:shd w:val="clear" w:color="auto" w:fill="auto"/>
            <w:noWrap/>
            <w:vAlign w:val="center"/>
          </w:tcPr>
          <w:p w14:paraId="5B32E1A5">
            <w:pPr>
              <w:adjustRightInd w:val="0"/>
              <w:snapToGrid w:val="0"/>
              <w:spacing w:line="240" w:lineRule="auto"/>
              <w:ind w:firstLine="0" w:firstLineChars="0"/>
              <w:jc w:val="center"/>
              <w:rPr>
                <w:rFonts w:cs="Times New Roman"/>
                <w:sz w:val="20"/>
                <w:szCs w:val="20"/>
              </w:rPr>
            </w:pPr>
            <w:r>
              <w:rPr>
                <w:rFonts w:hint="eastAsia" w:cs="Times New Roman"/>
                <w:sz w:val="20"/>
                <w:szCs w:val="20"/>
              </w:rPr>
              <w:t>24</w:t>
            </w:r>
          </w:p>
        </w:tc>
        <w:tc>
          <w:tcPr>
            <w:tcW w:w="1369" w:type="pct"/>
            <w:tcBorders>
              <w:top w:val="nil"/>
              <w:left w:val="nil"/>
              <w:bottom w:val="single" w:color="auto" w:sz="4" w:space="0"/>
              <w:right w:val="single" w:color="auto" w:sz="4" w:space="0"/>
            </w:tcBorders>
            <w:shd w:val="clear" w:color="auto" w:fill="auto"/>
            <w:noWrap/>
            <w:vAlign w:val="center"/>
          </w:tcPr>
          <w:p w14:paraId="4A076F80">
            <w:pPr>
              <w:adjustRightInd w:val="0"/>
              <w:snapToGrid w:val="0"/>
              <w:spacing w:line="240" w:lineRule="auto"/>
              <w:ind w:firstLine="0" w:firstLineChars="0"/>
              <w:jc w:val="center"/>
              <w:rPr>
                <w:rFonts w:cs="Times New Roman"/>
                <w:sz w:val="20"/>
                <w:szCs w:val="20"/>
              </w:rPr>
            </w:pPr>
            <w:r>
              <w:rPr>
                <w:rFonts w:hint="eastAsia" w:cs="Times New Roman"/>
                <w:sz w:val="20"/>
                <w:szCs w:val="20"/>
              </w:rPr>
              <w:t>14</w:t>
            </w:r>
          </w:p>
        </w:tc>
      </w:tr>
      <w:tr w14:paraId="4F502B1B">
        <w:tblPrEx>
          <w:tblCellMar>
            <w:top w:w="0" w:type="dxa"/>
            <w:left w:w="108" w:type="dxa"/>
            <w:bottom w:w="0" w:type="dxa"/>
            <w:right w:w="108" w:type="dxa"/>
          </w:tblCellMar>
        </w:tblPrEx>
        <w:trPr>
          <w:trHeight w:val="273" w:hRule="atLeast"/>
        </w:trPr>
        <w:tc>
          <w:tcPr>
            <w:tcW w:w="813" w:type="pct"/>
            <w:vMerge w:val="continue"/>
            <w:tcBorders>
              <w:top w:val="nil"/>
              <w:left w:val="single" w:color="auto" w:sz="4" w:space="0"/>
              <w:bottom w:val="single" w:color="000000" w:sz="4" w:space="0"/>
              <w:right w:val="single" w:color="auto" w:sz="4" w:space="0"/>
            </w:tcBorders>
            <w:vAlign w:val="center"/>
          </w:tcPr>
          <w:p w14:paraId="26343914">
            <w:pPr>
              <w:adjustRightInd w:val="0"/>
              <w:snapToGrid w:val="0"/>
              <w:spacing w:line="240" w:lineRule="auto"/>
              <w:ind w:firstLine="0" w:firstLineChars="0"/>
              <w:rPr>
                <w:rFonts w:cs="Times New Roman"/>
                <w:sz w:val="20"/>
                <w:szCs w:val="20"/>
              </w:rPr>
            </w:pPr>
          </w:p>
        </w:tc>
        <w:tc>
          <w:tcPr>
            <w:tcW w:w="1369" w:type="pct"/>
            <w:tcBorders>
              <w:top w:val="nil"/>
              <w:left w:val="nil"/>
              <w:bottom w:val="single" w:color="auto" w:sz="4" w:space="0"/>
              <w:right w:val="single" w:color="auto" w:sz="4" w:space="0"/>
            </w:tcBorders>
            <w:shd w:val="clear" w:color="auto" w:fill="auto"/>
            <w:noWrap/>
            <w:vAlign w:val="center"/>
          </w:tcPr>
          <w:p w14:paraId="3C7E82A4">
            <w:pPr>
              <w:adjustRightInd w:val="0"/>
              <w:snapToGrid w:val="0"/>
              <w:spacing w:line="240" w:lineRule="auto"/>
              <w:ind w:firstLine="0" w:firstLineChars="0"/>
              <w:jc w:val="center"/>
              <w:rPr>
                <w:rFonts w:cs="Times New Roman"/>
                <w:sz w:val="20"/>
                <w:szCs w:val="20"/>
              </w:rPr>
            </w:pPr>
            <w:r>
              <w:rPr>
                <w:rFonts w:cs="Times New Roman"/>
                <w:sz w:val="20"/>
                <w:szCs w:val="20"/>
              </w:rPr>
              <w:t>远期2026～2030年</w:t>
            </w:r>
          </w:p>
        </w:tc>
        <w:tc>
          <w:tcPr>
            <w:tcW w:w="1449" w:type="pct"/>
            <w:tcBorders>
              <w:top w:val="nil"/>
              <w:left w:val="nil"/>
              <w:bottom w:val="single" w:color="auto" w:sz="4" w:space="0"/>
              <w:right w:val="single" w:color="auto" w:sz="4" w:space="0"/>
            </w:tcBorders>
            <w:shd w:val="clear" w:color="auto" w:fill="auto"/>
            <w:noWrap/>
            <w:vAlign w:val="center"/>
          </w:tcPr>
          <w:p w14:paraId="5C66A744">
            <w:pPr>
              <w:adjustRightInd w:val="0"/>
              <w:snapToGrid w:val="0"/>
              <w:spacing w:line="240" w:lineRule="auto"/>
              <w:ind w:firstLine="0" w:firstLineChars="0"/>
              <w:jc w:val="center"/>
              <w:rPr>
                <w:rFonts w:cs="Times New Roman"/>
                <w:sz w:val="20"/>
                <w:szCs w:val="20"/>
              </w:rPr>
            </w:pPr>
            <w:r>
              <w:rPr>
                <w:rFonts w:hint="eastAsia" w:cs="Times New Roman"/>
                <w:sz w:val="20"/>
                <w:szCs w:val="20"/>
              </w:rPr>
              <w:t>79</w:t>
            </w:r>
          </w:p>
        </w:tc>
        <w:tc>
          <w:tcPr>
            <w:tcW w:w="1369" w:type="pct"/>
            <w:tcBorders>
              <w:top w:val="nil"/>
              <w:left w:val="nil"/>
              <w:bottom w:val="single" w:color="auto" w:sz="4" w:space="0"/>
              <w:right w:val="single" w:color="auto" w:sz="4" w:space="0"/>
            </w:tcBorders>
            <w:shd w:val="clear" w:color="auto" w:fill="auto"/>
            <w:noWrap/>
            <w:vAlign w:val="center"/>
          </w:tcPr>
          <w:p w14:paraId="692BC5CD">
            <w:pPr>
              <w:adjustRightInd w:val="0"/>
              <w:snapToGrid w:val="0"/>
              <w:spacing w:line="240" w:lineRule="auto"/>
              <w:ind w:firstLine="0" w:firstLineChars="0"/>
              <w:jc w:val="center"/>
              <w:rPr>
                <w:rFonts w:cs="Times New Roman"/>
                <w:sz w:val="20"/>
                <w:szCs w:val="20"/>
              </w:rPr>
            </w:pPr>
            <w:r>
              <w:rPr>
                <w:rFonts w:hint="eastAsia" w:cs="Times New Roman"/>
                <w:sz w:val="20"/>
                <w:szCs w:val="20"/>
              </w:rPr>
              <w:t>57</w:t>
            </w:r>
          </w:p>
        </w:tc>
      </w:tr>
      <w:tr w14:paraId="5E669456">
        <w:tblPrEx>
          <w:tblCellMar>
            <w:top w:w="0" w:type="dxa"/>
            <w:left w:w="108" w:type="dxa"/>
            <w:bottom w:w="0" w:type="dxa"/>
            <w:right w:w="108" w:type="dxa"/>
          </w:tblCellMar>
        </w:tblPrEx>
        <w:trPr>
          <w:trHeight w:val="277" w:hRule="atLeast"/>
        </w:trPr>
        <w:tc>
          <w:tcPr>
            <w:tcW w:w="813" w:type="pct"/>
            <w:vMerge w:val="continue"/>
            <w:tcBorders>
              <w:top w:val="nil"/>
              <w:left w:val="single" w:color="auto" w:sz="4" w:space="0"/>
              <w:bottom w:val="single" w:color="000000" w:sz="4" w:space="0"/>
              <w:right w:val="single" w:color="auto" w:sz="4" w:space="0"/>
            </w:tcBorders>
            <w:vAlign w:val="center"/>
          </w:tcPr>
          <w:p w14:paraId="51927849">
            <w:pPr>
              <w:adjustRightInd w:val="0"/>
              <w:snapToGrid w:val="0"/>
              <w:spacing w:line="240" w:lineRule="auto"/>
              <w:ind w:firstLine="0" w:firstLineChars="0"/>
              <w:rPr>
                <w:rFonts w:cs="Times New Roman"/>
                <w:sz w:val="20"/>
                <w:szCs w:val="20"/>
              </w:rPr>
            </w:pPr>
          </w:p>
        </w:tc>
        <w:tc>
          <w:tcPr>
            <w:tcW w:w="1369" w:type="pct"/>
            <w:tcBorders>
              <w:top w:val="nil"/>
              <w:left w:val="nil"/>
              <w:bottom w:val="single" w:color="auto" w:sz="4" w:space="0"/>
              <w:right w:val="single" w:color="auto" w:sz="4" w:space="0"/>
            </w:tcBorders>
            <w:shd w:val="clear" w:color="auto" w:fill="auto"/>
            <w:noWrap/>
            <w:vAlign w:val="center"/>
          </w:tcPr>
          <w:p w14:paraId="7B1D5B50">
            <w:pPr>
              <w:adjustRightInd w:val="0"/>
              <w:snapToGrid w:val="0"/>
              <w:spacing w:line="240" w:lineRule="auto"/>
              <w:ind w:firstLine="0" w:firstLineChars="0"/>
              <w:jc w:val="center"/>
              <w:rPr>
                <w:rFonts w:cs="Times New Roman"/>
                <w:sz w:val="20"/>
                <w:szCs w:val="20"/>
              </w:rPr>
            </w:pPr>
            <w:r>
              <w:rPr>
                <w:rFonts w:cs="Times New Roman"/>
                <w:sz w:val="20"/>
                <w:szCs w:val="20"/>
              </w:rPr>
              <w:t>合计</w:t>
            </w:r>
          </w:p>
        </w:tc>
        <w:tc>
          <w:tcPr>
            <w:tcW w:w="1449" w:type="pct"/>
            <w:tcBorders>
              <w:top w:val="nil"/>
              <w:left w:val="nil"/>
              <w:bottom w:val="single" w:color="auto" w:sz="4" w:space="0"/>
              <w:right w:val="single" w:color="auto" w:sz="4" w:space="0"/>
            </w:tcBorders>
            <w:shd w:val="clear" w:color="auto" w:fill="auto"/>
            <w:noWrap/>
            <w:vAlign w:val="center"/>
          </w:tcPr>
          <w:p w14:paraId="30450140">
            <w:pPr>
              <w:adjustRightInd w:val="0"/>
              <w:snapToGrid w:val="0"/>
              <w:spacing w:line="240" w:lineRule="auto"/>
              <w:ind w:firstLine="0" w:firstLineChars="0"/>
              <w:jc w:val="center"/>
              <w:rPr>
                <w:rFonts w:cs="Times New Roman"/>
                <w:sz w:val="20"/>
                <w:szCs w:val="20"/>
              </w:rPr>
            </w:pPr>
            <w:r>
              <w:rPr>
                <w:rFonts w:hint="eastAsia" w:cs="Times New Roman"/>
                <w:sz w:val="20"/>
                <w:szCs w:val="20"/>
              </w:rPr>
              <w:t>103</w:t>
            </w:r>
          </w:p>
        </w:tc>
        <w:tc>
          <w:tcPr>
            <w:tcW w:w="1369" w:type="pct"/>
            <w:tcBorders>
              <w:top w:val="nil"/>
              <w:left w:val="nil"/>
              <w:bottom w:val="single" w:color="auto" w:sz="4" w:space="0"/>
              <w:right w:val="single" w:color="auto" w:sz="4" w:space="0"/>
            </w:tcBorders>
            <w:shd w:val="clear" w:color="auto" w:fill="auto"/>
            <w:noWrap/>
            <w:vAlign w:val="center"/>
          </w:tcPr>
          <w:p w14:paraId="624DD162">
            <w:pPr>
              <w:adjustRightInd w:val="0"/>
              <w:snapToGrid w:val="0"/>
              <w:spacing w:line="240" w:lineRule="auto"/>
              <w:ind w:firstLine="0" w:firstLineChars="0"/>
              <w:jc w:val="center"/>
              <w:rPr>
                <w:rFonts w:cs="Times New Roman"/>
                <w:sz w:val="20"/>
                <w:szCs w:val="20"/>
              </w:rPr>
            </w:pPr>
            <w:r>
              <w:rPr>
                <w:rFonts w:hint="eastAsia" w:cs="Times New Roman"/>
                <w:sz w:val="20"/>
                <w:szCs w:val="20"/>
              </w:rPr>
              <w:t>71</w:t>
            </w:r>
          </w:p>
        </w:tc>
      </w:tr>
    </w:tbl>
    <w:p w14:paraId="65E02426">
      <w:pPr>
        <w:pStyle w:val="2"/>
        <w:tabs>
          <w:tab w:val="left" w:pos="0"/>
        </w:tabs>
        <w:spacing w:before="120" w:after="120"/>
        <w:rPr>
          <w:rFonts w:eastAsia="仿宋_GB2312" w:cs="Times New Roman"/>
          <w:color w:val="auto"/>
          <w:szCs w:val="36"/>
        </w:rPr>
        <w:sectPr>
          <w:pgSz w:w="11907" w:h="16840"/>
          <w:pgMar w:top="1440" w:right="1797" w:bottom="1440" w:left="1797" w:header="851" w:footer="992" w:gutter="0"/>
          <w:cols w:space="720" w:num="1"/>
          <w:docGrid w:linePitch="312" w:charSpace="0"/>
        </w:sectPr>
      </w:pPr>
      <w:bookmarkStart w:id="78" w:name="_Toc8357"/>
    </w:p>
    <w:p w14:paraId="662A9B71">
      <w:pPr>
        <w:pStyle w:val="2"/>
        <w:spacing w:before="120" w:after="120"/>
        <w:rPr>
          <w:rFonts w:eastAsia="仿宋_GB2312" w:cs="Times New Roman"/>
          <w:color w:val="auto"/>
        </w:rPr>
      </w:pPr>
      <w:bookmarkStart w:id="79" w:name="_Toc150724277"/>
      <w:r>
        <w:rPr>
          <w:rFonts w:eastAsia="仿宋_GB2312" w:cs="Times New Roman"/>
          <w:color w:val="auto"/>
        </w:rPr>
        <w:t>4 总体布局</w:t>
      </w:r>
      <w:bookmarkEnd w:id="72"/>
      <w:bookmarkEnd w:id="73"/>
      <w:bookmarkEnd w:id="74"/>
      <w:bookmarkEnd w:id="78"/>
      <w:bookmarkEnd w:id="79"/>
    </w:p>
    <w:p w14:paraId="0B9A2D66">
      <w:pPr>
        <w:pStyle w:val="44"/>
        <w:spacing w:before="120" w:after="120"/>
        <w:rPr>
          <w:rFonts w:eastAsia="仿宋_GB2312" w:cs="Times New Roman"/>
        </w:rPr>
      </w:pPr>
      <w:bookmarkStart w:id="80" w:name="_Toc150724278"/>
      <w:r>
        <w:rPr>
          <w:rFonts w:eastAsia="仿宋_GB2312" w:cs="Times New Roman"/>
        </w:rPr>
        <w:t>4.1 总体布局</w:t>
      </w:r>
      <w:bookmarkEnd w:id="80"/>
    </w:p>
    <w:p w14:paraId="34CC5262">
      <w:pPr>
        <w:adjustRightInd w:val="0"/>
        <w:snapToGrid w:val="0"/>
        <w:ind w:firstLine="480"/>
        <w:rPr>
          <w:rFonts w:cs="Times New Roman"/>
        </w:rPr>
      </w:pPr>
      <w:r>
        <w:rPr>
          <w:rFonts w:cs="Times New Roman"/>
        </w:rPr>
        <w:t>按照规划目标，以阜康市主体功能区规划为依据，在各个水土保持功能分区典型调查的基础上，确定各个分区的水土保持主导功能及需求，再针对水土保持需求，确定各个分区的水土保持工作方向和技术体系。坚持宜林则林、宜草则草、宜灌则灌、宜荒则荒的水土保持治理原则。坚持“水土”平衡和“三水”平衡。在水量分配的基础上，从不同区域内的实际情况出发，严守“三条红线”，以水定需，推广绿洲防护生态安全保障体系+重点区域（流域）+重要行业水土保持综合治理体系模式。</w:t>
      </w:r>
    </w:p>
    <w:p w14:paraId="102C853C">
      <w:pPr>
        <w:adjustRightInd w:val="0"/>
        <w:snapToGrid w:val="0"/>
        <w:ind w:firstLine="480"/>
        <w:rPr>
          <w:rFonts w:cs="Times New Roman"/>
        </w:rPr>
      </w:pPr>
      <w:r>
        <w:rPr>
          <w:rFonts w:hint="eastAsia" w:cs="Times New Roman"/>
        </w:rPr>
        <w:t>应</w:t>
      </w:r>
      <w:r>
        <w:rPr>
          <w:rFonts w:cs="Times New Roman"/>
        </w:rPr>
        <w:t>建立健全综合监管体系，强化生产建设活动水土保持监督管理，加强水土保持动态监测与预警，提高水土保持信息化水平，建立和完善水土保持社会化服务体系，提升水土保持公共服务能力。</w:t>
      </w:r>
    </w:p>
    <w:p w14:paraId="170009D8">
      <w:pPr>
        <w:pStyle w:val="44"/>
        <w:spacing w:before="120" w:after="120"/>
        <w:rPr>
          <w:rFonts w:eastAsia="仿宋_GB2312" w:cs="Times New Roman"/>
        </w:rPr>
      </w:pPr>
      <w:bookmarkStart w:id="81" w:name="_Toc150724279"/>
      <w:r>
        <w:rPr>
          <w:rFonts w:eastAsia="仿宋_GB2312" w:cs="Times New Roman"/>
        </w:rPr>
        <w:t>4.2 区域布局</w:t>
      </w:r>
      <w:bookmarkEnd w:id="81"/>
    </w:p>
    <w:p w14:paraId="77865C09">
      <w:pPr>
        <w:adjustRightInd w:val="0"/>
        <w:snapToGrid w:val="0"/>
        <w:ind w:firstLine="480"/>
        <w:rPr>
          <w:rFonts w:cs="Times New Roman"/>
          <w:snapToGrid w:val="0"/>
        </w:rPr>
      </w:pPr>
      <w:r>
        <w:rPr>
          <w:rFonts w:cs="Times New Roman"/>
          <w:snapToGrid w:val="0"/>
        </w:rPr>
        <w:t>水土保持类型区的划分是依据水土流失特征及其影响水土流失的自然条件和当地的社会经济条件中的异同进行指导性区域来划分。从恢复和建立良好的生态环境出发，为防止水土流失，合理开发利用水土资源，调整产业结构，研究水土保持发展战略，提出各区的建设方向和应采取的水土保持措施。</w:t>
      </w:r>
    </w:p>
    <w:p w14:paraId="7885CACA">
      <w:pPr>
        <w:adjustRightInd w:val="0"/>
        <w:snapToGrid w:val="0"/>
        <w:ind w:firstLine="480"/>
        <w:rPr>
          <w:rFonts w:cs="Times New Roman"/>
          <w:snapToGrid w:val="0"/>
        </w:rPr>
      </w:pPr>
      <w:r>
        <w:rPr>
          <w:rFonts w:cs="Times New Roman"/>
          <w:snapToGrid w:val="0"/>
        </w:rPr>
        <w:t>根据《水利部办公厅关于印发全国水土保持区划（试行）的通知》（办水保[2012]512 号）和《新疆维吾尔自治区水土保持规划（2018～2030 年）》（水利部</w:t>
      </w:r>
      <w:r>
        <w:rPr>
          <w:rFonts w:hint="eastAsia" w:cs="Times New Roman"/>
          <w:snapToGrid w:val="0"/>
          <w:lang w:eastAsia="zh-CN"/>
        </w:rPr>
        <w:t>新疆维吾尔自治区</w:t>
      </w:r>
      <w:r>
        <w:rPr>
          <w:rFonts w:cs="Times New Roman"/>
          <w:snapToGrid w:val="0"/>
        </w:rPr>
        <w:t>水利水电勘测设计研究院，2018年5月），阜康市属于北方风沙区（新甘蒙高原盆地区）一级分区，北疆山地盆地区二级分区，天山北坡人民环境农田防护区三级区。</w:t>
      </w:r>
    </w:p>
    <w:p w14:paraId="3FC19B99">
      <w:pPr>
        <w:pStyle w:val="5"/>
        <w:rPr>
          <w:rFonts w:eastAsia="仿宋_GB2312"/>
        </w:rPr>
      </w:pPr>
      <w:r>
        <w:rPr>
          <w:rFonts w:eastAsia="仿宋_GB2312"/>
        </w:rPr>
        <w:t>4.2.1 水土保持区划原则</w:t>
      </w:r>
    </w:p>
    <w:p w14:paraId="017B0BEF">
      <w:pPr>
        <w:adjustRightInd w:val="0"/>
        <w:snapToGrid w:val="0"/>
        <w:ind w:firstLine="480"/>
        <w:rPr>
          <w:rFonts w:cs="Times New Roman"/>
          <w:snapToGrid w:val="0"/>
        </w:rPr>
      </w:pPr>
      <w:r>
        <w:rPr>
          <w:rFonts w:cs="Times New Roman"/>
          <w:snapToGrid w:val="0"/>
        </w:rPr>
        <w:t>（1）自然规律和社会经济规律相结合原则。根据土地资源的优势，水土流失现状及发展趋势，结合阜康市总体规划对土地利用的要求，确定与生产发展相适应的土地利用方案和开发保护利用水土资源的根本措施；</w:t>
      </w:r>
    </w:p>
    <w:p w14:paraId="68859102">
      <w:pPr>
        <w:adjustRightInd w:val="0"/>
        <w:snapToGrid w:val="0"/>
        <w:ind w:firstLine="480"/>
        <w:rPr>
          <w:rFonts w:cs="Times New Roman"/>
          <w:snapToGrid w:val="0"/>
        </w:rPr>
      </w:pPr>
      <w:r>
        <w:rPr>
          <w:rFonts w:cs="Times New Roman"/>
          <w:snapToGrid w:val="0"/>
        </w:rPr>
        <w:t>（2）主导因素和综合因素相结合原则。既考虑自然和社会等综合因素，还要分析其相互关系和作用，抓住起主导作用的因素；</w:t>
      </w:r>
    </w:p>
    <w:p w14:paraId="6718FAFA">
      <w:pPr>
        <w:adjustRightInd w:val="0"/>
        <w:snapToGrid w:val="0"/>
        <w:ind w:firstLine="480"/>
        <w:rPr>
          <w:rFonts w:cs="Times New Roman"/>
          <w:snapToGrid w:val="0"/>
        </w:rPr>
      </w:pPr>
      <w:r>
        <w:rPr>
          <w:rFonts w:cs="Times New Roman"/>
          <w:snapToGrid w:val="0"/>
        </w:rPr>
        <w:t>（3）区内相似性和区间差异性原则。同一区域的主要自然条件、社会经济条件、水土流失规律和程度、生产建设方向及治理措施应基本相似，而在各区之间则应有明显的差异性；</w:t>
      </w:r>
    </w:p>
    <w:p w14:paraId="44613AC9">
      <w:pPr>
        <w:adjustRightInd w:val="0"/>
        <w:snapToGrid w:val="0"/>
        <w:ind w:firstLine="480"/>
        <w:rPr>
          <w:rFonts w:cs="Times New Roman"/>
          <w:snapToGrid w:val="0"/>
        </w:rPr>
      </w:pPr>
      <w:r>
        <w:rPr>
          <w:rFonts w:cs="Times New Roman"/>
          <w:snapToGrid w:val="0"/>
        </w:rPr>
        <w:t>（4）定量分析与定性分析相结合原则。综合采用多种方法，从多个角度分析说明，采取定性分析与定量分析相结合的方法，尽可能选择可量化评价指标，使分区结果精确、合理、符合实际情况；</w:t>
      </w:r>
    </w:p>
    <w:p w14:paraId="6119156C">
      <w:pPr>
        <w:adjustRightInd w:val="0"/>
        <w:snapToGrid w:val="0"/>
        <w:ind w:firstLine="480"/>
        <w:rPr>
          <w:rFonts w:cs="Times New Roman"/>
          <w:snapToGrid w:val="0"/>
        </w:rPr>
      </w:pPr>
      <w:r>
        <w:rPr>
          <w:rFonts w:cs="Times New Roman"/>
          <w:snapToGrid w:val="0"/>
        </w:rPr>
        <w:t>（5）可操作性原则。规划分区方案是一个实用性方案，其落脚点在于实施。</w:t>
      </w:r>
    </w:p>
    <w:p w14:paraId="1A57B95D">
      <w:pPr>
        <w:pStyle w:val="5"/>
        <w:rPr>
          <w:rFonts w:eastAsia="仿宋_GB2312"/>
        </w:rPr>
      </w:pPr>
      <w:r>
        <w:rPr>
          <w:rFonts w:eastAsia="仿宋_GB2312"/>
        </w:rPr>
        <w:t>4.2.2 指标体系的建立</w:t>
      </w:r>
    </w:p>
    <w:p w14:paraId="326ED231">
      <w:pPr>
        <w:pStyle w:val="376"/>
        <w:adjustRightInd w:val="0"/>
        <w:ind w:firstLine="480"/>
        <w:rPr>
          <w:color w:val="auto"/>
          <w:szCs w:val="28"/>
        </w:rPr>
      </w:pPr>
      <w:r>
        <w:rPr>
          <w:color w:val="auto"/>
          <w:szCs w:val="28"/>
        </w:rPr>
        <w:t>根据水土保持区划的理论基础和原则要求，确定水土保持区划的要素主要包括自然要素、土地利用要素、社会经济要素和水土流失要素。最后，根据水土保持区划理论及原则来确定区划指标体系的结构。</w:t>
      </w:r>
    </w:p>
    <w:p w14:paraId="60827E7C">
      <w:pPr>
        <w:pStyle w:val="376"/>
        <w:adjustRightInd w:val="0"/>
        <w:ind w:firstLine="480"/>
        <w:rPr>
          <w:color w:val="auto"/>
          <w:szCs w:val="28"/>
        </w:rPr>
      </w:pPr>
      <w:r>
        <w:rPr>
          <w:color w:val="auto"/>
          <w:szCs w:val="28"/>
        </w:rPr>
        <w:t>在选取指标时，根据主导因子和可操作性原则，并考虑区域实际情况，结合昌吉州的特点，在遵循指标体系建立的原则基础上，提出了昌吉州水土保持区划指标体系的构成，而具体指标的选择根据各区域的实际情况确定。</w:t>
      </w:r>
    </w:p>
    <w:p w14:paraId="093B4F57">
      <w:pPr>
        <w:pStyle w:val="376"/>
        <w:adjustRightInd w:val="0"/>
        <w:ind w:firstLine="480"/>
        <w:rPr>
          <w:color w:val="auto"/>
          <w:szCs w:val="28"/>
        </w:rPr>
      </w:pPr>
      <w:r>
        <w:rPr>
          <w:color w:val="auto"/>
          <w:szCs w:val="28"/>
        </w:rPr>
        <w:t>根据水土保持区划指标体系结构，水土保持区划指标体系由四个层次构成，分别为目标层（A）、要素层（B）、因子层（C）和指标层（D）。</w:t>
      </w:r>
    </w:p>
    <w:p w14:paraId="435F6C7C">
      <w:pPr>
        <w:pStyle w:val="376"/>
        <w:adjustRightInd w:val="0"/>
        <w:ind w:firstLine="480"/>
        <w:rPr>
          <w:color w:val="auto"/>
          <w:lang w:eastAsia="zh-CN"/>
        </w:rPr>
      </w:pPr>
      <w:r>
        <w:rPr>
          <w:color w:val="auto"/>
        </w:rPr>
        <w:t>根据水土保持区划指标体系建立的原则，结合新疆土壤侵蚀类型、分布特点和分布特征等实际情况和数据来源情况，各要素共选取了30个指标，见表</w:t>
      </w:r>
      <w:r>
        <w:rPr>
          <w:color w:val="auto"/>
          <w:lang w:eastAsia="zh-CN"/>
        </w:rPr>
        <w:t>4.2-1</w:t>
      </w:r>
      <w:r>
        <w:rPr>
          <w:color w:val="auto"/>
        </w:rPr>
        <w:t>。</w:t>
      </w:r>
    </w:p>
    <w:p w14:paraId="3ED1AD82">
      <w:pPr>
        <w:adjustRightInd w:val="0"/>
        <w:snapToGrid w:val="0"/>
        <w:ind w:firstLine="0" w:firstLineChars="0"/>
        <w:jc w:val="center"/>
        <w:rPr>
          <w:rFonts w:cs="Times New Roman"/>
          <w:bCs/>
        </w:rPr>
      </w:pPr>
      <w:r>
        <w:rPr>
          <w:rFonts w:cs="Times New Roman"/>
          <w:bCs/>
        </w:rPr>
        <w:t xml:space="preserve">表4.2-1           </w:t>
      </w:r>
      <w:r>
        <w:rPr>
          <w:rFonts w:cs="Times New Roman"/>
          <w:b/>
          <w:bCs/>
        </w:rPr>
        <w:t>水土保持区划指标简表</w:t>
      </w:r>
    </w:p>
    <w:tbl>
      <w:tblPr>
        <w:tblStyle w:val="48"/>
        <w:tblW w:w="83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1"/>
        <w:gridCol w:w="909"/>
        <w:gridCol w:w="2682"/>
        <w:gridCol w:w="3640"/>
      </w:tblGrid>
      <w:tr w14:paraId="2E3DE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jc w:val="center"/>
        </w:trPr>
        <w:tc>
          <w:tcPr>
            <w:tcW w:w="1071" w:type="dxa"/>
            <w:vAlign w:val="center"/>
          </w:tcPr>
          <w:p w14:paraId="0CFA339D">
            <w:pPr>
              <w:adjustRightInd w:val="0"/>
              <w:snapToGrid w:val="0"/>
              <w:spacing w:before="12" w:beforeLines="5" w:line="240" w:lineRule="auto"/>
              <w:ind w:firstLine="0" w:firstLineChars="0"/>
              <w:jc w:val="center"/>
              <w:rPr>
                <w:rFonts w:cs="Times New Roman"/>
                <w:sz w:val="18"/>
                <w:szCs w:val="18"/>
              </w:rPr>
            </w:pPr>
            <w:r>
              <w:rPr>
                <w:rFonts w:cs="Times New Roman"/>
                <w:sz w:val="18"/>
                <w:szCs w:val="18"/>
              </w:rPr>
              <w:t>目标层</w:t>
            </w:r>
          </w:p>
        </w:tc>
        <w:tc>
          <w:tcPr>
            <w:tcW w:w="909" w:type="dxa"/>
            <w:vAlign w:val="center"/>
          </w:tcPr>
          <w:p w14:paraId="759ACA46">
            <w:pPr>
              <w:adjustRightInd w:val="0"/>
              <w:snapToGrid w:val="0"/>
              <w:spacing w:before="12" w:beforeLines="5" w:line="240" w:lineRule="auto"/>
              <w:ind w:firstLine="0" w:firstLineChars="0"/>
              <w:jc w:val="center"/>
              <w:rPr>
                <w:rFonts w:cs="Times New Roman"/>
                <w:sz w:val="18"/>
                <w:szCs w:val="18"/>
              </w:rPr>
            </w:pPr>
            <w:r>
              <w:rPr>
                <w:rFonts w:cs="Times New Roman"/>
                <w:sz w:val="18"/>
                <w:szCs w:val="18"/>
              </w:rPr>
              <w:t>要素层</w:t>
            </w:r>
          </w:p>
        </w:tc>
        <w:tc>
          <w:tcPr>
            <w:tcW w:w="2682" w:type="dxa"/>
            <w:vAlign w:val="center"/>
          </w:tcPr>
          <w:p w14:paraId="4E4EE121">
            <w:pPr>
              <w:adjustRightInd w:val="0"/>
              <w:snapToGrid w:val="0"/>
              <w:spacing w:before="12" w:beforeLines="5" w:line="240" w:lineRule="auto"/>
              <w:ind w:firstLine="0" w:firstLineChars="0"/>
              <w:jc w:val="center"/>
              <w:rPr>
                <w:rFonts w:cs="Times New Roman"/>
                <w:sz w:val="18"/>
                <w:szCs w:val="18"/>
              </w:rPr>
            </w:pPr>
            <w:r>
              <w:rPr>
                <w:rFonts w:cs="Times New Roman"/>
                <w:sz w:val="18"/>
                <w:szCs w:val="18"/>
              </w:rPr>
              <w:t>因子层</w:t>
            </w:r>
          </w:p>
        </w:tc>
        <w:tc>
          <w:tcPr>
            <w:tcW w:w="3640" w:type="dxa"/>
            <w:vAlign w:val="center"/>
          </w:tcPr>
          <w:p w14:paraId="431F9903">
            <w:pPr>
              <w:adjustRightInd w:val="0"/>
              <w:snapToGrid w:val="0"/>
              <w:spacing w:before="12" w:beforeLines="5" w:line="240" w:lineRule="auto"/>
              <w:ind w:firstLine="0" w:firstLineChars="0"/>
              <w:jc w:val="center"/>
              <w:rPr>
                <w:rFonts w:cs="Times New Roman"/>
                <w:sz w:val="18"/>
                <w:szCs w:val="18"/>
              </w:rPr>
            </w:pPr>
            <w:r>
              <w:rPr>
                <w:rFonts w:cs="Times New Roman"/>
                <w:sz w:val="18"/>
                <w:szCs w:val="18"/>
              </w:rPr>
              <w:t>指标层</w:t>
            </w:r>
          </w:p>
        </w:tc>
      </w:tr>
      <w:tr w14:paraId="49F9B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restart"/>
            <w:vAlign w:val="center"/>
          </w:tcPr>
          <w:p w14:paraId="1730D7B7">
            <w:pPr>
              <w:adjustRightInd w:val="0"/>
              <w:snapToGrid w:val="0"/>
              <w:spacing w:line="240" w:lineRule="auto"/>
              <w:ind w:firstLine="0" w:firstLineChars="0"/>
              <w:jc w:val="center"/>
              <w:rPr>
                <w:rFonts w:cs="Times New Roman"/>
                <w:sz w:val="18"/>
                <w:szCs w:val="18"/>
              </w:rPr>
            </w:pPr>
            <w:r>
              <w:rPr>
                <w:rFonts w:cs="Times New Roman"/>
                <w:sz w:val="18"/>
                <w:szCs w:val="18"/>
              </w:rPr>
              <w:t>水</w:t>
            </w:r>
            <w:r>
              <w:rPr>
                <w:rFonts w:cs="Times New Roman"/>
                <w:sz w:val="18"/>
                <w:szCs w:val="18"/>
              </w:rPr>
              <w:br w:type="textWrapping"/>
            </w:r>
            <w:r>
              <w:rPr>
                <w:rFonts w:cs="Times New Roman"/>
                <w:sz w:val="18"/>
                <w:szCs w:val="18"/>
              </w:rPr>
              <w:t>土</w:t>
            </w:r>
            <w:r>
              <w:rPr>
                <w:rFonts w:cs="Times New Roman"/>
                <w:sz w:val="18"/>
                <w:szCs w:val="18"/>
              </w:rPr>
              <w:br w:type="textWrapping"/>
            </w:r>
            <w:r>
              <w:rPr>
                <w:rFonts w:cs="Times New Roman"/>
                <w:sz w:val="18"/>
                <w:szCs w:val="18"/>
              </w:rPr>
              <w:t>保</w:t>
            </w:r>
            <w:r>
              <w:rPr>
                <w:rFonts w:cs="Times New Roman"/>
                <w:sz w:val="18"/>
                <w:szCs w:val="18"/>
              </w:rPr>
              <w:br w:type="textWrapping"/>
            </w:r>
            <w:r>
              <w:rPr>
                <w:rFonts w:cs="Times New Roman"/>
                <w:sz w:val="18"/>
                <w:szCs w:val="18"/>
              </w:rPr>
              <w:t>持</w:t>
            </w:r>
            <w:r>
              <w:rPr>
                <w:rFonts w:cs="Times New Roman"/>
                <w:sz w:val="18"/>
                <w:szCs w:val="18"/>
              </w:rPr>
              <w:br w:type="textWrapping"/>
            </w:r>
            <w:r>
              <w:rPr>
                <w:rFonts w:cs="Times New Roman"/>
                <w:sz w:val="18"/>
                <w:szCs w:val="18"/>
              </w:rPr>
              <w:t>区</w:t>
            </w:r>
            <w:r>
              <w:rPr>
                <w:rFonts w:cs="Times New Roman"/>
                <w:sz w:val="18"/>
                <w:szCs w:val="18"/>
              </w:rPr>
              <w:br w:type="textWrapping"/>
            </w:r>
            <w:r>
              <w:rPr>
                <w:rFonts w:cs="Times New Roman"/>
                <w:sz w:val="18"/>
                <w:szCs w:val="18"/>
              </w:rPr>
              <w:t>划</w:t>
            </w:r>
            <w:r>
              <w:rPr>
                <w:rFonts w:cs="Times New Roman"/>
                <w:sz w:val="18"/>
                <w:szCs w:val="18"/>
              </w:rPr>
              <w:br w:type="textWrapping"/>
            </w:r>
            <w:r>
              <w:rPr>
                <w:rFonts w:cs="Times New Roman"/>
                <w:sz w:val="18"/>
                <w:szCs w:val="18"/>
              </w:rPr>
              <w:t>指</w:t>
            </w:r>
            <w:r>
              <w:rPr>
                <w:rFonts w:cs="Times New Roman"/>
                <w:sz w:val="18"/>
                <w:szCs w:val="18"/>
              </w:rPr>
              <w:br w:type="textWrapping"/>
            </w:r>
            <w:r>
              <w:rPr>
                <w:rFonts w:cs="Times New Roman"/>
                <w:sz w:val="18"/>
                <w:szCs w:val="18"/>
              </w:rPr>
              <w:t>标</w:t>
            </w:r>
            <w:r>
              <w:rPr>
                <w:rFonts w:cs="Times New Roman"/>
                <w:sz w:val="18"/>
                <w:szCs w:val="18"/>
              </w:rPr>
              <w:br w:type="textWrapping"/>
            </w:r>
            <w:r>
              <w:rPr>
                <w:rFonts w:cs="Times New Roman"/>
                <w:sz w:val="18"/>
                <w:szCs w:val="18"/>
              </w:rPr>
              <w:t>体</w:t>
            </w:r>
            <w:r>
              <w:rPr>
                <w:rFonts w:cs="Times New Roman"/>
                <w:sz w:val="18"/>
                <w:szCs w:val="18"/>
              </w:rPr>
              <w:br w:type="textWrapping"/>
            </w:r>
            <w:r>
              <w:rPr>
                <w:rFonts w:cs="Times New Roman"/>
                <w:sz w:val="18"/>
                <w:szCs w:val="18"/>
              </w:rPr>
              <w:t>系</w:t>
            </w:r>
            <w:r>
              <w:rPr>
                <w:rFonts w:cs="Times New Roman"/>
                <w:sz w:val="18"/>
                <w:szCs w:val="18"/>
              </w:rPr>
              <w:br w:type="textWrapping"/>
            </w:r>
            <w:r>
              <w:rPr>
                <w:rFonts w:cs="Times New Roman"/>
                <w:sz w:val="18"/>
                <w:szCs w:val="18"/>
              </w:rPr>
              <w:t>（A）</w:t>
            </w:r>
          </w:p>
        </w:tc>
        <w:tc>
          <w:tcPr>
            <w:tcW w:w="909" w:type="dxa"/>
            <w:vMerge w:val="restart"/>
            <w:vAlign w:val="center"/>
          </w:tcPr>
          <w:p w14:paraId="47D0338A">
            <w:pPr>
              <w:adjustRightInd w:val="0"/>
              <w:snapToGrid w:val="0"/>
              <w:spacing w:line="240" w:lineRule="auto"/>
              <w:ind w:firstLine="0" w:firstLineChars="0"/>
              <w:jc w:val="center"/>
              <w:rPr>
                <w:rFonts w:cs="Times New Roman"/>
                <w:sz w:val="18"/>
                <w:szCs w:val="18"/>
              </w:rPr>
            </w:pPr>
            <w:r>
              <w:rPr>
                <w:rFonts w:cs="Times New Roman"/>
                <w:sz w:val="18"/>
                <w:szCs w:val="18"/>
              </w:rPr>
              <w:t>自然</w:t>
            </w:r>
          </w:p>
          <w:p w14:paraId="1956077B">
            <w:pPr>
              <w:adjustRightInd w:val="0"/>
              <w:snapToGrid w:val="0"/>
              <w:spacing w:line="240" w:lineRule="auto"/>
              <w:ind w:firstLine="0" w:firstLineChars="0"/>
              <w:jc w:val="center"/>
              <w:rPr>
                <w:rFonts w:cs="Times New Roman"/>
                <w:sz w:val="18"/>
                <w:szCs w:val="18"/>
              </w:rPr>
            </w:pPr>
            <w:r>
              <w:rPr>
                <w:rFonts w:cs="Times New Roman"/>
                <w:sz w:val="18"/>
                <w:szCs w:val="18"/>
              </w:rPr>
              <w:t>要素（B1）</w:t>
            </w:r>
          </w:p>
        </w:tc>
        <w:tc>
          <w:tcPr>
            <w:tcW w:w="2682" w:type="dxa"/>
            <w:vMerge w:val="restart"/>
            <w:vAlign w:val="center"/>
          </w:tcPr>
          <w:p w14:paraId="1469C510">
            <w:pPr>
              <w:adjustRightInd w:val="0"/>
              <w:snapToGrid w:val="0"/>
              <w:spacing w:line="240" w:lineRule="auto"/>
              <w:ind w:firstLine="0" w:firstLineChars="0"/>
              <w:jc w:val="center"/>
              <w:rPr>
                <w:rFonts w:cs="Times New Roman"/>
                <w:sz w:val="18"/>
                <w:szCs w:val="18"/>
              </w:rPr>
            </w:pPr>
            <w:r>
              <w:rPr>
                <w:rFonts w:cs="Times New Roman"/>
                <w:sz w:val="18"/>
                <w:szCs w:val="18"/>
              </w:rPr>
              <w:t>地形因子（C1）</w:t>
            </w:r>
          </w:p>
        </w:tc>
        <w:tc>
          <w:tcPr>
            <w:tcW w:w="3640" w:type="dxa"/>
            <w:vAlign w:val="center"/>
          </w:tcPr>
          <w:p w14:paraId="38B9C650">
            <w:pPr>
              <w:adjustRightInd w:val="0"/>
              <w:snapToGrid w:val="0"/>
              <w:spacing w:line="240" w:lineRule="auto"/>
              <w:ind w:firstLine="0" w:firstLineChars="0"/>
              <w:jc w:val="center"/>
              <w:rPr>
                <w:rFonts w:cs="Times New Roman"/>
                <w:sz w:val="18"/>
                <w:szCs w:val="18"/>
              </w:rPr>
            </w:pPr>
            <w:r>
              <w:rPr>
                <w:rFonts w:cs="Times New Roman"/>
                <w:sz w:val="18"/>
                <w:szCs w:val="18"/>
              </w:rPr>
              <w:t>平均海拔（D1）</w:t>
            </w:r>
          </w:p>
        </w:tc>
      </w:tr>
      <w:tr w14:paraId="51138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C689616">
            <w:pPr>
              <w:adjustRightInd w:val="0"/>
              <w:snapToGrid w:val="0"/>
              <w:spacing w:line="240" w:lineRule="auto"/>
              <w:ind w:firstLine="0" w:firstLineChars="0"/>
              <w:rPr>
                <w:rFonts w:cs="Times New Roman"/>
                <w:sz w:val="18"/>
                <w:szCs w:val="18"/>
              </w:rPr>
            </w:pPr>
          </w:p>
        </w:tc>
        <w:tc>
          <w:tcPr>
            <w:tcW w:w="909" w:type="dxa"/>
            <w:vMerge w:val="continue"/>
            <w:vAlign w:val="center"/>
          </w:tcPr>
          <w:p w14:paraId="23528AE2">
            <w:pPr>
              <w:adjustRightInd w:val="0"/>
              <w:snapToGrid w:val="0"/>
              <w:spacing w:line="240" w:lineRule="auto"/>
              <w:ind w:firstLine="0" w:firstLineChars="0"/>
              <w:rPr>
                <w:rFonts w:cs="Times New Roman"/>
                <w:sz w:val="18"/>
                <w:szCs w:val="18"/>
              </w:rPr>
            </w:pPr>
          </w:p>
        </w:tc>
        <w:tc>
          <w:tcPr>
            <w:tcW w:w="2682" w:type="dxa"/>
            <w:vMerge w:val="continue"/>
            <w:vAlign w:val="center"/>
          </w:tcPr>
          <w:p w14:paraId="30A6BF1E">
            <w:pPr>
              <w:adjustRightInd w:val="0"/>
              <w:snapToGrid w:val="0"/>
              <w:spacing w:line="240" w:lineRule="auto"/>
              <w:ind w:firstLine="0" w:firstLineChars="0"/>
              <w:rPr>
                <w:rFonts w:cs="Times New Roman"/>
                <w:sz w:val="18"/>
                <w:szCs w:val="18"/>
              </w:rPr>
            </w:pPr>
          </w:p>
        </w:tc>
        <w:tc>
          <w:tcPr>
            <w:tcW w:w="3640" w:type="dxa"/>
            <w:vAlign w:val="center"/>
          </w:tcPr>
          <w:p w14:paraId="07FEB286">
            <w:pPr>
              <w:adjustRightInd w:val="0"/>
              <w:snapToGrid w:val="0"/>
              <w:spacing w:line="240" w:lineRule="auto"/>
              <w:ind w:firstLine="0" w:firstLineChars="0"/>
              <w:jc w:val="center"/>
              <w:rPr>
                <w:rFonts w:cs="Times New Roman"/>
                <w:sz w:val="18"/>
                <w:szCs w:val="18"/>
              </w:rPr>
            </w:pPr>
            <w:r>
              <w:rPr>
                <w:rFonts w:cs="Times New Roman"/>
                <w:sz w:val="18"/>
                <w:szCs w:val="18"/>
              </w:rPr>
              <w:t>平均坡度（D2）</w:t>
            </w:r>
          </w:p>
        </w:tc>
      </w:tr>
      <w:tr w14:paraId="5CBC0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749E9CB7">
            <w:pPr>
              <w:adjustRightInd w:val="0"/>
              <w:snapToGrid w:val="0"/>
              <w:spacing w:line="240" w:lineRule="auto"/>
              <w:ind w:firstLine="0" w:firstLineChars="0"/>
              <w:rPr>
                <w:rFonts w:cs="Times New Roman"/>
                <w:sz w:val="18"/>
                <w:szCs w:val="18"/>
              </w:rPr>
            </w:pPr>
          </w:p>
        </w:tc>
        <w:tc>
          <w:tcPr>
            <w:tcW w:w="909" w:type="dxa"/>
            <w:vMerge w:val="continue"/>
            <w:vAlign w:val="center"/>
          </w:tcPr>
          <w:p w14:paraId="03EF055B">
            <w:pPr>
              <w:adjustRightInd w:val="0"/>
              <w:snapToGrid w:val="0"/>
              <w:spacing w:line="240" w:lineRule="auto"/>
              <w:ind w:firstLine="0" w:firstLineChars="0"/>
              <w:rPr>
                <w:rFonts w:cs="Times New Roman"/>
                <w:sz w:val="18"/>
                <w:szCs w:val="18"/>
              </w:rPr>
            </w:pPr>
          </w:p>
        </w:tc>
        <w:tc>
          <w:tcPr>
            <w:tcW w:w="2682" w:type="dxa"/>
            <w:vMerge w:val="continue"/>
            <w:vAlign w:val="center"/>
          </w:tcPr>
          <w:p w14:paraId="03AD24B1">
            <w:pPr>
              <w:adjustRightInd w:val="0"/>
              <w:snapToGrid w:val="0"/>
              <w:spacing w:line="240" w:lineRule="auto"/>
              <w:ind w:firstLine="0" w:firstLineChars="0"/>
              <w:rPr>
                <w:rFonts w:cs="Times New Roman"/>
                <w:sz w:val="18"/>
                <w:szCs w:val="18"/>
              </w:rPr>
            </w:pPr>
          </w:p>
        </w:tc>
        <w:tc>
          <w:tcPr>
            <w:tcW w:w="3640" w:type="dxa"/>
            <w:vAlign w:val="center"/>
          </w:tcPr>
          <w:p w14:paraId="2465495C">
            <w:pPr>
              <w:adjustRightInd w:val="0"/>
              <w:snapToGrid w:val="0"/>
              <w:spacing w:line="240" w:lineRule="auto"/>
              <w:ind w:firstLine="0" w:firstLineChars="0"/>
              <w:jc w:val="center"/>
              <w:rPr>
                <w:rFonts w:cs="Times New Roman"/>
                <w:sz w:val="18"/>
                <w:szCs w:val="18"/>
              </w:rPr>
            </w:pPr>
            <w:r>
              <w:rPr>
                <w:rFonts w:cs="Times New Roman"/>
                <w:sz w:val="18"/>
                <w:szCs w:val="18"/>
              </w:rPr>
              <w:t>沟壑密度（D3）</w:t>
            </w:r>
          </w:p>
        </w:tc>
      </w:tr>
      <w:tr w14:paraId="27840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34092192">
            <w:pPr>
              <w:adjustRightInd w:val="0"/>
              <w:snapToGrid w:val="0"/>
              <w:spacing w:line="240" w:lineRule="auto"/>
              <w:ind w:firstLine="0" w:firstLineChars="0"/>
              <w:rPr>
                <w:rFonts w:cs="Times New Roman"/>
                <w:sz w:val="18"/>
                <w:szCs w:val="18"/>
              </w:rPr>
            </w:pPr>
          </w:p>
        </w:tc>
        <w:tc>
          <w:tcPr>
            <w:tcW w:w="909" w:type="dxa"/>
            <w:vMerge w:val="continue"/>
            <w:vAlign w:val="center"/>
          </w:tcPr>
          <w:p w14:paraId="5D59BC86">
            <w:pPr>
              <w:adjustRightInd w:val="0"/>
              <w:snapToGrid w:val="0"/>
              <w:spacing w:line="240" w:lineRule="auto"/>
              <w:ind w:firstLine="0" w:firstLineChars="0"/>
              <w:rPr>
                <w:rFonts w:cs="Times New Roman"/>
                <w:sz w:val="18"/>
                <w:szCs w:val="18"/>
              </w:rPr>
            </w:pPr>
          </w:p>
        </w:tc>
        <w:tc>
          <w:tcPr>
            <w:tcW w:w="2682" w:type="dxa"/>
            <w:vMerge w:val="restart"/>
            <w:vAlign w:val="center"/>
          </w:tcPr>
          <w:p w14:paraId="56A23C64">
            <w:pPr>
              <w:adjustRightInd w:val="0"/>
              <w:snapToGrid w:val="0"/>
              <w:spacing w:line="240" w:lineRule="auto"/>
              <w:ind w:firstLine="0" w:firstLineChars="0"/>
              <w:jc w:val="center"/>
              <w:rPr>
                <w:rFonts w:cs="Times New Roman"/>
                <w:sz w:val="18"/>
                <w:szCs w:val="18"/>
              </w:rPr>
            </w:pPr>
            <w:r>
              <w:rPr>
                <w:rFonts w:cs="Times New Roman"/>
                <w:sz w:val="18"/>
                <w:szCs w:val="18"/>
              </w:rPr>
              <w:t>气象水文因子（C2）</w:t>
            </w:r>
          </w:p>
        </w:tc>
        <w:tc>
          <w:tcPr>
            <w:tcW w:w="3640" w:type="dxa"/>
            <w:vAlign w:val="center"/>
          </w:tcPr>
          <w:p w14:paraId="28F3AEC2">
            <w:pPr>
              <w:adjustRightInd w:val="0"/>
              <w:snapToGrid w:val="0"/>
              <w:spacing w:line="240" w:lineRule="auto"/>
              <w:ind w:firstLine="0" w:firstLineChars="0"/>
              <w:jc w:val="center"/>
              <w:rPr>
                <w:rFonts w:cs="Times New Roman"/>
                <w:sz w:val="18"/>
                <w:szCs w:val="18"/>
              </w:rPr>
            </w:pPr>
            <w:r>
              <w:rPr>
                <w:rFonts w:cs="Times New Roman"/>
                <w:sz w:val="18"/>
                <w:szCs w:val="18"/>
              </w:rPr>
              <w:t>年均暴雨日数（D4）</w:t>
            </w:r>
          </w:p>
        </w:tc>
      </w:tr>
      <w:tr w14:paraId="6955E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F231D45">
            <w:pPr>
              <w:adjustRightInd w:val="0"/>
              <w:snapToGrid w:val="0"/>
              <w:spacing w:line="240" w:lineRule="auto"/>
              <w:ind w:firstLine="0" w:firstLineChars="0"/>
              <w:rPr>
                <w:rFonts w:cs="Times New Roman"/>
                <w:sz w:val="18"/>
                <w:szCs w:val="18"/>
              </w:rPr>
            </w:pPr>
          </w:p>
        </w:tc>
        <w:tc>
          <w:tcPr>
            <w:tcW w:w="909" w:type="dxa"/>
            <w:vMerge w:val="continue"/>
            <w:vAlign w:val="center"/>
          </w:tcPr>
          <w:p w14:paraId="5126A081">
            <w:pPr>
              <w:adjustRightInd w:val="0"/>
              <w:snapToGrid w:val="0"/>
              <w:spacing w:line="240" w:lineRule="auto"/>
              <w:ind w:firstLine="0" w:firstLineChars="0"/>
              <w:rPr>
                <w:rFonts w:cs="Times New Roman"/>
                <w:sz w:val="18"/>
                <w:szCs w:val="18"/>
              </w:rPr>
            </w:pPr>
          </w:p>
        </w:tc>
        <w:tc>
          <w:tcPr>
            <w:tcW w:w="2682" w:type="dxa"/>
            <w:vMerge w:val="continue"/>
            <w:vAlign w:val="center"/>
          </w:tcPr>
          <w:p w14:paraId="51E856CB">
            <w:pPr>
              <w:adjustRightInd w:val="0"/>
              <w:snapToGrid w:val="0"/>
              <w:spacing w:line="240" w:lineRule="auto"/>
              <w:ind w:firstLine="0" w:firstLineChars="0"/>
              <w:rPr>
                <w:rFonts w:cs="Times New Roman"/>
                <w:sz w:val="18"/>
                <w:szCs w:val="18"/>
              </w:rPr>
            </w:pPr>
          </w:p>
        </w:tc>
        <w:tc>
          <w:tcPr>
            <w:tcW w:w="3640" w:type="dxa"/>
            <w:vAlign w:val="center"/>
          </w:tcPr>
          <w:p w14:paraId="59569318">
            <w:pPr>
              <w:adjustRightInd w:val="0"/>
              <w:snapToGrid w:val="0"/>
              <w:spacing w:line="240" w:lineRule="auto"/>
              <w:ind w:firstLine="0" w:firstLineChars="0"/>
              <w:jc w:val="center"/>
              <w:rPr>
                <w:rFonts w:cs="Times New Roman"/>
                <w:sz w:val="18"/>
                <w:szCs w:val="18"/>
              </w:rPr>
            </w:pPr>
            <w:r>
              <w:rPr>
                <w:rFonts w:cs="Times New Roman"/>
                <w:sz w:val="18"/>
                <w:szCs w:val="18"/>
              </w:rPr>
              <w:t>平均气温（D5）</w:t>
            </w:r>
          </w:p>
        </w:tc>
      </w:tr>
      <w:tr w14:paraId="1AE52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1FC13B04">
            <w:pPr>
              <w:adjustRightInd w:val="0"/>
              <w:snapToGrid w:val="0"/>
              <w:spacing w:line="240" w:lineRule="auto"/>
              <w:ind w:firstLine="0" w:firstLineChars="0"/>
              <w:rPr>
                <w:rFonts w:cs="Times New Roman"/>
                <w:sz w:val="18"/>
                <w:szCs w:val="18"/>
              </w:rPr>
            </w:pPr>
          </w:p>
        </w:tc>
        <w:tc>
          <w:tcPr>
            <w:tcW w:w="909" w:type="dxa"/>
            <w:vMerge w:val="continue"/>
            <w:vAlign w:val="center"/>
          </w:tcPr>
          <w:p w14:paraId="5301D780">
            <w:pPr>
              <w:adjustRightInd w:val="0"/>
              <w:snapToGrid w:val="0"/>
              <w:spacing w:line="240" w:lineRule="auto"/>
              <w:ind w:firstLine="0" w:firstLineChars="0"/>
              <w:rPr>
                <w:rFonts w:cs="Times New Roman"/>
                <w:sz w:val="18"/>
                <w:szCs w:val="18"/>
              </w:rPr>
            </w:pPr>
          </w:p>
        </w:tc>
        <w:tc>
          <w:tcPr>
            <w:tcW w:w="2682" w:type="dxa"/>
            <w:vMerge w:val="continue"/>
            <w:vAlign w:val="center"/>
          </w:tcPr>
          <w:p w14:paraId="08B53B8B">
            <w:pPr>
              <w:adjustRightInd w:val="0"/>
              <w:snapToGrid w:val="0"/>
              <w:spacing w:line="240" w:lineRule="auto"/>
              <w:ind w:firstLine="0" w:firstLineChars="0"/>
              <w:rPr>
                <w:rFonts w:cs="Times New Roman"/>
                <w:sz w:val="18"/>
                <w:szCs w:val="18"/>
              </w:rPr>
            </w:pPr>
          </w:p>
        </w:tc>
        <w:tc>
          <w:tcPr>
            <w:tcW w:w="3640" w:type="dxa"/>
            <w:vAlign w:val="center"/>
          </w:tcPr>
          <w:p w14:paraId="2BBA0882">
            <w:pPr>
              <w:adjustRightInd w:val="0"/>
              <w:snapToGrid w:val="0"/>
              <w:spacing w:line="240" w:lineRule="auto"/>
              <w:ind w:firstLine="0" w:firstLineChars="0"/>
              <w:jc w:val="center"/>
              <w:rPr>
                <w:rFonts w:cs="Times New Roman"/>
                <w:sz w:val="18"/>
                <w:szCs w:val="18"/>
              </w:rPr>
            </w:pPr>
            <w:r>
              <w:rPr>
                <w:rFonts w:cs="Times New Roman"/>
                <w:sz w:val="18"/>
                <w:szCs w:val="18"/>
              </w:rPr>
              <w:t>年均降水量（D6）</w:t>
            </w:r>
          </w:p>
        </w:tc>
      </w:tr>
      <w:tr w14:paraId="45FB1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635115CB">
            <w:pPr>
              <w:adjustRightInd w:val="0"/>
              <w:snapToGrid w:val="0"/>
              <w:spacing w:line="240" w:lineRule="auto"/>
              <w:ind w:firstLine="0" w:firstLineChars="0"/>
              <w:rPr>
                <w:rFonts w:cs="Times New Roman"/>
                <w:sz w:val="18"/>
                <w:szCs w:val="18"/>
              </w:rPr>
            </w:pPr>
          </w:p>
        </w:tc>
        <w:tc>
          <w:tcPr>
            <w:tcW w:w="909" w:type="dxa"/>
            <w:vMerge w:val="continue"/>
            <w:vAlign w:val="center"/>
          </w:tcPr>
          <w:p w14:paraId="38BDE5E9">
            <w:pPr>
              <w:adjustRightInd w:val="0"/>
              <w:snapToGrid w:val="0"/>
              <w:spacing w:line="240" w:lineRule="auto"/>
              <w:ind w:firstLine="0" w:firstLineChars="0"/>
              <w:rPr>
                <w:rFonts w:cs="Times New Roman"/>
                <w:sz w:val="18"/>
                <w:szCs w:val="18"/>
              </w:rPr>
            </w:pPr>
          </w:p>
        </w:tc>
        <w:tc>
          <w:tcPr>
            <w:tcW w:w="2682" w:type="dxa"/>
            <w:vMerge w:val="continue"/>
            <w:vAlign w:val="center"/>
          </w:tcPr>
          <w:p w14:paraId="6829FB53">
            <w:pPr>
              <w:adjustRightInd w:val="0"/>
              <w:snapToGrid w:val="0"/>
              <w:spacing w:line="240" w:lineRule="auto"/>
              <w:ind w:firstLine="0" w:firstLineChars="0"/>
              <w:rPr>
                <w:rFonts w:cs="Times New Roman"/>
                <w:sz w:val="18"/>
                <w:szCs w:val="18"/>
              </w:rPr>
            </w:pPr>
          </w:p>
        </w:tc>
        <w:tc>
          <w:tcPr>
            <w:tcW w:w="3640" w:type="dxa"/>
            <w:vAlign w:val="center"/>
          </w:tcPr>
          <w:p w14:paraId="2D9B9DA2">
            <w:pPr>
              <w:adjustRightInd w:val="0"/>
              <w:snapToGrid w:val="0"/>
              <w:spacing w:line="240" w:lineRule="auto"/>
              <w:ind w:firstLine="0" w:firstLineChars="0"/>
              <w:jc w:val="center"/>
              <w:rPr>
                <w:rFonts w:cs="Times New Roman"/>
                <w:sz w:val="18"/>
                <w:szCs w:val="18"/>
              </w:rPr>
            </w:pPr>
            <w:r>
              <w:rPr>
                <w:rFonts w:cs="Times New Roman"/>
                <w:sz w:val="18"/>
                <w:szCs w:val="18"/>
              </w:rPr>
              <w:t>24h最大降水量（D7）</w:t>
            </w:r>
          </w:p>
        </w:tc>
      </w:tr>
      <w:tr w14:paraId="50E94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4D3C56D6">
            <w:pPr>
              <w:adjustRightInd w:val="0"/>
              <w:snapToGrid w:val="0"/>
              <w:spacing w:line="240" w:lineRule="auto"/>
              <w:ind w:firstLine="0" w:firstLineChars="0"/>
              <w:rPr>
                <w:rFonts w:cs="Times New Roman"/>
                <w:sz w:val="18"/>
                <w:szCs w:val="18"/>
              </w:rPr>
            </w:pPr>
          </w:p>
        </w:tc>
        <w:tc>
          <w:tcPr>
            <w:tcW w:w="909" w:type="dxa"/>
            <w:vMerge w:val="continue"/>
            <w:vAlign w:val="center"/>
          </w:tcPr>
          <w:p w14:paraId="1EDC3BB7">
            <w:pPr>
              <w:adjustRightInd w:val="0"/>
              <w:snapToGrid w:val="0"/>
              <w:spacing w:line="240" w:lineRule="auto"/>
              <w:ind w:firstLine="0" w:firstLineChars="0"/>
              <w:rPr>
                <w:rFonts w:cs="Times New Roman"/>
                <w:sz w:val="18"/>
                <w:szCs w:val="18"/>
              </w:rPr>
            </w:pPr>
          </w:p>
        </w:tc>
        <w:tc>
          <w:tcPr>
            <w:tcW w:w="2682" w:type="dxa"/>
            <w:vMerge w:val="continue"/>
            <w:vAlign w:val="center"/>
          </w:tcPr>
          <w:p w14:paraId="01EBAB82">
            <w:pPr>
              <w:adjustRightInd w:val="0"/>
              <w:snapToGrid w:val="0"/>
              <w:spacing w:line="240" w:lineRule="auto"/>
              <w:ind w:firstLine="0" w:firstLineChars="0"/>
              <w:rPr>
                <w:rFonts w:cs="Times New Roman"/>
                <w:sz w:val="18"/>
                <w:szCs w:val="18"/>
              </w:rPr>
            </w:pPr>
          </w:p>
        </w:tc>
        <w:tc>
          <w:tcPr>
            <w:tcW w:w="3640" w:type="dxa"/>
            <w:vAlign w:val="center"/>
          </w:tcPr>
          <w:p w14:paraId="491F4D67">
            <w:pPr>
              <w:adjustRightInd w:val="0"/>
              <w:snapToGrid w:val="0"/>
              <w:spacing w:line="240" w:lineRule="auto"/>
              <w:ind w:firstLine="0" w:firstLineChars="0"/>
              <w:jc w:val="center"/>
              <w:rPr>
                <w:rFonts w:cs="Times New Roman"/>
                <w:sz w:val="18"/>
                <w:szCs w:val="18"/>
              </w:rPr>
            </w:pPr>
            <w:r>
              <w:rPr>
                <w:rFonts w:cs="Times New Roman"/>
                <w:sz w:val="18"/>
                <w:szCs w:val="18"/>
              </w:rPr>
              <w:t>多年平均风速（D8）</w:t>
            </w:r>
          </w:p>
        </w:tc>
      </w:tr>
      <w:tr w14:paraId="14172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1FF8E2A5">
            <w:pPr>
              <w:adjustRightInd w:val="0"/>
              <w:snapToGrid w:val="0"/>
              <w:spacing w:line="240" w:lineRule="auto"/>
              <w:ind w:firstLine="0" w:firstLineChars="0"/>
              <w:rPr>
                <w:rFonts w:cs="Times New Roman"/>
                <w:sz w:val="18"/>
                <w:szCs w:val="18"/>
              </w:rPr>
            </w:pPr>
          </w:p>
        </w:tc>
        <w:tc>
          <w:tcPr>
            <w:tcW w:w="909" w:type="dxa"/>
            <w:vMerge w:val="continue"/>
            <w:vAlign w:val="center"/>
          </w:tcPr>
          <w:p w14:paraId="2A1B979A">
            <w:pPr>
              <w:adjustRightInd w:val="0"/>
              <w:snapToGrid w:val="0"/>
              <w:spacing w:line="240" w:lineRule="auto"/>
              <w:ind w:firstLine="0" w:firstLineChars="0"/>
              <w:rPr>
                <w:rFonts w:cs="Times New Roman"/>
                <w:sz w:val="18"/>
                <w:szCs w:val="18"/>
              </w:rPr>
            </w:pPr>
          </w:p>
        </w:tc>
        <w:tc>
          <w:tcPr>
            <w:tcW w:w="2682" w:type="dxa"/>
            <w:vMerge w:val="restart"/>
            <w:vAlign w:val="center"/>
          </w:tcPr>
          <w:p w14:paraId="7F93C99B">
            <w:pPr>
              <w:adjustRightInd w:val="0"/>
              <w:snapToGrid w:val="0"/>
              <w:spacing w:line="240" w:lineRule="auto"/>
              <w:ind w:firstLine="0" w:firstLineChars="0"/>
              <w:jc w:val="center"/>
              <w:rPr>
                <w:rFonts w:cs="Times New Roman"/>
                <w:sz w:val="18"/>
                <w:szCs w:val="18"/>
              </w:rPr>
            </w:pPr>
            <w:r>
              <w:rPr>
                <w:rFonts w:cs="Times New Roman"/>
                <w:sz w:val="18"/>
                <w:szCs w:val="18"/>
              </w:rPr>
              <w:t>植被因子（C3）</w:t>
            </w:r>
          </w:p>
        </w:tc>
        <w:tc>
          <w:tcPr>
            <w:tcW w:w="3640" w:type="dxa"/>
            <w:vAlign w:val="center"/>
          </w:tcPr>
          <w:p w14:paraId="63AA3744">
            <w:pPr>
              <w:adjustRightInd w:val="0"/>
              <w:snapToGrid w:val="0"/>
              <w:spacing w:line="240" w:lineRule="auto"/>
              <w:ind w:firstLine="0" w:firstLineChars="0"/>
              <w:jc w:val="center"/>
              <w:rPr>
                <w:rFonts w:cs="Times New Roman"/>
                <w:sz w:val="18"/>
                <w:szCs w:val="18"/>
              </w:rPr>
            </w:pPr>
            <w:r>
              <w:rPr>
                <w:rFonts w:cs="Times New Roman"/>
                <w:sz w:val="18"/>
                <w:szCs w:val="18"/>
              </w:rPr>
              <w:t>森林覆盖率（D9）</w:t>
            </w:r>
          </w:p>
        </w:tc>
      </w:tr>
      <w:tr w14:paraId="0398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56E281A0">
            <w:pPr>
              <w:adjustRightInd w:val="0"/>
              <w:snapToGrid w:val="0"/>
              <w:spacing w:line="240" w:lineRule="auto"/>
              <w:ind w:firstLine="0" w:firstLineChars="0"/>
              <w:rPr>
                <w:rFonts w:cs="Times New Roman"/>
                <w:sz w:val="18"/>
                <w:szCs w:val="18"/>
              </w:rPr>
            </w:pPr>
          </w:p>
        </w:tc>
        <w:tc>
          <w:tcPr>
            <w:tcW w:w="909" w:type="dxa"/>
            <w:vMerge w:val="continue"/>
            <w:vAlign w:val="center"/>
          </w:tcPr>
          <w:p w14:paraId="4A93C4BF">
            <w:pPr>
              <w:adjustRightInd w:val="0"/>
              <w:snapToGrid w:val="0"/>
              <w:spacing w:line="240" w:lineRule="auto"/>
              <w:ind w:firstLine="0" w:firstLineChars="0"/>
              <w:rPr>
                <w:rFonts w:cs="Times New Roman"/>
                <w:sz w:val="18"/>
                <w:szCs w:val="18"/>
              </w:rPr>
            </w:pPr>
          </w:p>
        </w:tc>
        <w:tc>
          <w:tcPr>
            <w:tcW w:w="2682" w:type="dxa"/>
            <w:vMerge w:val="continue"/>
            <w:vAlign w:val="center"/>
          </w:tcPr>
          <w:p w14:paraId="21EFA343">
            <w:pPr>
              <w:adjustRightInd w:val="0"/>
              <w:snapToGrid w:val="0"/>
              <w:spacing w:line="240" w:lineRule="auto"/>
              <w:ind w:firstLine="0" w:firstLineChars="0"/>
              <w:rPr>
                <w:rFonts w:cs="Times New Roman"/>
                <w:sz w:val="18"/>
                <w:szCs w:val="18"/>
              </w:rPr>
            </w:pPr>
          </w:p>
        </w:tc>
        <w:tc>
          <w:tcPr>
            <w:tcW w:w="3640" w:type="dxa"/>
            <w:vAlign w:val="center"/>
          </w:tcPr>
          <w:p w14:paraId="01570CF2">
            <w:pPr>
              <w:adjustRightInd w:val="0"/>
              <w:snapToGrid w:val="0"/>
              <w:spacing w:line="240" w:lineRule="auto"/>
              <w:ind w:firstLine="0" w:firstLineChars="0"/>
              <w:jc w:val="center"/>
              <w:rPr>
                <w:rFonts w:cs="Times New Roman"/>
                <w:sz w:val="18"/>
                <w:szCs w:val="18"/>
              </w:rPr>
            </w:pPr>
            <w:r>
              <w:rPr>
                <w:rFonts w:cs="Times New Roman"/>
                <w:sz w:val="18"/>
                <w:szCs w:val="18"/>
              </w:rPr>
              <w:t>林草覆盖率（D10）</w:t>
            </w:r>
          </w:p>
        </w:tc>
      </w:tr>
      <w:tr w14:paraId="59DB2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75942C5">
            <w:pPr>
              <w:adjustRightInd w:val="0"/>
              <w:snapToGrid w:val="0"/>
              <w:spacing w:line="240" w:lineRule="auto"/>
              <w:ind w:firstLine="0" w:firstLineChars="0"/>
              <w:rPr>
                <w:rFonts w:cs="Times New Roman"/>
                <w:sz w:val="18"/>
                <w:szCs w:val="18"/>
              </w:rPr>
            </w:pPr>
          </w:p>
        </w:tc>
        <w:tc>
          <w:tcPr>
            <w:tcW w:w="909" w:type="dxa"/>
            <w:vMerge w:val="continue"/>
            <w:vAlign w:val="center"/>
          </w:tcPr>
          <w:p w14:paraId="06633879">
            <w:pPr>
              <w:adjustRightInd w:val="0"/>
              <w:snapToGrid w:val="0"/>
              <w:spacing w:line="240" w:lineRule="auto"/>
              <w:ind w:firstLine="0" w:firstLineChars="0"/>
              <w:rPr>
                <w:rFonts w:cs="Times New Roman"/>
                <w:sz w:val="18"/>
                <w:szCs w:val="18"/>
              </w:rPr>
            </w:pPr>
          </w:p>
        </w:tc>
        <w:tc>
          <w:tcPr>
            <w:tcW w:w="2682" w:type="dxa"/>
            <w:vAlign w:val="center"/>
          </w:tcPr>
          <w:p w14:paraId="277A374E">
            <w:pPr>
              <w:adjustRightInd w:val="0"/>
              <w:snapToGrid w:val="0"/>
              <w:spacing w:line="240" w:lineRule="auto"/>
              <w:ind w:firstLine="0" w:firstLineChars="0"/>
              <w:jc w:val="center"/>
              <w:rPr>
                <w:rFonts w:cs="Times New Roman"/>
                <w:sz w:val="18"/>
                <w:szCs w:val="18"/>
              </w:rPr>
            </w:pPr>
            <w:r>
              <w:rPr>
                <w:rFonts w:cs="Times New Roman"/>
                <w:sz w:val="18"/>
                <w:szCs w:val="18"/>
              </w:rPr>
              <w:t>地面组成物质因子（C4）</w:t>
            </w:r>
          </w:p>
        </w:tc>
        <w:tc>
          <w:tcPr>
            <w:tcW w:w="3640" w:type="dxa"/>
            <w:vAlign w:val="center"/>
          </w:tcPr>
          <w:p w14:paraId="16A883F6">
            <w:pPr>
              <w:adjustRightInd w:val="0"/>
              <w:snapToGrid w:val="0"/>
              <w:spacing w:line="240" w:lineRule="auto"/>
              <w:ind w:firstLine="0" w:firstLineChars="0"/>
              <w:jc w:val="center"/>
              <w:rPr>
                <w:rFonts w:cs="Times New Roman"/>
                <w:sz w:val="18"/>
                <w:szCs w:val="18"/>
              </w:rPr>
            </w:pPr>
            <w:r>
              <w:rPr>
                <w:rFonts w:cs="Times New Roman"/>
                <w:sz w:val="18"/>
                <w:szCs w:val="18"/>
              </w:rPr>
              <w:t>土壤类型（D11）</w:t>
            </w:r>
          </w:p>
        </w:tc>
      </w:tr>
      <w:tr w14:paraId="5CE5F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4812D573">
            <w:pPr>
              <w:adjustRightInd w:val="0"/>
              <w:snapToGrid w:val="0"/>
              <w:spacing w:line="240" w:lineRule="auto"/>
              <w:ind w:firstLine="0" w:firstLineChars="0"/>
              <w:rPr>
                <w:rFonts w:cs="Times New Roman"/>
                <w:sz w:val="18"/>
                <w:szCs w:val="18"/>
              </w:rPr>
            </w:pPr>
          </w:p>
        </w:tc>
        <w:tc>
          <w:tcPr>
            <w:tcW w:w="909" w:type="dxa"/>
            <w:vMerge w:val="restart"/>
            <w:vAlign w:val="center"/>
          </w:tcPr>
          <w:p w14:paraId="159380A9">
            <w:pPr>
              <w:adjustRightInd w:val="0"/>
              <w:snapToGrid w:val="0"/>
              <w:spacing w:line="240" w:lineRule="auto"/>
              <w:ind w:firstLine="0" w:firstLineChars="0"/>
              <w:jc w:val="center"/>
              <w:rPr>
                <w:rFonts w:cs="Times New Roman"/>
                <w:sz w:val="18"/>
                <w:szCs w:val="18"/>
              </w:rPr>
            </w:pPr>
            <w:r>
              <w:rPr>
                <w:rFonts w:cs="Times New Roman"/>
                <w:sz w:val="18"/>
                <w:szCs w:val="18"/>
              </w:rPr>
              <w:t>土地利用要素（B2）</w:t>
            </w:r>
          </w:p>
        </w:tc>
        <w:tc>
          <w:tcPr>
            <w:tcW w:w="2682" w:type="dxa"/>
            <w:vMerge w:val="restart"/>
            <w:vAlign w:val="center"/>
          </w:tcPr>
          <w:p w14:paraId="56BB8BBD">
            <w:pPr>
              <w:adjustRightInd w:val="0"/>
              <w:snapToGrid w:val="0"/>
              <w:spacing w:line="240" w:lineRule="auto"/>
              <w:ind w:firstLine="0" w:firstLineChars="0"/>
              <w:jc w:val="center"/>
              <w:rPr>
                <w:rFonts w:cs="Times New Roman"/>
                <w:sz w:val="18"/>
                <w:szCs w:val="18"/>
              </w:rPr>
            </w:pPr>
            <w:r>
              <w:rPr>
                <w:rFonts w:cs="Times New Roman"/>
                <w:sz w:val="18"/>
                <w:szCs w:val="18"/>
              </w:rPr>
              <w:t>各类用地比例因子（C5）</w:t>
            </w:r>
          </w:p>
        </w:tc>
        <w:tc>
          <w:tcPr>
            <w:tcW w:w="3640" w:type="dxa"/>
            <w:vAlign w:val="center"/>
          </w:tcPr>
          <w:p w14:paraId="73ECC246">
            <w:pPr>
              <w:adjustRightInd w:val="0"/>
              <w:snapToGrid w:val="0"/>
              <w:spacing w:line="240" w:lineRule="auto"/>
              <w:ind w:firstLine="0" w:firstLineChars="0"/>
              <w:jc w:val="center"/>
              <w:rPr>
                <w:rFonts w:cs="Times New Roman"/>
                <w:sz w:val="18"/>
                <w:szCs w:val="18"/>
              </w:rPr>
            </w:pPr>
            <w:r>
              <w:rPr>
                <w:rFonts w:cs="Times New Roman"/>
                <w:sz w:val="18"/>
                <w:szCs w:val="18"/>
              </w:rPr>
              <w:t>耕园地比例（D12）</w:t>
            </w:r>
          </w:p>
        </w:tc>
      </w:tr>
      <w:tr w14:paraId="753A7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7D627348">
            <w:pPr>
              <w:adjustRightInd w:val="0"/>
              <w:snapToGrid w:val="0"/>
              <w:spacing w:line="240" w:lineRule="auto"/>
              <w:ind w:firstLine="0" w:firstLineChars="0"/>
              <w:rPr>
                <w:rFonts w:cs="Times New Roman"/>
                <w:sz w:val="18"/>
                <w:szCs w:val="18"/>
              </w:rPr>
            </w:pPr>
          </w:p>
        </w:tc>
        <w:tc>
          <w:tcPr>
            <w:tcW w:w="909" w:type="dxa"/>
            <w:vMerge w:val="continue"/>
            <w:vAlign w:val="center"/>
          </w:tcPr>
          <w:p w14:paraId="44ED927C">
            <w:pPr>
              <w:adjustRightInd w:val="0"/>
              <w:snapToGrid w:val="0"/>
              <w:spacing w:line="240" w:lineRule="auto"/>
              <w:ind w:firstLine="0" w:firstLineChars="0"/>
              <w:rPr>
                <w:rFonts w:cs="Times New Roman"/>
                <w:sz w:val="18"/>
                <w:szCs w:val="18"/>
              </w:rPr>
            </w:pPr>
          </w:p>
        </w:tc>
        <w:tc>
          <w:tcPr>
            <w:tcW w:w="2682" w:type="dxa"/>
            <w:vMerge w:val="continue"/>
            <w:vAlign w:val="center"/>
          </w:tcPr>
          <w:p w14:paraId="6919664D">
            <w:pPr>
              <w:adjustRightInd w:val="0"/>
              <w:snapToGrid w:val="0"/>
              <w:spacing w:line="240" w:lineRule="auto"/>
              <w:ind w:firstLine="0" w:firstLineChars="0"/>
              <w:rPr>
                <w:rFonts w:cs="Times New Roman"/>
                <w:sz w:val="18"/>
                <w:szCs w:val="18"/>
              </w:rPr>
            </w:pPr>
          </w:p>
        </w:tc>
        <w:tc>
          <w:tcPr>
            <w:tcW w:w="3640" w:type="dxa"/>
            <w:vAlign w:val="center"/>
          </w:tcPr>
          <w:p w14:paraId="0E768E36">
            <w:pPr>
              <w:adjustRightInd w:val="0"/>
              <w:snapToGrid w:val="0"/>
              <w:spacing w:line="240" w:lineRule="auto"/>
              <w:ind w:firstLine="0" w:firstLineChars="0"/>
              <w:jc w:val="center"/>
              <w:rPr>
                <w:rFonts w:cs="Times New Roman"/>
                <w:sz w:val="18"/>
                <w:szCs w:val="18"/>
              </w:rPr>
            </w:pPr>
            <w:r>
              <w:rPr>
                <w:rFonts w:cs="Times New Roman"/>
                <w:sz w:val="18"/>
                <w:szCs w:val="18"/>
              </w:rPr>
              <w:t>林地面积比例（D13）</w:t>
            </w:r>
          </w:p>
        </w:tc>
      </w:tr>
      <w:tr w14:paraId="6AA5A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5F493DBF">
            <w:pPr>
              <w:adjustRightInd w:val="0"/>
              <w:snapToGrid w:val="0"/>
              <w:spacing w:line="240" w:lineRule="auto"/>
              <w:ind w:firstLine="0" w:firstLineChars="0"/>
              <w:rPr>
                <w:rFonts w:cs="Times New Roman"/>
                <w:sz w:val="18"/>
                <w:szCs w:val="18"/>
              </w:rPr>
            </w:pPr>
          </w:p>
        </w:tc>
        <w:tc>
          <w:tcPr>
            <w:tcW w:w="909" w:type="dxa"/>
            <w:vMerge w:val="continue"/>
            <w:vAlign w:val="center"/>
          </w:tcPr>
          <w:p w14:paraId="17D2B184">
            <w:pPr>
              <w:adjustRightInd w:val="0"/>
              <w:snapToGrid w:val="0"/>
              <w:spacing w:line="240" w:lineRule="auto"/>
              <w:ind w:firstLine="0" w:firstLineChars="0"/>
              <w:rPr>
                <w:rFonts w:cs="Times New Roman"/>
                <w:sz w:val="18"/>
                <w:szCs w:val="18"/>
              </w:rPr>
            </w:pPr>
          </w:p>
        </w:tc>
        <w:tc>
          <w:tcPr>
            <w:tcW w:w="2682" w:type="dxa"/>
            <w:vMerge w:val="continue"/>
            <w:vAlign w:val="center"/>
          </w:tcPr>
          <w:p w14:paraId="08F0C25D">
            <w:pPr>
              <w:adjustRightInd w:val="0"/>
              <w:snapToGrid w:val="0"/>
              <w:spacing w:line="240" w:lineRule="auto"/>
              <w:ind w:firstLine="0" w:firstLineChars="0"/>
              <w:rPr>
                <w:rFonts w:cs="Times New Roman"/>
                <w:sz w:val="18"/>
                <w:szCs w:val="18"/>
              </w:rPr>
            </w:pPr>
          </w:p>
        </w:tc>
        <w:tc>
          <w:tcPr>
            <w:tcW w:w="3640" w:type="dxa"/>
            <w:vAlign w:val="center"/>
          </w:tcPr>
          <w:p w14:paraId="175D201C">
            <w:pPr>
              <w:adjustRightInd w:val="0"/>
              <w:snapToGrid w:val="0"/>
              <w:spacing w:line="240" w:lineRule="auto"/>
              <w:ind w:firstLine="0" w:firstLineChars="0"/>
              <w:jc w:val="center"/>
              <w:rPr>
                <w:rFonts w:cs="Times New Roman"/>
                <w:sz w:val="18"/>
                <w:szCs w:val="18"/>
              </w:rPr>
            </w:pPr>
            <w:r>
              <w:rPr>
                <w:rFonts w:cs="Times New Roman"/>
                <w:sz w:val="18"/>
                <w:szCs w:val="18"/>
              </w:rPr>
              <w:t>草地面积比例（D14）</w:t>
            </w:r>
          </w:p>
        </w:tc>
      </w:tr>
      <w:tr w14:paraId="5521A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6EFBB552">
            <w:pPr>
              <w:adjustRightInd w:val="0"/>
              <w:snapToGrid w:val="0"/>
              <w:spacing w:line="240" w:lineRule="auto"/>
              <w:ind w:firstLine="0" w:firstLineChars="0"/>
              <w:rPr>
                <w:rFonts w:cs="Times New Roman"/>
                <w:sz w:val="18"/>
                <w:szCs w:val="18"/>
              </w:rPr>
            </w:pPr>
          </w:p>
        </w:tc>
        <w:tc>
          <w:tcPr>
            <w:tcW w:w="909" w:type="dxa"/>
            <w:vMerge w:val="continue"/>
            <w:vAlign w:val="center"/>
          </w:tcPr>
          <w:p w14:paraId="49680D9D">
            <w:pPr>
              <w:adjustRightInd w:val="0"/>
              <w:snapToGrid w:val="0"/>
              <w:spacing w:line="240" w:lineRule="auto"/>
              <w:ind w:firstLine="0" w:firstLineChars="0"/>
              <w:rPr>
                <w:rFonts w:cs="Times New Roman"/>
                <w:sz w:val="18"/>
                <w:szCs w:val="18"/>
              </w:rPr>
            </w:pPr>
          </w:p>
        </w:tc>
        <w:tc>
          <w:tcPr>
            <w:tcW w:w="2682" w:type="dxa"/>
            <w:vMerge w:val="continue"/>
            <w:vAlign w:val="center"/>
          </w:tcPr>
          <w:p w14:paraId="37DF1F92">
            <w:pPr>
              <w:adjustRightInd w:val="0"/>
              <w:snapToGrid w:val="0"/>
              <w:spacing w:line="240" w:lineRule="auto"/>
              <w:ind w:firstLine="0" w:firstLineChars="0"/>
              <w:rPr>
                <w:rFonts w:cs="Times New Roman"/>
                <w:sz w:val="18"/>
                <w:szCs w:val="18"/>
              </w:rPr>
            </w:pPr>
          </w:p>
        </w:tc>
        <w:tc>
          <w:tcPr>
            <w:tcW w:w="3640" w:type="dxa"/>
            <w:vAlign w:val="center"/>
          </w:tcPr>
          <w:p w14:paraId="05CAEE39">
            <w:pPr>
              <w:adjustRightInd w:val="0"/>
              <w:snapToGrid w:val="0"/>
              <w:spacing w:line="240" w:lineRule="auto"/>
              <w:ind w:firstLine="0" w:firstLineChars="0"/>
              <w:jc w:val="center"/>
              <w:rPr>
                <w:rFonts w:cs="Times New Roman"/>
                <w:sz w:val="18"/>
                <w:szCs w:val="18"/>
              </w:rPr>
            </w:pPr>
            <w:r>
              <w:rPr>
                <w:rFonts w:cs="Times New Roman"/>
                <w:sz w:val="18"/>
                <w:szCs w:val="18"/>
              </w:rPr>
              <w:t>未利用土地面积比例（D15）</w:t>
            </w:r>
          </w:p>
        </w:tc>
      </w:tr>
      <w:tr w14:paraId="60E0C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8078C64">
            <w:pPr>
              <w:adjustRightInd w:val="0"/>
              <w:snapToGrid w:val="0"/>
              <w:spacing w:line="240" w:lineRule="auto"/>
              <w:ind w:firstLine="0" w:firstLineChars="0"/>
              <w:rPr>
                <w:rFonts w:cs="Times New Roman"/>
                <w:sz w:val="18"/>
                <w:szCs w:val="18"/>
              </w:rPr>
            </w:pPr>
          </w:p>
        </w:tc>
        <w:tc>
          <w:tcPr>
            <w:tcW w:w="909" w:type="dxa"/>
            <w:vMerge w:val="continue"/>
            <w:vAlign w:val="center"/>
          </w:tcPr>
          <w:p w14:paraId="24A17E9E">
            <w:pPr>
              <w:adjustRightInd w:val="0"/>
              <w:snapToGrid w:val="0"/>
              <w:spacing w:line="240" w:lineRule="auto"/>
              <w:ind w:firstLine="0" w:firstLineChars="0"/>
              <w:rPr>
                <w:rFonts w:cs="Times New Roman"/>
                <w:sz w:val="18"/>
                <w:szCs w:val="18"/>
              </w:rPr>
            </w:pPr>
          </w:p>
        </w:tc>
        <w:tc>
          <w:tcPr>
            <w:tcW w:w="2682" w:type="dxa"/>
            <w:vAlign w:val="center"/>
          </w:tcPr>
          <w:p w14:paraId="62834644">
            <w:pPr>
              <w:adjustRightInd w:val="0"/>
              <w:snapToGrid w:val="0"/>
              <w:spacing w:line="240" w:lineRule="auto"/>
              <w:ind w:firstLine="0" w:firstLineChars="0"/>
              <w:jc w:val="center"/>
              <w:rPr>
                <w:rFonts w:cs="Times New Roman"/>
                <w:sz w:val="18"/>
                <w:szCs w:val="18"/>
              </w:rPr>
            </w:pPr>
            <w:r>
              <w:rPr>
                <w:rFonts w:cs="Times New Roman"/>
                <w:sz w:val="18"/>
                <w:szCs w:val="18"/>
              </w:rPr>
              <w:t>坡耕地比例因子（C6）</w:t>
            </w:r>
          </w:p>
        </w:tc>
        <w:tc>
          <w:tcPr>
            <w:tcW w:w="3640" w:type="dxa"/>
            <w:vAlign w:val="center"/>
          </w:tcPr>
          <w:p w14:paraId="612B9ADC">
            <w:pPr>
              <w:adjustRightInd w:val="0"/>
              <w:snapToGrid w:val="0"/>
              <w:spacing w:line="240" w:lineRule="auto"/>
              <w:ind w:firstLine="0" w:firstLineChars="0"/>
              <w:jc w:val="center"/>
              <w:rPr>
                <w:rFonts w:cs="Times New Roman"/>
                <w:sz w:val="18"/>
                <w:szCs w:val="18"/>
              </w:rPr>
            </w:pPr>
            <w:r>
              <w:rPr>
                <w:rFonts w:cs="Times New Roman"/>
                <w:sz w:val="18"/>
                <w:szCs w:val="18"/>
              </w:rPr>
              <w:t>坡耕地比例（D16）</w:t>
            </w:r>
          </w:p>
        </w:tc>
      </w:tr>
      <w:tr w14:paraId="125C6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29A342F0">
            <w:pPr>
              <w:adjustRightInd w:val="0"/>
              <w:snapToGrid w:val="0"/>
              <w:spacing w:line="240" w:lineRule="auto"/>
              <w:ind w:firstLine="0" w:firstLineChars="0"/>
              <w:rPr>
                <w:rFonts w:cs="Times New Roman"/>
                <w:sz w:val="18"/>
                <w:szCs w:val="18"/>
              </w:rPr>
            </w:pPr>
          </w:p>
        </w:tc>
        <w:tc>
          <w:tcPr>
            <w:tcW w:w="909" w:type="dxa"/>
            <w:vMerge w:val="restart"/>
            <w:vAlign w:val="center"/>
          </w:tcPr>
          <w:p w14:paraId="774BAB2E">
            <w:pPr>
              <w:adjustRightInd w:val="0"/>
              <w:snapToGrid w:val="0"/>
              <w:spacing w:line="240" w:lineRule="auto"/>
              <w:ind w:firstLine="0" w:firstLineChars="0"/>
              <w:jc w:val="center"/>
              <w:rPr>
                <w:rFonts w:cs="Times New Roman"/>
                <w:sz w:val="18"/>
                <w:szCs w:val="18"/>
              </w:rPr>
            </w:pPr>
            <w:r>
              <w:rPr>
                <w:rFonts w:cs="Times New Roman"/>
                <w:sz w:val="18"/>
                <w:szCs w:val="18"/>
              </w:rPr>
              <w:t>社会经济要素（B3）</w:t>
            </w:r>
          </w:p>
        </w:tc>
        <w:tc>
          <w:tcPr>
            <w:tcW w:w="2682" w:type="dxa"/>
            <w:vAlign w:val="center"/>
          </w:tcPr>
          <w:p w14:paraId="2CF2F42E">
            <w:pPr>
              <w:adjustRightInd w:val="0"/>
              <w:snapToGrid w:val="0"/>
              <w:spacing w:line="240" w:lineRule="auto"/>
              <w:ind w:firstLine="0" w:firstLineChars="0"/>
              <w:jc w:val="center"/>
              <w:rPr>
                <w:rFonts w:cs="Times New Roman"/>
                <w:sz w:val="18"/>
                <w:szCs w:val="18"/>
              </w:rPr>
            </w:pPr>
            <w:r>
              <w:rPr>
                <w:rFonts w:cs="Times New Roman"/>
                <w:sz w:val="18"/>
                <w:szCs w:val="18"/>
              </w:rPr>
              <w:t>人口因子（C7）</w:t>
            </w:r>
          </w:p>
        </w:tc>
        <w:tc>
          <w:tcPr>
            <w:tcW w:w="3640" w:type="dxa"/>
            <w:vAlign w:val="center"/>
          </w:tcPr>
          <w:p w14:paraId="7F8E54E9">
            <w:pPr>
              <w:adjustRightInd w:val="0"/>
              <w:snapToGrid w:val="0"/>
              <w:spacing w:line="240" w:lineRule="auto"/>
              <w:ind w:firstLine="0" w:firstLineChars="0"/>
              <w:jc w:val="center"/>
              <w:rPr>
                <w:rFonts w:cs="Times New Roman"/>
                <w:sz w:val="18"/>
                <w:szCs w:val="18"/>
              </w:rPr>
            </w:pPr>
            <w:r>
              <w:rPr>
                <w:rFonts w:cs="Times New Roman"/>
                <w:sz w:val="18"/>
                <w:szCs w:val="18"/>
              </w:rPr>
              <w:t>人口密度（D17）</w:t>
            </w:r>
          </w:p>
        </w:tc>
      </w:tr>
      <w:tr w14:paraId="3BDA6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7D85BE7A">
            <w:pPr>
              <w:adjustRightInd w:val="0"/>
              <w:snapToGrid w:val="0"/>
              <w:spacing w:line="240" w:lineRule="auto"/>
              <w:ind w:firstLine="0" w:firstLineChars="0"/>
              <w:rPr>
                <w:rFonts w:cs="Times New Roman"/>
                <w:sz w:val="18"/>
                <w:szCs w:val="18"/>
              </w:rPr>
            </w:pPr>
          </w:p>
        </w:tc>
        <w:tc>
          <w:tcPr>
            <w:tcW w:w="909" w:type="dxa"/>
            <w:vMerge w:val="continue"/>
            <w:vAlign w:val="center"/>
          </w:tcPr>
          <w:p w14:paraId="0EE94B74">
            <w:pPr>
              <w:adjustRightInd w:val="0"/>
              <w:snapToGrid w:val="0"/>
              <w:spacing w:line="240" w:lineRule="auto"/>
              <w:ind w:firstLine="0" w:firstLineChars="0"/>
              <w:rPr>
                <w:rFonts w:cs="Times New Roman"/>
                <w:sz w:val="18"/>
                <w:szCs w:val="18"/>
              </w:rPr>
            </w:pPr>
          </w:p>
        </w:tc>
        <w:tc>
          <w:tcPr>
            <w:tcW w:w="2682" w:type="dxa"/>
            <w:vMerge w:val="restart"/>
            <w:vAlign w:val="center"/>
          </w:tcPr>
          <w:p w14:paraId="270061CE">
            <w:pPr>
              <w:adjustRightInd w:val="0"/>
              <w:snapToGrid w:val="0"/>
              <w:spacing w:line="240" w:lineRule="auto"/>
              <w:ind w:firstLine="0" w:firstLineChars="0"/>
              <w:jc w:val="center"/>
              <w:rPr>
                <w:rFonts w:cs="Times New Roman"/>
                <w:sz w:val="18"/>
                <w:szCs w:val="18"/>
              </w:rPr>
            </w:pPr>
            <w:r>
              <w:rPr>
                <w:rFonts w:cs="Times New Roman"/>
                <w:sz w:val="18"/>
                <w:szCs w:val="18"/>
              </w:rPr>
              <w:t>经济因子（C8）</w:t>
            </w:r>
          </w:p>
        </w:tc>
        <w:tc>
          <w:tcPr>
            <w:tcW w:w="3640" w:type="dxa"/>
            <w:vAlign w:val="center"/>
          </w:tcPr>
          <w:p w14:paraId="54B4EC4F">
            <w:pPr>
              <w:adjustRightInd w:val="0"/>
              <w:snapToGrid w:val="0"/>
              <w:spacing w:line="240" w:lineRule="auto"/>
              <w:ind w:firstLine="0" w:firstLineChars="0"/>
              <w:jc w:val="center"/>
              <w:rPr>
                <w:rFonts w:cs="Times New Roman"/>
                <w:sz w:val="18"/>
                <w:szCs w:val="18"/>
              </w:rPr>
            </w:pPr>
            <w:r>
              <w:rPr>
                <w:rFonts w:cs="Times New Roman"/>
                <w:sz w:val="18"/>
                <w:szCs w:val="18"/>
              </w:rPr>
              <w:t>人均GDP（D18）</w:t>
            </w:r>
          </w:p>
        </w:tc>
      </w:tr>
      <w:tr w14:paraId="5EDAC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45FB765F">
            <w:pPr>
              <w:adjustRightInd w:val="0"/>
              <w:snapToGrid w:val="0"/>
              <w:spacing w:line="240" w:lineRule="auto"/>
              <w:ind w:firstLine="0" w:firstLineChars="0"/>
              <w:rPr>
                <w:rFonts w:cs="Times New Roman"/>
                <w:sz w:val="18"/>
                <w:szCs w:val="18"/>
              </w:rPr>
            </w:pPr>
          </w:p>
        </w:tc>
        <w:tc>
          <w:tcPr>
            <w:tcW w:w="909" w:type="dxa"/>
            <w:vMerge w:val="continue"/>
            <w:vAlign w:val="center"/>
          </w:tcPr>
          <w:p w14:paraId="5AF906A2">
            <w:pPr>
              <w:adjustRightInd w:val="0"/>
              <w:snapToGrid w:val="0"/>
              <w:spacing w:line="240" w:lineRule="auto"/>
              <w:ind w:firstLine="0" w:firstLineChars="0"/>
              <w:rPr>
                <w:rFonts w:cs="Times New Roman"/>
                <w:sz w:val="18"/>
                <w:szCs w:val="18"/>
              </w:rPr>
            </w:pPr>
          </w:p>
        </w:tc>
        <w:tc>
          <w:tcPr>
            <w:tcW w:w="2682" w:type="dxa"/>
            <w:vMerge w:val="continue"/>
            <w:vAlign w:val="center"/>
          </w:tcPr>
          <w:p w14:paraId="1E8052D0">
            <w:pPr>
              <w:adjustRightInd w:val="0"/>
              <w:snapToGrid w:val="0"/>
              <w:spacing w:line="240" w:lineRule="auto"/>
              <w:ind w:firstLine="0" w:firstLineChars="0"/>
              <w:rPr>
                <w:rFonts w:cs="Times New Roman"/>
                <w:sz w:val="18"/>
                <w:szCs w:val="18"/>
              </w:rPr>
            </w:pPr>
          </w:p>
        </w:tc>
        <w:tc>
          <w:tcPr>
            <w:tcW w:w="3640" w:type="dxa"/>
            <w:vAlign w:val="center"/>
          </w:tcPr>
          <w:p w14:paraId="3BF5C6DC">
            <w:pPr>
              <w:adjustRightInd w:val="0"/>
              <w:snapToGrid w:val="0"/>
              <w:spacing w:line="240" w:lineRule="auto"/>
              <w:ind w:firstLine="0" w:firstLineChars="0"/>
              <w:jc w:val="center"/>
              <w:rPr>
                <w:rFonts w:cs="Times New Roman"/>
                <w:sz w:val="18"/>
                <w:szCs w:val="18"/>
              </w:rPr>
            </w:pPr>
            <w:r>
              <w:rPr>
                <w:rFonts w:cs="Times New Roman"/>
                <w:sz w:val="18"/>
                <w:szCs w:val="18"/>
              </w:rPr>
              <w:t>人均耕园地（D19）</w:t>
            </w:r>
          </w:p>
        </w:tc>
      </w:tr>
      <w:tr w14:paraId="449D6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9714837">
            <w:pPr>
              <w:adjustRightInd w:val="0"/>
              <w:snapToGrid w:val="0"/>
              <w:spacing w:line="240" w:lineRule="auto"/>
              <w:ind w:firstLine="0" w:firstLineChars="0"/>
              <w:rPr>
                <w:rFonts w:cs="Times New Roman"/>
                <w:sz w:val="18"/>
                <w:szCs w:val="18"/>
              </w:rPr>
            </w:pPr>
          </w:p>
        </w:tc>
        <w:tc>
          <w:tcPr>
            <w:tcW w:w="909" w:type="dxa"/>
            <w:vMerge w:val="continue"/>
            <w:vAlign w:val="center"/>
          </w:tcPr>
          <w:p w14:paraId="59EC097F">
            <w:pPr>
              <w:adjustRightInd w:val="0"/>
              <w:snapToGrid w:val="0"/>
              <w:spacing w:line="240" w:lineRule="auto"/>
              <w:ind w:firstLine="0" w:firstLineChars="0"/>
              <w:rPr>
                <w:rFonts w:cs="Times New Roman"/>
                <w:sz w:val="18"/>
                <w:szCs w:val="18"/>
              </w:rPr>
            </w:pPr>
          </w:p>
        </w:tc>
        <w:tc>
          <w:tcPr>
            <w:tcW w:w="2682" w:type="dxa"/>
            <w:vMerge w:val="continue"/>
            <w:vAlign w:val="center"/>
          </w:tcPr>
          <w:p w14:paraId="4F352AB9">
            <w:pPr>
              <w:adjustRightInd w:val="0"/>
              <w:snapToGrid w:val="0"/>
              <w:spacing w:line="240" w:lineRule="auto"/>
              <w:ind w:firstLine="0" w:firstLineChars="0"/>
              <w:rPr>
                <w:rFonts w:cs="Times New Roman"/>
                <w:sz w:val="18"/>
                <w:szCs w:val="18"/>
              </w:rPr>
            </w:pPr>
          </w:p>
        </w:tc>
        <w:tc>
          <w:tcPr>
            <w:tcW w:w="3640" w:type="dxa"/>
            <w:vAlign w:val="center"/>
          </w:tcPr>
          <w:p w14:paraId="45B4D007">
            <w:pPr>
              <w:adjustRightInd w:val="0"/>
              <w:snapToGrid w:val="0"/>
              <w:spacing w:line="240" w:lineRule="auto"/>
              <w:ind w:firstLine="0" w:firstLineChars="0"/>
              <w:jc w:val="center"/>
              <w:rPr>
                <w:rFonts w:cs="Times New Roman"/>
                <w:sz w:val="18"/>
                <w:szCs w:val="18"/>
              </w:rPr>
            </w:pPr>
            <w:r>
              <w:rPr>
                <w:rFonts w:cs="Times New Roman"/>
                <w:sz w:val="18"/>
                <w:szCs w:val="18"/>
              </w:rPr>
              <w:t>粮食单产（D20）</w:t>
            </w:r>
          </w:p>
        </w:tc>
      </w:tr>
      <w:tr w14:paraId="70634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659FF89F">
            <w:pPr>
              <w:adjustRightInd w:val="0"/>
              <w:snapToGrid w:val="0"/>
              <w:spacing w:line="240" w:lineRule="auto"/>
              <w:ind w:firstLine="0" w:firstLineChars="0"/>
              <w:rPr>
                <w:rFonts w:cs="Times New Roman"/>
                <w:sz w:val="18"/>
                <w:szCs w:val="18"/>
              </w:rPr>
            </w:pPr>
          </w:p>
        </w:tc>
        <w:tc>
          <w:tcPr>
            <w:tcW w:w="909" w:type="dxa"/>
            <w:vMerge w:val="continue"/>
            <w:vAlign w:val="center"/>
          </w:tcPr>
          <w:p w14:paraId="4511C740">
            <w:pPr>
              <w:adjustRightInd w:val="0"/>
              <w:snapToGrid w:val="0"/>
              <w:spacing w:line="240" w:lineRule="auto"/>
              <w:ind w:firstLine="0" w:firstLineChars="0"/>
              <w:rPr>
                <w:rFonts w:cs="Times New Roman"/>
                <w:sz w:val="18"/>
                <w:szCs w:val="18"/>
              </w:rPr>
            </w:pPr>
          </w:p>
        </w:tc>
        <w:tc>
          <w:tcPr>
            <w:tcW w:w="2682" w:type="dxa"/>
            <w:vMerge w:val="continue"/>
            <w:vAlign w:val="center"/>
          </w:tcPr>
          <w:p w14:paraId="5615B3C5">
            <w:pPr>
              <w:adjustRightInd w:val="0"/>
              <w:snapToGrid w:val="0"/>
              <w:spacing w:line="240" w:lineRule="auto"/>
              <w:ind w:firstLine="0" w:firstLineChars="0"/>
              <w:rPr>
                <w:rFonts w:cs="Times New Roman"/>
                <w:sz w:val="18"/>
                <w:szCs w:val="18"/>
              </w:rPr>
            </w:pPr>
          </w:p>
        </w:tc>
        <w:tc>
          <w:tcPr>
            <w:tcW w:w="3640" w:type="dxa"/>
            <w:vAlign w:val="center"/>
          </w:tcPr>
          <w:p w14:paraId="199E7E63">
            <w:pPr>
              <w:adjustRightInd w:val="0"/>
              <w:snapToGrid w:val="0"/>
              <w:spacing w:line="240" w:lineRule="auto"/>
              <w:ind w:firstLine="0" w:firstLineChars="0"/>
              <w:jc w:val="center"/>
              <w:rPr>
                <w:rFonts w:cs="Times New Roman"/>
                <w:sz w:val="18"/>
                <w:szCs w:val="18"/>
              </w:rPr>
            </w:pPr>
            <w:r>
              <w:rPr>
                <w:rFonts w:cs="Times New Roman"/>
                <w:sz w:val="18"/>
                <w:szCs w:val="18"/>
              </w:rPr>
              <w:t>牧业产值比例（D21）</w:t>
            </w:r>
          </w:p>
        </w:tc>
      </w:tr>
      <w:tr w14:paraId="50C40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2C6A198B">
            <w:pPr>
              <w:adjustRightInd w:val="0"/>
              <w:snapToGrid w:val="0"/>
              <w:spacing w:line="240" w:lineRule="auto"/>
              <w:ind w:firstLine="0" w:firstLineChars="0"/>
              <w:rPr>
                <w:rFonts w:cs="Times New Roman"/>
                <w:sz w:val="18"/>
                <w:szCs w:val="18"/>
              </w:rPr>
            </w:pPr>
          </w:p>
        </w:tc>
        <w:tc>
          <w:tcPr>
            <w:tcW w:w="909" w:type="dxa"/>
            <w:vMerge w:val="continue"/>
            <w:vAlign w:val="center"/>
          </w:tcPr>
          <w:p w14:paraId="7D62BC97">
            <w:pPr>
              <w:adjustRightInd w:val="0"/>
              <w:snapToGrid w:val="0"/>
              <w:spacing w:line="240" w:lineRule="auto"/>
              <w:ind w:firstLine="0" w:firstLineChars="0"/>
              <w:rPr>
                <w:rFonts w:cs="Times New Roman"/>
                <w:sz w:val="18"/>
                <w:szCs w:val="18"/>
              </w:rPr>
            </w:pPr>
          </w:p>
        </w:tc>
        <w:tc>
          <w:tcPr>
            <w:tcW w:w="2682" w:type="dxa"/>
            <w:vMerge w:val="continue"/>
            <w:vAlign w:val="center"/>
          </w:tcPr>
          <w:p w14:paraId="4FE9D78D">
            <w:pPr>
              <w:adjustRightInd w:val="0"/>
              <w:snapToGrid w:val="0"/>
              <w:spacing w:line="240" w:lineRule="auto"/>
              <w:ind w:firstLine="0" w:firstLineChars="0"/>
              <w:rPr>
                <w:rFonts w:cs="Times New Roman"/>
                <w:sz w:val="18"/>
                <w:szCs w:val="18"/>
              </w:rPr>
            </w:pPr>
          </w:p>
        </w:tc>
        <w:tc>
          <w:tcPr>
            <w:tcW w:w="3640" w:type="dxa"/>
            <w:vAlign w:val="center"/>
          </w:tcPr>
          <w:p w14:paraId="58FF2F3D">
            <w:pPr>
              <w:adjustRightInd w:val="0"/>
              <w:snapToGrid w:val="0"/>
              <w:spacing w:line="240" w:lineRule="auto"/>
              <w:ind w:firstLine="0" w:firstLineChars="0"/>
              <w:jc w:val="center"/>
              <w:rPr>
                <w:rFonts w:cs="Times New Roman"/>
                <w:sz w:val="18"/>
                <w:szCs w:val="18"/>
              </w:rPr>
            </w:pPr>
            <w:r>
              <w:rPr>
                <w:rFonts w:cs="Times New Roman"/>
                <w:sz w:val="18"/>
                <w:szCs w:val="18"/>
              </w:rPr>
              <w:t>第一产业生产总值比例（D22）</w:t>
            </w:r>
          </w:p>
        </w:tc>
      </w:tr>
      <w:tr w14:paraId="60356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BC1AAB4">
            <w:pPr>
              <w:adjustRightInd w:val="0"/>
              <w:snapToGrid w:val="0"/>
              <w:spacing w:line="240" w:lineRule="auto"/>
              <w:ind w:firstLine="0" w:firstLineChars="0"/>
              <w:rPr>
                <w:rFonts w:cs="Times New Roman"/>
                <w:sz w:val="18"/>
                <w:szCs w:val="18"/>
              </w:rPr>
            </w:pPr>
          </w:p>
        </w:tc>
        <w:tc>
          <w:tcPr>
            <w:tcW w:w="909" w:type="dxa"/>
            <w:vMerge w:val="restart"/>
            <w:vAlign w:val="center"/>
          </w:tcPr>
          <w:p w14:paraId="1FBE6E0B">
            <w:pPr>
              <w:adjustRightInd w:val="0"/>
              <w:snapToGrid w:val="0"/>
              <w:spacing w:line="240" w:lineRule="auto"/>
              <w:ind w:firstLine="0" w:firstLineChars="0"/>
              <w:jc w:val="center"/>
              <w:rPr>
                <w:rFonts w:cs="Times New Roman"/>
                <w:sz w:val="18"/>
                <w:szCs w:val="18"/>
              </w:rPr>
            </w:pPr>
            <w:r>
              <w:rPr>
                <w:rFonts w:cs="Times New Roman"/>
                <w:sz w:val="18"/>
                <w:szCs w:val="18"/>
              </w:rPr>
              <w:t>水土流失要素（B4）</w:t>
            </w:r>
          </w:p>
        </w:tc>
        <w:tc>
          <w:tcPr>
            <w:tcW w:w="2682" w:type="dxa"/>
            <w:vAlign w:val="center"/>
          </w:tcPr>
          <w:p w14:paraId="67906DBE">
            <w:pPr>
              <w:adjustRightInd w:val="0"/>
              <w:snapToGrid w:val="0"/>
              <w:spacing w:line="240" w:lineRule="auto"/>
              <w:ind w:firstLine="0" w:firstLineChars="0"/>
              <w:jc w:val="center"/>
              <w:rPr>
                <w:rFonts w:cs="Times New Roman"/>
                <w:sz w:val="18"/>
                <w:szCs w:val="18"/>
              </w:rPr>
            </w:pPr>
            <w:r>
              <w:rPr>
                <w:rFonts w:cs="Times New Roman"/>
                <w:sz w:val="18"/>
                <w:szCs w:val="18"/>
              </w:rPr>
              <w:t>水土流失类型因子（C9）</w:t>
            </w:r>
          </w:p>
        </w:tc>
        <w:tc>
          <w:tcPr>
            <w:tcW w:w="3640" w:type="dxa"/>
            <w:vAlign w:val="center"/>
          </w:tcPr>
          <w:p w14:paraId="2ACEF262">
            <w:pPr>
              <w:adjustRightInd w:val="0"/>
              <w:snapToGrid w:val="0"/>
              <w:spacing w:line="240" w:lineRule="auto"/>
              <w:ind w:firstLine="0" w:firstLineChars="0"/>
              <w:jc w:val="center"/>
              <w:rPr>
                <w:rFonts w:cs="Times New Roman"/>
                <w:sz w:val="18"/>
                <w:szCs w:val="18"/>
              </w:rPr>
            </w:pPr>
            <w:r>
              <w:rPr>
                <w:rFonts w:cs="Times New Roman"/>
                <w:sz w:val="18"/>
                <w:szCs w:val="18"/>
              </w:rPr>
              <w:t>水土流失类型面积比例（D23）</w:t>
            </w:r>
          </w:p>
        </w:tc>
      </w:tr>
      <w:tr w14:paraId="61D05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7B3EE2E1">
            <w:pPr>
              <w:adjustRightInd w:val="0"/>
              <w:snapToGrid w:val="0"/>
              <w:spacing w:line="240" w:lineRule="auto"/>
              <w:ind w:firstLine="0" w:firstLineChars="0"/>
              <w:rPr>
                <w:rFonts w:cs="Times New Roman"/>
                <w:sz w:val="18"/>
                <w:szCs w:val="18"/>
              </w:rPr>
            </w:pPr>
          </w:p>
        </w:tc>
        <w:tc>
          <w:tcPr>
            <w:tcW w:w="909" w:type="dxa"/>
            <w:vMerge w:val="continue"/>
            <w:vAlign w:val="center"/>
          </w:tcPr>
          <w:p w14:paraId="3692C08F">
            <w:pPr>
              <w:adjustRightInd w:val="0"/>
              <w:snapToGrid w:val="0"/>
              <w:spacing w:line="240" w:lineRule="auto"/>
              <w:ind w:firstLine="0" w:firstLineChars="0"/>
              <w:rPr>
                <w:rFonts w:cs="Times New Roman"/>
                <w:sz w:val="18"/>
                <w:szCs w:val="18"/>
              </w:rPr>
            </w:pPr>
          </w:p>
        </w:tc>
        <w:tc>
          <w:tcPr>
            <w:tcW w:w="2682" w:type="dxa"/>
            <w:vMerge w:val="restart"/>
            <w:vAlign w:val="center"/>
          </w:tcPr>
          <w:p w14:paraId="36F1FA4D">
            <w:pPr>
              <w:adjustRightInd w:val="0"/>
              <w:snapToGrid w:val="0"/>
              <w:spacing w:line="240" w:lineRule="auto"/>
              <w:ind w:firstLine="0" w:firstLineChars="0"/>
              <w:jc w:val="center"/>
              <w:rPr>
                <w:rFonts w:cs="Times New Roman"/>
                <w:sz w:val="18"/>
                <w:szCs w:val="18"/>
              </w:rPr>
            </w:pPr>
            <w:r>
              <w:rPr>
                <w:rFonts w:cs="Times New Roman"/>
                <w:sz w:val="18"/>
                <w:szCs w:val="18"/>
              </w:rPr>
              <w:t>水土流失强度因子（C10）</w:t>
            </w:r>
          </w:p>
        </w:tc>
        <w:tc>
          <w:tcPr>
            <w:tcW w:w="3640" w:type="dxa"/>
            <w:vAlign w:val="center"/>
          </w:tcPr>
          <w:p w14:paraId="7C1C3954">
            <w:pPr>
              <w:adjustRightInd w:val="0"/>
              <w:snapToGrid w:val="0"/>
              <w:spacing w:line="240" w:lineRule="auto"/>
              <w:ind w:firstLine="0" w:firstLineChars="0"/>
              <w:jc w:val="center"/>
              <w:rPr>
                <w:rFonts w:cs="Times New Roman"/>
                <w:sz w:val="18"/>
                <w:szCs w:val="18"/>
              </w:rPr>
            </w:pPr>
            <w:r>
              <w:rPr>
                <w:rFonts w:cs="Times New Roman"/>
                <w:sz w:val="18"/>
                <w:szCs w:val="18"/>
              </w:rPr>
              <w:t>微度土壤侵蚀面积比例（D24）</w:t>
            </w:r>
          </w:p>
        </w:tc>
      </w:tr>
      <w:tr w14:paraId="0ACD7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10D2CE20">
            <w:pPr>
              <w:adjustRightInd w:val="0"/>
              <w:snapToGrid w:val="0"/>
              <w:spacing w:line="240" w:lineRule="auto"/>
              <w:ind w:firstLine="0" w:firstLineChars="0"/>
              <w:rPr>
                <w:rFonts w:cs="Times New Roman"/>
                <w:sz w:val="18"/>
                <w:szCs w:val="18"/>
              </w:rPr>
            </w:pPr>
          </w:p>
        </w:tc>
        <w:tc>
          <w:tcPr>
            <w:tcW w:w="909" w:type="dxa"/>
            <w:vMerge w:val="continue"/>
            <w:vAlign w:val="center"/>
          </w:tcPr>
          <w:p w14:paraId="023A6211">
            <w:pPr>
              <w:adjustRightInd w:val="0"/>
              <w:snapToGrid w:val="0"/>
              <w:spacing w:line="240" w:lineRule="auto"/>
              <w:ind w:firstLine="0" w:firstLineChars="0"/>
              <w:rPr>
                <w:rFonts w:cs="Times New Roman"/>
                <w:sz w:val="18"/>
                <w:szCs w:val="18"/>
              </w:rPr>
            </w:pPr>
          </w:p>
        </w:tc>
        <w:tc>
          <w:tcPr>
            <w:tcW w:w="2682" w:type="dxa"/>
            <w:vMerge w:val="continue"/>
            <w:vAlign w:val="center"/>
          </w:tcPr>
          <w:p w14:paraId="14D0E1BF">
            <w:pPr>
              <w:adjustRightInd w:val="0"/>
              <w:snapToGrid w:val="0"/>
              <w:spacing w:line="240" w:lineRule="auto"/>
              <w:ind w:firstLine="0" w:firstLineChars="0"/>
              <w:rPr>
                <w:rFonts w:cs="Times New Roman"/>
                <w:sz w:val="18"/>
                <w:szCs w:val="18"/>
              </w:rPr>
            </w:pPr>
          </w:p>
        </w:tc>
        <w:tc>
          <w:tcPr>
            <w:tcW w:w="3640" w:type="dxa"/>
            <w:vAlign w:val="center"/>
          </w:tcPr>
          <w:p w14:paraId="2C711F60">
            <w:pPr>
              <w:adjustRightInd w:val="0"/>
              <w:snapToGrid w:val="0"/>
              <w:spacing w:line="240" w:lineRule="auto"/>
              <w:ind w:firstLine="0" w:firstLineChars="0"/>
              <w:jc w:val="center"/>
              <w:rPr>
                <w:rFonts w:cs="Times New Roman"/>
                <w:sz w:val="18"/>
                <w:szCs w:val="18"/>
              </w:rPr>
            </w:pPr>
            <w:r>
              <w:rPr>
                <w:rFonts w:cs="Times New Roman"/>
                <w:sz w:val="18"/>
                <w:szCs w:val="18"/>
              </w:rPr>
              <w:t>轻度土壤侵蚀面积比例（D25）</w:t>
            </w:r>
          </w:p>
        </w:tc>
      </w:tr>
      <w:tr w14:paraId="11FBC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8954210">
            <w:pPr>
              <w:adjustRightInd w:val="0"/>
              <w:snapToGrid w:val="0"/>
              <w:spacing w:line="240" w:lineRule="auto"/>
              <w:ind w:firstLine="0" w:firstLineChars="0"/>
              <w:rPr>
                <w:rFonts w:cs="Times New Roman"/>
                <w:sz w:val="18"/>
                <w:szCs w:val="18"/>
              </w:rPr>
            </w:pPr>
          </w:p>
        </w:tc>
        <w:tc>
          <w:tcPr>
            <w:tcW w:w="909" w:type="dxa"/>
            <w:vMerge w:val="continue"/>
            <w:vAlign w:val="center"/>
          </w:tcPr>
          <w:p w14:paraId="61140952">
            <w:pPr>
              <w:adjustRightInd w:val="0"/>
              <w:snapToGrid w:val="0"/>
              <w:spacing w:line="240" w:lineRule="auto"/>
              <w:ind w:firstLine="0" w:firstLineChars="0"/>
              <w:rPr>
                <w:rFonts w:cs="Times New Roman"/>
                <w:sz w:val="18"/>
                <w:szCs w:val="18"/>
              </w:rPr>
            </w:pPr>
          </w:p>
        </w:tc>
        <w:tc>
          <w:tcPr>
            <w:tcW w:w="2682" w:type="dxa"/>
            <w:vMerge w:val="continue"/>
            <w:vAlign w:val="center"/>
          </w:tcPr>
          <w:p w14:paraId="58B680C1">
            <w:pPr>
              <w:adjustRightInd w:val="0"/>
              <w:snapToGrid w:val="0"/>
              <w:spacing w:line="240" w:lineRule="auto"/>
              <w:ind w:firstLine="0" w:firstLineChars="0"/>
              <w:rPr>
                <w:rFonts w:cs="Times New Roman"/>
                <w:sz w:val="18"/>
                <w:szCs w:val="18"/>
              </w:rPr>
            </w:pPr>
          </w:p>
        </w:tc>
        <w:tc>
          <w:tcPr>
            <w:tcW w:w="3640" w:type="dxa"/>
            <w:vAlign w:val="center"/>
          </w:tcPr>
          <w:p w14:paraId="6C765084">
            <w:pPr>
              <w:adjustRightInd w:val="0"/>
              <w:snapToGrid w:val="0"/>
              <w:spacing w:line="240" w:lineRule="auto"/>
              <w:ind w:firstLine="0" w:firstLineChars="0"/>
              <w:jc w:val="center"/>
              <w:rPr>
                <w:rFonts w:cs="Times New Roman"/>
                <w:sz w:val="18"/>
                <w:szCs w:val="18"/>
              </w:rPr>
            </w:pPr>
            <w:r>
              <w:rPr>
                <w:rFonts w:cs="Times New Roman"/>
                <w:sz w:val="18"/>
                <w:szCs w:val="18"/>
              </w:rPr>
              <w:t>中度土壤侵蚀面积比例（D26）</w:t>
            </w:r>
          </w:p>
        </w:tc>
      </w:tr>
      <w:tr w14:paraId="787B4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022AF01D">
            <w:pPr>
              <w:adjustRightInd w:val="0"/>
              <w:snapToGrid w:val="0"/>
              <w:spacing w:line="240" w:lineRule="auto"/>
              <w:ind w:firstLine="0" w:firstLineChars="0"/>
              <w:rPr>
                <w:rFonts w:cs="Times New Roman"/>
                <w:sz w:val="18"/>
                <w:szCs w:val="18"/>
              </w:rPr>
            </w:pPr>
          </w:p>
        </w:tc>
        <w:tc>
          <w:tcPr>
            <w:tcW w:w="909" w:type="dxa"/>
            <w:vMerge w:val="continue"/>
            <w:vAlign w:val="center"/>
          </w:tcPr>
          <w:p w14:paraId="444A45D4">
            <w:pPr>
              <w:adjustRightInd w:val="0"/>
              <w:snapToGrid w:val="0"/>
              <w:spacing w:line="240" w:lineRule="auto"/>
              <w:ind w:firstLine="0" w:firstLineChars="0"/>
              <w:rPr>
                <w:rFonts w:cs="Times New Roman"/>
                <w:sz w:val="18"/>
                <w:szCs w:val="18"/>
              </w:rPr>
            </w:pPr>
          </w:p>
        </w:tc>
        <w:tc>
          <w:tcPr>
            <w:tcW w:w="2682" w:type="dxa"/>
            <w:vMerge w:val="continue"/>
            <w:vAlign w:val="center"/>
          </w:tcPr>
          <w:p w14:paraId="70659FD2">
            <w:pPr>
              <w:adjustRightInd w:val="0"/>
              <w:snapToGrid w:val="0"/>
              <w:spacing w:line="240" w:lineRule="auto"/>
              <w:ind w:firstLine="0" w:firstLineChars="0"/>
              <w:rPr>
                <w:rFonts w:cs="Times New Roman"/>
                <w:sz w:val="18"/>
                <w:szCs w:val="18"/>
              </w:rPr>
            </w:pPr>
          </w:p>
        </w:tc>
        <w:tc>
          <w:tcPr>
            <w:tcW w:w="3640" w:type="dxa"/>
            <w:vAlign w:val="center"/>
          </w:tcPr>
          <w:p w14:paraId="05B128EA">
            <w:pPr>
              <w:adjustRightInd w:val="0"/>
              <w:snapToGrid w:val="0"/>
              <w:spacing w:line="240" w:lineRule="auto"/>
              <w:ind w:firstLine="0" w:firstLineChars="0"/>
              <w:jc w:val="center"/>
              <w:rPr>
                <w:rFonts w:cs="Times New Roman"/>
                <w:sz w:val="18"/>
                <w:szCs w:val="18"/>
              </w:rPr>
            </w:pPr>
            <w:r>
              <w:rPr>
                <w:rFonts w:cs="Times New Roman"/>
                <w:sz w:val="18"/>
                <w:szCs w:val="18"/>
              </w:rPr>
              <w:t>强度土壤侵蚀面积比例（D27）</w:t>
            </w:r>
          </w:p>
        </w:tc>
      </w:tr>
      <w:tr w14:paraId="1DD2F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2BB693CB">
            <w:pPr>
              <w:adjustRightInd w:val="0"/>
              <w:snapToGrid w:val="0"/>
              <w:spacing w:line="240" w:lineRule="auto"/>
              <w:ind w:firstLine="0" w:firstLineChars="0"/>
              <w:rPr>
                <w:rFonts w:cs="Times New Roman"/>
                <w:sz w:val="18"/>
                <w:szCs w:val="18"/>
              </w:rPr>
            </w:pPr>
          </w:p>
        </w:tc>
        <w:tc>
          <w:tcPr>
            <w:tcW w:w="909" w:type="dxa"/>
            <w:vMerge w:val="continue"/>
            <w:vAlign w:val="center"/>
          </w:tcPr>
          <w:p w14:paraId="16508CD2">
            <w:pPr>
              <w:adjustRightInd w:val="0"/>
              <w:snapToGrid w:val="0"/>
              <w:spacing w:line="240" w:lineRule="auto"/>
              <w:ind w:firstLine="0" w:firstLineChars="0"/>
              <w:rPr>
                <w:rFonts w:cs="Times New Roman"/>
                <w:sz w:val="18"/>
                <w:szCs w:val="18"/>
              </w:rPr>
            </w:pPr>
          </w:p>
        </w:tc>
        <w:tc>
          <w:tcPr>
            <w:tcW w:w="2682" w:type="dxa"/>
            <w:vMerge w:val="continue"/>
            <w:vAlign w:val="center"/>
          </w:tcPr>
          <w:p w14:paraId="2B36FF00">
            <w:pPr>
              <w:adjustRightInd w:val="0"/>
              <w:snapToGrid w:val="0"/>
              <w:spacing w:line="240" w:lineRule="auto"/>
              <w:ind w:firstLine="0" w:firstLineChars="0"/>
              <w:rPr>
                <w:rFonts w:cs="Times New Roman"/>
                <w:sz w:val="18"/>
                <w:szCs w:val="18"/>
              </w:rPr>
            </w:pPr>
          </w:p>
        </w:tc>
        <w:tc>
          <w:tcPr>
            <w:tcW w:w="3640" w:type="dxa"/>
            <w:vAlign w:val="center"/>
          </w:tcPr>
          <w:p w14:paraId="77E16B01">
            <w:pPr>
              <w:adjustRightInd w:val="0"/>
              <w:snapToGrid w:val="0"/>
              <w:spacing w:line="240" w:lineRule="auto"/>
              <w:ind w:firstLine="0" w:firstLineChars="0"/>
              <w:jc w:val="center"/>
              <w:rPr>
                <w:rFonts w:cs="Times New Roman"/>
                <w:sz w:val="18"/>
                <w:szCs w:val="18"/>
              </w:rPr>
            </w:pPr>
            <w:r>
              <w:rPr>
                <w:rFonts w:cs="Times New Roman"/>
                <w:sz w:val="18"/>
                <w:szCs w:val="18"/>
              </w:rPr>
              <w:t>极强土壤侵蚀面积比例（D28）</w:t>
            </w:r>
          </w:p>
        </w:tc>
      </w:tr>
      <w:tr w14:paraId="58AF4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40FCDAB4">
            <w:pPr>
              <w:adjustRightInd w:val="0"/>
              <w:snapToGrid w:val="0"/>
              <w:spacing w:line="240" w:lineRule="auto"/>
              <w:ind w:firstLine="0" w:firstLineChars="0"/>
              <w:rPr>
                <w:rFonts w:cs="Times New Roman"/>
                <w:sz w:val="18"/>
                <w:szCs w:val="18"/>
              </w:rPr>
            </w:pPr>
          </w:p>
        </w:tc>
        <w:tc>
          <w:tcPr>
            <w:tcW w:w="909" w:type="dxa"/>
            <w:vMerge w:val="continue"/>
            <w:vAlign w:val="center"/>
          </w:tcPr>
          <w:p w14:paraId="3F5F138B">
            <w:pPr>
              <w:adjustRightInd w:val="0"/>
              <w:snapToGrid w:val="0"/>
              <w:spacing w:line="240" w:lineRule="auto"/>
              <w:ind w:firstLine="0" w:firstLineChars="0"/>
              <w:rPr>
                <w:rFonts w:cs="Times New Roman"/>
                <w:sz w:val="18"/>
                <w:szCs w:val="18"/>
              </w:rPr>
            </w:pPr>
          </w:p>
        </w:tc>
        <w:tc>
          <w:tcPr>
            <w:tcW w:w="2682" w:type="dxa"/>
            <w:vMerge w:val="continue"/>
            <w:vAlign w:val="center"/>
          </w:tcPr>
          <w:p w14:paraId="3D7D8168">
            <w:pPr>
              <w:adjustRightInd w:val="0"/>
              <w:snapToGrid w:val="0"/>
              <w:spacing w:line="240" w:lineRule="auto"/>
              <w:ind w:firstLine="0" w:firstLineChars="0"/>
              <w:rPr>
                <w:rFonts w:cs="Times New Roman"/>
                <w:sz w:val="18"/>
                <w:szCs w:val="18"/>
              </w:rPr>
            </w:pPr>
          </w:p>
        </w:tc>
        <w:tc>
          <w:tcPr>
            <w:tcW w:w="3640" w:type="dxa"/>
            <w:vAlign w:val="center"/>
          </w:tcPr>
          <w:p w14:paraId="12DA3851">
            <w:pPr>
              <w:adjustRightInd w:val="0"/>
              <w:snapToGrid w:val="0"/>
              <w:spacing w:line="240" w:lineRule="auto"/>
              <w:ind w:firstLine="0" w:firstLineChars="0"/>
              <w:jc w:val="center"/>
              <w:rPr>
                <w:rFonts w:cs="Times New Roman"/>
                <w:sz w:val="18"/>
                <w:szCs w:val="18"/>
              </w:rPr>
            </w:pPr>
            <w:r>
              <w:rPr>
                <w:rFonts w:cs="Times New Roman"/>
                <w:sz w:val="18"/>
                <w:szCs w:val="18"/>
              </w:rPr>
              <w:t>剧烈土壤侵蚀面积比例（D29）</w:t>
            </w:r>
          </w:p>
        </w:tc>
      </w:tr>
      <w:tr w14:paraId="19094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71" w:type="dxa"/>
            <w:vMerge w:val="continue"/>
            <w:vAlign w:val="center"/>
          </w:tcPr>
          <w:p w14:paraId="56E30058">
            <w:pPr>
              <w:adjustRightInd w:val="0"/>
              <w:snapToGrid w:val="0"/>
              <w:spacing w:line="240" w:lineRule="auto"/>
              <w:ind w:firstLine="0" w:firstLineChars="0"/>
              <w:rPr>
                <w:rFonts w:cs="Times New Roman"/>
                <w:sz w:val="18"/>
                <w:szCs w:val="18"/>
              </w:rPr>
            </w:pPr>
          </w:p>
        </w:tc>
        <w:tc>
          <w:tcPr>
            <w:tcW w:w="909" w:type="dxa"/>
            <w:vMerge w:val="continue"/>
            <w:vAlign w:val="center"/>
          </w:tcPr>
          <w:p w14:paraId="5D910BC1">
            <w:pPr>
              <w:adjustRightInd w:val="0"/>
              <w:snapToGrid w:val="0"/>
              <w:spacing w:line="240" w:lineRule="auto"/>
              <w:ind w:firstLine="0" w:firstLineChars="0"/>
              <w:rPr>
                <w:rFonts w:cs="Times New Roman"/>
                <w:sz w:val="18"/>
                <w:szCs w:val="18"/>
              </w:rPr>
            </w:pPr>
          </w:p>
        </w:tc>
        <w:tc>
          <w:tcPr>
            <w:tcW w:w="2682" w:type="dxa"/>
            <w:vAlign w:val="center"/>
          </w:tcPr>
          <w:p w14:paraId="207CD883">
            <w:pPr>
              <w:adjustRightInd w:val="0"/>
              <w:snapToGrid w:val="0"/>
              <w:spacing w:line="240" w:lineRule="auto"/>
              <w:ind w:firstLine="0" w:firstLineChars="0"/>
              <w:jc w:val="center"/>
              <w:rPr>
                <w:rFonts w:cs="Times New Roman"/>
                <w:sz w:val="18"/>
                <w:szCs w:val="18"/>
              </w:rPr>
            </w:pPr>
            <w:r>
              <w:rPr>
                <w:rFonts w:cs="Times New Roman"/>
                <w:sz w:val="18"/>
                <w:szCs w:val="18"/>
              </w:rPr>
              <w:t>土壤侵蚀模数因子（C11）</w:t>
            </w:r>
          </w:p>
        </w:tc>
        <w:tc>
          <w:tcPr>
            <w:tcW w:w="3640" w:type="dxa"/>
            <w:vAlign w:val="center"/>
          </w:tcPr>
          <w:p w14:paraId="708AD48E">
            <w:pPr>
              <w:adjustRightInd w:val="0"/>
              <w:snapToGrid w:val="0"/>
              <w:spacing w:line="240" w:lineRule="auto"/>
              <w:ind w:firstLine="0" w:firstLineChars="0"/>
              <w:jc w:val="center"/>
              <w:rPr>
                <w:rFonts w:cs="Times New Roman"/>
                <w:sz w:val="18"/>
                <w:szCs w:val="18"/>
              </w:rPr>
            </w:pPr>
            <w:r>
              <w:rPr>
                <w:rFonts w:cs="Times New Roman"/>
                <w:sz w:val="18"/>
                <w:szCs w:val="18"/>
              </w:rPr>
              <w:t>土壤侵蚀模数（D30）</w:t>
            </w:r>
          </w:p>
        </w:tc>
      </w:tr>
    </w:tbl>
    <w:p w14:paraId="14657971">
      <w:pPr>
        <w:pStyle w:val="5"/>
        <w:rPr>
          <w:rFonts w:eastAsia="仿宋_GB2312"/>
        </w:rPr>
      </w:pPr>
      <w:r>
        <w:rPr>
          <w:rFonts w:eastAsia="仿宋_GB2312"/>
        </w:rPr>
        <w:t>4.2.3 划分标准和方法</w:t>
      </w:r>
    </w:p>
    <w:p w14:paraId="13F098F4">
      <w:pPr>
        <w:pStyle w:val="376"/>
        <w:adjustRightInd w:val="0"/>
        <w:ind w:firstLine="480"/>
        <w:rPr>
          <w:color w:val="auto"/>
        </w:rPr>
      </w:pPr>
      <w:r>
        <w:rPr>
          <w:color w:val="auto"/>
        </w:rPr>
        <w:t>本规划采用系统聚类与GIS空间叠置分析相结合的方法进行水土保持区划，方法步骤为首先按区划单元收集数据，运用统计分析软件对各项指标进行数据标准化和主成分分析，通过主成分分析定量评价各主成分得分，并根据各主成分的贡献率给各主成分赋权重，根据权重求得各主成分综合得分，利用综合得分进行系统聚类分析，分别生成各要素的聚类树状图，在对聚类结果进行调整的基础上，最后采用GIS软件对各要素分区图进行叠置分析，最后生成水土保持区划图，过程图见图</w:t>
      </w:r>
      <w:r>
        <w:rPr>
          <w:color w:val="auto"/>
          <w:lang w:eastAsia="zh-CN"/>
        </w:rPr>
        <w:t>4.2-1</w:t>
      </w:r>
      <w:r>
        <w:rPr>
          <w:color w:val="auto"/>
        </w:rPr>
        <w:t>。</w:t>
      </w:r>
    </w:p>
    <w:p w14:paraId="10288543">
      <w:pPr>
        <w:adjustRightInd w:val="0"/>
        <w:snapToGrid w:val="0"/>
        <w:ind w:firstLine="480"/>
        <w:jc w:val="center"/>
        <w:rPr>
          <w:rFonts w:cs="Times New Roman"/>
        </w:rPr>
      </w:pPr>
      <w:r>
        <w:rPr>
          <w:rFonts w:cs="Times New Roman"/>
        </w:rPr>
        <w:drawing>
          <wp:inline distT="0" distB="0" distL="114300" distR="114300">
            <wp:extent cx="4933950" cy="5514975"/>
            <wp:effectExtent l="0" t="0" r="0" b="9525"/>
            <wp:docPr id="5" name="图片 2" descr="幻灯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幻灯片1"/>
                    <pic:cNvPicPr>
                      <a:picLocks noChangeAspect="1"/>
                    </pic:cNvPicPr>
                  </pic:nvPicPr>
                  <pic:blipFill>
                    <a:blip r:embed="rId19"/>
                    <a:srcRect l="16269" t="2437" r="16200" b="1825"/>
                    <a:stretch>
                      <a:fillRect/>
                    </a:stretch>
                  </pic:blipFill>
                  <pic:spPr>
                    <a:xfrm>
                      <a:off x="0" y="0"/>
                      <a:ext cx="4933950" cy="5514975"/>
                    </a:xfrm>
                    <a:prstGeom prst="rect">
                      <a:avLst/>
                    </a:prstGeom>
                    <a:noFill/>
                    <a:ln>
                      <a:noFill/>
                    </a:ln>
                  </pic:spPr>
                </pic:pic>
              </a:graphicData>
            </a:graphic>
          </wp:inline>
        </w:drawing>
      </w:r>
    </w:p>
    <w:p w14:paraId="7D8D0CCA">
      <w:pPr>
        <w:adjustRightInd w:val="0"/>
        <w:snapToGrid w:val="0"/>
        <w:ind w:firstLine="420"/>
        <w:jc w:val="center"/>
        <w:rPr>
          <w:rFonts w:cs="Times New Roman"/>
          <w:bCs/>
          <w:sz w:val="21"/>
          <w:szCs w:val="21"/>
        </w:rPr>
      </w:pPr>
      <w:r>
        <w:rPr>
          <w:rFonts w:cs="Times New Roman"/>
          <w:bCs/>
          <w:sz w:val="21"/>
          <w:szCs w:val="21"/>
        </w:rPr>
        <w:t>图4.2-1  水土保持区划方法步骤图</w:t>
      </w:r>
    </w:p>
    <w:p w14:paraId="27309D17">
      <w:pPr>
        <w:pStyle w:val="376"/>
        <w:adjustRightInd w:val="0"/>
        <w:ind w:firstLine="480"/>
        <w:rPr>
          <w:color w:val="auto"/>
        </w:rPr>
      </w:pPr>
      <w:r>
        <w:rPr>
          <w:color w:val="auto"/>
        </w:rPr>
        <w:t>（</w:t>
      </w:r>
      <w:r>
        <w:rPr>
          <w:color w:val="auto"/>
          <w:lang w:eastAsia="zh-CN"/>
        </w:rPr>
        <w:t>1</w:t>
      </w:r>
      <w:r>
        <w:rPr>
          <w:color w:val="auto"/>
        </w:rPr>
        <w:t>）数据标准化</w:t>
      </w:r>
    </w:p>
    <w:p w14:paraId="0F075100">
      <w:pPr>
        <w:pStyle w:val="376"/>
        <w:adjustRightInd w:val="0"/>
        <w:ind w:firstLine="480"/>
        <w:rPr>
          <w:color w:val="auto"/>
          <w:szCs w:val="28"/>
        </w:rPr>
      </w:pPr>
      <w:r>
        <w:rPr>
          <w:color w:val="auto"/>
          <w:szCs w:val="28"/>
        </w:rPr>
        <w:t>数据的标准化也叫数据的无量纲化、规格化，它是通过简单的数学变换来消除各指标量纲影响的方法。为了给每种变量以统一度量，在进行统计分析计算前，必须进行数据标准化变换。由于区划时需要尽量保留实际值中的数值关系，本规划选用标准差标准化方法。</w:t>
      </w:r>
    </w:p>
    <w:p w14:paraId="26BB3814">
      <w:pPr>
        <w:adjustRightInd w:val="0"/>
        <w:snapToGrid w:val="0"/>
        <w:ind w:firstLine="480"/>
        <w:rPr>
          <w:rFonts w:cs="Times New Roman"/>
          <w:szCs w:val="28"/>
        </w:rPr>
      </w:pPr>
      <w:r>
        <w:rPr>
          <w:rFonts w:cs="Times New Roman"/>
          <w:szCs w:val="28"/>
        </w:rPr>
        <w:t>所谓标准差标准化法，就是把某一数据减去其均值，再除以标准差，即：</w:t>
      </w:r>
    </w:p>
    <w:p w14:paraId="77633140">
      <w:pPr>
        <w:adjustRightInd w:val="0"/>
        <w:snapToGrid w:val="0"/>
        <w:ind w:firstLine="480"/>
        <w:jc w:val="center"/>
        <w:rPr>
          <w:rFonts w:cs="Times New Roman"/>
        </w:rPr>
      </w:pPr>
      <w:r>
        <w:rPr>
          <w:rFonts w:cs="Times New Roman"/>
          <w:position w:val="-32"/>
        </w:rPr>
        <w:object>
          <v:shape id="_x0000_i1025" o:spt="75" type="#_x0000_t75" style="height:39.35pt;width:199.25pt;" o:ole="t" filled="f" o:preferrelative="t" stroked="f" coordsize="21600,21600">
            <v:path/>
            <v:fill on="f" focussize="0,0"/>
            <v:stroke on="f" joinstyle="miter"/>
            <v:imagedata r:id="rId21" o:title=""/>
            <o:lock v:ext="edit" aspectratio="t"/>
            <w10:wrap type="none"/>
            <w10:anchorlock/>
          </v:shape>
          <o:OLEObject Type="Embed" ProgID="Equation.3" ShapeID="_x0000_i1025" DrawAspect="Content" ObjectID="_1468075725" r:id="rId20">
            <o:LockedField>false</o:LockedField>
          </o:OLEObject>
        </w:object>
      </w:r>
    </w:p>
    <w:p w14:paraId="33656A39">
      <w:pPr>
        <w:adjustRightInd w:val="0"/>
        <w:snapToGrid w:val="0"/>
        <w:ind w:firstLine="480"/>
        <w:rPr>
          <w:rFonts w:cs="Times New Roman"/>
        </w:rPr>
      </w:pPr>
      <w:r>
        <w:rPr>
          <w:rFonts w:cs="Times New Roman"/>
        </w:rPr>
        <w:t>式中：</w:t>
      </w:r>
    </w:p>
    <w:p w14:paraId="54A8DDDA">
      <w:pPr>
        <w:adjustRightInd w:val="0"/>
        <w:snapToGrid w:val="0"/>
        <w:ind w:firstLine="480"/>
        <w:jc w:val="center"/>
        <w:rPr>
          <w:rFonts w:cs="Times New Roman"/>
        </w:rPr>
      </w:pPr>
      <w:r>
        <w:rPr>
          <w:rFonts w:cs="Times New Roman"/>
          <w:position w:val="-14"/>
        </w:rPr>
        <w:object>
          <v:shape id="_x0000_i1026" o:spt="75" type="#_x0000_t75" style="height:21.75pt;width:19.25pt;" o:ole="t" filled="f" o:preferrelative="t" stroked="f" coordsize="21600,21600">
            <v:path/>
            <v:fill on="f" focussize="0,0"/>
            <v:stroke on="f" joinstyle="miter"/>
            <v:imagedata r:id="rId23" o:title=""/>
            <o:lock v:ext="edit" aspectratio="t"/>
            <w10:wrap type="none"/>
            <w10:anchorlock/>
          </v:shape>
          <o:OLEObject Type="Embed" ProgID="Equation.3" ShapeID="_x0000_i1026" DrawAspect="Content" ObjectID="_1468075726" r:id="rId22">
            <o:LockedField>false</o:LockedField>
          </o:OLEObject>
        </w:object>
      </w:r>
      <w:r>
        <w:rPr>
          <w:rFonts w:cs="Times New Roman"/>
        </w:rPr>
        <w:t>—第</w:t>
      </w:r>
      <w:r>
        <w:rPr>
          <w:rFonts w:cs="Times New Roman"/>
          <w:position w:val="-6"/>
        </w:rPr>
        <w:object>
          <v:shape id="_x0000_i1027" o:spt="75" type="#_x0000_t75" style="height:15.05pt;width:9.2pt;" o:ole="t" filled="f" o:preferrelative="t" stroked="f" coordsize="21600,21600">
            <v:path/>
            <v:fill on="f" focussize="0,0"/>
            <v:stroke on="f" joinstyle="miter"/>
            <v:imagedata r:id="rId25" o:title=""/>
            <o:lock v:ext="edit" aspectratio="t"/>
            <w10:wrap type="none"/>
            <w10:anchorlock/>
          </v:shape>
          <o:OLEObject Type="Embed" ProgID="Equation.3" ShapeID="_x0000_i1027" DrawAspect="Content" ObjectID="_1468075727" r:id="rId24">
            <o:LockedField>false</o:LockedField>
          </o:OLEObject>
        </w:object>
      </w:r>
      <w:r>
        <w:rPr>
          <w:rFonts w:cs="Times New Roman"/>
        </w:rPr>
        <w:t>个样本的</w:t>
      </w:r>
      <w:r>
        <w:rPr>
          <w:rFonts w:cs="Times New Roman"/>
          <w:position w:val="-10"/>
        </w:rPr>
        <w:object>
          <v:shape id="_x0000_i1028" o:spt="75" type="#_x0000_t75" style="height:15.05pt;width:8.35pt;" o:ole="t" filled="f" o:preferrelative="t" stroked="f" coordsize="21600,21600">
            <v:path/>
            <v:fill on="f" focussize="0,0"/>
            <v:stroke on="f" joinstyle="miter"/>
            <v:imagedata r:id="rId27" o:title=""/>
            <o:lock v:ext="edit" aspectratio="t"/>
            <w10:wrap type="none"/>
            <w10:anchorlock/>
          </v:shape>
          <o:OLEObject Type="Embed" ProgID="Equation.3" ShapeID="_x0000_i1028" DrawAspect="Content" ObjectID="_1468075728" r:id="rId26">
            <o:LockedField>false</o:LockedField>
          </o:OLEObject>
        </w:object>
      </w:r>
      <w:r>
        <w:rPr>
          <w:rFonts w:cs="Times New Roman"/>
        </w:rPr>
        <w:t>变量标准化以后的值；</w:t>
      </w:r>
    </w:p>
    <w:p w14:paraId="6D53E988">
      <w:pPr>
        <w:adjustRightInd w:val="0"/>
        <w:snapToGrid w:val="0"/>
        <w:ind w:firstLine="480"/>
        <w:jc w:val="center"/>
        <w:rPr>
          <w:rFonts w:cs="Times New Roman"/>
        </w:rPr>
      </w:pPr>
      <w:r>
        <w:rPr>
          <w:rFonts w:cs="Times New Roman"/>
          <w:position w:val="-14"/>
        </w:rPr>
        <w:object>
          <v:shape id="_x0000_i1029" o:spt="75" type="#_x0000_t75" style="height:20.1pt;width:19.25pt;" o:ole="t" filled="f" o:preferrelative="t" stroked="f" coordsize="21600,21600">
            <v:path/>
            <v:fill on="f" focussize="0,0"/>
            <v:stroke on="f" joinstyle="miter"/>
            <v:imagedata r:id="rId29" o:title=""/>
            <o:lock v:ext="edit" aspectratio="t"/>
            <w10:wrap type="none"/>
            <w10:anchorlock/>
          </v:shape>
          <o:OLEObject Type="Embed" ProgID="Equation.3" ShapeID="_x0000_i1029" DrawAspect="Content" ObjectID="_1468075729" r:id="rId28">
            <o:LockedField>false</o:LockedField>
          </o:OLEObject>
        </w:object>
      </w:r>
      <w:r>
        <w:rPr>
          <w:rFonts w:cs="Times New Roman"/>
        </w:rPr>
        <w:t>—第</w:t>
      </w:r>
      <w:r>
        <w:rPr>
          <w:rFonts w:cs="Times New Roman"/>
          <w:position w:val="-6"/>
        </w:rPr>
        <w:object>
          <v:shape id="_x0000_i1030" o:spt="75" type="#_x0000_t75" style="height:15.05pt;width:9.2pt;" o:ole="t" filled="f" o:preferrelative="t" stroked="f" coordsize="21600,21600">
            <v:path/>
            <v:fill on="f" focussize="0,0"/>
            <v:stroke on="f" joinstyle="miter"/>
            <v:imagedata r:id="rId31" o:title=""/>
            <o:lock v:ext="edit" aspectratio="t"/>
            <w10:wrap type="none"/>
            <w10:anchorlock/>
          </v:shape>
          <o:OLEObject Type="Embed" ProgID="Equation.3" ShapeID="_x0000_i1030" DrawAspect="Content" ObjectID="_1468075730" r:id="rId30">
            <o:LockedField>false</o:LockedField>
          </o:OLEObject>
        </w:object>
      </w:r>
      <w:r>
        <w:rPr>
          <w:rFonts w:cs="Times New Roman"/>
        </w:rPr>
        <w:t>个样本的</w:t>
      </w:r>
      <w:r>
        <w:rPr>
          <w:rFonts w:cs="Times New Roman"/>
          <w:position w:val="-10"/>
        </w:rPr>
        <w:object>
          <v:shape id="_x0000_i1031" o:spt="75" type="#_x0000_t75" style="height:15.05pt;width:8.35pt;" o:ole="t" filled="f" o:preferrelative="t" stroked="f" coordsize="21600,21600">
            <v:path/>
            <v:fill on="f" focussize="0,0"/>
            <v:stroke on="f" joinstyle="miter"/>
            <v:imagedata r:id="rId33" o:title=""/>
            <o:lock v:ext="edit" aspectratio="t"/>
            <w10:wrap type="none"/>
            <w10:anchorlock/>
          </v:shape>
          <o:OLEObject Type="Embed" ProgID="Equation.3" ShapeID="_x0000_i1031" DrawAspect="Content" ObjectID="_1468075731" r:id="rId32">
            <o:LockedField>false</o:LockedField>
          </o:OLEObject>
        </w:object>
      </w:r>
      <w:r>
        <w:rPr>
          <w:rFonts w:cs="Times New Roman"/>
        </w:rPr>
        <w:t>变量的值；</w:t>
      </w:r>
    </w:p>
    <w:p w14:paraId="4732F17B">
      <w:pPr>
        <w:adjustRightInd w:val="0"/>
        <w:snapToGrid w:val="0"/>
        <w:ind w:firstLine="480"/>
        <w:jc w:val="center"/>
        <w:rPr>
          <w:rFonts w:cs="Times New Roman"/>
        </w:rPr>
      </w:pPr>
      <w:r>
        <w:rPr>
          <w:rFonts w:cs="Times New Roman"/>
          <w:position w:val="-14"/>
        </w:rPr>
        <w:object>
          <v:shape id="_x0000_i1032" o:spt="75" type="#_x0000_t75" style="height:21.75pt;width:20.1pt;" o:ole="t" filled="f" o:preferrelative="t" stroked="f" coordsize="21600,21600">
            <v:path/>
            <v:fill on="f" focussize="0,0"/>
            <v:stroke on="f" joinstyle="miter"/>
            <v:imagedata r:id="rId35" o:title=""/>
            <o:lock v:ext="edit" aspectratio="t"/>
            <w10:wrap type="none"/>
            <w10:anchorlock/>
          </v:shape>
          <o:OLEObject Type="Embed" ProgID="Equation.3" ShapeID="_x0000_i1032" DrawAspect="Content" ObjectID="_1468075732" r:id="rId34">
            <o:LockedField>false</o:LockedField>
          </o:OLEObject>
        </w:object>
      </w:r>
      <w:r>
        <w:rPr>
          <w:rFonts w:cs="Times New Roman"/>
        </w:rPr>
        <w:t>—第</w:t>
      </w:r>
      <w:r>
        <w:rPr>
          <w:rFonts w:cs="Times New Roman"/>
          <w:position w:val="-10"/>
        </w:rPr>
        <w:object>
          <v:shape id="_x0000_i1033" o:spt="75" type="#_x0000_t75" style="height:15.05pt;width:8.35pt;" o:ole="t" filled="f" o:preferrelative="t" stroked="f" coordsize="21600,21600">
            <v:path/>
            <v:fill on="f" focussize="0,0"/>
            <v:stroke on="f" joinstyle="miter"/>
            <v:imagedata r:id="rId33" o:title=""/>
            <o:lock v:ext="edit" aspectratio="t"/>
            <w10:wrap type="none"/>
            <w10:anchorlock/>
          </v:shape>
          <o:OLEObject Type="Embed" ProgID="Equation.3" ShapeID="_x0000_i1033" DrawAspect="Content" ObjectID="_1468075733" r:id="rId36">
            <o:LockedField>false</o:LockedField>
          </o:OLEObject>
        </w:object>
      </w:r>
      <w:r>
        <w:rPr>
          <w:rFonts w:cs="Times New Roman"/>
        </w:rPr>
        <w:t>个变量的算术平均值，</w:t>
      </w:r>
      <w:r>
        <w:rPr>
          <w:rFonts w:cs="Times New Roman"/>
          <w:position w:val="-28"/>
        </w:rPr>
        <w:object>
          <v:shape id="_x0000_i1034" o:spt="75" type="#_x0000_t75" style="height:34.35pt;width:68.65pt;" o:ole="t" filled="f" o:preferrelative="t" stroked="f" coordsize="21600,21600">
            <v:path/>
            <v:fill on="f" focussize="0,0"/>
            <v:stroke on="f" joinstyle="miter"/>
            <v:imagedata r:id="rId38" o:title=""/>
            <o:lock v:ext="edit" aspectratio="t"/>
            <w10:wrap type="none"/>
            <w10:anchorlock/>
          </v:shape>
          <o:OLEObject Type="Embed" ProgID="Equation.3" ShapeID="_x0000_i1034" DrawAspect="Content" ObjectID="_1468075734" r:id="rId37">
            <o:LockedField>false</o:LockedField>
          </o:OLEObject>
        </w:object>
      </w:r>
      <w:r>
        <w:rPr>
          <w:rFonts w:cs="Times New Roman"/>
        </w:rPr>
        <w:t>；</w:t>
      </w:r>
    </w:p>
    <w:p w14:paraId="0866C4E4">
      <w:pPr>
        <w:adjustRightInd w:val="0"/>
        <w:snapToGrid w:val="0"/>
        <w:ind w:firstLine="480"/>
        <w:jc w:val="center"/>
        <w:rPr>
          <w:rFonts w:cs="Times New Roman"/>
        </w:rPr>
      </w:pPr>
      <w:r>
        <w:rPr>
          <w:rFonts w:cs="Times New Roman"/>
          <w:position w:val="-14"/>
        </w:rPr>
        <w:object>
          <v:shape id="_x0000_i1035" o:spt="75" type="#_x0000_t75" style="height:20.1pt;width:15.05pt;" o:ole="t" filled="f" o:preferrelative="t" stroked="f" coordsize="21600,21600">
            <v:path/>
            <v:fill on="f" focussize="0,0"/>
            <v:stroke on="f" joinstyle="miter"/>
            <v:imagedata r:id="rId40" o:title=""/>
            <o:lock v:ext="edit" aspectratio="t"/>
            <w10:wrap type="none"/>
            <w10:anchorlock/>
          </v:shape>
          <o:OLEObject Type="Embed" ProgID="Equation.3" ShapeID="_x0000_i1035" DrawAspect="Content" ObjectID="_1468075735" r:id="rId39">
            <o:LockedField>false</o:LockedField>
          </o:OLEObject>
        </w:object>
      </w:r>
      <w:r>
        <w:rPr>
          <w:rFonts w:cs="Times New Roman"/>
        </w:rPr>
        <w:t>—第</w:t>
      </w:r>
      <w:r>
        <w:rPr>
          <w:rFonts w:cs="Times New Roman"/>
          <w:position w:val="-10"/>
        </w:rPr>
        <w:object>
          <v:shape id="_x0000_i1036" o:spt="75" type="#_x0000_t75" style="height:15.05pt;width:8.35pt;" o:ole="t" filled="f" o:preferrelative="t" stroked="f" coordsize="21600,21600">
            <v:path/>
            <v:fill on="f" focussize="0,0"/>
            <v:stroke on="f" joinstyle="miter"/>
            <v:imagedata r:id="rId33" o:title=""/>
            <o:lock v:ext="edit" aspectratio="t"/>
            <w10:wrap type="none"/>
            <w10:anchorlock/>
          </v:shape>
          <o:OLEObject Type="Embed" ProgID="Equation.3" ShapeID="_x0000_i1036" DrawAspect="Content" ObjectID="_1468075736" r:id="rId41">
            <o:LockedField>false</o:LockedField>
          </o:OLEObject>
        </w:object>
      </w:r>
      <w:r>
        <w:rPr>
          <w:rFonts w:cs="Times New Roman"/>
        </w:rPr>
        <w:t>个变量的标准差，</w:t>
      </w:r>
      <w:r>
        <w:rPr>
          <w:rFonts w:cs="Times New Roman"/>
          <w:position w:val="-30"/>
        </w:rPr>
        <w:object>
          <v:shape id="_x0000_i1037" o:spt="75" type="#_x0000_t75" style="height:39.35pt;width:126.4pt;" o:ole="t" filled="f" o:preferrelative="t" stroked="f" coordsize="21600,21600">
            <v:path/>
            <v:fill on="f" focussize="0,0"/>
            <v:stroke on="f" joinstyle="miter"/>
            <v:imagedata r:id="rId43" o:title=""/>
            <o:lock v:ext="edit" aspectratio="t"/>
            <w10:wrap type="none"/>
            <w10:anchorlock/>
          </v:shape>
          <o:OLEObject Type="Embed" ProgID="Equation.3" ShapeID="_x0000_i1037" DrawAspect="Content" ObjectID="_1468075737" r:id="rId42">
            <o:LockedField>false</o:LockedField>
          </o:OLEObject>
        </w:object>
      </w:r>
      <w:r>
        <w:rPr>
          <w:rFonts w:cs="Times New Roman"/>
        </w:rPr>
        <w:t>。</w:t>
      </w:r>
    </w:p>
    <w:p w14:paraId="699C240F">
      <w:pPr>
        <w:adjustRightInd w:val="0"/>
        <w:snapToGrid w:val="0"/>
        <w:ind w:firstLine="480"/>
        <w:rPr>
          <w:rFonts w:cs="Times New Roman"/>
        </w:rPr>
      </w:pPr>
      <w:r>
        <w:rPr>
          <w:rFonts w:cs="Times New Roman"/>
        </w:rPr>
        <w:t>经过标准差标准化变换后即变为</w:t>
      </w:r>
    </w:p>
    <w:p w14:paraId="26204D5C">
      <w:pPr>
        <w:adjustRightInd w:val="0"/>
        <w:snapToGrid w:val="0"/>
        <w:ind w:left="480" w:leftChars="200" w:firstLine="480"/>
        <w:jc w:val="center"/>
        <w:rPr>
          <w:rFonts w:cs="Times New Roman"/>
        </w:rPr>
      </w:pPr>
      <w:r>
        <w:rPr>
          <w:rFonts w:cs="Times New Roman"/>
          <w:position w:val="-100"/>
        </w:rPr>
        <w:object>
          <v:shape id="_x0000_i1038" o:spt="75" type="#_x0000_t75" style="height:106.35pt;width:216.85pt;" o:ole="t" filled="f" o:preferrelative="t" stroked="f" coordsize="21600,21600">
            <v:path/>
            <v:fill on="f" focussize="0,0"/>
            <v:stroke on="f" joinstyle="miter"/>
            <v:imagedata r:id="rId45" o:title=""/>
            <o:lock v:ext="edit" aspectratio="t"/>
            <w10:wrap type="none"/>
            <w10:anchorlock/>
          </v:shape>
          <o:OLEObject Type="Embed" ProgID="Equation.3" ShapeID="_x0000_i1038" DrawAspect="Content" ObjectID="_1468075738" r:id="rId44">
            <o:LockedField>false</o:LockedField>
          </o:OLEObject>
        </w:object>
      </w:r>
    </w:p>
    <w:p w14:paraId="40448A34">
      <w:pPr>
        <w:pStyle w:val="376"/>
        <w:adjustRightInd w:val="0"/>
        <w:ind w:firstLine="480"/>
        <w:rPr>
          <w:color w:val="auto"/>
        </w:rPr>
      </w:pPr>
      <w:r>
        <w:rPr>
          <w:color w:val="auto"/>
        </w:rPr>
        <w:t>这样变换后的新数据，均值为0，方差为1，消除了量纲的影响。</w:t>
      </w:r>
    </w:p>
    <w:p w14:paraId="2076C72E">
      <w:pPr>
        <w:pStyle w:val="376"/>
        <w:adjustRightInd w:val="0"/>
        <w:ind w:firstLine="480"/>
        <w:rPr>
          <w:color w:val="auto"/>
        </w:rPr>
      </w:pPr>
      <w:r>
        <w:rPr>
          <w:color w:val="auto"/>
        </w:rPr>
        <w:t>（2）主成分分析</w:t>
      </w:r>
    </w:p>
    <w:p w14:paraId="07C404D5">
      <w:pPr>
        <w:pStyle w:val="376"/>
        <w:adjustRightInd w:val="0"/>
        <w:ind w:firstLine="480"/>
        <w:rPr>
          <w:color w:val="auto"/>
          <w:szCs w:val="28"/>
        </w:rPr>
      </w:pPr>
      <w:r>
        <w:rPr>
          <w:color w:val="auto"/>
          <w:szCs w:val="28"/>
        </w:rPr>
        <w:t>1）对样本数据的标准化</w:t>
      </w:r>
    </w:p>
    <w:p w14:paraId="05FA200C">
      <w:pPr>
        <w:pStyle w:val="376"/>
        <w:adjustRightInd w:val="0"/>
        <w:ind w:firstLine="480"/>
        <w:rPr>
          <w:color w:val="auto"/>
          <w:szCs w:val="28"/>
        </w:rPr>
      </w:pPr>
      <w:r>
        <w:rPr>
          <w:color w:val="auto"/>
          <w:szCs w:val="28"/>
        </w:rPr>
        <w:t>见上述数据标准化相关内容。</w:t>
      </w:r>
    </w:p>
    <w:p w14:paraId="67AC1678">
      <w:pPr>
        <w:pStyle w:val="376"/>
        <w:adjustRightInd w:val="0"/>
        <w:ind w:firstLine="480"/>
        <w:rPr>
          <w:color w:val="auto"/>
        </w:rPr>
      </w:pPr>
      <w:r>
        <w:rPr>
          <w:color w:val="auto"/>
        </w:rPr>
        <w:t>2）计算相关矩阵</w:t>
      </w:r>
    </w:p>
    <w:p w14:paraId="4FE6D694">
      <w:pPr>
        <w:pStyle w:val="376"/>
        <w:adjustRightInd w:val="0"/>
        <w:ind w:firstLine="480"/>
        <w:rPr>
          <w:color w:val="auto"/>
        </w:rPr>
      </w:pPr>
      <w:r>
        <w:rPr>
          <w:color w:val="auto"/>
        </w:rPr>
        <w:t>标准化处理后的数据算得的样本协差阵即为样本相关阵，设此时的数据矩阵为X=（X</w:t>
      </w:r>
      <w:r>
        <w:rPr>
          <w:color w:val="auto"/>
          <w:vertAlign w:val="subscript"/>
        </w:rPr>
        <w:t>ij</w:t>
      </w:r>
      <w:r>
        <w:rPr>
          <w:color w:val="auto"/>
        </w:rPr>
        <w:t>）</w:t>
      </w:r>
      <w:r>
        <w:rPr>
          <w:color w:val="auto"/>
          <w:vertAlign w:val="subscript"/>
        </w:rPr>
        <w:t>m×n</w:t>
      </w:r>
      <w:r>
        <w:rPr>
          <w:color w:val="auto"/>
        </w:rPr>
        <w:t>，m为指标数目，n为分区单元数，则相关系数阵R为：</w:t>
      </w:r>
    </w:p>
    <w:p w14:paraId="65C2D590">
      <w:pPr>
        <w:adjustRightInd w:val="0"/>
        <w:snapToGrid w:val="0"/>
        <w:ind w:firstLine="480"/>
        <w:jc w:val="center"/>
        <w:rPr>
          <w:rFonts w:cs="Times New Roman"/>
        </w:rPr>
      </w:pPr>
      <w:r>
        <w:rPr>
          <w:rFonts w:cs="Times New Roman"/>
          <w:position w:val="-104"/>
        </w:rPr>
        <w:object>
          <v:shape id="_x0000_i1039" o:spt="75" type="#_x0000_t75" style="height:111.35pt;width:185.85pt;" o:ole="t" filled="f" o:preferrelative="t" stroked="f" coordsize="21600,21600">
            <v:path/>
            <v:fill on="f" focussize="0,0"/>
            <v:stroke on="f" joinstyle="miter"/>
            <v:imagedata r:id="rId47" o:title=""/>
            <o:lock v:ext="edit" aspectratio="t"/>
            <w10:wrap type="none"/>
            <w10:anchorlock/>
          </v:shape>
          <o:OLEObject Type="Embed" ProgID="Equation.3" ShapeID="_x0000_i1039" DrawAspect="Content" ObjectID="_1468075739" r:id="rId46">
            <o:LockedField>false</o:LockedField>
          </o:OLEObject>
        </w:object>
      </w:r>
    </w:p>
    <w:p w14:paraId="7E87E16E">
      <w:pPr>
        <w:adjustRightInd w:val="0"/>
        <w:snapToGrid w:val="0"/>
        <w:ind w:firstLine="480"/>
        <w:jc w:val="center"/>
        <w:rPr>
          <w:rFonts w:cs="Times New Roman"/>
        </w:rPr>
      </w:pPr>
      <w:r>
        <w:rPr>
          <w:rFonts w:cs="Times New Roman"/>
          <w:position w:val="-32"/>
        </w:rPr>
        <w:object>
          <v:shape id="_x0000_i1040" o:spt="75" type="#_x0000_t75" style="height:51.9pt;width:252.85pt;" o:ole="t" filled="f" o:preferrelative="t" stroked="f" coordsize="21600,21600">
            <v:path/>
            <v:fill on="f" focussize="0,0"/>
            <v:stroke on="f" joinstyle="miter"/>
            <v:imagedata r:id="rId49" o:title=""/>
            <o:lock v:ext="edit" aspectratio="t"/>
            <w10:wrap type="none"/>
            <w10:anchorlock/>
          </v:shape>
          <o:OLEObject Type="Embed" ProgID="Equation.3" ShapeID="_x0000_i1040" DrawAspect="Content" ObjectID="_1468075740" r:id="rId48">
            <o:LockedField>false</o:LockedField>
          </o:OLEObject>
        </w:object>
      </w:r>
    </w:p>
    <w:p w14:paraId="3DE03D49">
      <w:pPr>
        <w:adjustRightInd w:val="0"/>
        <w:snapToGrid w:val="0"/>
        <w:ind w:firstLine="480"/>
        <w:rPr>
          <w:rFonts w:cs="Times New Roman"/>
        </w:rPr>
      </w:pPr>
      <w:r>
        <w:rPr>
          <w:rFonts w:cs="Times New Roman"/>
        </w:rPr>
        <w:t>其中，</w:t>
      </w:r>
      <w:r>
        <w:rPr>
          <w:rFonts w:cs="Times New Roman"/>
          <w:position w:val="-10"/>
        </w:rPr>
        <w:object>
          <v:shape id="_x0000_i1041" o:spt="75" type="#_x0000_t75" style="height:18.4pt;width:11.7pt;" o:ole="t" filled="f" o:preferrelative="t" stroked="f" coordsize="21600,21600">
            <v:path/>
            <v:fill on="f" focussize="0,0"/>
            <v:stroke on="f" joinstyle="miter"/>
            <v:imagedata r:id="rId51" o:title=""/>
            <o:lock v:ext="edit" aspectratio="t"/>
            <w10:wrap type="none"/>
            <w10:anchorlock/>
          </v:shape>
          <o:OLEObject Type="Embed" ProgID="Equation.3" ShapeID="_x0000_i1041" DrawAspect="Content" ObjectID="_1468075741" r:id="rId50">
            <o:LockedField>false</o:LockedField>
          </o:OLEObject>
        </w:object>
      </w:r>
      <w:r>
        <w:rPr>
          <w:rFonts w:cs="Times New Roman"/>
        </w:rPr>
        <w:t>=</w:t>
      </w:r>
      <w:r>
        <w:rPr>
          <w:rFonts w:cs="Times New Roman"/>
          <w:position w:val="-10"/>
        </w:rPr>
        <w:object>
          <v:shape id="_x0000_i1042" o:spt="75" type="#_x0000_t75" style="height:18.4pt;width:15.05pt;" o:ole="t" filled="f" o:preferrelative="t" stroked="f" coordsize="21600,21600">
            <v:path/>
            <v:fill on="f" focussize="0,0"/>
            <v:stroke on="f" joinstyle="miter"/>
            <v:imagedata r:id="rId53" o:title=""/>
            <o:lock v:ext="edit" aspectratio="t"/>
            <w10:wrap type="none"/>
            <w10:anchorlock/>
          </v:shape>
          <o:OLEObject Type="Embed" ProgID="Equation.3" ShapeID="_x0000_i1042" DrawAspect="Content" ObjectID="_1468075742" r:id="rId52">
            <o:LockedField>false</o:LockedField>
          </o:OLEObject>
        </w:object>
      </w:r>
      <w:r>
        <w:rPr>
          <w:rFonts w:cs="Times New Roman"/>
        </w:rPr>
        <w:t>=</w:t>
      </w:r>
      <w:r>
        <w:rPr>
          <w:rFonts w:cs="Times New Roman"/>
          <w:position w:val="-12"/>
        </w:rPr>
        <w:object>
          <v:shape id="_x0000_i1043" o:spt="75" type="#_x0000_t75" style="height:19.25pt;width:15.05pt;" o:ole="t" filled="f" o:preferrelative="t" stroked="f" coordsize="21600,21600">
            <v:path/>
            <v:fill on="f" focussize="0,0"/>
            <v:stroke on="f" joinstyle="miter"/>
            <v:imagedata r:id="rId55" o:title=""/>
            <o:lock v:ext="edit" aspectratio="t"/>
            <w10:wrap type="none"/>
            <w10:anchorlock/>
          </v:shape>
          <o:OLEObject Type="Embed" ProgID="Equation.3" ShapeID="_x0000_i1043" DrawAspect="Content" ObjectID="_1468075743" r:id="rId54">
            <o:LockedField>false</o:LockedField>
          </o:OLEObject>
        </w:object>
      </w:r>
      <w:r>
        <w:rPr>
          <w:rFonts w:cs="Times New Roman"/>
        </w:rPr>
        <w:t>=…=</w:t>
      </w:r>
      <w:r>
        <w:rPr>
          <w:rFonts w:cs="Times New Roman"/>
          <w:position w:val="-12"/>
        </w:rPr>
        <w:object>
          <v:shape id="_x0000_i1044" o:spt="75" type="#_x0000_t75" style="height:19.25pt;width:19.25pt;" o:ole="t" filled="f" o:preferrelative="t" stroked="f" coordsize="21600,21600">
            <v:path/>
            <v:fill on="f" focussize="0,0"/>
            <v:stroke on="f" joinstyle="miter"/>
            <v:imagedata r:id="rId57" o:title=""/>
            <o:lock v:ext="edit" aspectratio="t"/>
            <w10:wrap type="none"/>
            <w10:anchorlock/>
          </v:shape>
          <o:OLEObject Type="Embed" ProgID="Equation.3" ShapeID="_x0000_i1044" DrawAspect="Content" ObjectID="_1468075744" r:id="rId56">
            <o:LockedField>false</o:LockedField>
          </o:OLEObject>
        </w:object>
      </w:r>
      <w:r>
        <w:rPr>
          <w:rFonts w:cs="Times New Roman"/>
        </w:rPr>
        <w:t>=1，（</w:t>
      </w:r>
      <w:r>
        <w:rPr>
          <w:rFonts w:cs="Times New Roman"/>
          <w:position w:val="-6"/>
        </w:rPr>
        <w:object>
          <v:shape id="_x0000_i1045" o:spt="75" type="#_x0000_t75" style="height:15.05pt;width:9.2pt;" o:ole="t" filled="f" o:preferrelative="t" stroked="f" coordsize="21600,21600">
            <v:path/>
            <v:fill on="f" focussize="0,0"/>
            <v:stroke on="f" joinstyle="miter"/>
            <v:imagedata r:id="rId59" o:title=""/>
            <o:lock v:ext="edit" aspectratio="t"/>
            <w10:wrap type="none"/>
            <w10:anchorlock/>
          </v:shape>
          <o:OLEObject Type="Embed" ProgID="Equation.3" ShapeID="_x0000_i1045" DrawAspect="Content" ObjectID="_1468075745" r:id="rId58">
            <o:LockedField>false</o:LockedField>
          </o:OLEObject>
        </w:object>
      </w:r>
      <w:r>
        <w:rPr>
          <w:rFonts w:cs="Times New Roman"/>
        </w:rPr>
        <w:t>，</w:t>
      </w:r>
      <w:r>
        <w:rPr>
          <w:rFonts w:cs="Times New Roman"/>
          <w:position w:val="-10"/>
        </w:rPr>
        <w:object>
          <v:shape id="_x0000_i1046" o:spt="75" type="#_x0000_t75" style="height:15.05pt;width:8.35pt;" o:ole="t" filled="f" o:preferrelative="t" stroked="f" coordsize="21600,21600">
            <v:path/>
            <v:fill on="f" focussize="0,0"/>
            <v:stroke on="f" joinstyle="miter"/>
            <v:imagedata r:id="rId61" o:title=""/>
            <o:lock v:ext="edit" aspectratio="t"/>
            <w10:wrap type="none"/>
            <w10:anchorlock/>
          </v:shape>
          <o:OLEObject Type="Embed" ProgID="Equation.3" ShapeID="_x0000_i1046" DrawAspect="Content" ObjectID="_1468075746" r:id="rId60">
            <o:LockedField>false</o:LockedField>
          </o:OLEObject>
        </w:object>
      </w:r>
      <w:r>
        <w:rPr>
          <w:rFonts w:cs="Times New Roman"/>
        </w:rPr>
        <w:t>=1，2，3，…，</w:t>
      </w:r>
      <w:r>
        <w:rPr>
          <w:rFonts w:cs="Times New Roman"/>
          <w:position w:val="-6"/>
        </w:rPr>
        <w:object>
          <v:shape id="_x0000_i1047" o:spt="75" type="#_x0000_t75" style="height:11.7pt;width:11.7pt;" o:ole="t" filled="f" o:preferrelative="t" stroked="f" coordsize="21600,21600">
            <v:path/>
            <v:fill on="f" focussize="0,0"/>
            <v:stroke on="f" joinstyle="miter"/>
            <v:imagedata r:id="rId63" o:title=""/>
            <o:lock v:ext="edit" aspectratio="t"/>
            <w10:wrap type="none"/>
            <w10:anchorlock/>
          </v:shape>
          <o:OLEObject Type="Embed" ProgID="Equation.3" ShapeID="_x0000_i1047" DrawAspect="Content" ObjectID="_1468075747" r:id="rId62">
            <o:LockedField>false</o:LockedField>
          </o:OLEObject>
        </w:object>
      </w:r>
      <w:r>
        <w:rPr>
          <w:rFonts w:cs="Times New Roman"/>
        </w:rPr>
        <w:t>）</w:t>
      </w:r>
    </w:p>
    <w:p w14:paraId="5E9BEAF7">
      <w:pPr>
        <w:pStyle w:val="376"/>
        <w:adjustRightInd w:val="0"/>
        <w:ind w:firstLine="480"/>
        <w:rPr>
          <w:color w:val="auto"/>
        </w:rPr>
      </w:pPr>
      <w:r>
        <w:rPr>
          <w:color w:val="auto"/>
        </w:rPr>
        <w:t>3）求特征值和特征向量</w:t>
      </w:r>
    </w:p>
    <w:p w14:paraId="1E91F095">
      <w:pPr>
        <w:adjustRightInd w:val="0"/>
        <w:snapToGrid w:val="0"/>
        <w:ind w:firstLine="480"/>
        <w:rPr>
          <w:rFonts w:cs="Times New Roman"/>
          <w:lang w:eastAsia="zh-TW"/>
        </w:rPr>
      </w:pPr>
      <w:r>
        <w:rPr>
          <w:rFonts w:cs="Times New Roman"/>
          <w:lang w:eastAsia="zh-TW"/>
        </w:rPr>
        <w:t>用雅克比方法求解特征方程：</w:t>
      </w:r>
    </w:p>
    <w:p w14:paraId="5FC7385A">
      <w:pPr>
        <w:adjustRightInd w:val="0"/>
        <w:snapToGrid w:val="0"/>
        <w:ind w:firstLine="480"/>
        <w:jc w:val="center"/>
        <w:rPr>
          <w:rFonts w:cs="Times New Roman"/>
        </w:rPr>
      </w:pPr>
      <w:r>
        <w:rPr>
          <w:rFonts w:cs="Times New Roman"/>
          <w:position w:val="-14"/>
        </w:rPr>
        <w:object>
          <v:shape id="_x0000_i1048" o:spt="75" type="#_x0000_t75" style="height:21.75pt;width:52.75pt;" o:ole="t" filled="f" o:preferrelative="t" stroked="f" coordsize="21600,21600">
            <v:path/>
            <v:fill on="f" focussize="0,0"/>
            <v:stroke on="f" joinstyle="miter"/>
            <v:imagedata r:id="rId65" o:title=""/>
            <o:lock v:ext="edit" aspectratio="t"/>
            <w10:wrap type="none"/>
            <w10:anchorlock/>
          </v:shape>
          <o:OLEObject Type="Embed" ProgID="Equation.3" ShapeID="_x0000_i1048" DrawAspect="Content" ObjectID="_1468075748" r:id="rId64">
            <o:LockedField>false</o:LockedField>
          </o:OLEObject>
        </w:object>
      </w:r>
    </w:p>
    <w:p w14:paraId="78C9C5AF">
      <w:pPr>
        <w:adjustRightInd w:val="0"/>
        <w:snapToGrid w:val="0"/>
        <w:ind w:firstLine="480"/>
        <w:rPr>
          <w:rFonts w:cs="Times New Roman"/>
        </w:rPr>
      </w:pPr>
      <w:r>
        <w:rPr>
          <w:rFonts w:cs="Times New Roman"/>
        </w:rPr>
        <w:t>通过求解特征方程，可得到m个特征值（i=1，2，3，…，m），和对应于每</w:t>
      </w:r>
    </w:p>
    <w:p w14:paraId="6FB1C77A">
      <w:pPr>
        <w:adjustRightInd w:val="0"/>
        <w:snapToGrid w:val="0"/>
        <w:ind w:firstLine="480"/>
        <w:rPr>
          <w:rFonts w:cs="Times New Roman"/>
        </w:rPr>
      </w:pPr>
      <w:r>
        <w:rPr>
          <w:rFonts w:cs="Times New Roman"/>
        </w:rPr>
        <w:t>一个特征值的特征向量：</w:t>
      </w:r>
    </w:p>
    <w:p w14:paraId="123E8BBC">
      <w:pPr>
        <w:adjustRightInd w:val="0"/>
        <w:snapToGrid w:val="0"/>
        <w:ind w:firstLine="480"/>
        <w:jc w:val="center"/>
        <w:rPr>
          <w:rFonts w:cs="Times New Roman"/>
        </w:rPr>
      </w:pPr>
      <w:r>
        <w:rPr>
          <w:rFonts w:cs="Times New Roman"/>
          <w:position w:val="-12"/>
        </w:rPr>
        <w:object>
          <v:shape id="_x0000_i1049" o:spt="75" type="#_x0000_t75" style="height:19.25pt;width:100.45pt;" o:ole="t" filled="f" o:preferrelative="t" stroked="f" coordsize="21600,21600">
            <v:path/>
            <v:fill on="f" focussize="0,0"/>
            <v:stroke on="f" joinstyle="miter"/>
            <v:imagedata r:id="rId67" o:title=""/>
            <o:lock v:ext="edit" aspectratio="t"/>
            <w10:wrap type="none"/>
            <w10:anchorlock/>
          </v:shape>
          <o:OLEObject Type="Embed" ProgID="Equation.3" ShapeID="_x0000_i1049" DrawAspect="Content" ObjectID="_1468075749" r:id="rId66">
            <o:LockedField>false</o:LockedField>
          </o:OLEObject>
        </w:object>
      </w:r>
      <w:r>
        <w:rPr>
          <w:rFonts w:cs="Times New Roman"/>
          <w:position w:val="-10"/>
        </w:rPr>
        <w:object>
          <v:shape id="_x0000_i1050" o:spt="75" type="#_x0000_t75" style="height:18.4pt;width:77.85pt;" o:ole="t" filled="f" o:preferrelative="t" stroked="f" coordsize="21600,21600">
            <v:path/>
            <v:fill on="f" focussize="0,0"/>
            <v:stroke on="f" joinstyle="miter"/>
            <v:imagedata r:id="rId69" o:title=""/>
            <o:lock v:ext="edit" aspectratio="t"/>
            <w10:wrap type="none"/>
            <w10:anchorlock/>
          </v:shape>
          <o:OLEObject Type="Embed" ProgID="Equation.3" ShapeID="_x0000_i1050" DrawAspect="Content" ObjectID="_1468075750" r:id="rId68">
            <o:LockedField>false</o:LockedField>
          </o:OLEObject>
        </w:object>
      </w:r>
    </w:p>
    <w:p w14:paraId="04835AE1">
      <w:pPr>
        <w:adjustRightInd w:val="0"/>
        <w:snapToGrid w:val="0"/>
        <w:ind w:firstLine="480"/>
        <w:rPr>
          <w:rFonts w:cs="Times New Roman"/>
        </w:rPr>
      </w:pPr>
      <w:r>
        <w:rPr>
          <w:rFonts w:cs="Times New Roman"/>
        </w:rPr>
        <w:t>且有</w:t>
      </w:r>
      <w:r>
        <w:rPr>
          <w:rFonts w:cs="Times New Roman"/>
          <w:position w:val="-12"/>
        </w:rPr>
        <w:object>
          <v:shape id="_x0000_i1051" o:spt="75" type="#_x0000_t75" style="height:19.25pt;width:102.15pt;" o:ole="t" filled="f" o:preferrelative="t" stroked="f" coordsize="21600,21600">
            <v:path/>
            <v:fill on="f" focussize="0,0"/>
            <v:stroke on="f" joinstyle="miter"/>
            <v:imagedata r:id="rId71" o:title=""/>
            <o:lock v:ext="edit" aspectratio="t"/>
            <w10:wrap type="none"/>
            <w10:anchorlock/>
          </v:shape>
          <o:OLEObject Type="Embed" ProgID="Equation.3" ShapeID="_x0000_i1051" DrawAspect="Content" ObjectID="_1468075751" r:id="rId70">
            <o:LockedField>false</o:LockedField>
          </o:OLEObject>
        </w:object>
      </w:r>
      <w:r>
        <w:rPr>
          <w:rFonts w:cs="Times New Roman"/>
        </w:rPr>
        <w:t>与之对应的特征向量相互正交。</w:t>
      </w:r>
    </w:p>
    <w:p w14:paraId="3E422A54">
      <w:pPr>
        <w:pStyle w:val="376"/>
        <w:adjustRightInd w:val="0"/>
        <w:ind w:firstLine="480"/>
        <w:rPr>
          <w:color w:val="auto"/>
        </w:rPr>
      </w:pPr>
      <w:r>
        <w:rPr>
          <w:color w:val="auto"/>
        </w:rPr>
        <w:t>4）求成分表达式</w:t>
      </w:r>
    </w:p>
    <w:p w14:paraId="0B5EA206">
      <w:pPr>
        <w:adjustRightInd w:val="0"/>
        <w:snapToGrid w:val="0"/>
        <w:ind w:firstLine="480"/>
        <w:rPr>
          <w:rFonts w:cs="Times New Roman"/>
        </w:rPr>
      </w:pPr>
      <w:r>
        <w:rPr>
          <w:rFonts w:cs="Times New Roman"/>
        </w:rPr>
        <w:t>根据求得的m个特征向量，m个成分分别为：</w:t>
      </w:r>
    </w:p>
    <w:p w14:paraId="487A7AEC">
      <w:pPr>
        <w:adjustRightInd w:val="0"/>
        <w:snapToGrid w:val="0"/>
        <w:ind w:firstLine="480"/>
        <w:jc w:val="center"/>
        <w:rPr>
          <w:rFonts w:cs="Times New Roman"/>
        </w:rPr>
      </w:pPr>
      <w:r>
        <w:rPr>
          <w:rFonts w:cs="Times New Roman"/>
          <w:position w:val="-12"/>
        </w:rPr>
        <w:object>
          <v:shape id="_x0000_i1052" o:spt="75" type="#_x0000_t75" style="height:19.25pt;width:164.1pt;" o:ole="t" filled="f" o:preferrelative="t" stroked="f" coordsize="21600,21600">
            <v:path/>
            <v:fill on="f" focussize="0,0"/>
            <v:stroke on="f" joinstyle="miter"/>
            <v:imagedata r:id="rId73" o:title=""/>
            <o:lock v:ext="edit" aspectratio="t"/>
            <w10:wrap type="none"/>
            <w10:anchorlock/>
          </v:shape>
          <o:OLEObject Type="Embed" ProgID="Equation.3" ShapeID="_x0000_i1052" DrawAspect="Content" ObjectID="_1468075752" r:id="rId72">
            <o:LockedField>false</o:LockedField>
          </o:OLEObject>
        </w:object>
      </w:r>
    </w:p>
    <w:p w14:paraId="1DCA9929">
      <w:pPr>
        <w:adjustRightInd w:val="0"/>
        <w:snapToGrid w:val="0"/>
        <w:ind w:firstLine="480"/>
        <w:jc w:val="center"/>
        <w:rPr>
          <w:rFonts w:cs="Times New Roman"/>
        </w:rPr>
      </w:pPr>
      <w:r>
        <w:rPr>
          <w:rFonts w:cs="Times New Roman"/>
          <w:position w:val="-12"/>
        </w:rPr>
        <w:object>
          <v:shape id="_x0000_i1053" o:spt="75" type="#_x0000_t75" style="height:19.25pt;width:171.65pt;" o:ole="t" filled="f" o:preferrelative="t" stroked="f" coordsize="21600,21600">
            <v:path/>
            <v:fill on="f" focussize="0,0"/>
            <v:stroke on="f" joinstyle="miter"/>
            <v:imagedata r:id="rId75" o:title=""/>
            <o:lock v:ext="edit" aspectratio="t"/>
            <w10:wrap type="none"/>
            <w10:anchorlock/>
          </v:shape>
          <o:OLEObject Type="Embed" ProgID="Equation.3" ShapeID="_x0000_i1053" DrawAspect="Content" ObjectID="_1468075753" r:id="rId74">
            <o:LockedField>false</o:LockedField>
          </o:OLEObject>
        </w:object>
      </w:r>
    </w:p>
    <w:p w14:paraId="0062832E">
      <w:pPr>
        <w:adjustRightInd w:val="0"/>
        <w:snapToGrid w:val="0"/>
        <w:ind w:firstLine="480"/>
        <w:jc w:val="center"/>
        <w:rPr>
          <w:rFonts w:cs="Times New Roman"/>
        </w:rPr>
      </w:pPr>
      <w:r>
        <w:rPr>
          <w:rFonts w:cs="Times New Roman"/>
          <w:position w:val="-6"/>
        </w:rPr>
        <w:object>
          <v:shape id="_x0000_i1054" o:spt="75" type="#_x0000_t75" style="height:9.2pt;width:26.8pt;" o:ole="t" filled="f" o:preferrelative="t" stroked="f" coordsize="21600,21600">
            <v:path/>
            <v:fill on="f" focussize="0,0"/>
            <v:stroke on="f" joinstyle="miter"/>
            <v:imagedata r:id="rId77" o:title=""/>
            <o:lock v:ext="edit" aspectratio="t"/>
            <w10:wrap type="none"/>
            <w10:anchorlock/>
          </v:shape>
          <o:OLEObject Type="Embed" ProgID="Equation.3" ShapeID="_x0000_i1054" DrawAspect="Content" ObjectID="_1468075754" r:id="rId76">
            <o:LockedField>false</o:LockedField>
          </o:OLEObject>
        </w:object>
      </w:r>
    </w:p>
    <w:p w14:paraId="5E4F218C">
      <w:pPr>
        <w:adjustRightInd w:val="0"/>
        <w:snapToGrid w:val="0"/>
        <w:ind w:firstLine="480"/>
        <w:jc w:val="center"/>
        <w:rPr>
          <w:rFonts w:cs="Times New Roman"/>
        </w:rPr>
      </w:pPr>
      <w:r>
        <w:rPr>
          <w:rFonts w:cs="Times New Roman"/>
          <w:position w:val="-12"/>
        </w:rPr>
        <w:object>
          <v:shape id="_x0000_i1055" o:spt="75" type="#_x0000_t75" style="height:19.25pt;width:176.65pt;" o:ole="t" filled="f" o:preferrelative="t" stroked="f" coordsize="21600,21600">
            <v:path/>
            <v:fill on="f" focussize="0,0"/>
            <v:stroke on="f" joinstyle="miter"/>
            <v:imagedata r:id="rId79" o:title=""/>
            <o:lock v:ext="edit" aspectratio="t"/>
            <w10:wrap type="none"/>
            <w10:anchorlock/>
          </v:shape>
          <o:OLEObject Type="Embed" ProgID="Equation.3" ShapeID="_x0000_i1055" DrawAspect="Content" ObjectID="_1468075755" r:id="rId78">
            <o:LockedField>false</o:LockedField>
          </o:OLEObject>
        </w:object>
      </w:r>
    </w:p>
    <w:p w14:paraId="1CC6EDA7">
      <w:pPr>
        <w:adjustRightInd w:val="0"/>
        <w:snapToGrid w:val="0"/>
        <w:ind w:firstLine="480"/>
        <w:rPr>
          <w:rFonts w:cs="Times New Roman"/>
        </w:rPr>
      </w:pPr>
      <w:r>
        <w:rPr>
          <w:rFonts w:cs="Times New Roman"/>
        </w:rPr>
        <w:t>其中</w:t>
      </w:r>
      <w:bookmarkStart w:id="82" w:name="OLE_LINK8"/>
      <w:r>
        <w:rPr>
          <w:rFonts w:cs="Times New Roman"/>
          <w:position w:val="-12"/>
        </w:rPr>
        <w:object>
          <v:shape id="_x0000_i1056" o:spt="75" type="#_x0000_t75" style="height:19.25pt;width:62.8pt;" o:ole="t" filled="f" o:preferrelative="t" stroked="f" coordsize="21600,21600">
            <v:path/>
            <v:fill on="f" focussize="0,0"/>
            <v:stroke on="f" joinstyle="miter"/>
            <v:imagedata r:id="rId81" o:title=""/>
            <o:lock v:ext="edit" aspectratio="t"/>
            <w10:wrap type="none"/>
            <w10:anchorlock/>
          </v:shape>
          <o:OLEObject Type="Embed" ProgID="Equation.3" ShapeID="_x0000_i1056" DrawAspect="Content" ObjectID="_1468075756" r:id="rId80">
            <o:LockedField>false</o:LockedField>
          </o:OLEObject>
        </w:object>
      </w:r>
      <w:bookmarkEnd w:id="82"/>
      <w:r>
        <w:rPr>
          <w:rFonts w:cs="Times New Roman"/>
        </w:rPr>
        <w:t>为</w:t>
      </w:r>
      <w:r>
        <w:rPr>
          <w:rFonts w:cs="Times New Roman"/>
          <w:position w:val="-4"/>
        </w:rPr>
        <w:object>
          <v:shape id="_x0000_i1057" o:spt="75" type="#_x0000_t75" style="height:11.7pt;width:15.05pt;" o:ole="t" filled="f" o:preferrelative="t" stroked="f" coordsize="21600,21600">
            <v:path/>
            <v:fill on="f" focussize="0,0"/>
            <v:stroke on="f" joinstyle="miter"/>
            <v:imagedata r:id="rId83" o:title=""/>
            <o:lock v:ext="edit" aspectratio="t"/>
            <w10:wrap type="none"/>
            <w10:anchorlock/>
          </v:shape>
          <o:OLEObject Type="Embed" ProgID="Equation.3" ShapeID="_x0000_i1057" DrawAspect="Content" ObjectID="_1468075757" r:id="rId82">
            <o:LockedField>false</o:LockedField>
          </o:OLEObject>
        </w:object>
      </w:r>
      <w:r>
        <w:rPr>
          <w:rFonts w:cs="Times New Roman"/>
        </w:rPr>
        <w:t>的协方差阵的</w:t>
      </w:r>
      <w:r>
        <w:rPr>
          <w:rFonts w:cs="Times New Roman"/>
          <w:position w:val="-6"/>
        </w:rPr>
        <w:object>
          <v:shape id="_x0000_i1058" o:spt="75" type="#_x0000_t75" style="height:11.7pt;width:11.7pt;" o:ole="t" filled="f" o:preferrelative="t" stroked="f" coordsize="21600,21600">
            <v:path/>
            <v:fill on="f" focussize="0,0"/>
            <v:stroke on="f" joinstyle="miter"/>
            <v:imagedata r:id="rId85" o:title=""/>
            <o:lock v:ext="edit" aspectratio="t"/>
            <w10:wrap type="none"/>
            <w10:anchorlock/>
          </v:shape>
          <o:OLEObject Type="Embed" ProgID="Equation.3" ShapeID="_x0000_i1058" DrawAspect="Content" ObjectID="_1468075758" r:id="rId84">
            <o:LockedField>false</o:LockedField>
          </o:OLEObject>
        </w:object>
      </w:r>
      <w:r>
        <w:rPr>
          <w:rFonts w:cs="Times New Roman"/>
        </w:rPr>
        <w:t>个特征值，</w:t>
      </w:r>
      <w:r>
        <w:rPr>
          <w:rFonts w:cs="Times New Roman"/>
          <w:position w:val="-12"/>
        </w:rPr>
        <w:object>
          <v:shape id="_x0000_i1059" o:spt="75" type="#_x0000_t75" style="height:19.25pt;width:148.2pt;" o:ole="t" filled="f" o:preferrelative="t" stroked="f" coordsize="21600,21600">
            <v:path/>
            <v:fill on="f" focussize="0,0"/>
            <v:stroke on="f" joinstyle="miter"/>
            <v:imagedata r:id="rId87" o:title=""/>
            <o:lock v:ext="edit" aspectratio="t"/>
            <w10:wrap type="none"/>
            <w10:anchorlock/>
          </v:shape>
          <o:OLEObject Type="Embed" ProgID="Equation.3" ShapeID="_x0000_i1059" DrawAspect="Content" ObjectID="_1468075759" r:id="rId86">
            <o:LockedField>false</o:LockedField>
          </o:OLEObject>
        </w:object>
      </w:r>
      <w:r>
        <w:rPr>
          <w:rFonts w:cs="Times New Roman"/>
        </w:rPr>
        <w:t>为</w:t>
      </w:r>
      <w:r>
        <w:rPr>
          <w:rFonts w:cs="Times New Roman"/>
          <w:position w:val="-6"/>
        </w:rPr>
        <w:object>
          <v:shape id="_x0000_i1060" o:spt="75" type="#_x0000_t75" style="height:11.7pt;width:11.7pt;" o:ole="t" filled="f" o:preferrelative="t" stroked="f" coordsize="21600,21600">
            <v:path/>
            <v:fill on="f" focussize="0,0"/>
            <v:stroke on="f" joinstyle="miter"/>
            <v:imagedata r:id="rId85" o:title=""/>
            <o:lock v:ext="edit" aspectratio="t"/>
            <w10:wrap type="none"/>
            <w10:anchorlock/>
          </v:shape>
          <o:OLEObject Type="Embed" ProgID="Equation.3" ShapeID="_x0000_i1060" DrawAspect="Content" ObjectID="_1468075760" r:id="rId88">
            <o:LockedField>false</o:LockedField>
          </o:OLEObject>
        </w:object>
      </w:r>
      <w:r>
        <w:rPr>
          <w:rFonts w:cs="Times New Roman"/>
        </w:rPr>
        <w:t>个特征值所对应的特征向量，</w:t>
      </w:r>
      <w:r>
        <w:rPr>
          <w:rFonts w:cs="Times New Roman"/>
          <w:position w:val="-12"/>
        </w:rPr>
        <w:object>
          <v:shape id="_x0000_i1061" o:spt="75" type="#_x0000_t75" style="height:19.25pt;width:71.15pt;" o:ole="t" filled="f" o:preferrelative="t" stroked="f" coordsize="21600,21600">
            <v:path/>
            <v:fill on="f" focussize="0,0"/>
            <v:stroke on="f" joinstyle="miter"/>
            <v:imagedata r:id="rId90" o:title=""/>
            <o:lock v:ext="edit" aspectratio="t"/>
            <w10:wrap type="none"/>
            <w10:anchorlock/>
          </v:shape>
          <o:OLEObject Type="Embed" ProgID="Equation.3" ShapeID="_x0000_i1061" DrawAspect="Content" ObjectID="_1468075761" r:id="rId89">
            <o:LockedField>false</o:LockedField>
          </o:OLEObject>
        </w:object>
      </w:r>
      <w:r>
        <w:rPr>
          <w:rFonts w:cs="Times New Roman"/>
        </w:rPr>
        <w:t>是原始数据经过标准化处理后的值。</w:t>
      </w:r>
    </w:p>
    <w:p w14:paraId="1697CFDA">
      <w:pPr>
        <w:adjustRightInd w:val="0"/>
        <w:snapToGrid w:val="0"/>
        <w:ind w:firstLine="480"/>
        <w:rPr>
          <w:rFonts w:cs="Times New Roman"/>
        </w:rPr>
      </w:pPr>
      <w:r>
        <w:rPr>
          <w:rFonts w:cs="Times New Roman"/>
        </w:rPr>
        <w:t>以上求得的各成分相互正交且每一个成分的方差等于对应的特征向量</w:t>
      </w:r>
      <w:r>
        <w:rPr>
          <w:rFonts w:cs="Times New Roman"/>
          <w:position w:val="-6"/>
        </w:rPr>
        <w:object>
          <v:shape id="_x0000_i1062" o:spt="75" type="#_x0000_t75" style="height:15.05pt;width:11.7pt;" o:ole="t" filled="f" o:preferrelative="t" stroked="f" coordsize="21600,21600">
            <v:path/>
            <v:fill on="f" focussize="0,0"/>
            <v:stroke on="f" joinstyle="miter"/>
            <v:imagedata r:id="rId92" o:title=""/>
            <o:lock v:ext="edit" aspectratio="t"/>
            <w10:wrap type="none"/>
            <w10:anchorlock/>
          </v:shape>
          <o:OLEObject Type="Embed" ProgID="Equation.3" ShapeID="_x0000_i1062" DrawAspect="Content" ObjectID="_1468075762" r:id="rId91">
            <o:LockedField>false</o:LockedField>
          </o:OLEObject>
        </w:object>
      </w:r>
      <w:r>
        <w:rPr>
          <w:rFonts w:cs="Times New Roman"/>
        </w:rPr>
        <w:t>。显然，各成分对应的方差是逐次递减的。</w:t>
      </w:r>
    </w:p>
    <w:p w14:paraId="590D89CD">
      <w:pPr>
        <w:pStyle w:val="376"/>
        <w:adjustRightInd w:val="0"/>
        <w:ind w:firstLine="480"/>
        <w:rPr>
          <w:color w:val="auto"/>
        </w:rPr>
      </w:pPr>
      <w:r>
        <w:rPr>
          <w:color w:val="auto"/>
        </w:rPr>
        <w:t>5）根据累计贡献率提取主成分</w:t>
      </w:r>
    </w:p>
    <w:p w14:paraId="776C72BB">
      <w:pPr>
        <w:adjustRightInd w:val="0"/>
        <w:snapToGrid w:val="0"/>
        <w:ind w:firstLine="480"/>
        <w:rPr>
          <w:rFonts w:cs="Times New Roman"/>
        </w:rPr>
      </w:pPr>
      <w:r>
        <w:rPr>
          <w:rFonts w:cs="Times New Roman"/>
        </w:rPr>
        <w:t>前</w:t>
      </w:r>
      <w:r>
        <w:rPr>
          <w:rFonts w:cs="Times New Roman"/>
          <w:i/>
          <w:iCs/>
        </w:rPr>
        <w:t>p</w:t>
      </w:r>
      <w:r>
        <w:rPr>
          <w:rFonts w:cs="Times New Roman"/>
        </w:rPr>
        <w:t>个综合指标（</w:t>
      </w:r>
      <w:r>
        <w:rPr>
          <w:rFonts w:cs="Times New Roman"/>
          <w:i/>
          <w:iCs/>
        </w:rPr>
        <w:t>p</w:t>
      </w:r>
      <w:r>
        <w:rPr>
          <w:rFonts w:cs="Times New Roman"/>
        </w:rPr>
        <w:t>&lt;m）的方差与全部指标总方差的比，即累计贡献率</w:t>
      </w:r>
    </w:p>
    <w:p w14:paraId="167A7A67">
      <w:pPr>
        <w:adjustRightInd w:val="0"/>
        <w:snapToGrid w:val="0"/>
        <w:ind w:firstLine="480"/>
        <w:jc w:val="center"/>
        <w:rPr>
          <w:rFonts w:cs="Times New Roman"/>
        </w:rPr>
      </w:pPr>
      <w:r>
        <w:rPr>
          <w:rFonts w:cs="Times New Roman"/>
          <w:position w:val="-60"/>
        </w:rPr>
        <w:object>
          <v:shape id="_x0000_i1063" o:spt="75" type="#_x0000_t75" style="height:66.15pt;width:199.25pt;" o:ole="t" filled="f" o:preferrelative="t" stroked="f" coordsize="21600,21600">
            <v:path/>
            <v:fill on="f" focussize="0,0"/>
            <v:stroke on="f" joinstyle="miter"/>
            <v:imagedata r:id="rId94" o:title=""/>
            <o:lock v:ext="edit" aspectratio="t"/>
            <w10:wrap type="none"/>
            <w10:anchorlock/>
          </v:shape>
          <o:OLEObject Type="Embed" ProgID="Equation.3" ShapeID="_x0000_i1063" DrawAspect="Content" ObjectID="_1468075763" r:id="rId93">
            <o:LockedField>false</o:LockedField>
          </o:OLEObject>
        </w:object>
      </w:r>
    </w:p>
    <w:p w14:paraId="73B68EAB">
      <w:pPr>
        <w:adjustRightInd w:val="0"/>
        <w:snapToGrid w:val="0"/>
        <w:ind w:firstLine="480"/>
        <w:rPr>
          <w:rFonts w:cs="Times New Roman"/>
        </w:rPr>
      </w:pPr>
      <w:r>
        <w:rPr>
          <w:rFonts w:cs="Times New Roman"/>
        </w:rPr>
        <w:t>通常要求提取的主成分的数量</w:t>
      </w:r>
      <w:r>
        <w:rPr>
          <w:rFonts w:cs="Times New Roman"/>
          <w:i/>
          <w:iCs/>
        </w:rPr>
        <w:t>p</w:t>
      </w:r>
      <w:r>
        <w:rPr>
          <w:rFonts w:cs="Times New Roman"/>
        </w:rPr>
        <w:t>满足</w:t>
      </w:r>
      <w:r>
        <w:rPr>
          <w:rFonts w:cs="Times New Roman"/>
          <w:i/>
          <w:iCs/>
        </w:rPr>
        <w:t>a</w:t>
      </w:r>
      <w:r>
        <w:rPr>
          <w:rFonts w:cs="Times New Roman"/>
        </w:rPr>
        <w:t>&gt;0.85，表示提取的</w:t>
      </w:r>
      <w:r>
        <w:rPr>
          <w:rFonts w:cs="Times New Roman"/>
          <w:i/>
          <w:iCs/>
        </w:rPr>
        <w:t>p</w:t>
      </w:r>
      <w:r>
        <w:rPr>
          <w:rFonts w:cs="Times New Roman"/>
        </w:rPr>
        <w:t>个综合指标基本保留了原来全部指标的85%以上的信息，这样就达到了用较少指标代替原来较多指标的目的。</w:t>
      </w:r>
    </w:p>
    <w:p w14:paraId="3D8C1A60">
      <w:pPr>
        <w:pStyle w:val="376"/>
        <w:adjustRightInd w:val="0"/>
        <w:ind w:firstLine="480"/>
        <w:rPr>
          <w:color w:val="auto"/>
        </w:rPr>
      </w:pPr>
      <w:r>
        <w:rPr>
          <w:color w:val="auto"/>
        </w:rPr>
        <w:t>6）主成分综合得分计算</w:t>
      </w:r>
    </w:p>
    <w:p w14:paraId="42DCB036">
      <w:pPr>
        <w:adjustRightInd w:val="0"/>
        <w:snapToGrid w:val="0"/>
        <w:ind w:firstLine="480"/>
        <w:rPr>
          <w:rFonts w:cs="Times New Roman"/>
        </w:rPr>
      </w:pPr>
      <w:r>
        <w:rPr>
          <w:rFonts w:cs="Times New Roman"/>
        </w:rPr>
        <w:t>通过主成分分析提取出</w:t>
      </w:r>
      <w:r>
        <w:rPr>
          <w:rFonts w:cs="Times New Roman"/>
          <w:i/>
          <w:iCs/>
        </w:rPr>
        <w:t>p</w:t>
      </w:r>
      <w:r>
        <w:rPr>
          <w:rFonts w:cs="Times New Roman"/>
        </w:rPr>
        <w:t>个主成分，并得到主成分得分，但此得分没有考虑各主成分对应的方差贡献率的影响，因此，按各主成分对应的方差贡献率为权数计算各主成分综合得分</w:t>
      </w:r>
      <w:r>
        <w:rPr>
          <w:rFonts w:cs="Times New Roman"/>
          <w:i/>
          <w:iCs/>
        </w:rPr>
        <w:t>F</w:t>
      </w:r>
      <w:r>
        <w:rPr>
          <w:rFonts w:cs="Times New Roman"/>
        </w:rPr>
        <w:t>’。</w:t>
      </w:r>
    </w:p>
    <w:p w14:paraId="2760F191">
      <w:pPr>
        <w:adjustRightInd w:val="0"/>
        <w:snapToGrid w:val="0"/>
        <w:ind w:firstLine="480"/>
        <w:jc w:val="center"/>
        <w:rPr>
          <w:rFonts w:cs="Times New Roman"/>
        </w:rPr>
      </w:pPr>
      <w:r>
        <w:rPr>
          <w:rFonts w:cs="Times New Roman"/>
          <w:position w:val="-30"/>
        </w:rPr>
        <w:object>
          <v:shape id="_x0000_i1064" o:spt="75" type="#_x0000_t75" style="height:34.35pt;width:109.65pt;" o:ole="t" filled="f" o:preferrelative="t" stroked="f" coordsize="21600,21600">
            <v:path/>
            <v:fill on="f" focussize="0,0"/>
            <v:stroke on="f" joinstyle="miter"/>
            <v:imagedata r:id="rId96" o:title=""/>
            <o:lock v:ext="edit" aspectratio="t"/>
            <w10:wrap type="none"/>
            <w10:anchorlock/>
          </v:shape>
          <o:OLEObject Type="Embed" ProgID="Equation.3" ShapeID="_x0000_i1064" DrawAspect="Content" ObjectID="_1468075764" r:id="rId95">
            <o:LockedField>false</o:LockedField>
          </o:OLEObject>
        </w:object>
      </w:r>
    </w:p>
    <w:p w14:paraId="4D201B5F">
      <w:pPr>
        <w:adjustRightInd w:val="0"/>
        <w:snapToGrid w:val="0"/>
        <w:ind w:firstLine="480"/>
        <w:jc w:val="center"/>
        <w:rPr>
          <w:rFonts w:cs="Times New Roman"/>
        </w:rPr>
      </w:pPr>
      <w:r>
        <w:rPr>
          <w:rFonts w:cs="Times New Roman"/>
          <w:position w:val="-30"/>
        </w:rPr>
        <w:object>
          <v:shape id="_x0000_i1065" o:spt="75" type="#_x0000_t75" style="height:34.35pt;width:116.35pt;" o:ole="t" filled="f" o:preferrelative="t" stroked="f" coordsize="21600,21600">
            <v:path/>
            <v:fill on="f" focussize="0,0"/>
            <v:stroke on="f" joinstyle="miter"/>
            <v:imagedata r:id="rId98" o:title=""/>
            <o:lock v:ext="edit" aspectratio="t"/>
            <w10:wrap type="none"/>
            <w10:anchorlock/>
          </v:shape>
          <o:OLEObject Type="Embed" ProgID="Equation.3" ShapeID="_x0000_i1065" DrawAspect="Content" ObjectID="_1468075765" r:id="rId97">
            <o:LockedField>false</o:LockedField>
          </o:OLEObject>
        </w:object>
      </w:r>
    </w:p>
    <w:p w14:paraId="63C6E13A">
      <w:pPr>
        <w:adjustRightInd w:val="0"/>
        <w:snapToGrid w:val="0"/>
        <w:ind w:firstLine="480"/>
        <w:jc w:val="center"/>
        <w:rPr>
          <w:rFonts w:cs="Times New Roman"/>
        </w:rPr>
      </w:pPr>
      <w:r>
        <w:rPr>
          <w:rFonts w:cs="Times New Roman"/>
          <w:position w:val="-6"/>
        </w:rPr>
        <w:object>
          <v:shape id="_x0000_i1066" o:spt="75" type="#_x0000_t75" style="height:9.2pt;width:26.8pt;" o:ole="t" filled="f" o:preferrelative="t" stroked="f" coordsize="21600,21600">
            <v:path/>
            <v:fill on="f" focussize="0,0"/>
            <v:stroke on="f" joinstyle="miter"/>
            <v:imagedata r:id="rId100" o:title=""/>
            <o:lock v:ext="edit" aspectratio="t"/>
            <w10:wrap type="none"/>
            <w10:anchorlock/>
          </v:shape>
          <o:OLEObject Type="Embed" ProgID="Equation.3" ShapeID="_x0000_i1066" DrawAspect="Content" ObjectID="_1468075766" r:id="rId99">
            <o:LockedField>false</o:LockedField>
          </o:OLEObject>
        </w:object>
      </w:r>
    </w:p>
    <w:p w14:paraId="5FBB667A">
      <w:pPr>
        <w:adjustRightInd w:val="0"/>
        <w:snapToGrid w:val="0"/>
        <w:ind w:firstLine="480"/>
        <w:jc w:val="center"/>
        <w:rPr>
          <w:rFonts w:cs="Times New Roman"/>
        </w:rPr>
      </w:pPr>
      <w:r>
        <w:rPr>
          <w:rFonts w:cs="Times New Roman"/>
          <w:position w:val="-30"/>
        </w:rPr>
        <w:object>
          <v:shape id="_x0000_i1067" o:spt="75" type="#_x0000_t75" style="height:36.85pt;width:119.7pt;" o:ole="t" filled="f" o:preferrelative="t" stroked="f" coordsize="21600,21600">
            <v:path/>
            <v:fill on="f" focussize="0,0"/>
            <v:stroke on="f" joinstyle="miter"/>
            <v:imagedata r:id="rId102" o:title=""/>
            <o:lock v:ext="edit" aspectratio="t"/>
            <w10:wrap type="none"/>
            <w10:anchorlock/>
          </v:shape>
          <o:OLEObject Type="Embed" ProgID="Equation.3" ShapeID="_x0000_i1067" DrawAspect="Content" ObjectID="_1468075767" r:id="rId101">
            <o:LockedField>false</o:LockedField>
          </o:OLEObject>
        </w:object>
      </w:r>
    </w:p>
    <w:p w14:paraId="3357528D">
      <w:pPr>
        <w:pStyle w:val="376"/>
        <w:adjustRightInd w:val="0"/>
        <w:ind w:firstLine="480"/>
        <w:rPr>
          <w:color w:val="auto"/>
        </w:rPr>
      </w:pPr>
      <w:r>
        <w:rPr>
          <w:color w:val="auto"/>
        </w:rPr>
        <w:t>（3）聚类分析</w:t>
      </w:r>
    </w:p>
    <w:p w14:paraId="3806CB35">
      <w:pPr>
        <w:adjustRightInd w:val="0"/>
        <w:snapToGrid w:val="0"/>
        <w:ind w:firstLine="480"/>
        <w:rPr>
          <w:rFonts w:cs="Times New Roman"/>
        </w:rPr>
      </w:pPr>
      <w:r>
        <w:rPr>
          <w:rFonts w:cs="Times New Roman"/>
        </w:rPr>
        <w:t>1）数据标准化。</w:t>
      </w:r>
    </w:p>
    <w:p w14:paraId="77AE7DE0">
      <w:pPr>
        <w:adjustRightInd w:val="0"/>
        <w:snapToGrid w:val="0"/>
        <w:ind w:firstLine="480"/>
        <w:rPr>
          <w:rFonts w:cs="Times New Roman"/>
        </w:rPr>
      </w:pPr>
      <w:r>
        <w:rPr>
          <w:rFonts w:cs="Times New Roman"/>
        </w:rPr>
        <w:t>2）距离的计算。</w:t>
      </w:r>
    </w:p>
    <w:p w14:paraId="7C200178">
      <w:pPr>
        <w:adjustRightInd w:val="0"/>
        <w:snapToGrid w:val="0"/>
        <w:ind w:firstLine="480"/>
        <w:rPr>
          <w:rFonts w:cs="Times New Roman"/>
        </w:rPr>
      </w:pPr>
      <w:r>
        <w:rPr>
          <w:rFonts w:cs="Times New Roman"/>
        </w:rPr>
        <w:t>通常使用距离来衡量两个对象之间的相异度。即定义单元间的距离，常用的距离度量方法有：</w:t>
      </w:r>
    </w:p>
    <w:p w14:paraId="72E5459D">
      <w:pPr>
        <w:adjustRightInd w:val="0"/>
        <w:snapToGrid w:val="0"/>
        <w:ind w:firstLine="480"/>
        <w:rPr>
          <w:rFonts w:cs="Times New Roman"/>
        </w:rPr>
      </w:pPr>
      <w:r>
        <w:rPr>
          <w:rFonts w:hint="eastAsia" w:ascii="宋体" w:hAnsi="宋体" w:eastAsia="宋体"/>
        </w:rPr>
        <w:t>①</w:t>
      </w:r>
      <w:r>
        <w:rPr>
          <w:rFonts w:cs="Times New Roman"/>
        </w:rPr>
        <w:t>欧氏距离：</w:t>
      </w:r>
      <w:r>
        <w:rPr>
          <w:rFonts w:cs="Times New Roman"/>
          <w:position w:val="-30"/>
        </w:rPr>
        <w:object>
          <v:shape id="_x0000_i1068" o:spt="75" type="#_x0000_t75" style="height:39.35pt;width:102.15pt;" o:ole="t" filled="f" o:preferrelative="t" stroked="f" coordsize="21600,21600">
            <v:path/>
            <v:fill on="f" focussize="0,0"/>
            <v:stroke on="f" joinstyle="miter"/>
            <v:imagedata r:id="rId104" o:title=""/>
            <o:lock v:ext="edit" aspectratio="t"/>
            <w10:wrap type="none"/>
            <w10:anchorlock/>
          </v:shape>
          <o:OLEObject Type="Embed" ProgID="Equation.3" ShapeID="_x0000_i1068" DrawAspect="Content" ObjectID="_1468075768" r:id="rId103">
            <o:LockedField>false</o:LockedField>
          </o:OLEObject>
        </w:object>
      </w:r>
    </w:p>
    <w:p w14:paraId="60AC7CF6">
      <w:pPr>
        <w:adjustRightInd w:val="0"/>
        <w:snapToGrid w:val="0"/>
        <w:ind w:firstLine="480"/>
        <w:rPr>
          <w:rFonts w:cs="Times New Roman"/>
        </w:rPr>
      </w:pPr>
      <w:r>
        <w:rPr>
          <w:rFonts w:hint="eastAsia" w:ascii="宋体" w:hAnsi="宋体" w:eastAsia="宋体"/>
        </w:rPr>
        <w:t>②</w:t>
      </w:r>
      <w:r>
        <w:rPr>
          <w:rFonts w:cs="Times New Roman"/>
        </w:rPr>
        <w:t>绝对值距离（又称Manhattan度量或网格变量）：</w:t>
      </w:r>
      <w:r>
        <w:rPr>
          <w:rFonts w:cs="Times New Roman"/>
          <w:position w:val="-28"/>
        </w:rPr>
        <w:object>
          <v:shape id="_x0000_i1069" o:spt="75" type="#_x0000_t75" style="height:34.35pt;width:83.7pt;" o:ole="t" filled="f" o:preferrelative="t" stroked="f" coordsize="21600,21600">
            <v:path/>
            <v:fill on="f" focussize="0,0"/>
            <v:stroke on="f" joinstyle="miter"/>
            <v:imagedata r:id="rId106" o:title=""/>
            <o:lock v:ext="edit" aspectratio="t"/>
            <w10:wrap type="none"/>
            <w10:anchorlock/>
          </v:shape>
          <o:OLEObject Type="Embed" ProgID="Equation.3" ShapeID="_x0000_i1069" DrawAspect="Content" ObjectID="_1468075769" r:id="rId105">
            <o:LockedField>false</o:LockedField>
          </o:OLEObject>
        </w:object>
      </w:r>
    </w:p>
    <w:p w14:paraId="5442DCFB">
      <w:pPr>
        <w:adjustRightInd w:val="0"/>
        <w:snapToGrid w:val="0"/>
        <w:ind w:firstLine="480"/>
        <w:rPr>
          <w:rFonts w:cs="Times New Roman"/>
        </w:rPr>
      </w:pPr>
      <w:r>
        <w:rPr>
          <w:rFonts w:hint="eastAsia" w:ascii="宋体" w:hAnsi="宋体" w:eastAsia="宋体"/>
        </w:rPr>
        <w:t>③</w:t>
      </w:r>
      <w:r>
        <w:rPr>
          <w:rFonts w:cs="Times New Roman"/>
        </w:rPr>
        <w:t>切比雪夫距离：</w:t>
      </w:r>
      <w:r>
        <w:rPr>
          <w:rFonts w:cs="Times New Roman"/>
          <w:position w:val="-16"/>
        </w:rPr>
        <w:object>
          <v:shape id="_x0000_i1070" o:spt="75" type="#_x0000_t75" style="height:21.75pt;width:108.85pt;" o:ole="t" filled="f" o:preferrelative="t" stroked="f" coordsize="21600,21600">
            <v:path/>
            <v:fill on="f" focussize="0,0"/>
            <v:stroke on="f" joinstyle="miter"/>
            <v:imagedata r:id="rId108" o:title=""/>
            <o:lock v:ext="edit" aspectratio="t"/>
            <w10:wrap type="none"/>
            <w10:anchorlock/>
          </v:shape>
          <o:OLEObject Type="Embed" ProgID="Equation.3" ShapeID="_x0000_i1070" DrawAspect="Content" ObjectID="_1468075770" r:id="rId107">
            <o:LockedField>false</o:LockedField>
          </o:OLEObject>
        </w:object>
      </w:r>
    </w:p>
    <w:p w14:paraId="24246D71">
      <w:pPr>
        <w:adjustRightInd w:val="0"/>
        <w:snapToGrid w:val="0"/>
        <w:ind w:firstLine="480"/>
        <w:rPr>
          <w:rFonts w:cs="Times New Roman"/>
        </w:rPr>
      </w:pPr>
      <w:r>
        <w:rPr>
          <w:rFonts w:hint="eastAsia" w:ascii="宋体" w:hAnsi="宋体" w:eastAsia="宋体"/>
        </w:rPr>
        <w:t>④</w:t>
      </w:r>
      <w:r>
        <w:rPr>
          <w:rFonts w:cs="Times New Roman"/>
        </w:rPr>
        <w:t>兰氏距离：</w:t>
      </w:r>
      <w:r>
        <w:rPr>
          <w:rFonts w:cs="Times New Roman"/>
          <w:position w:val="-28"/>
        </w:rPr>
        <w:object>
          <v:shape id="_x0000_i1071" o:spt="75" type="#_x0000_t75" style="height:34.35pt;width:134.8pt;" o:ole="t" filled="f" o:preferrelative="t" stroked="f" coordsize="21600,21600">
            <v:path/>
            <v:fill on="f" focussize="0,0"/>
            <v:stroke on="f" joinstyle="miter"/>
            <v:imagedata r:id="rId110" o:title=""/>
            <o:lock v:ext="edit" aspectratio="t"/>
            <w10:wrap type="none"/>
            <w10:anchorlock/>
          </v:shape>
          <o:OLEObject Type="Embed" ProgID="Equation.3" ShapeID="_x0000_i1071" DrawAspect="Content" ObjectID="_1468075771" r:id="rId109">
            <o:LockedField>false</o:LockedField>
          </o:OLEObject>
        </w:object>
      </w:r>
    </w:p>
    <w:p w14:paraId="24873CE1">
      <w:pPr>
        <w:adjustRightInd w:val="0"/>
        <w:snapToGrid w:val="0"/>
        <w:ind w:firstLine="480"/>
        <w:rPr>
          <w:rFonts w:cs="Times New Roman"/>
        </w:rPr>
      </w:pPr>
      <w:r>
        <w:rPr>
          <w:rFonts w:hint="eastAsia" w:ascii="宋体" w:hAnsi="宋体" w:eastAsia="宋体"/>
        </w:rPr>
        <w:t>⑤</w:t>
      </w:r>
      <w:r>
        <w:rPr>
          <w:rFonts w:cs="Times New Roman"/>
        </w:rPr>
        <w:t>马氏距离：</w:t>
      </w:r>
      <w:r>
        <w:rPr>
          <w:rFonts w:cs="Times New Roman"/>
          <w:position w:val="-14"/>
        </w:rPr>
        <w:object>
          <v:shape id="_x0000_i1072" o:spt="75" type="#_x0000_t75" style="height:21.75pt;width:139pt;" o:ole="t" filled="f" o:preferrelative="t" stroked="f" coordsize="21600,21600">
            <v:path/>
            <v:fill on="f" focussize="0,0"/>
            <v:stroke on="f" joinstyle="miter"/>
            <v:imagedata r:id="rId112" o:title=""/>
            <o:lock v:ext="edit" aspectratio="t"/>
            <w10:wrap type="none"/>
            <w10:anchorlock/>
          </v:shape>
          <o:OLEObject Type="Embed" ProgID="Equation.3" ShapeID="_x0000_i1072" DrawAspect="Content" ObjectID="_1468075772" r:id="rId111">
            <o:LockedField>false</o:LockedField>
          </o:OLEObject>
        </w:object>
      </w:r>
    </w:p>
    <w:p w14:paraId="73373962">
      <w:pPr>
        <w:pStyle w:val="376"/>
        <w:adjustRightInd w:val="0"/>
        <w:ind w:firstLine="480"/>
        <w:rPr>
          <w:color w:val="auto"/>
        </w:rPr>
      </w:pPr>
      <w:r>
        <w:rPr>
          <w:color w:val="auto"/>
        </w:rPr>
        <w:t>选择不同的距离，聚类结果会有所差异。在地理分区和分类研究中，往往采用几种距离进行计算、对比，选择一种较为合适的距离进行聚类。经比较分析，本规划选择欧氏距离平方。</w:t>
      </w:r>
    </w:p>
    <w:p w14:paraId="28A166E7">
      <w:pPr>
        <w:pStyle w:val="376"/>
        <w:adjustRightInd w:val="0"/>
        <w:ind w:firstLine="480"/>
        <w:rPr>
          <w:color w:val="auto"/>
        </w:rPr>
      </w:pPr>
      <w:r>
        <w:rPr>
          <w:color w:val="auto"/>
        </w:rPr>
        <w:t>3）选择聚类方法进行聚类</w:t>
      </w:r>
    </w:p>
    <w:p w14:paraId="52F580F6">
      <w:pPr>
        <w:pStyle w:val="376"/>
        <w:adjustRightInd w:val="0"/>
        <w:ind w:firstLine="480"/>
        <w:rPr>
          <w:color w:val="auto"/>
        </w:rPr>
      </w:pPr>
      <w:r>
        <w:rPr>
          <w:color w:val="auto"/>
        </w:rPr>
        <w:t>据研究，类平均法和离差平方和法能充分利用个样本的信息，是类型合并和区划中较好的方法，因而作为分区的主要方法。通过比较分析，本文中采用离差平方和法。</w:t>
      </w:r>
    </w:p>
    <w:p w14:paraId="2F613D6D">
      <w:pPr>
        <w:pStyle w:val="376"/>
        <w:adjustRightInd w:val="0"/>
        <w:ind w:firstLine="480"/>
        <w:rPr>
          <w:color w:val="auto"/>
        </w:rPr>
      </w:pPr>
      <w:r>
        <w:rPr>
          <w:color w:val="auto"/>
        </w:rPr>
        <w:t>4）聚类结果的调整</w:t>
      </w:r>
    </w:p>
    <w:p w14:paraId="407E5331">
      <w:pPr>
        <w:pStyle w:val="376"/>
        <w:adjustRightInd w:val="0"/>
        <w:ind w:firstLine="480"/>
        <w:rPr>
          <w:color w:val="auto"/>
        </w:rPr>
      </w:pPr>
      <w:r>
        <w:rPr>
          <w:color w:val="auto"/>
        </w:rPr>
        <w:t>根据聚类分析得到的谱系图，根据一定的阈值可以把研究对象分为若干区域，研究区域对象不同，区域大小不同，阈值必定有所不同，所以阈值的确定需要结合研究对象和目的加以确定。另外，聚类分析是把不同的分区单元组合到一起，但这种分析是一种类型合并，结果可能不符合区域共轭原则，需要根据区划的原则和研究对象的特征进行调整，进而得到需要的结果。因此，需要认识到计算机在区划工作中的局限性，它只是辅助区划研究的重要工具，研究者必须结合研究对象加以辨别调整和筛选。</w:t>
      </w:r>
    </w:p>
    <w:p w14:paraId="494A5B69">
      <w:pPr>
        <w:pStyle w:val="376"/>
        <w:adjustRightInd w:val="0"/>
        <w:ind w:firstLine="480"/>
        <w:rPr>
          <w:color w:val="auto"/>
        </w:rPr>
      </w:pPr>
      <w:r>
        <w:rPr>
          <w:color w:val="auto"/>
        </w:rPr>
        <w:t>（4）空间叠置分析</w:t>
      </w:r>
    </w:p>
    <w:p w14:paraId="44A1B877">
      <w:pPr>
        <w:pStyle w:val="376"/>
        <w:adjustRightInd w:val="0"/>
        <w:ind w:firstLine="480"/>
        <w:rPr>
          <w:color w:val="auto"/>
        </w:rPr>
      </w:pPr>
      <w:r>
        <w:rPr>
          <w:color w:val="auto"/>
        </w:rPr>
        <w:t>空间叠置分析（OverlayAnalysis）是GIS空间分析的一种，叠置分析是将两层或多层地图要素进行叠加产生一个新要素层的操作，其结果将原来要素分割生成新的要素，新要素综合了原来两层或多层要素所具有的属性。也就是说，覆盖叠置分析不仅生成了新的空间关系，还将输入数据层的属性联系起来产生了新的属性关系。覆盖叠置分析是对新要素的属性按一定的数学模型进行计算分析，进而产生用户需要的结果或回答用户提出的问题。空间叠置分析包括多边形叠置、点与多边形叠加、线与多边形叠加。本文中应用GIS中多边形叠置分析对聚类分析并调整得到自然要素、土地利用要素、社会经济要素和水土流失要素区划图进行叠置，再次调整后得到水土保持区划图，见下图。这种空间叠置分析可以反映不同要素所揭示的综合特征，构成各要素组成复合水土保持影响因素系统。</w:t>
      </w:r>
    </w:p>
    <w:p w14:paraId="0B2E8799">
      <w:pPr>
        <w:pStyle w:val="376"/>
        <w:adjustRightInd w:val="0"/>
        <w:ind w:firstLine="560"/>
        <w:rPr>
          <w:color w:val="auto"/>
          <w:sz w:val="28"/>
          <w:szCs w:val="28"/>
        </w:rPr>
      </w:pPr>
    </w:p>
    <w:p w14:paraId="1314AE4F">
      <w:pPr>
        <w:adjustRightInd w:val="0"/>
        <w:snapToGrid w:val="0"/>
        <w:ind w:firstLine="480"/>
        <w:jc w:val="center"/>
        <w:rPr>
          <w:rFonts w:cs="Times New Roman"/>
        </w:rPr>
      </w:pPr>
      <w:r>
        <w:rPr>
          <w:rFonts w:cs="Times New Roman"/>
        </w:rPr>
        <mc:AlternateContent>
          <mc:Choice Requires="wpg">
            <w:drawing>
              <wp:inline distT="0" distB="0" distL="0" distR="0">
                <wp:extent cx="4396105" cy="3194050"/>
                <wp:effectExtent l="0" t="0" r="0" b="6350"/>
                <wp:docPr id="36" name="组合 2"/>
                <wp:cNvGraphicFramePr/>
                <a:graphic xmlns:a="http://schemas.openxmlformats.org/drawingml/2006/main">
                  <a:graphicData uri="http://schemas.microsoft.com/office/word/2010/wordprocessingGroup">
                    <wpg:wgp>
                      <wpg:cNvGrpSpPr/>
                      <wpg:grpSpPr>
                        <a:xfrm>
                          <a:off x="0" y="0"/>
                          <a:ext cx="4396154" cy="3194312"/>
                          <a:chOff x="0" y="0"/>
                          <a:chExt cx="7200" cy="5978"/>
                        </a:xfrm>
                        <a:effectLst/>
                      </wpg:grpSpPr>
                      <wps:wsp>
                        <wps:cNvPr id="214" name="AutoShape 147"/>
                        <wps:cNvSpPr>
                          <a:spLocks noChangeAspect="1" noChangeArrowheads="1"/>
                        </wps:cNvSpPr>
                        <wps:spPr bwMode="auto">
                          <a:xfrm>
                            <a:off x="0" y="0"/>
                            <a:ext cx="7200" cy="5978"/>
                          </a:xfrm>
                          <a:prstGeom prst="rect">
                            <a:avLst/>
                          </a:prstGeom>
                          <a:noFill/>
                          <a:ln>
                            <a:noFill/>
                          </a:ln>
                          <a:effectLst/>
                        </wps:spPr>
                        <wps:bodyPr rot="0" vert="horz" wrap="square" lIns="91440" tIns="45720" rIns="91440" bIns="45720" anchor="t" anchorCtr="0" upright="1">
                          <a:noAutofit/>
                        </wps:bodyPr>
                      </wps:wsp>
                      <wpg:grpSp>
                        <wpg:cNvPr id="37" name="Group 148"/>
                        <wpg:cNvGrpSpPr/>
                        <wpg:grpSpPr>
                          <a:xfrm>
                            <a:off x="2035" y="136"/>
                            <a:ext cx="4226" cy="5465"/>
                            <a:chOff x="0" y="0"/>
                            <a:chExt cx="4226" cy="5465"/>
                          </a:xfrm>
                          <a:effectLst/>
                        </wpg:grpSpPr>
                        <wpg:grpSp>
                          <wpg:cNvPr id="38" name="Group 149"/>
                          <wpg:cNvGrpSpPr/>
                          <wpg:grpSpPr>
                            <a:xfrm>
                              <a:off x="0" y="0"/>
                              <a:ext cx="4226" cy="5465"/>
                              <a:chOff x="0" y="0"/>
                              <a:chExt cx="4226" cy="5465"/>
                            </a:xfrm>
                            <a:effectLst/>
                          </wpg:grpSpPr>
                          <wpg:grpSp>
                            <wpg:cNvPr id="39" name="Group 150"/>
                            <wpg:cNvGrpSpPr/>
                            <wpg:grpSpPr>
                              <a:xfrm>
                                <a:off x="156" y="3261"/>
                                <a:ext cx="3913" cy="1358"/>
                                <a:chOff x="0" y="0"/>
                                <a:chExt cx="3913" cy="1358"/>
                              </a:xfrm>
                              <a:effectLst/>
                            </wpg:grpSpPr>
                            <wps:wsp>
                              <wps:cNvPr id="218" name="AutoShape 151"/>
                              <wps:cNvSpPr>
                                <a:spLocks noChangeArrowheads="1"/>
                              </wps:cNvSpPr>
                              <wps:spPr bwMode="auto">
                                <a:xfrm>
                                  <a:off x="0" y="0"/>
                                  <a:ext cx="3913" cy="815"/>
                                </a:xfrm>
                                <a:prstGeom prst="parallelogram">
                                  <a:avLst>
                                    <a:gd name="adj" fmla="val 120031"/>
                                  </a:avLst>
                                </a:prstGeom>
                                <a:solidFill>
                                  <a:srgbClr val="CCFFFF"/>
                                </a:solidFill>
                                <a:ln w="9525">
                                  <a:solidFill>
                                    <a:srgbClr val="000000"/>
                                  </a:solidFill>
                                  <a:miter lim="800000"/>
                                </a:ln>
                                <a:effectLst/>
                              </wps:spPr>
                              <wps:txbx>
                                <w:txbxContent>
                                  <w:p w14:paraId="43A3C62F">
                                    <w:pPr>
                                      <w:ind w:firstLine="482"/>
                                      <w:rPr>
                                        <w:b/>
                                        <w:bCs/>
                                      </w:rPr>
                                    </w:pPr>
                                    <w:r>
                                      <w:rPr>
                                        <w:b/>
                                        <w:bCs/>
                                      </w:rPr>
                                      <w:t xml:space="preserve"> </w:t>
                                    </w:r>
                                    <w:r>
                                      <w:rPr>
                                        <w:rFonts w:hint="eastAsia"/>
                                        <w:b/>
                                        <w:bCs/>
                                      </w:rPr>
                                      <w:t>①</w:t>
                                    </w:r>
                                    <w:r>
                                      <w:rPr>
                                        <w:b/>
                                        <w:bCs/>
                                      </w:rPr>
                                      <w:t xml:space="preserve">                </w:t>
                                    </w:r>
                                    <w:r>
                                      <w:rPr>
                                        <w:rFonts w:hint="eastAsia"/>
                                        <w:b/>
                                        <w:bCs/>
                                      </w:rPr>
                                      <w:t>②</w:t>
                                    </w:r>
                                  </w:p>
                                </w:txbxContent>
                              </wps:txbx>
                              <wps:bodyPr rot="0" vert="horz" wrap="square" lIns="91440" tIns="45720" rIns="91440" bIns="45720" anchor="t" anchorCtr="0" upright="1">
                                <a:noAutofit/>
                              </wps:bodyPr>
                            </wps:wsp>
                            <wps:wsp>
                              <wps:cNvPr id="219" name="AutoShape 152"/>
                              <wps:cNvSpPr>
                                <a:spLocks noChangeArrowheads="1"/>
                              </wps:cNvSpPr>
                              <wps:spPr bwMode="auto">
                                <a:xfrm>
                                  <a:off x="1566" y="815"/>
                                  <a:ext cx="665" cy="543"/>
                                </a:xfrm>
                                <a:prstGeom prst="downArrow">
                                  <a:avLst>
                                    <a:gd name="adj1" fmla="val 50000"/>
                                    <a:gd name="adj2" fmla="val 25000"/>
                                  </a:avLst>
                                </a:prstGeom>
                                <a:solidFill>
                                  <a:srgbClr val="FFFFFF"/>
                                </a:solidFill>
                                <a:ln w="9525">
                                  <a:solidFill>
                                    <a:srgbClr val="000000"/>
                                  </a:solidFill>
                                  <a:miter lim="800000"/>
                                </a:ln>
                                <a:effectLst/>
                              </wps:spPr>
                              <wps:bodyPr rot="0" vert="eaVert" wrap="square" lIns="91440" tIns="45720" rIns="91440" bIns="45720" anchor="t" anchorCtr="0" upright="1">
                                <a:noAutofit/>
                              </wps:bodyPr>
                            </wps:wsp>
                          </wpg:grpSp>
                          <wps:wsp>
                            <wps:cNvPr id="220" name="AutoShape 153"/>
                            <wps:cNvSpPr>
                              <a:spLocks noChangeArrowheads="1"/>
                            </wps:cNvSpPr>
                            <wps:spPr bwMode="auto">
                              <a:xfrm>
                                <a:off x="0" y="4619"/>
                                <a:ext cx="3913" cy="846"/>
                              </a:xfrm>
                              <a:prstGeom prst="parallelogram">
                                <a:avLst>
                                  <a:gd name="adj" fmla="val 115632"/>
                                </a:avLst>
                              </a:prstGeom>
                              <a:solidFill>
                                <a:srgbClr val="CCFFCC"/>
                              </a:solidFill>
                              <a:ln w="9525">
                                <a:solidFill>
                                  <a:srgbClr val="000000"/>
                                </a:solidFill>
                                <a:miter lim="800000"/>
                              </a:ln>
                              <a:effectLst/>
                            </wps:spPr>
                            <wps:bodyPr rot="0" vert="horz" wrap="square" lIns="91440" tIns="45720" rIns="91440" bIns="45720" anchor="t" anchorCtr="0" upright="1">
                              <a:noAutofit/>
                            </wps:bodyPr>
                          </wps:wsp>
                          <wps:wsp>
                            <wps:cNvPr id="221" name="AutoShape 154"/>
                            <wps:cNvSpPr>
                              <a:spLocks noChangeArrowheads="1"/>
                            </wps:cNvSpPr>
                            <wps:spPr bwMode="auto">
                              <a:xfrm>
                                <a:off x="313" y="0"/>
                                <a:ext cx="3913" cy="815"/>
                              </a:xfrm>
                              <a:prstGeom prst="parallelogram">
                                <a:avLst>
                                  <a:gd name="adj" fmla="val 120031"/>
                                </a:avLst>
                              </a:prstGeom>
                              <a:solidFill>
                                <a:srgbClr val="CCFFFF"/>
                              </a:solidFill>
                              <a:ln w="9525">
                                <a:solidFill>
                                  <a:srgbClr val="000000"/>
                                </a:solidFill>
                                <a:miter lim="800000"/>
                              </a:ln>
                              <a:effectLst/>
                            </wps:spPr>
                            <wps:txbx>
                              <w:txbxContent>
                                <w:p w14:paraId="22EF593A">
                                  <w:pPr>
                                    <w:ind w:firstLine="482"/>
                                    <w:rPr>
                                      <w:b/>
                                      <w:bCs/>
                                    </w:rPr>
                                  </w:pPr>
                                  <w:r>
                                    <w:rPr>
                                      <w:b/>
                                      <w:bCs/>
                                    </w:rPr>
                                    <w:t xml:space="preserve"> A                 B</w:t>
                                  </w:r>
                                </w:p>
                              </w:txbxContent>
                            </wps:txbx>
                            <wps:bodyPr rot="0" vert="horz" wrap="square" lIns="91440" tIns="45720" rIns="91440" bIns="45720" anchor="t" anchorCtr="0" upright="1">
                              <a:noAutofit/>
                            </wps:bodyPr>
                          </wps:wsp>
                          <wps:wsp>
                            <wps:cNvPr id="222" name="AutoShape 155"/>
                            <wps:cNvSpPr>
                              <a:spLocks noChangeArrowheads="1"/>
                            </wps:cNvSpPr>
                            <wps:spPr bwMode="auto">
                              <a:xfrm>
                                <a:off x="313" y="1087"/>
                                <a:ext cx="3913" cy="815"/>
                              </a:xfrm>
                              <a:prstGeom prst="parallelogram">
                                <a:avLst>
                                  <a:gd name="adj" fmla="val 120031"/>
                                </a:avLst>
                              </a:prstGeom>
                              <a:solidFill>
                                <a:srgbClr val="CCFFFF"/>
                              </a:solidFill>
                              <a:ln w="9525">
                                <a:solidFill>
                                  <a:srgbClr val="000000"/>
                                </a:solidFill>
                                <a:miter lim="800000"/>
                              </a:ln>
                              <a:effectLst/>
                            </wps:spPr>
                            <wps:txbx>
                              <w:txbxContent>
                                <w:p w14:paraId="2ABCA660">
                                  <w:pPr>
                                    <w:ind w:firstLine="482"/>
                                    <w:rPr>
                                      <w:b/>
                                      <w:bCs/>
                                    </w:rPr>
                                  </w:pPr>
                                  <w:r>
                                    <w:rPr>
                                      <w:b/>
                                      <w:bCs/>
                                    </w:rPr>
                                    <w:t xml:space="preserve"> a                 b</w:t>
                                  </w:r>
                                </w:p>
                              </w:txbxContent>
                            </wps:txbx>
                            <wps:bodyPr rot="0" vert="horz" wrap="square" lIns="91440" tIns="45720" rIns="91440" bIns="45720" anchor="t" anchorCtr="0" upright="1">
                              <a:noAutofit/>
                            </wps:bodyPr>
                          </wps:wsp>
                          <wpg:grpSp>
                            <wpg:cNvPr id="40" name="Group 156"/>
                            <wpg:cNvGrpSpPr/>
                            <wpg:grpSpPr>
                              <a:xfrm>
                                <a:off x="1878" y="815"/>
                                <a:ext cx="313" cy="408"/>
                                <a:chOff x="0" y="0"/>
                                <a:chExt cx="313" cy="408"/>
                              </a:xfrm>
                              <a:effectLst/>
                            </wpg:grpSpPr>
                            <wps:wsp>
                              <wps:cNvPr id="224" name="Line 157"/>
                              <wps:cNvCnPr>
                                <a:cxnSpLocks noChangeShapeType="1"/>
                              </wps:cNvCnPr>
                              <wps:spPr bwMode="auto">
                                <a:xfrm>
                                  <a:off x="159" y="0"/>
                                  <a:ext cx="1" cy="408"/>
                                </a:xfrm>
                                <a:prstGeom prst="line">
                                  <a:avLst/>
                                </a:prstGeom>
                                <a:noFill/>
                                <a:ln w="28575">
                                  <a:solidFill>
                                    <a:srgbClr val="000000"/>
                                  </a:solidFill>
                                  <a:round/>
                                </a:ln>
                                <a:effectLst/>
                              </wps:spPr>
                              <wps:bodyPr/>
                            </wps:wsp>
                            <wps:wsp>
                              <wps:cNvPr id="225" name="Line 158"/>
                              <wps:cNvCnPr>
                                <a:cxnSpLocks noChangeShapeType="1"/>
                              </wps:cNvCnPr>
                              <wps:spPr bwMode="auto">
                                <a:xfrm>
                                  <a:off x="0" y="203"/>
                                  <a:ext cx="313" cy="1"/>
                                </a:xfrm>
                                <a:prstGeom prst="line">
                                  <a:avLst/>
                                </a:prstGeom>
                                <a:noFill/>
                                <a:ln w="34925">
                                  <a:solidFill>
                                    <a:srgbClr val="000000"/>
                                  </a:solidFill>
                                  <a:round/>
                                </a:ln>
                                <a:effectLst/>
                              </wps:spPr>
                              <wps:bodyPr/>
                            </wps:wsp>
                          </wpg:grpSp>
                          <wps:wsp>
                            <wps:cNvPr id="226" name="AutoShape 159"/>
                            <wps:cNvSpPr>
                              <a:spLocks noChangeArrowheads="1"/>
                            </wps:cNvSpPr>
                            <wps:spPr bwMode="auto">
                              <a:xfrm>
                                <a:off x="156" y="2174"/>
                                <a:ext cx="3913" cy="815"/>
                              </a:xfrm>
                              <a:prstGeom prst="parallelogram">
                                <a:avLst>
                                  <a:gd name="adj" fmla="val 120031"/>
                                </a:avLst>
                              </a:prstGeom>
                              <a:solidFill>
                                <a:srgbClr val="CCFFFF"/>
                              </a:solidFill>
                              <a:ln w="9525">
                                <a:solidFill>
                                  <a:srgbClr val="000000"/>
                                </a:solidFill>
                                <a:miter lim="800000"/>
                              </a:ln>
                              <a:effectLst/>
                            </wps:spPr>
                            <wps:txbx>
                              <w:txbxContent>
                                <w:p w14:paraId="2A5A05EB">
                                  <w:pPr>
                                    <w:ind w:firstLine="482"/>
                                    <w:rPr>
                                      <w:b/>
                                      <w:bCs/>
                                    </w:rPr>
                                  </w:pPr>
                                  <w:r>
                                    <w:rPr>
                                      <w:b/>
                                      <w:bCs/>
                                    </w:rPr>
                                    <w:t xml:space="preserve"> </w:t>
                                  </w:r>
                                  <w:r>
                                    <w:rPr>
                                      <w:rFonts w:hint="eastAsia"/>
                                      <w:b/>
                                      <w:bCs/>
                                    </w:rPr>
                                    <w:t>Ⅰ</w:t>
                                  </w:r>
                                  <w:r>
                                    <w:rPr>
                                      <w:b/>
                                      <w:bCs/>
                                    </w:rPr>
                                    <w:t xml:space="preserve">                </w:t>
                                  </w:r>
                                  <w:r>
                                    <w:rPr>
                                      <w:rFonts w:hint="eastAsia"/>
                                      <w:b/>
                                      <w:bCs/>
                                    </w:rPr>
                                    <w:t>Ⅱ</w:t>
                                  </w:r>
                                </w:p>
                              </w:txbxContent>
                            </wps:txbx>
                            <wps:bodyPr rot="0" vert="horz" wrap="square" lIns="91440" tIns="45720" rIns="91440" bIns="45720" anchor="t" anchorCtr="0" upright="1">
                              <a:noAutofit/>
                            </wps:bodyPr>
                          </wps:wsp>
                          <wpg:grpSp>
                            <wpg:cNvPr id="41" name="Group 160"/>
                            <wpg:cNvGrpSpPr/>
                            <wpg:grpSpPr>
                              <a:xfrm>
                                <a:off x="1878" y="1902"/>
                                <a:ext cx="313" cy="408"/>
                                <a:chOff x="0" y="0"/>
                                <a:chExt cx="313" cy="408"/>
                              </a:xfrm>
                              <a:effectLst/>
                            </wpg:grpSpPr>
                            <wps:wsp>
                              <wps:cNvPr id="228" name="Line 161"/>
                              <wps:cNvCnPr>
                                <a:cxnSpLocks noChangeShapeType="1"/>
                              </wps:cNvCnPr>
                              <wps:spPr bwMode="auto">
                                <a:xfrm>
                                  <a:off x="159" y="0"/>
                                  <a:ext cx="1" cy="408"/>
                                </a:xfrm>
                                <a:prstGeom prst="line">
                                  <a:avLst/>
                                </a:prstGeom>
                                <a:noFill/>
                                <a:ln w="28575">
                                  <a:solidFill>
                                    <a:srgbClr val="000000"/>
                                  </a:solidFill>
                                  <a:round/>
                                </a:ln>
                                <a:effectLst/>
                              </wps:spPr>
                              <wps:bodyPr/>
                            </wps:wsp>
                            <wps:wsp>
                              <wps:cNvPr id="229" name="Line 162"/>
                              <wps:cNvCnPr>
                                <a:cxnSpLocks noChangeShapeType="1"/>
                              </wps:cNvCnPr>
                              <wps:spPr bwMode="auto">
                                <a:xfrm>
                                  <a:off x="0" y="203"/>
                                  <a:ext cx="313" cy="1"/>
                                </a:xfrm>
                                <a:prstGeom prst="line">
                                  <a:avLst/>
                                </a:prstGeom>
                                <a:noFill/>
                                <a:ln w="34925">
                                  <a:solidFill>
                                    <a:srgbClr val="000000"/>
                                  </a:solidFill>
                                  <a:round/>
                                </a:ln>
                                <a:effectLst/>
                              </wps:spPr>
                              <wps:bodyPr/>
                            </wps:wsp>
                          </wpg:grpSp>
                          <wps:wsp>
                            <wps:cNvPr id="230" name="Line 163"/>
                            <wps:cNvCnPr>
                              <a:cxnSpLocks noChangeShapeType="1"/>
                            </wps:cNvCnPr>
                            <wps:spPr bwMode="auto">
                              <a:xfrm>
                                <a:off x="939" y="2310"/>
                                <a:ext cx="2348" cy="543"/>
                              </a:xfrm>
                              <a:prstGeom prst="line">
                                <a:avLst/>
                              </a:prstGeom>
                              <a:noFill/>
                              <a:ln w="9525">
                                <a:solidFill>
                                  <a:srgbClr val="000000"/>
                                </a:solidFill>
                                <a:round/>
                              </a:ln>
                              <a:effectLst/>
                            </wps:spPr>
                            <wps:bodyPr/>
                          </wps:wsp>
                          <wpg:grpSp>
                            <wpg:cNvPr id="42" name="Group 164"/>
                            <wpg:cNvGrpSpPr/>
                            <wpg:grpSpPr>
                              <a:xfrm>
                                <a:off x="1878" y="2989"/>
                                <a:ext cx="313" cy="408"/>
                                <a:chOff x="0" y="0"/>
                                <a:chExt cx="313" cy="408"/>
                              </a:xfrm>
                              <a:effectLst/>
                            </wpg:grpSpPr>
                            <wps:wsp>
                              <wps:cNvPr id="232" name="Line 165"/>
                              <wps:cNvCnPr>
                                <a:cxnSpLocks noChangeShapeType="1"/>
                              </wps:cNvCnPr>
                              <wps:spPr bwMode="auto">
                                <a:xfrm>
                                  <a:off x="159" y="0"/>
                                  <a:ext cx="1" cy="408"/>
                                </a:xfrm>
                                <a:prstGeom prst="line">
                                  <a:avLst/>
                                </a:prstGeom>
                                <a:noFill/>
                                <a:ln w="28575">
                                  <a:solidFill>
                                    <a:srgbClr val="000000"/>
                                  </a:solidFill>
                                  <a:round/>
                                </a:ln>
                                <a:effectLst/>
                              </wps:spPr>
                              <wps:bodyPr/>
                            </wps:wsp>
                            <wps:wsp>
                              <wps:cNvPr id="233" name="Line 166"/>
                              <wps:cNvCnPr>
                                <a:cxnSpLocks noChangeShapeType="1"/>
                              </wps:cNvCnPr>
                              <wps:spPr bwMode="auto">
                                <a:xfrm>
                                  <a:off x="0" y="203"/>
                                  <a:ext cx="313" cy="1"/>
                                </a:xfrm>
                                <a:prstGeom prst="line">
                                  <a:avLst/>
                                </a:prstGeom>
                                <a:noFill/>
                                <a:ln w="34925">
                                  <a:solidFill>
                                    <a:srgbClr val="000000"/>
                                  </a:solidFill>
                                  <a:round/>
                                </a:ln>
                                <a:effectLst/>
                              </wps:spPr>
                              <wps:bodyPr/>
                            </wps:wsp>
                          </wpg:grpSp>
                          <wps:wsp>
                            <wps:cNvPr id="234" name="Line 167"/>
                            <wps:cNvCnPr>
                              <a:cxnSpLocks noChangeShapeType="1"/>
                            </wps:cNvCnPr>
                            <wps:spPr bwMode="auto">
                              <a:xfrm flipH="1">
                                <a:off x="1095" y="3261"/>
                                <a:ext cx="1722" cy="815"/>
                              </a:xfrm>
                              <a:prstGeom prst="line">
                                <a:avLst/>
                              </a:prstGeom>
                              <a:noFill/>
                              <a:ln w="9525">
                                <a:solidFill>
                                  <a:srgbClr val="000000"/>
                                </a:solidFill>
                                <a:round/>
                              </a:ln>
                              <a:effectLst/>
                            </wps:spPr>
                            <wps:bodyPr/>
                          </wps:wsp>
                          <wps:wsp>
                            <wps:cNvPr id="235" name="Line 168"/>
                            <wps:cNvCnPr>
                              <a:cxnSpLocks noChangeShapeType="1"/>
                            </wps:cNvCnPr>
                            <wps:spPr bwMode="auto">
                              <a:xfrm>
                                <a:off x="2348" y="0"/>
                                <a:ext cx="313" cy="815"/>
                              </a:xfrm>
                              <a:prstGeom prst="line">
                                <a:avLst/>
                              </a:prstGeom>
                              <a:noFill/>
                              <a:ln w="9525">
                                <a:solidFill>
                                  <a:srgbClr val="000000"/>
                                </a:solidFill>
                                <a:round/>
                              </a:ln>
                              <a:effectLst/>
                            </wps:spPr>
                            <wps:bodyPr/>
                          </wps:wsp>
                          <wps:wsp>
                            <wps:cNvPr id="236" name="Line 169"/>
                            <wps:cNvCnPr>
                              <a:cxnSpLocks noChangeShapeType="1"/>
                            </wps:cNvCnPr>
                            <wps:spPr bwMode="auto">
                              <a:xfrm>
                                <a:off x="1721" y="1087"/>
                                <a:ext cx="157" cy="815"/>
                              </a:xfrm>
                              <a:prstGeom prst="line">
                                <a:avLst/>
                              </a:prstGeom>
                              <a:noFill/>
                              <a:ln w="9525">
                                <a:solidFill>
                                  <a:srgbClr val="000000"/>
                                </a:solidFill>
                                <a:round/>
                              </a:ln>
                              <a:effectLst/>
                            </wps:spPr>
                            <wps:bodyPr/>
                          </wps:wsp>
                        </wpg:grpSp>
                        <wps:wsp>
                          <wps:cNvPr id="237" name="Line 170"/>
                          <wps:cNvCnPr>
                            <a:cxnSpLocks noChangeShapeType="1"/>
                          </wps:cNvCnPr>
                          <wps:spPr bwMode="auto">
                            <a:xfrm>
                              <a:off x="1565" y="4619"/>
                              <a:ext cx="156" cy="815"/>
                            </a:xfrm>
                            <a:prstGeom prst="line">
                              <a:avLst/>
                            </a:prstGeom>
                            <a:noFill/>
                            <a:ln w="9525">
                              <a:solidFill>
                                <a:srgbClr val="000000"/>
                              </a:solidFill>
                              <a:round/>
                            </a:ln>
                            <a:effectLst/>
                          </wps:spPr>
                          <wps:bodyPr/>
                        </wps:wsp>
                        <wps:wsp>
                          <wps:cNvPr id="238" name="Line 171"/>
                          <wps:cNvCnPr>
                            <a:cxnSpLocks noChangeShapeType="1"/>
                            <a:stCxn id="220" idx="1"/>
                          </wps:cNvCnPr>
                          <wps:spPr bwMode="auto">
                            <a:xfrm>
                              <a:off x="2386" y="4618"/>
                              <a:ext cx="177" cy="846"/>
                            </a:xfrm>
                            <a:prstGeom prst="line">
                              <a:avLst/>
                            </a:prstGeom>
                            <a:noFill/>
                            <a:ln w="9525">
                              <a:solidFill>
                                <a:srgbClr val="000000"/>
                              </a:solidFill>
                              <a:round/>
                            </a:ln>
                            <a:effectLst/>
                          </wps:spPr>
                          <wps:bodyPr/>
                        </wps:wsp>
                        <wps:wsp>
                          <wps:cNvPr id="239" name="Line 172"/>
                          <wps:cNvCnPr>
                            <a:cxnSpLocks noChangeShapeType="1"/>
                          </wps:cNvCnPr>
                          <wps:spPr bwMode="auto">
                            <a:xfrm>
                              <a:off x="782" y="4755"/>
                              <a:ext cx="2348" cy="544"/>
                            </a:xfrm>
                            <a:prstGeom prst="line">
                              <a:avLst/>
                            </a:prstGeom>
                            <a:noFill/>
                            <a:ln w="9525">
                              <a:solidFill>
                                <a:srgbClr val="000000"/>
                              </a:solidFill>
                              <a:round/>
                            </a:ln>
                            <a:effectLst/>
                          </wps:spPr>
                          <wps:bodyPr/>
                        </wps:wsp>
                        <wps:wsp>
                          <wps:cNvPr id="240" name="Line 173"/>
                          <wps:cNvCnPr>
                            <a:cxnSpLocks noChangeShapeType="1"/>
                          </wps:cNvCnPr>
                          <wps:spPr bwMode="auto">
                            <a:xfrm flipH="1">
                              <a:off x="1184" y="4618"/>
                              <a:ext cx="1945" cy="846"/>
                            </a:xfrm>
                            <a:prstGeom prst="line">
                              <a:avLst/>
                            </a:prstGeom>
                            <a:noFill/>
                            <a:ln w="9525">
                              <a:solidFill>
                                <a:srgbClr val="000000"/>
                              </a:solidFill>
                              <a:round/>
                            </a:ln>
                            <a:effectLst/>
                          </wps:spPr>
                          <wps:bodyPr/>
                        </wps:wsp>
                      </wpg:grpSp>
                      <wps:wsp>
                        <wps:cNvPr id="241" name="Text Box 174"/>
                        <wps:cNvSpPr txBox="1">
                          <a:spLocks noChangeArrowheads="1"/>
                        </wps:cNvSpPr>
                        <wps:spPr bwMode="auto">
                          <a:xfrm>
                            <a:off x="3347" y="4723"/>
                            <a:ext cx="311" cy="273"/>
                          </a:xfrm>
                          <a:prstGeom prst="rect">
                            <a:avLst/>
                          </a:prstGeom>
                          <a:noFill/>
                          <a:ln>
                            <a:noFill/>
                          </a:ln>
                          <a:effectLst/>
                        </wps:spPr>
                        <wps:txbx>
                          <w:txbxContent>
                            <w:p w14:paraId="0BBB6DF8">
                              <w:pPr>
                                <w:ind w:firstLine="480"/>
                              </w:pPr>
                              <w:r>
                                <w:t>2</w:t>
                              </w:r>
                            </w:p>
                          </w:txbxContent>
                        </wps:txbx>
                        <wps:bodyPr rot="0" vert="horz" wrap="square" lIns="0" tIns="0" rIns="0" bIns="0" anchor="t" anchorCtr="0" upright="1">
                          <a:noAutofit/>
                        </wps:bodyPr>
                      </wps:wsp>
                      <wps:wsp>
                        <wps:cNvPr id="242" name="Text Box 175"/>
                        <wps:cNvSpPr txBox="1">
                          <a:spLocks noChangeArrowheads="1"/>
                        </wps:cNvSpPr>
                        <wps:spPr bwMode="auto">
                          <a:xfrm>
                            <a:off x="3738" y="5046"/>
                            <a:ext cx="244" cy="277"/>
                          </a:xfrm>
                          <a:prstGeom prst="rect">
                            <a:avLst/>
                          </a:prstGeom>
                          <a:noFill/>
                          <a:ln>
                            <a:noFill/>
                          </a:ln>
                          <a:effectLst/>
                        </wps:spPr>
                        <wps:txbx>
                          <w:txbxContent>
                            <w:p w14:paraId="4E3373BE">
                              <w:pPr>
                                <w:ind w:firstLine="480"/>
                              </w:pPr>
                              <w:r>
                                <w:t>3</w:t>
                              </w:r>
                            </w:p>
                          </w:txbxContent>
                        </wps:txbx>
                        <wps:bodyPr rot="0" vert="horz" wrap="square" lIns="0" tIns="0" rIns="0" bIns="0" anchor="t" anchorCtr="0" upright="1">
                          <a:noAutofit/>
                        </wps:bodyPr>
                      </wps:wsp>
                      <wps:wsp>
                        <wps:cNvPr id="243" name="Text Box 176"/>
                        <wps:cNvSpPr txBox="1">
                          <a:spLocks noChangeArrowheads="1"/>
                        </wps:cNvSpPr>
                        <wps:spPr bwMode="auto">
                          <a:xfrm>
                            <a:off x="4383" y="5027"/>
                            <a:ext cx="304" cy="273"/>
                          </a:xfrm>
                          <a:prstGeom prst="rect">
                            <a:avLst/>
                          </a:prstGeom>
                          <a:noFill/>
                          <a:ln>
                            <a:noFill/>
                          </a:ln>
                          <a:effectLst/>
                        </wps:spPr>
                        <wps:txbx>
                          <w:txbxContent>
                            <w:p w14:paraId="4A3BC9DF">
                              <w:pPr>
                                <w:ind w:firstLine="480"/>
                              </w:pPr>
                              <w:r>
                                <w:t>5</w:t>
                              </w:r>
                            </w:p>
                          </w:txbxContent>
                        </wps:txbx>
                        <wps:bodyPr rot="0" vert="horz" wrap="square" lIns="0" tIns="0" rIns="0" bIns="0" anchor="t" anchorCtr="0" upright="1">
                          <a:noAutofit/>
                        </wps:bodyPr>
                      </wps:wsp>
                      <wps:wsp>
                        <wps:cNvPr id="244" name="Text Box 177"/>
                        <wps:cNvSpPr txBox="1">
                          <a:spLocks noChangeArrowheads="1"/>
                        </wps:cNvSpPr>
                        <wps:spPr bwMode="auto">
                          <a:xfrm>
                            <a:off x="3913" y="4755"/>
                            <a:ext cx="310" cy="273"/>
                          </a:xfrm>
                          <a:prstGeom prst="rect">
                            <a:avLst/>
                          </a:prstGeom>
                          <a:noFill/>
                          <a:ln>
                            <a:noFill/>
                          </a:ln>
                          <a:effectLst/>
                        </wps:spPr>
                        <wps:txbx>
                          <w:txbxContent>
                            <w:p w14:paraId="3CD17D36">
                              <w:pPr>
                                <w:ind w:firstLine="480"/>
                              </w:pPr>
                              <w:r>
                                <w:t>4</w:t>
                              </w:r>
                            </w:p>
                          </w:txbxContent>
                        </wps:txbx>
                        <wps:bodyPr rot="0" vert="horz" wrap="square" lIns="0" tIns="0" rIns="0" bIns="0" anchor="t" anchorCtr="0" upright="1">
                          <a:noAutofit/>
                        </wps:bodyPr>
                      </wps:wsp>
                      <wps:wsp>
                        <wps:cNvPr id="245" name="Text Box 178"/>
                        <wps:cNvSpPr txBox="1">
                          <a:spLocks noChangeArrowheads="1"/>
                        </wps:cNvSpPr>
                        <wps:spPr bwMode="auto">
                          <a:xfrm>
                            <a:off x="5009" y="4891"/>
                            <a:ext cx="309" cy="273"/>
                          </a:xfrm>
                          <a:prstGeom prst="rect">
                            <a:avLst/>
                          </a:prstGeom>
                          <a:noFill/>
                          <a:ln>
                            <a:noFill/>
                          </a:ln>
                          <a:effectLst/>
                        </wps:spPr>
                        <wps:txbx>
                          <w:txbxContent>
                            <w:p w14:paraId="3AFC03E6">
                              <w:pPr>
                                <w:ind w:firstLine="480"/>
                              </w:pPr>
                              <w:r>
                                <w:t>6</w:t>
                              </w:r>
                            </w:p>
                          </w:txbxContent>
                        </wps:txbx>
                        <wps:bodyPr rot="0" vert="horz" wrap="square" lIns="0" tIns="0" rIns="0" bIns="0" anchor="t" anchorCtr="0" upright="1">
                          <a:noAutofit/>
                        </wps:bodyPr>
                      </wps:wsp>
                      <wps:wsp>
                        <wps:cNvPr id="246" name="Text Box 179"/>
                        <wps:cNvSpPr txBox="1">
                          <a:spLocks noChangeArrowheads="1"/>
                        </wps:cNvSpPr>
                        <wps:spPr bwMode="auto">
                          <a:xfrm>
                            <a:off x="2974" y="5163"/>
                            <a:ext cx="309" cy="272"/>
                          </a:xfrm>
                          <a:prstGeom prst="rect">
                            <a:avLst/>
                          </a:prstGeom>
                          <a:noFill/>
                          <a:ln>
                            <a:noFill/>
                          </a:ln>
                          <a:effectLst/>
                        </wps:spPr>
                        <wps:txbx>
                          <w:txbxContent>
                            <w:p w14:paraId="1D0E74DD">
                              <w:pPr>
                                <w:ind w:firstLine="480"/>
                              </w:pPr>
                              <w:r>
                                <w:t>1</w:t>
                              </w:r>
                            </w:p>
                          </w:txbxContent>
                        </wps:txbx>
                        <wps:bodyPr rot="0" vert="horz" wrap="square" lIns="0" tIns="0" rIns="0" bIns="0" anchor="t" anchorCtr="0" upright="1">
                          <a:noAutofit/>
                        </wps:bodyPr>
                      </wps:wsp>
                      <wps:wsp>
                        <wps:cNvPr id="247" name="Text Box 180"/>
                        <wps:cNvSpPr txBox="1">
                          <a:spLocks noChangeArrowheads="1"/>
                        </wps:cNvSpPr>
                        <wps:spPr bwMode="auto">
                          <a:xfrm>
                            <a:off x="3609" y="5364"/>
                            <a:ext cx="218" cy="259"/>
                          </a:xfrm>
                          <a:prstGeom prst="rect">
                            <a:avLst/>
                          </a:prstGeom>
                          <a:noFill/>
                          <a:ln>
                            <a:noFill/>
                          </a:ln>
                          <a:effectLst/>
                        </wps:spPr>
                        <wps:txbx>
                          <w:txbxContent>
                            <w:p w14:paraId="542D5955">
                              <w:pPr>
                                <w:ind w:firstLine="480"/>
                              </w:pPr>
                              <w:r>
                                <w:t>7</w:t>
                              </w:r>
                            </w:p>
                          </w:txbxContent>
                        </wps:txbx>
                        <wps:bodyPr rot="0" vert="horz" wrap="square" lIns="0" tIns="0" rIns="0" bIns="0" anchor="t" anchorCtr="0" upright="1">
                          <a:noAutofit/>
                        </wps:bodyPr>
                      </wps:wsp>
                      <wps:wsp>
                        <wps:cNvPr id="248" name="Text Box 181"/>
                        <wps:cNvSpPr txBox="1">
                          <a:spLocks noChangeArrowheads="1"/>
                        </wps:cNvSpPr>
                        <wps:spPr bwMode="auto">
                          <a:xfrm>
                            <a:off x="4070" y="5299"/>
                            <a:ext cx="309" cy="272"/>
                          </a:xfrm>
                          <a:prstGeom prst="rect">
                            <a:avLst/>
                          </a:prstGeom>
                          <a:noFill/>
                          <a:ln>
                            <a:noFill/>
                          </a:ln>
                          <a:effectLst/>
                        </wps:spPr>
                        <wps:txbx>
                          <w:txbxContent>
                            <w:p w14:paraId="3ACDEF15">
                              <w:pPr>
                                <w:ind w:firstLine="480"/>
                              </w:pPr>
                              <w:r>
                                <w:t>8</w:t>
                              </w:r>
                              <w:r>
                                <w:rPr>
                                  <w:sz w:val="20"/>
                                  <w:szCs w:val="20"/>
                                </w:rPr>
                                <w:drawing>
                                  <wp:inline distT="0" distB="0" distL="114300" distR="114300">
                                    <wp:extent cx="228600" cy="200025"/>
                                    <wp:effectExtent l="0" t="0" r="0" b="0"/>
                                    <wp:docPr id="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0"/>
                                            <pic:cNvPicPr>
                                              <a:picLocks noChangeAspect="1"/>
                                            </pic:cNvPicPr>
                                          </pic:nvPicPr>
                                          <pic:blipFill>
                                            <a:blip r:embed="rId113"/>
                                            <a:stretch>
                                              <a:fillRect/>
                                            </a:stretch>
                                          </pic:blipFill>
                                          <pic:spPr>
                                            <a:xfrm>
                                              <a:off x="0" y="0"/>
                                              <a:ext cx="228600" cy="200025"/>
                                            </a:xfrm>
                                            <a:prstGeom prst="rect">
                                              <a:avLst/>
                                            </a:prstGeom>
                                            <a:noFill/>
                                            <a:ln>
                                              <a:noFill/>
                                            </a:ln>
                                          </pic:spPr>
                                        </pic:pic>
                                      </a:graphicData>
                                    </a:graphic>
                                  </wp:inline>
                                </w:drawing>
                              </w:r>
                            </w:p>
                          </w:txbxContent>
                        </wps:txbx>
                        <wps:bodyPr rot="0" vert="horz" wrap="square" lIns="0" tIns="0" rIns="0" bIns="0" anchor="t" anchorCtr="0" upright="1">
                          <a:noAutofit/>
                        </wps:bodyPr>
                      </wps:wsp>
                      <wps:wsp>
                        <wps:cNvPr id="249" name="Text Box 182"/>
                        <wps:cNvSpPr txBox="1">
                          <a:spLocks noChangeArrowheads="1"/>
                        </wps:cNvSpPr>
                        <wps:spPr bwMode="auto">
                          <a:xfrm>
                            <a:off x="4696" y="5299"/>
                            <a:ext cx="310" cy="272"/>
                          </a:xfrm>
                          <a:prstGeom prst="rect">
                            <a:avLst/>
                          </a:prstGeom>
                          <a:noFill/>
                          <a:ln>
                            <a:noFill/>
                          </a:ln>
                          <a:effectLst/>
                        </wps:spPr>
                        <wps:txbx>
                          <w:txbxContent>
                            <w:p w14:paraId="5603163B">
                              <w:pPr>
                                <w:ind w:firstLine="480"/>
                              </w:pPr>
                              <w:r>
                                <w:t>9</w:t>
                              </w:r>
                              <w:r>
                                <w:rPr>
                                  <w:sz w:val="20"/>
                                  <w:szCs w:val="20"/>
                                </w:rPr>
                                <w:drawing>
                                  <wp:inline distT="0" distB="0" distL="114300" distR="114300">
                                    <wp:extent cx="228600" cy="200025"/>
                                    <wp:effectExtent l="0" t="0" r="0" b="0"/>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13"/>
                                            <a:stretch>
                                              <a:fillRect/>
                                            </a:stretch>
                                          </pic:blipFill>
                                          <pic:spPr>
                                            <a:xfrm>
                                              <a:off x="0" y="0"/>
                                              <a:ext cx="228600" cy="200025"/>
                                            </a:xfrm>
                                            <a:prstGeom prst="rect">
                                              <a:avLst/>
                                            </a:prstGeom>
                                            <a:noFill/>
                                            <a:ln>
                                              <a:noFill/>
                                            </a:ln>
                                          </pic:spPr>
                                        </pic:pic>
                                      </a:graphicData>
                                    </a:graphic>
                                  </wp:inline>
                                </w:drawing>
                              </w:r>
                            </w:p>
                          </w:txbxContent>
                        </wps:txbx>
                        <wps:bodyPr rot="0" vert="horz" wrap="square" lIns="0" tIns="0" rIns="0" bIns="0" anchor="t" anchorCtr="0" upright="1">
                          <a:noAutofit/>
                        </wps:bodyPr>
                      </wps:wsp>
                      <wps:wsp>
                        <wps:cNvPr id="250" name="Text Box 183"/>
                        <wps:cNvSpPr txBox="1">
                          <a:spLocks noChangeArrowheads="1"/>
                        </wps:cNvSpPr>
                        <wps:spPr bwMode="auto">
                          <a:xfrm>
                            <a:off x="4539" y="4755"/>
                            <a:ext cx="311" cy="273"/>
                          </a:xfrm>
                          <a:prstGeom prst="rect">
                            <a:avLst/>
                          </a:prstGeom>
                          <a:noFill/>
                          <a:ln>
                            <a:noFill/>
                          </a:ln>
                          <a:effectLst/>
                        </wps:spPr>
                        <wps:txbx>
                          <w:txbxContent>
                            <w:p w14:paraId="64A69990">
                              <w:pPr>
                                <w:ind w:firstLine="480"/>
                              </w:pPr>
                              <w:r>
                                <w:t>10</w:t>
                              </w:r>
                            </w:p>
                          </w:txbxContent>
                        </wps:txbx>
                        <wps:bodyPr rot="0" vert="horz" wrap="square" lIns="0" tIns="0" rIns="0" bIns="0" anchor="t" anchorCtr="0" upright="1">
                          <a:noAutofit/>
                        </wps:bodyPr>
                      </wps:wsp>
                      <wps:wsp>
                        <wps:cNvPr id="251" name="Text Box 184"/>
                        <wps:cNvSpPr txBox="1">
                          <a:spLocks noChangeArrowheads="1"/>
                        </wps:cNvSpPr>
                        <wps:spPr bwMode="auto">
                          <a:xfrm>
                            <a:off x="313" y="408"/>
                            <a:ext cx="1878" cy="386"/>
                          </a:xfrm>
                          <a:prstGeom prst="rect">
                            <a:avLst/>
                          </a:prstGeom>
                          <a:noFill/>
                          <a:ln>
                            <a:noFill/>
                          </a:ln>
                          <a:effectLst/>
                        </wps:spPr>
                        <wps:txbx>
                          <w:txbxContent>
                            <w:p w14:paraId="44D6055A">
                              <w:pPr>
                                <w:ind w:firstLine="482"/>
                                <w:rPr>
                                  <w:b/>
                                  <w:bCs/>
                                </w:rPr>
                              </w:pPr>
                              <w:r>
                                <w:rPr>
                                  <w:rFonts w:hint="eastAsia"/>
                                  <w:b/>
                                  <w:bCs/>
                                </w:rPr>
                                <w:t>自然要素分区图</w:t>
                              </w:r>
                            </w:p>
                          </w:txbxContent>
                        </wps:txbx>
                        <wps:bodyPr rot="0" vert="horz" wrap="square" lIns="0" tIns="0" rIns="0" bIns="0" anchor="t" anchorCtr="0" upright="1">
                          <a:noAutofit/>
                        </wps:bodyPr>
                      </wps:wsp>
                      <wps:wsp>
                        <wps:cNvPr id="252" name="Text Box 185"/>
                        <wps:cNvSpPr txBox="1">
                          <a:spLocks noChangeArrowheads="1"/>
                        </wps:cNvSpPr>
                        <wps:spPr bwMode="auto">
                          <a:xfrm>
                            <a:off x="313" y="1359"/>
                            <a:ext cx="1878" cy="333"/>
                          </a:xfrm>
                          <a:prstGeom prst="rect">
                            <a:avLst/>
                          </a:prstGeom>
                          <a:noFill/>
                          <a:ln>
                            <a:noFill/>
                          </a:ln>
                          <a:effectLst/>
                        </wps:spPr>
                        <wps:txbx>
                          <w:txbxContent>
                            <w:p w14:paraId="22BEE0A3">
                              <w:pPr>
                                <w:ind w:firstLine="482"/>
                                <w:rPr>
                                  <w:b/>
                                  <w:bCs/>
                                </w:rPr>
                              </w:pPr>
                              <w:r>
                                <w:rPr>
                                  <w:rFonts w:hint="eastAsia"/>
                                  <w:b/>
                                  <w:bCs/>
                                </w:rPr>
                                <w:t>土地利用要素分区图</w:t>
                              </w:r>
                            </w:p>
                          </w:txbxContent>
                        </wps:txbx>
                        <wps:bodyPr rot="0" vert="horz" wrap="square" lIns="0" tIns="0" rIns="0" bIns="0" anchor="t" anchorCtr="0" upright="1">
                          <a:noAutofit/>
                        </wps:bodyPr>
                      </wps:wsp>
                      <wps:wsp>
                        <wps:cNvPr id="253" name="Text Box 186"/>
                        <wps:cNvSpPr txBox="1">
                          <a:spLocks noChangeArrowheads="1"/>
                        </wps:cNvSpPr>
                        <wps:spPr bwMode="auto">
                          <a:xfrm>
                            <a:off x="313" y="2446"/>
                            <a:ext cx="1878" cy="309"/>
                          </a:xfrm>
                          <a:prstGeom prst="rect">
                            <a:avLst/>
                          </a:prstGeom>
                          <a:noFill/>
                          <a:ln>
                            <a:noFill/>
                          </a:ln>
                          <a:effectLst/>
                        </wps:spPr>
                        <wps:txbx>
                          <w:txbxContent>
                            <w:p w14:paraId="4FF7BD12">
                              <w:pPr>
                                <w:ind w:firstLine="482"/>
                                <w:rPr>
                                  <w:b/>
                                  <w:bCs/>
                                </w:rPr>
                              </w:pPr>
                              <w:r>
                                <w:rPr>
                                  <w:rFonts w:hint="eastAsia"/>
                                  <w:b/>
                                  <w:bCs/>
                                </w:rPr>
                                <w:t>社会经济要素分区图</w:t>
                              </w:r>
                            </w:p>
                          </w:txbxContent>
                        </wps:txbx>
                        <wps:bodyPr rot="0" vert="horz" wrap="square" lIns="0" tIns="0" rIns="0" bIns="0" anchor="t" anchorCtr="0" upright="1">
                          <a:noAutofit/>
                        </wps:bodyPr>
                      </wps:wsp>
                      <wps:wsp>
                        <wps:cNvPr id="254" name="Text Box 187"/>
                        <wps:cNvSpPr txBox="1">
                          <a:spLocks noChangeArrowheads="1"/>
                        </wps:cNvSpPr>
                        <wps:spPr bwMode="auto">
                          <a:xfrm>
                            <a:off x="340" y="3699"/>
                            <a:ext cx="1878" cy="377"/>
                          </a:xfrm>
                          <a:prstGeom prst="rect">
                            <a:avLst/>
                          </a:prstGeom>
                          <a:noFill/>
                          <a:ln>
                            <a:noFill/>
                          </a:ln>
                          <a:effectLst/>
                        </wps:spPr>
                        <wps:txbx>
                          <w:txbxContent>
                            <w:p w14:paraId="754A313B">
                              <w:pPr>
                                <w:ind w:firstLine="482"/>
                                <w:rPr>
                                  <w:b/>
                                  <w:bCs/>
                                </w:rPr>
                              </w:pPr>
                              <w:r>
                                <w:rPr>
                                  <w:rFonts w:hint="eastAsia"/>
                                  <w:b/>
                                  <w:bCs/>
                                </w:rPr>
                                <w:t>水土流失要素分区图</w:t>
                              </w:r>
                            </w:p>
                          </w:txbxContent>
                        </wps:txbx>
                        <wps:bodyPr rot="0" vert="horz" wrap="square" lIns="0" tIns="0" rIns="0" bIns="0" anchor="t" anchorCtr="0" upright="1">
                          <a:noAutofit/>
                        </wps:bodyPr>
                      </wps:wsp>
                      <wps:wsp>
                        <wps:cNvPr id="255" name="Text Box 188"/>
                        <wps:cNvSpPr txBox="1">
                          <a:spLocks noChangeArrowheads="1"/>
                        </wps:cNvSpPr>
                        <wps:spPr bwMode="auto">
                          <a:xfrm>
                            <a:off x="340" y="4890"/>
                            <a:ext cx="1878" cy="392"/>
                          </a:xfrm>
                          <a:prstGeom prst="rect">
                            <a:avLst/>
                          </a:prstGeom>
                          <a:noFill/>
                          <a:ln>
                            <a:noFill/>
                          </a:ln>
                          <a:effectLst/>
                        </wps:spPr>
                        <wps:txbx>
                          <w:txbxContent>
                            <w:p w14:paraId="19C5717C">
                              <w:pPr>
                                <w:ind w:firstLine="482"/>
                                <w:rPr>
                                  <w:b/>
                                  <w:bCs/>
                                </w:rPr>
                              </w:pPr>
                              <w:r>
                                <w:rPr>
                                  <w:rFonts w:hint="eastAsia"/>
                                  <w:b/>
                                  <w:bCs/>
                                </w:rPr>
                                <w:t>水土保持区划图</w:t>
                              </w:r>
                            </w:p>
                          </w:txbxContent>
                        </wps:txbx>
                        <wps:bodyPr rot="0" vert="horz" wrap="square" lIns="0" tIns="0" rIns="0" bIns="0" anchor="t" anchorCtr="0" upright="1">
                          <a:noAutofit/>
                        </wps:bodyPr>
                      </wps:wsp>
                    </wpg:wgp>
                  </a:graphicData>
                </a:graphic>
              </wp:inline>
            </w:drawing>
          </mc:Choice>
          <mc:Fallback>
            <w:pict>
              <v:group id="组合 2" o:spid="_x0000_s1026" o:spt="203" style="height:251.5pt;width:346.15pt;" coordsize="7200,5978" o:gfxdata="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">
                <o:lock v:ext="edit" aspectratio="f"/>
                <v:rect id="AutoShape 147" o:spid="_x0000_s1026" o:spt="1" style="position:absolute;left:0;top:0;height:5978;width:7200;" filled="f" stroked="f" coordsize="21600,21600" o:gfxdata="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rbT2/&#10;AAAA3AAAAA8AAAAAAAAAAQAgAAAAIgAAAGRycy9kb3ducmV2LnhtbFBLAQIUABQAAAAIAIdO4kAz&#10;LwWeOwAAADkAAAAQAAAAAAAAAAEAIAAAAA4BAABkcnMvc2hhcGV4bWwueG1sUEsFBgAAAAAGAAYA&#10;WwEAALgDAAAAAA==&#10;">
                  <v:fill on="f" focussize="0,0"/>
                  <v:stroke on="f"/>
                  <v:imagedata o:title=""/>
                  <o:lock v:ext="edit" aspectratio="t"/>
                </v:rect>
                <v:group id="Group 148" o:spid="_x0000_s1026" o:spt="203" style="position:absolute;left:2035;top:136;height:5465;width:4226;" coordsize="4226,5465" o:gfxdata="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lJVAb0AAADbAAAADwAAAAAAAAABACAAAAAiAAAAZHJzL2Rvd25yZXYueG1s&#10;UEsBAhQAFAAAAAgAh07iQDMvBZ47AAAAOQAAABUAAAAAAAAAAQAgAAAADAEAAGRycy9ncm91cHNo&#10;YXBleG1sLnhtbFBLBQYAAAAABgAGAGABAADJAwAAAAA=&#10;">
                  <o:lock v:ext="edit" aspectratio="f"/>
                  <v:group id="Group 149" o:spid="_x0000_s1026" o:spt="203" style="position:absolute;left:0;top:0;height:5465;width:4226;" coordsize="4226,5465"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f"/>
                    <v:group id="Group 150" o:spid="_x0000_s1026" o:spt="203" style="position:absolute;left:156;top:3261;height:1358;width:3913;" coordsize="3913,1358"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shape id="AutoShape 151" o:spid="_x0000_s1026" o:spt="7" type="#_x0000_t7" style="position:absolute;left:0;top:0;height:815;width:3913;" fillcolor="#CCFFFF" filled="t" stroked="t" coordsize="21600,21600" o:gfxdata="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yDosi8AAAA&#10;3AAAAA8AAAAAAAAAAQAgAAAAIgAAAGRycy9kb3ducmV2LnhtbFBLAQIUABQAAAAIAIdO4kAzLwWe&#10;OwAAADkAAAAQAAAAAAAAAAEAIAAAAAsBAABkcnMvc2hhcGV4bWwueG1sUEsFBgAAAAAGAAYAWwEA&#10;ALUDAAAAAA==&#10;" adj="5400">
                        <v:fill on="t" focussize="0,0"/>
                        <v:stroke color="#000000" miterlimit="8" joinstyle="miter"/>
                        <v:imagedata o:title=""/>
                        <o:lock v:ext="edit" aspectratio="f"/>
                        <v:textbox>
                          <w:txbxContent>
                            <w:p w14:paraId="43A3C62F">
                              <w:pPr>
                                <w:ind w:firstLine="482"/>
                                <w:rPr>
                                  <w:b/>
                                  <w:bCs/>
                                </w:rPr>
                              </w:pPr>
                              <w:r>
                                <w:rPr>
                                  <w:b/>
                                  <w:bCs/>
                                </w:rPr>
                                <w:t xml:space="preserve"> </w:t>
                              </w:r>
                              <w:r>
                                <w:rPr>
                                  <w:rFonts w:hint="eastAsia"/>
                                  <w:b/>
                                  <w:bCs/>
                                </w:rPr>
                                <w:t>①</w:t>
                              </w:r>
                              <w:r>
                                <w:rPr>
                                  <w:b/>
                                  <w:bCs/>
                                </w:rPr>
                                <w:t xml:space="preserve">                </w:t>
                              </w:r>
                              <w:r>
                                <w:rPr>
                                  <w:rFonts w:hint="eastAsia"/>
                                  <w:b/>
                                  <w:bCs/>
                                </w:rPr>
                                <w:t>②</w:t>
                              </w:r>
                            </w:p>
                          </w:txbxContent>
                        </v:textbox>
                      </v:shape>
                      <v:shape id="AutoShape 152" o:spid="_x0000_s1026" o:spt="67" type="#_x0000_t67" style="position:absolute;left:1566;top:815;height:543;width:665;" fillcolor="#FFFFFF" filled="t" stroked="t" coordsize="21600,21600" o:gfxdata="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qzfqbsAAADc&#10;AAAADwAAAAAAAAABACAAAAAiAAAAZHJzL2Rvd25yZXYueG1sUEsBAhQAFAAAAAgAh07iQDMvBZ47&#10;AAAAOQAAABAAAAAAAAAAAQAgAAAACgEAAGRycy9zaGFwZXhtbC54bWxQSwUGAAAAAAYABgBbAQAA&#10;tAMAAAAA&#10;" adj="16200,5400">
                        <v:fill on="t" focussize="0,0"/>
                        <v:stroke color="#000000" miterlimit="8" joinstyle="miter"/>
                        <v:imagedata o:title=""/>
                        <o:lock v:ext="edit" aspectratio="f"/>
                        <v:textbox style="layout-flow:vertical-ideographic;"/>
                      </v:shape>
                    </v:group>
                    <v:shape id="AutoShape 153" o:spid="_x0000_s1026" o:spt="7" type="#_x0000_t7" style="position:absolute;left:0;top:4619;height:846;width:3913;" fillcolor="#CCFFCC" filled="t" stroked="t" coordsize="21600,21600" o:gfxdata="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mlFLW8AAAA&#10;3AAAAA8AAAAAAAAAAQAgAAAAIgAAAGRycy9kb3ducmV2LnhtbFBLAQIUABQAAAAIAIdO4kAzLwWe&#10;OwAAADkAAAAQAAAAAAAAAAEAIAAAAAsBAABkcnMvc2hhcGV4bWwueG1sUEsFBgAAAAAGAAYAWwEA&#10;ALUDAAAAAA==&#10;" adj="5400">
                      <v:fill on="t" focussize="0,0"/>
                      <v:stroke color="#000000" miterlimit="8" joinstyle="miter"/>
                      <v:imagedata o:title=""/>
                      <o:lock v:ext="edit" aspectratio="f"/>
                    </v:shape>
                    <v:shape id="AutoShape 154" o:spid="_x0000_s1026" o:spt="7" type="#_x0000_t7" style="position:absolute;left:313;top:0;height:815;width:3913;" fillcolor="#CCFFFF" filled="t" stroked="t" coordsize="21600,21600" o:gfxdata="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Vwei/&#10;AAAA3AAAAA8AAAAAAAAAAQAgAAAAIgAAAGRycy9kb3ducmV2LnhtbFBLAQIUABQAAAAIAIdO4kAz&#10;LwWeOwAAADkAAAAQAAAAAAAAAAEAIAAAAA4BAABkcnMvc2hhcGV4bWwueG1sUEsFBgAAAAAGAAYA&#10;WwEAALgDAAAAAA==&#10;" adj="5400">
                      <v:fill on="t" focussize="0,0"/>
                      <v:stroke color="#000000" miterlimit="8" joinstyle="miter"/>
                      <v:imagedata o:title=""/>
                      <o:lock v:ext="edit" aspectratio="f"/>
                      <v:textbox>
                        <w:txbxContent>
                          <w:p w14:paraId="22EF593A">
                            <w:pPr>
                              <w:ind w:firstLine="482"/>
                              <w:rPr>
                                <w:b/>
                                <w:bCs/>
                              </w:rPr>
                            </w:pPr>
                            <w:r>
                              <w:rPr>
                                <w:b/>
                                <w:bCs/>
                              </w:rPr>
                              <w:t xml:space="preserve"> A                 B</w:t>
                            </w:r>
                          </w:p>
                        </w:txbxContent>
                      </v:textbox>
                    </v:shape>
                    <v:shape id="AutoShape 155" o:spid="_x0000_s1026" o:spt="7" type="#_x0000_t7" style="position:absolute;left:313;top:1087;height:815;width:3913;" fillcolor="#CCFFFF" filled="t" stroked="t" coordsize="21600,21600" o:gfxdata="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HX5+/&#10;AAAA3AAAAA8AAAAAAAAAAQAgAAAAIgAAAGRycy9kb3ducmV2LnhtbFBLAQIUABQAAAAIAIdO4kAz&#10;LwWeOwAAADkAAAAQAAAAAAAAAAEAIAAAAA4BAABkcnMvc2hhcGV4bWwueG1sUEsFBgAAAAAGAAYA&#10;WwEAALgDAAAAAA==&#10;" adj="5400">
                      <v:fill on="t" focussize="0,0"/>
                      <v:stroke color="#000000" miterlimit="8" joinstyle="miter"/>
                      <v:imagedata o:title=""/>
                      <o:lock v:ext="edit" aspectratio="f"/>
                      <v:textbox>
                        <w:txbxContent>
                          <w:p w14:paraId="2ABCA660">
                            <w:pPr>
                              <w:ind w:firstLine="482"/>
                              <w:rPr>
                                <w:b/>
                                <w:bCs/>
                              </w:rPr>
                            </w:pPr>
                            <w:r>
                              <w:rPr>
                                <w:b/>
                                <w:bCs/>
                              </w:rPr>
                              <w:t xml:space="preserve"> a                 b</w:t>
                            </w:r>
                          </w:p>
                        </w:txbxContent>
                      </v:textbox>
                    </v:shape>
                    <v:group id="Group 156" o:spid="_x0000_s1026" o:spt="203" style="position:absolute;left:1878;top:815;height:408;width:313;" coordsize="313,408" o:gfxdata="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G9vgi7AAAA2wAAAA8AAAAAAAAAAQAgAAAAIgAAAGRycy9kb3ducmV2LnhtbFBL&#10;AQIUABQAAAAIAIdO4kAzLwWeOwAAADkAAAAVAAAAAAAAAAEAIAAAAAoBAABkcnMvZ3JvdXBzaGFw&#10;ZXhtbC54bWxQSwUGAAAAAAYABgBgAQAAxwMAAAAA&#10;">
                      <o:lock v:ext="edit" aspectratio="f"/>
                      <v:line id="Line 157" o:spid="_x0000_s1026" o:spt="20" style="position:absolute;left:159;top:0;height:408;width:1;" filled="f" stroked="t" coordsize="21600,21600" o:gfxdata="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qTSHvQAA&#10;ANwAAAAPAAAAAAAAAAEAIAAAACIAAABkcnMvZG93bnJldi54bWxQSwECFAAUAAAACACHTuJAMy8F&#10;njsAAAA5AAAAEAAAAAAAAAABACAAAAAMAQAAZHJzL3NoYXBleG1sLnhtbFBLBQYAAAAABgAGAFsB&#10;AAC2AwAAAAA=&#10;">
                        <v:fill on="f" focussize="0,0"/>
                        <v:stroke weight="2.25pt" color="#000000" joinstyle="round"/>
                        <v:imagedata o:title=""/>
                        <o:lock v:ext="edit" aspectratio="f"/>
                      </v:line>
                      <v:line id="Line 158" o:spid="_x0000_s1026" o:spt="20" style="position:absolute;left:0;top:203;height:1;width:313;" filled="f" stroked="t" coordsize="21600,21600" o:gfxdata="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D4dyr4A&#10;AADcAAAADwAAAAAAAAABACAAAAAiAAAAZHJzL2Rvd25yZXYueG1sUEsBAhQAFAAAAAgAh07iQDMv&#10;BZ47AAAAOQAAABAAAAAAAAAAAQAgAAAADQEAAGRycy9zaGFwZXhtbC54bWxQSwUGAAAAAAYABgBb&#10;AQAAtwMAAAAA&#10;">
                        <v:fill on="f" focussize="0,0"/>
                        <v:stroke weight="2.75pt" color="#000000" joinstyle="round"/>
                        <v:imagedata o:title=""/>
                        <o:lock v:ext="edit" aspectratio="f"/>
                      </v:line>
                    </v:group>
                    <v:shape id="AutoShape 159" o:spid="_x0000_s1026" o:spt="7" type="#_x0000_t7" style="position:absolute;left:156;top:2174;height:815;width:3913;" fillcolor="#CCFFFF" filled="t" stroked="t" coordsize="21600,21600" o:gfxdata="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PFmc&#10;wAAAANwAAAAPAAAAAAAAAAEAIAAAACIAAABkcnMvZG93bnJldi54bWxQSwECFAAUAAAACACHTuJA&#10;My8FnjsAAAA5AAAAEAAAAAAAAAABACAAAAAPAQAAZHJzL3NoYXBleG1sLnhtbFBLBQYAAAAABgAG&#10;AFsBAAC5AwAAAAA=&#10;" adj="5400">
                      <v:fill on="t" focussize="0,0"/>
                      <v:stroke color="#000000" miterlimit="8" joinstyle="miter"/>
                      <v:imagedata o:title=""/>
                      <o:lock v:ext="edit" aspectratio="f"/>
                      <v:textbox>
                        <w:txbxContent>
                          <w:p w14:paraId="2A5A05EB">
                            <w:pPr>
                              <w:ind w:firstLine="482"/>
                              <w:rPr>
                                <w:b/>
                                <w:bCs/>
                              </w:rPr>
                            </w:pPr>
                            <w:r>
                              <w:rPr>
                                <w:b/>
                                <w:bCs/>
                              </w:rPr>
                              <w:t xml:space="preserve"> </w:t>
                            </w:r>
                            <w:r>
                              <w:rPr>
                                <w:rFonts w:hint="eastAsia"/>
                                <w:b/>
                                <w:bCs/>
                              </w:rPr>
                              <w:t>Ⅰ</w:t>
                            </w:r>
                            <w:r>
                              <w:rPr>
                                <w:b/>
                                <w:bCs/>
                              </w:rPr>
                              <w:t xml:space="preserve">                </w:t>
                            </w:r>
                            <w:r>
                              <w:rPr>
                                <w:rFonts w:hint="eastAsia"/>
                                <w:b/>
                                <w:bCs/>
                              </w:rPr>
                              <w:t>Ⅱ</w:t>
                            </w:r>
                          </w:p>
                        </w:txbxContent>
                      </v:textbox>
                    </v:shape>
                    <v:group id="Group 160" o:spid="_x0000_s1026" o:spt="203" style="position:absolute;left:1878;top:1902;height:408;width:313;" coordsize="313,408" o:gfxdata="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7xG5O+AAAA2wAAAA8AAAAAAAAAAQAgAAAAIgAAAGRycy9kb3ducmV2Lnht&#10;bFBLAQIUABQAAAAIAIdO4kAzLwWeOwAAADkAAAAVAAAAAAAAAAEAIAAAAA0BAABkcnMvZ3JvdXBz&#10;aGFwZXhtbC54bWxQSwUGAAAAAAYABgBgAQAAygMAAAAA&#10;">
                      <o:lock v:ext="edit" aspectratio="f"/>
                      <v:line id="Line 161" o:spid="_x0000_s1026" o:spt="20" style="position:absolute;left:159;top:0;height:408;width:1;" filled="f" stroked="t" coordsize="21600,21600" o:gfxdata="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5D6CugAAANwA&#10;AAAPAAAAAAAAAAEAIAAAACIAAABkcnMvZG93bnJldi54bWxQSwECFAAUAAAACACHTuJAMy8FnjsA&#10;AAA5AAAAEAAAAAAAAAABACAAAAAJAQAAZHJzL3NoYXBleG1sLnhtbFBLBQYAAAAABgAGAFsBAACz&#10;AwAAAAA=&#10;">
                        <v:fill on="f" focussize="0,0"/>
                        <v:stroke weight="2.25pt" color="#000000" joinstyle="round"/>
                        <v:imagedata o:title=""/>
                        <o:lock v:ext="edit" aspectratio="f"/>
                      </v:line>
                      <v:line id="Line 162" o:spid="_x0000_s1026" o:spt="20" style="position:absolute;left:0;top:203;height:1;width:313;" filled="f" stroked="t" coordsize="21600,21600" o:gfxdata="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cxfPvQAA&#10;ANwAAAAPAAAAAAAAAAEAIAAAACIAAABkcnMvZG93bnJldi54bWxQSwECFAAUAAAACACHTuJAMy8F&#10;njsAAAA5AAAAEAAAAAAAAAABACAAAAAMAQAAZHJzL3NoYXBleG1sLnhtbFBLBQYAAAAABgAGAFsB&#10;AAC2AwAAAAA=&#10;">
                        <v:fill on="f" focussize="0,0"/>
                        <v:stroke weight="2.75pt" color="#000000" joinstyle="round"/>
                        <v:imagedata o:title=""/>
                        <o:lock v:ext="edit" aspectratio="f"/>
                      </v:line>
                    </v:group>
                    <v:line id="Line 163" o:spid="_x0000_s1026" o:spt="20" style="position:absolute;left:939;top:2310;height:543;width:2348;" filled="f" stroked="t" coordsize="21600,21600" o:gfxdata="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0Mua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line>
                    <v:group id="Group 164" o:spid="_x0000_s1026" o:spt="203" style="position:absolute;left:1878;top:2989;height:408;width:313;" coordsize="313,408" o:gfxdata="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4XkvwAAANsAAAAPAAAAAAAAAAEAIAAAACIAAABkcnMvZG93bnJldi54&#10;bWxQSwECFAAUAAAACACHTuJAMy8FnjsAAAA5AAAAFQAAAAAAAAABACAAAAAOAQAAZHJzL2dyb3Vw&#10;c2hhcGV4bWwueG1sUEsFBgAAAAAGAAYAYAEAAMsDAAAAAA==&#10;">
                      <o:lock v:ext="edit" aspectratio="f"/>
                      <v:line id="Line 165" o:spid="_x0000_s1026" o:spt="20" style="position:absolute;left:159;top:0;height:408;width:1;" filled="f" stroked="t" coordsize="21600,21600" o:gfxdata="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1Z+1vQAA&#10;ANwAAAAPAAAAAAAAAAEAIAAAACIAAABkcnMvZG93bnJldi54bWxQSwECFAAUAAAACACHTuJAMy8F&#10;njsAAAA5AAAAEAAAAAAAAAABACAAAAAMAQAAZHJzL3NoYXBleG1sLnhtbFBLBQYAAAAABgAGAFsB&#10;AAC2AwAAAAA=&#10;">
                        <v:fill on="f" focussize="0,0"/>
                        <v:stroke weight="2.25pt" color="#000000" joinstyle="round"/>
                        <v:imagedata o:title=""/>
                        <o:lock v:ext="edit" aspectratio="f"/>
                      </v:line>
                      <v:line id="Line 166" o:spid="_x0000_s1026" o:spt="20" style="position:absolute;left:0;top:203;height:1;width:313;" filled="f" stroked="t" coordsize="21600,21600" o:gfxdata="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Qrb4vQAA&#10;ANwAAAAPAAAAAAAAAAEAIAAAACIAAABkcnMvZG93bnJldi54bWxQSwECFAAUAAAACACHTuJAMy8F&#10;njsAAAA5AAAAEAAAAAAAAAABACAAAAAMAQAAZHJzL3NoYXBleG1sLnhtbFBLBQYAAAAABgAGAFsB&#10;AAC2AwAAAAA=&#10;">
                        <v:fill on="f" focussize="0,0"/>
                        <v:stroke weight="2.75pt" color="#000000" joinstyle="round"/>
                        <v:imagedata o:title=""/>
                        <o:lock v:ext="edit" aspectratio="f"/>
                      </v:line>
                    </v:group>
                    <v:line id="Line 167" o:spid="_x0000_s1026" o:spt="20" style="position:absolute;left:1095;top:3261;flip:x;height:815;width:1722;" filled="f" stroked="t" coordsize="21600,21600" o:gfxdata="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scC0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168" o:spid="_x0000_s1026" o:spt="20" style="position:absolute;left:2348;top:0;height:815;width:313;" filled="f" stroked="t" coordsize="21600,21600" o:gfxdata="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w5F+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169" o:spid="_x0000_s1026" o:spt="20" style="position:absolute;left:1721;top:1087;height:815;width:157;" filled="f" stroked="t" coordsize="21600,21600" o:gfxdata="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EQ8J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line id="Line 170" o:spid="_x0000_s1026" o:spt="20" style="position:absolute;left:1565;top:4619;height:815;width:156;" filled="f" stroked="t" coordsize="21600,21600" o:gfxdata="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qS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171" o:spid="_x0000_s1026" o:spt="20" style="position:absolute;left:2386;top:4618;height:846;width:177;" filled="f" stroked="t" coordsize="21600,21600" o:gfxdata="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CPuC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Line 172" o:spid="_x0000_s1026" o:spt="20" style="position:absolute;left:782;top:4755;height:544;width:2348;" filled="f" stroked="t" coordsize="21600,21600" o:gfxdata="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jpt7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173" o:spid="_x0000_s1026" o:spt="20" style="position:absolute;left:1184;top:4618;flip:x;height:846;width:1945;" filled="f" stroked="t" coordsize="21600,21600" o:gfxdata="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Yy1y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shape id="Text Box 174" o:spid="_x0000_s1026" o:spt="202" type="#_x0000_t202" style="position:absolute;left:3347;top:4723;height:273;width:311;" filled="f" stroked="f" coordsize="21600,21600" o:gfxdata="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YMrR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BBB6DF8">
                        <w:pPr>
                          <w:ind w:firstLine="480"/>
                        </w:pPr>
                        <w:r>
                          <w:t>2</w:t>
                        </w:r>
                      </w:p>
                    </w:txbxContent>
                  </v:textbox>
                </v:shape>
                <v:shape id="Text Box 175" o:spid="_x0000_s1026" o:spt="202" type="#_x0000_t202" style="position:absolute;left:3738;top:5046;height:277;width:244;" filled="f" stroked="f" coordsize="21600,21600" o:gfxdata="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RtT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E3373BE">
                        <w:pPr>
                          <w:ind w:firstLine="480"/>
                        </w:pPr>
                        <w:r>
                          <w:t>3</w:t>
                        </w:r>
                      </w:p>
                    </w:txbxContent>
                  </v:textbox>
                </v:shape>
                <v:shape id="Text Box 176" o:spid="_x0000_s1026" o:spt="202" type="#_x0000_t202" style="position:absolute;left:4383;top:5027;height:273;width:304;" filled="f" stroked="f" coordsize="21600,21600" o:gfxdata="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dEK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A3BC9DF">
                        <w:pPr>
                          <w:ind w:firstLine="480"/>
                        </w:pPr>
                        <w:r>
                          <w:t>5</w:t>
                        </w:r>
                      </w:p>
                    </w:txbxContent>
                  </v:textbox>
                </v:shape>
                <v:shape id="Text Box 177" o:spid="_x0000_s1026" o:spt="202" type="#_x0000_t202" style="position:absolute;left:3913;top:4755;height:273;width:310;" filled="f" stroked="f" coordsize="21600,21600" o:gfxdata="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fSI3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CD17D36">
                        <w:pPr>
                          <w:ind w:firstLine="480"/>
                        </w:pPr>
                        <w:r>
                          <w:t>4</w:t>
                        </w:r>
                      </w:p>
                    </w:txbxContent>
                  </v:textbox>
                </v:shape>
                <v:shape id="Text Box 178" o:spid="_x0000_s1026" o:spt="202" type="#_x0000_t202" style="position:absolute;left:5009;top:4891;height:273;width:309;" filled="f" stroked="f" coordsize="21600,21600" o:gfxdata="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4LU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AFC03E6">
                        <w:pPr>
                          <w:ind w:firstLine="480"/>
                        </w:pPr>
                        <w:r>
                          <w:t>6</w:t>
                        </w:r>
                      </w:p>
                    </w:txbxContent>
                  </v:textbox>
                </v:shape>
                <v:shape id="Text Box 179" o:spid="_x0000_s1026" o:spt="202" type="#_x0000_t202" style="position:absolute;left:2974;top:5163;height:272;width:309;" filled="f" stroked="f" coordsize="21600,21600" o:gfxdata="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mqzM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D0E74DD">
                        <w:pPr>
                          <w:ind w:firstLine="480"/>
                        </w:pPr>
                        <w:r>
                          <w:t>1</w:t>
                        </w:r>
                      </w:p>
                    </w:txbxContent>
                  </v:textbox>
                </v:shape>
                <v:shape id="Text Box 180" o:spid="_x0000_s1026" o:spt="202" type="#_x0000_t202" style="position:absolute;left:3609;top:5364;height:259;width:218;" filled="f" stroked="f" coordsize="21600,21600" o:gfxdata="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mFq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42D5955">
                        <w:pPr>
                          <w:ind w:firstLine="480"/>
                        </w:pPr>
                        <w:r>
                          <w:t>7</w:t>
                        </w:r>
                      </w:p>
                    </w:txbxContent>
                  </v:textbox>
                </v:shape>
                <v:shape id="Text Box 181" o:spid="_x0000_s1026" o:spt="202" type="#_x0000_t202" style="position:absolute;left:4070;top:5299;height:272;width:309;" filled="f" stroked="f" coordsize="21600,21600" o:gfxdata="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5gt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ACDEF15">
                        <w:pPr>
                          <w:ind w:firstLine="480"/>
                        </w:pPr>
                        <w:r>
                          <w:t>8</w:t>
                        </w:r>
                        <w:r>
                          <w:rPr>
                            <w:sz w:val="20"/>
                            <w:szCs w:val="20"/>
                          </w:rPr>
                          <w:drawing>
                            <wp:inline distT="0" distB="0" distL="114300" distR="114300">
                              <wp:extent cx="228600" cy="200025"/>
                              <wp:effectExtent l="0" t="0" r="0" b="0"/>
                              <wp:docPr id="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0"/>
                                      <pic:cNvPicPr>
                                        <a:picLocks noChangeAspect="1"/>
                                      </pic:cNvPicPr>
                                    </pic:nvPicPr>
                                    <pic:blipFill>
                                      <a:blip r:embed="rId113"/>
                                      <a:stretch>
                                        <a:fillRect/>
                                      </a:stretch>
                                    </pic:blipFill>
                                    <pic:spPr>
                                      <a:xfrm>
                                        <a:off x="0" y="0"/>
                                        <a:ext cx="228600" cy="200025"/>
                                      </a:xfrm>
                                      <a:prstGeom prst="rect">
                                        <a:avLst/>
                                      </a:prstGeom>
                                      <a:noFill/>
                                      <a:ln>
                                        <a:noFill/>
                                      </a:ln>
                                    </pic:spPr>
                                  </pic:pic>
                                </a:graphicData>
                              </a:graphic>
                            </wp:inline>
                          </w:drawing>
                        </w:r>
                      </w:p>
                    </w:txbxContent>
                  </v:textbox>
                </v:shape>
                <v:shape id="Text Box 182" o:spid="_x0000_s1026" o:spt="202" type="#_x0000_t202" style="position:absolute;left:4696;top:5299;height:272;width:310;" filled="f" stroked="f" coordsize="21600,21600" o:gfxdata="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1J0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603163B">
                        <w:pPr>
                          <w:ind w:firstLine="480"/>
                        </w:pPr>
                        <w:r>
                          <w:t>9</w:t>
                        </w:r>
                        <w:r>
                          <w:rPr>
                            <w:sz w:val="20"/>
                            <w:szCs w:val="20"/>
                          </w:rPr>
                          <w:drawing>
                            <wp:inline distT="0" distB="0" distL="114300" distR="114300">
                              <wp:extent cx="228600" cy="200025"/>
                              <wp:effectExtent l="0" t="0" r="0" b="0"/>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13"/>
                                      <a:stretch>
                                        <a:fillRect/>
                                      </a:stretch>
                                    </pic:blipFill>
                                    <pic:spPr>
                                      <a:xfrm>
                                        <a:off x="0" y="0"/>
                                        <a:ext cx="228600" cy="200025"/>
                                      </a:xfrm>
                                      <a:prstGeom prst="rect">
                                        <a:avLst/>
                                      </a:prstGeom>
                                      <a:noFill/>
                                      <a:ln>
                                        <a:noFill/>
                                      </a:ln>
                                    </pic:spPr>
                                  </pic:pic>
                                </a:graphicData>
                              </a:graphic>
                            </wp:inline>
                          </w:drawing>
                        </w:r>
                      </w:p>
                    </w:txbxContent>
                  </v:textbox>
                </v:shape>
                <v:shape id="Text Box 183" o:spid="_x0000_s1026" o:spt="202" type="#_x0000_t202" style="position:absolute;left:4539;top:4755;height:273;width:311;" filled="f" stroked="f" coordsize="21600,21600" o:gfxdata="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8WGA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64A69990">
                        <w:pPr>
                          <w:ind w:firstLine="480"/>
                        </w:pPr>
                        <w:r>
                          <w:t>10</w:t>
                        </w:r>
                      </w:p>
                    </w:txbxContent>
                  </v:textbox>
                </v:shape>
                <v:shape id="Text Box 184" o:spid="_x0000_s1026" o:spt="202" type="#_x0000_t202" style="position:absolute;left:313;top:408;height:386;width:1878;" filled="f" stroked="f" coordsize="21600,21600" o:gfxdata="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Fq9m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4D6055A">
                        <w:pPr>
                          <w:ind w:firstLine="482"/>
                          <w:rPr>
                            <w:b/>
                            <w:bCs/>
                          </w:rPr>
                        </w:pPr>
                        <w:r>
                          <w:rPr>
                            <w:rFonts w:hint="eastAsia"/>
                            <w:b/>
                            <w:bCs/>
                          </w:rPr>
                          <w:t>自然要素分区图</w:t>
                        </w:r>
                      </w:p>
                    </w:txbxContent>
                  </v:textbox>
                </v:shape>
                <v:shape id="Text Box 185" o:spid="_x0000_s1026" o:spt="202" type="#_x0000_t202" style="position:absolute;left:313;top:1359;height:333;width:1878;" filled="f" stroked="f" coordsize="21600,21600" o:gfxdata="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CI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22BEE0A3">
                        <w:pPr>
                          <w:ind w:firstLine="482"/>
                          <w:rPr>
                            <w:b/>
                            <w:bCs/>
                          </w:rPr>
                        </w:pPr>
                        <w:r>
                          <w:rPr>
                            <w:rFonts w:hint="eastAsia"/>
                            <w:b/>
                            <w:bCs/>
                          </w:rPr>
                          <w:t>土地利用要素分区图</w:t>
                        </w:r>
                      </w:p>
                    </w:txbxContent>
                  </v:textbox>
                </v:shape>
                <v:shape id="Text Box 186" o:spid="_x0000_s1026" o:spt="202" type="#_x0000_t202" style="position:absolute;left:313;top:2446;height:309;width:1878;" filled="f" stroked="f" coordsize="21600,21600" o:gfxdata="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hn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FF7BD12">
                        <w:pPr>
                          <w:ind w:firstLine="482"/>
                          <w:rPr>
                            <w:b/>
                            <w:bCs/>
                          </w:rPr>
                        </w:pPr>
                        <w:r>
                          <w:rPr>
                            <w:rFonts w:hint="eastAsia"/>
                            <w:b/>
                            <w:bCs/>
                          </w:rPr>
                          <w:t>社会经济要素分区图</w:t>
                        </w:r>
                      </w:p>
                    </w:txbxContent>
                  </v:textbox>
                </v:shape>
                <v:shape id="Text Box 187" o:spid="_x0000_s1026" o:spt="202" type="#_x0000_t202" style="position:absolute;left:340;top:3699;height:377;width:1878;" filled="f" stroked="f" coordsize="21600,21600" o:gfxdata="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AtHg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54A313B">
                        <w:pPr>
                          <w:ind w:firstLine="482"/>
                          <w:rPr>
                            <w:b/>
                            <w:bCs/>
                          </w:rPr>
                        </w:pPr>
                        <w:r>
                          <w:rPr>
                            <w:rFonts w:hint="eastAsia"/>
                            <w:b/>
                            <w:bCs/>
                          </w:rPr>
                          <w:t>水土流失要素分区图</w:t>
                        </w:r>
                      </w:p>
                    </w:txbxContent>
                  </v:textbox>
                </v:shape>
                <v:shape id="Text Box 188" o:spid="_x0000_s1026" o:spt="202" type="#_x0000_t202" style="position:absolute;left:340;top:4890;height:392;width:1878;" filled="f" stroked="f" coordsize="21600,21600" o:gfxdata="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2G7m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9C5717C">
                        <w:pPr>
                          <w:ind w:firstLine="482"/>
                          <w:rPr>
                            <w:b/>
                            <w:bCs/>
                          </w:rPr>
                        </w:pPr>
                        <w:r>
                          <w:rPr>
                            <w:rFonts w:hint="eastAsia"/>
                            <w:b/>
                            <w:bCs/>
                          </w:rPr>
                          <w:t>水土保持区划图</w:t>
                        </w:r>
                      </w:p>
                    </w:txbxContent>
                  </v:textbox>
                </v:shape>
                <w10:wrap type="none"/>
                <w10:anchorlock/>
              </v:group>
            </w:pict>
          </mc:Fallback>
        </mc:AlternateContent>
      </w:r>
    </w:p>
    <w:p w14:paraId="1B6FC93E">
      <w:pPr>
        <w:adjustRightInd w:val="0"/>
        <w:snapToGrid w:val="0"/>
        <w:ind w:firstLine="420"/>
        <w:jc w:val="center"/>
        <w:rPr>
          <w:rFonts w:cs="Times New Roman"/>
          <w:bCs/>
          <w:sz w:val="21"/>
          <w:szCs w:val="21"/>
        </w:rPr>
      </w:pPr>
      <w:r>
        <w:rPr>
          <w:rFonts w:cs="Times New Roman"/>
          <w:bCs/>
          <w:sz w:val="21"/>
          <w:szCs w:val="21"/>
        </w:rPr>
        <w:t>图4-2  水土保持区划空间叠置分析示意图</w:t>
      </w:r>
    </w:p>
    <w:p w14:paraId="2A88205F">
      <w:pPr>
        <w:adjustRightInd w:val="0"/>
        <w:snapToGrid w:val="0"/>
        <w:ind w:firstLine="400"/>
        <w:jc w:val="center"/>
        <w:rPr>
          <w:rFonts w:cs="Times New Roman"/>
          <w:sz w:val="20"/>
          <w:szCs w:val="20"/>
        </w:rPr>
      </w:pPr>
      <w:r>
        <w:rPr>
          <w:rFonts w:cs="Times New Roman"/>
          <w:sz w:val="20"/>
          <w:szCs w:val="20"/>
        </w:rPr>
        <w:t>注：图中，例如水土保持区划图的2的属性为A、a、Ⅱ、</w:t>
      </w:r>
      <w:r>
        <w:rPr>
          <w:rFonts w:hint="eastAsia" w:ascii="宋体" w:hAnsi="宋体" w:eastAsia="宋体"/>
          <w:sz w:val="20"/>
          <w:szCs w:val="20"/>
        </w:rPr>
        <w:t>①</w:t>
      </w:r>
      <w:r>
        <w:rPr>
          <w:rFonts w:cs="Times New Roman"/>
          <w:sz w:val="20"/>
          <w:szCs w:val="20"/>
        </w:rPr>
        <w:t>的综合属性。</w:t>
      </w:r>
    </w:p>
    <w:p w14:paraId="434EB5FA">
      <w:pPr>
        <w:pStyle w:val="5"/>
        <w:rPr>
          <w:rFonts w:eastAsia="仿宋_GB2312"/>
        </w:rPr>
      </w:pPr>
      <w:r>
        <w:rPr>
          <w:rFonts w:eastAsia="仿宋_GB2312"/>
        </w:rPr>
        <w:t>4.2.4 水土保持区划成果</w:t>
      </w:r>
    </w:p>
    <w:p w14:paraId="0201EE7A">
      <w:pPr>
        <w:adjustRightInd w:val="0"/>
        <w:snapToGrid w:val="0"/>
        <w:ind w:firstLine="480"/>
        <w:rPr>
          <w:rFonts w:cs="Times New Roman"/>
          <w:snapToGrid w:val="0"/>
        </w:rPr>
      </w:pPr>
      <w:r>
        <w:rPr>
          <w:rFonts w:cs="Times New Roman"/>
          <w:snapToGrid w:val="0"/>
        </w:rPr>
        <w:t>（一）南部中高山冻融区</w:t>
      </w:r>
    </w:p>
    <w:p w14:paraId="223E8165">
      <w:pPr>
        <w:adjustRightInd w:val="0"/>
        <w:snapToGrid w:val="0"/>
        <w:ind w:firstLine="480"/>
        <w:rPr>
          <w:rFonts w:cs="Times New Roman"/>
          <w:snapToGrid w:val="0"/>
        </w:rPr>
      </w:pPr>
      <w:r>
        <w:rPr>
          <w:rFonts w:cs="Times New Roman"/>
          <w:snapToGrid w:val="0"/>
        </w:rPr>
        <w:t>该区位于南部天山顶部，高山区终年积雪，发育有大量现代冰川，海拔约2500-5445m及以上，为天山东段的博格达山山脉，是区内河流主要发源地。该区以冻融侵蚀为主。该区远离居民区，全部位于国家级预防区范围内，应封禁保护，减少人为干扰。</w:t>
      </w:r>
    </w:p>
    <w:p w14:paraId="52F6D209">
      <w:pPr>
        <w:adjustRightInd w:val="0"/>
        <w:snapToGrid w:val="0"/>
        <w:ind w:firstLine="480"/>
        <w:rPr>
          <w:rFonts w:cs="Times New Roman"/>
          <w:snapToGrid w:val="0"/>
        </w:rPr>
      </w:pPr>
      <w:r>
        <w:rPr>
          <w:rFonts w:cs="Times New Roman"/>
          <w:snapToGrid w:val="0"/>
        </w:rPr>
        <w:t>（二）南部中低山丘陵水源涵养生态保护区</w:t>
      </w:r>
    </w:p>
    <w:p w14:paraId="08EC0237">
      <w:pPr>
        <w:adjustRightInd w:val="0"/>
        <w:snapToGrid w:val="0"/>
        <w:ind w:firstLine="480"/>
        <w:rPr>
          <w:rFonts w:cs="Times New Roman"/>
          <w:snapToGrid w:val="0"/>
        </w:rPr>
      </w:pPr>
      <w:r>
        <w:rPr>
          <w:rFonts w:cs="Times New Roman"/>
          <w:snapToGrid w:val="0"/>
        </w:rPr>
        <w:t>该区为南部天山山脉，中山带山峦起伏，在海拔1500-2500m范围内，山区植被垂直带发育较为完整，山势险峻，最大高差上百米，山区切割强烈，河谷发育。其自然特点是雨量充沛，土壤肥沃、水草丰美，原始森林茂密，各种动植物和矿产资源丰富。该区以轻度、中度水力、轻度风力综合侵蚀为主。</w:t>
      </w:r>
    </w:p>
    <w:p w14:paraId="4ADCF273">
      <w:pPr>
        <w:adjustRightInd w:val="0"/>
        <w:snapToGrid w:val="0"/>
        <w:ind w:firstLine="480"/>
        <w:rPr>
          <w:rFonts w:cs="Times New Roman"/>
          <w:snapToGrid w:val="0"/>
        </w:rPr>
      </w:pPr>
      <w:r>
        <w:rPr>
          <w:rFonts w:cs="Times New Roman"/>
          <w:snapToGrid w:val="0"/>
        </w:rPr>
        <w:t>存在问题：1）草场超载放牧，草量下降，草质变差；2）旅游、水利工程、矿产等生产建设项目，人为新增水土流失未得到有效控制。</w:t>
      </w:r>
    </w:p>
    <w:p w14:paraId="303A66FB">
      <w:pPr>
        <w:adjustRightInd w:val="0"/>
        <w:snapToGrid w:val="0"/>
        <w:ind w:firstLine="480"/>
        <w:rPr>
          <w:rFonts w:cs="Times New Roman"/>
          <w:snapToGrid w:val="0"/>
        </w:rPr>
      </w:pPr>
      <w:r>
        <w:rPr>
          <w:rFonts w:cs="Times New Roman"/>
          <w:snapToGrid w:val="0"/>
        </w:rPr>
        <w:t>预防和治理方向：1）严禁乱垦，控制载畜量，推动规划区轮牧制度；2）协调林牧关系，明确林牧用地界限，分期分片封山育林；3）实施草原封禁与植被恢复建设，扩大人工和半人工草原面积；4）主要沟谷实施护岸、拦砂等工程，阻止沟壑发展，保护河岸土壤植被。</w:t>
      </w:r>
    </w:p>
    <w:p w14:paraId="4B8D7DD4">
      <w:pPr>
        <w:adjustRightInd w:val="0"/>
        <w:snapToGrid w:val="0"/>
        <w:ind w:firstLine="480"/>
        <w:rPr>
          <w:rFonts w:cs="Times New Roman"/>
          <w:snapToGrid w:val="0"/>
        </w:rPr>
      </w:pPr>
      <w:r>
        <w:rPr>
          <w:rFonts w:cs="Times New Roman"/>
          <w:snapToGrid w:val="0"/>
        </w:rPr>
        <w:t>（三）南部低山丘陵土壤保持区</w:t>
      </w:r>
    </w:p>
    <w:p w14:paraId="2C1A06AF">
      <w:pPr>
        <w:adjustRightInd w:val="0"/>
        <w:snapToGrid w:val="0"/>
        <w:ind w:firstLine="480"/>
        <w:rPr>
          <w:rFonts w:cs="Times New Roman"/>
          <w:snapToGrid w:val="0"/>
        </w:rPr>
      </w:pPr>
      <w:r>
        <w:rPr>
          <w:rFonts w:cs="Times New Roman"/>
          <w:snapToGrid w:val="0"/>
        </w:rPr>
        <w:t>南部低山丘陵区山势平缓，属于原始剥蚀构造地貌。在海拔1000-1500m的低山丘陵区大多出露着巨厚的第三系地层，因河流、洪水的冲刷作用，地形沟谷纵横，河谷两岸冲沟、阶地发育。每年从冬至秋，高山区积雪和冰川融水，汇同中山带的季节性融雪水、降雨及低山带暴雨，为河流提供水源，成为河流的径流形成区。该区以轻度、中度水力以及轻度风力侵蚀为主。</w:t>
      </w:r>
    </w:p>
    <w:p w14:paraId="12B60555">
      <w:pPr>
        <w:adjustRightInd w:val="0"/>
        <w:snapToGrid w:val="0"/>
        <w:ind w:firstLine="480"/>
        <w:rPr>
          <w:rFonts w:cs="Times New Roman"/>
          <w:snapToGrid w:val="0"/>
        </w:rPr>
      </w:pPr>
      <w:r>
        <w:rPr>
          <w:rFonts w:cs="Times New Roman"/>
          <w:snapToGrid w:val="0"/>
        </w:rPr>
        <w:t>存在问题：（1）过度开荒，破坏原有灌草植被，导致水土流失严重，生态环境恶化；广种薄收，典型的雨养农业，农作物产量低。耕地大多数自然坡度在6-25度之间，部分大于25度，顺坡耕作较多，土壤保墒保土保肥效果差。（2）河流两岸冲刷严重，洪水携带泥沙量大，淤积渠道、冲毁、淹没农田，对生产生活造成严重威胁。</w:t>
      </w:r>
    </w:p>
    <w:p w14:paraId="2639B715">
      <w:pPr>
        <w:adjustRightInd w:val="0"/>
        <w:snapToGrid w:val="0"/>
        <w:ind w:firstLine="480"/>
        <w:rPr>
          <w:rFonts w:cs="Times New Roman"/>
          <w:snapToGrid w:val="0"/>
        </w:rPr>
      </w:pPr>
      <w:r>
        <w:rPr>
          <w:rFonts w:cs="Times New Roman"/>
          <w:snapToGrid w:val="0"/>
        </w:rPr>
        <w:t>预防和治理方向：（1）在不适宜耕作区域，加大退耕还林还草力度。（2）对区域诸小流域中可能对农牧业生产、国道、省道、铁路造成危害的山洪沟道，应按照小流域水土保持综合治理措施，通过拦、蓄、引、提等工程措施对坡面、沟道进行全面治理。对河沟两岸，修筑沟道拦沙保土工程或护坡保土工程，以保护沿岸的村庄和土地不受水蚀危害。（3）在水分和土壤条件较好区域种植水土保持林。</w:t>
      </w:r>
    </w:p>
    <w:p w14:paraId="0F317141">
      <w:pPr>
        <w:adjustRightInd w:val="0"/>
        <w:snapToGrid w:val="0"/>
        <w:ind w:firstLine="480"/>
        <w:rPr>
          <w:rFonts w:cs="Times New Roman"/>
          <w:snapToGrid w:val="0"/>
        </w:rPr>
      </w:pPr>
      <w:r>
        <w:rPr>
          <w:rFonts w:cs="Times New Roman"/>
          <w:snapToGrid w:val="0"/>
        </w:rPr>
        <w:t>（四）中部绿洲人居环境农田防护区</w:t>
      </w:r>
    </w:p>
    <w:p w14:paraId="1A4CC1C5">
      <w:pPr>
        <w:adjustRightInd w:val="0"/>
        <w:snapToGrid w:val="0"/>
        <w:ind w:firstLine="480"/>
        <w:rPr>
          <w:rFonts w:cs="Times New Roman"/>
          <w:snapToGrid w:val="0"/>
        </w:rPr>
      </w:pPr>
      <w:r>
        <w:rPr>
          <w:rFonts w:cs="Times New Roman"/>
          <w:snapToGrid w:val="0"/>
        </w:rPr>
        <w:t>阜康市中部区域为天山北麓山前冲洪积平原区，这一区域是主要的农业区，也是阜康市政治、经济、文化较发达的区域。该区域是各民族人民发展农牧业和居住、繁衍生息的重要场所，各种社会和经济活动使该区域也逐渐形成了以城市为中心，以城市居民需求为核心的经济带。这一片区属于限制性开发区，虽然也同属生态脆弱区，但同南部的自然生态区而言，更适合进行农业开发和基础建设。中部人居环境农田防护区是各河流洪积、冲积作用下形成的冲洪积倾斜平原和细土平原区，该区域地形波状起伏，地势上自东南向西北倾斜，海拔高程＜1000m,地形坡度1%～15%。在冲、洪积扇上，扇面由于流水的冲蚀、切割作用，形成深度2-10m的冲沟；冲积平原区地势平坦，由于流水的冲蚀，羽状、枝状冲沟发育，深度3-5m。该区是人类生活、生产活动的核心，也是新疆重要的农业生产基地。在河水所到之处，形成片片绿洲。从山区形成的河川径流，绝大部分在绿洲内被利用殆尽，只有极少河流有雨水进入沙漠区。所以此区为河川径流的利用与散失区。该区以轻度风力、轻度水力侵蚀为主。</w:t>
      </w:r>
    </w:p>
    <w:p w14:paraId="0DE0B291">
      <w:pPr>
        <w:adjustRightInd w:val="0"/>
        <w:snapToGrid w:val="0"/>
        <w:ind w:firstLine="480"/>
        <w:rPr>
          <w:rFonts w:cs="Times New Roman"/>
          <w:snapToGrid w:val="0"/>
        </w:rPr>
      </w:pPr>
      <w:r>
        <w:rPr>
          <w:rFonts w:cs="Times New Roman"/>
          <w:snapToGrid w:val="0"/>
        </w:rPr>
        <w:t>存在问题：（1）农田防护林网覆盖度较低，基本农田得不到有效保护；（2）矿产资源开发、农林开发、城镇建设，挖高填低，弃土弃渣，常形成人工切割破坏，这些人工地貌抗侵蚀能力低，易造成严重的水土流失；（3）城郊乡镇居民人居环境较差，垃圾污水处理能力低。</w:t>
      </w:r>
    </w:p>
    <w:p w14:paraId="0BBDD806">
      <w:pPr>
        <w:adjustRightInd w:val="0"/>
        <w:snapToGrid w:val="0"/>
        <w:ind w:firstLine="480"/>
        <w:rPr>
          <w:rFonts w:cs="Times New Roman"/>
          <w:snapToGrid w:val="0"/>
        </w:rPr>
      </w:pPr>
      <w:r>
        <w:rPr>
          <w:rFonts w:cs="Times New Roman"/>
          <w:snapToGrid w:val="0"/>
        </w:rPr>
        <w:t>预防和治理方向：（1）加大农田防护林网建设，营造小气候，同时在绿洲边缘地带种植耐旱植被防风固沙；（2）矿产资源开发企业依法缴纳水土保持补偿费；加大对各类生产建设项目水土保持方案的编报审查和现场督察力度，促进生态修复，减少人为扰动造成的水土流失；（3）推进清洁小流域建设，加大村庄绿化美化、垃圾处理等投入力度，改善小流域人居环境。</w:t>
      </w:r>
    </w:p>
    <w:p w14:paraId="0D152464">
      <w:pPr>
        <w:adjustRightInd w:val="0"/>
        <w:snapToGrid w:val="0"/>
        <w:ind w:firstLine="480"/>
        <w:rPr>
          <w:rFonts w:cs="Times New Roman"/>
          <w:snapToGrid w:val="0"/>
        </w:rPr>
      </w:pPr>
      <w:r>
        <w:rPr>
          <w:rFonts w:cs="Times New Roman"/>
          <w:snapToGrid w:val="0"/>
        </w:rPr>
        <w:t>（五）北部荒漠生态维护防风治沙区</w:t>
      </w:r>
    </w:p>
    <w:p w14:paraId="56571970">
      <w:pPr>
        <w:adjustRightInd w:val="0"/>
        <w:snapToGrid w:val="0"/>
        <w:ind w:firstLine="480"/>
        <w:rPr>
          <w:rFonts w:cs="Times New Roman"/>
          <w:snapToGrid w:val="0"/>
        </w:rPr>
      </w:pPr>
      <w:r>
        <w:rPr>
          <w:rFonts w:cs="Times New Roman"/>
          <w:snapToGrid w:val="0"/>
        </w:rPr>
        <w:t>主要指，土壤发育为灰棕色荒漠土、风沙土、砾石土，生态环境严酷，夏季燥热缺水，冬季严寒多风，仅有梭梭、麻黄、三芒草、驼绒藜、沙拐枣、胡杨等旱生、超旱生植物生长，为部分小畜冬草场或过渡牧场。该区以中轻强度风力侵蚀为主。</w:t>
      </w:r>
    </w:p>
    <w:p w14:paraId="5BAFB46F">
      <w:pPr>
        <w:adjustRightInd w:val="0"/>
        <w:snapToGrid w:val="0"/>
        <w:ind w:firstLine="480"/>
        <w:rPr>
          <w:rFonts w:cs="Times New Roman"/>
          <w:snapToGrid w:val="0"/>
        </w:rPr>
      </w:pPr>
      <w:r>
        <w:rPr>
          <w:rFonts w:cs="Times New Roman"/>
          <w:snapToGrid w:val="0"/>
        </w:rPr>
        <w:t>存在问题：（1）缺少饮水条件的草场，水草组合差，牲畜抗灾能力弱，常受到大风和低温侵袭；（2）矿产资源开发，形成人为扰动，易造成新增水土流失。</w:t>
      </w:r>
    </w:p>
    <w:p w14:paraId="336026A6">
      <w:pPr>
        <w:adjustRightInd w:val="0"/>
        <w:snapToGrid w:val="0"/>
        <w:ind w:firstLine="480"/>
        <w:rPr>
          <w:rFonts w:cs="Times New Roman"/>
        </w:rPr>
      </w:pPr>
      <w:r>
        <w:rPr>
          <w:rFonts w:cs="Times New Roman"/>
          <w:snapToGrid w:val="0"/>
        </w:rPr>
        <w:t>预防和治理方向：（1）禁止过度放牧，对草场进行封禁保护，使流动沙丘向半固定和固定沙丘转化；（2）分期分片封禁保护荒漠植被，尤其是胡杨林、梭梭林及次生林等；（3）在水源丰富丘间低地和机井周围营造用材林、薪炭林等，推广太阳能、风能，解决牧民生活燃料；（4）生产建设项目加强生态修复力度，减少人为扰动造成的水土流失。</w:t>
      </w:r>
    </w:p>
    <w:p w14:paraId="018786E1">
      <w:pPr>
        <w:adjustRightInd w:val="0"/>
        <w:snapToGrid w:val="0"/>
        <w:ind w:firstLine="480"/>
        <w:rPr>
          <w:rFonts w:cs="Times New Roman"/>
          <w:snapToGrid w:val="0"/>
        </w:rPr>
      </w:pPr>
      <w:r>
        <w:rPr>
          <w:rFonts w:cs="Times New Roman"/>
        </w:rPr>
        <w:t>3、区划成果</w:t>
      </w:r>
    </w:p>
    <w:p w14:paraId="474E12B2">
      <w:pPr>
        <w:adjustRightInd w:val="0"/>
        <w:snapToGrid w:val="0"/>
        <w:ind w:firstLine="480"/>
        <w:rPr>
          <w:rFonts w:cs="Times New Roman"/>
          <w:snapToGrid w:val="0"/>
        </w:rPr>
      </w:pPr>
      <w:r>
        <w:rPr>
          <w:rFonts w:cs="Times New Roman"/>
          <w:snapToGrid w:val="0"/>
        </w:rPr>
        <w:t>根据分区原则和依据，按照地理位置、地貌特征、土壤侵蚀程度、植被覆盖度、水土流失程度和水土保持的发展方向，采用复合命名的方式，将阜康市水土流失类型区划分为二个—级区。具体分区如下：</w:t>
      </w:r>
    </w:p>
    <w:p w14:paraId="19301E48">
      <w:pPr>
        <w:adjustRightInd w:val="0"/>
        <w:snapToGrid w:val="0"/>
        <w:ind w:firstLine="840" w:firstLineChars="350"/>
        <w:rPr>
          <w:rFonts w:cs="Times New Roman"/>
          <w:szCs w:val="28"/>
        </w:rPr>
      </w:pPr>
      <w:r>
        <w:rPr>
          <w:rFonts w:cs="Times New Roman"/>
          <w:szCs w:val="28"/>
        </w:rPr>
        <w:t>阜康市水土保持区划发布情况见表4.2-2。</w:t>
      </w:r>
    </w:p>
    <w:p w14:paraId="14CBF76C">
      <w:pPr>
        <w:adjustRightInd w:val="0"/>
        <w:snapToGrid w:val="0"/>
        <w:ind w:firstLine="480"/>
        <w:rPr>
          <w:rFonts w:cs="Times New Roman"/>
          <w:szCs w:val="28"/>
        </w:rPr>
        <w:sectPr>
          <w:pgSz w:w="11907" w:h="16840"/>
          <w:pgMar w:top="1440" w:right="1797" w:bottom="1440" w:left="1797" w:header="851" w:footer="992" w:gutter="0"/>
          <w:cols w:space="720" w:num="1"/>
          <w:docGrid w:linePitch="312" w:charSpace="0"/>
        </w:sectPr>
      </w:pPr>
    </w:p>
    <w:p w14:paraId="66066042">
      <w:pPr>
        <w:adjustRightInd w:val="0"/>
        <w:snapToGrid w:val="0"/>
        <w:ind w:firstLine="3120" w:firstLineChars="1300"/>
        <w:rPr>
          <w:rFonts w:cs="Times New Roman"/>
          <w:b/>
          <w:bCs/>
          <w:szCs w:val="28"/>
        </w:rPr>
      </w:pPr>
      <w:r>
        <w:rPr>
          <w:rFonts w:cs="Times New Roman"/>
          <w:szCs w:val="28"/>
        </w:rPr>
        <w:t xml:space="preserve">表4.2-2                   </w:t>
      </w:r>
      <w:r>
        <w:rPr>
          <w:rFonts w:cs="Times New Roman"/>
          <w:b/>
          <w:bCs/>
          <w:szCs w:val="28"/>
        </w:rPr>
        <w:t>阜康市水土保持区划分布情况表</w:t>
      </w:r>
    </w:p>
    <w:tbl>
      <w:tblPr>
        <w:tblStyle w:val="48"/>
        <w:tblW w:w="4600" w:type="pct"/>
        <w:tblInd w:w="0" w:type="dxa"/>
        <w:tblLayout w:type="autofit"/>
        <w:tblCellMar>
          <w:top w:w="0" w:type="dxa"/>
          <w:left w:w="108" w:type="dxa"/>
          <w:bottom w:w="0" w:type="dxa"/>
          <w:right w:w="108" w:type="dxa"/>
        </w:tblCellMar>
      </w:tblPr>
      <w:tblGrid>
        <w:gridCol w:w="1101"/>
        <w:gridCol w:w="848"/>
        <w:gridCol w:w="1419"/>
        <w:gridCol w:w="2552"/>
        <w:gridCol w:w="1273"/>
        <w:gridCol w:w="5849"/>
      </w:tblGrid>
      <w:tr w14:paraId="4D798B89">
        <w:tblPrEx>
          <w:tblCellMar>
            <w:top w:w="0" w:type="dxa"/>
            <w:left w:w="108" w:type="dxa"/>
            <w:bottom w:w="0" w:type="dxa"/>
            <w:right w:w="108" w:type="dxa"/>
          </w:tblCellMar>
        </w:tblPrEx>
        <w:trPr>
          <w:trHeight w:val="560" w:hRule="atLeast"/>
        </w:trPr>
        <w:tc>
          <w:tcPr>
            <w:tcW w:w="422" w:type="pct"/>
            <w:tcBorders>
              <w:top w:val="single" w:color="auto" w:sz="4" w:space="0"/>
              <w:left w:val="single" w:color="auto" w:sz="4" w:space="0"/>
              <w:bottom w:val="single" w:color="auto" w:sz="4" w:space="0"/>
              <w:right w:val="single" w:color="auto" w:sz="4" w:space="0"/>
            </w:tcBorders>
            <w:shd w:val="clear" w:color="auto" w:fill="auto"/>
            <w:vAlign w:val="center"/>
          </w:tcPr>
          <w:p w14:paraId="73C85D54">
            <w:pPr>
              <w:spacing w:line="240" w:lineRule="auto"/>
              <w:ind w:firstLine="0" w:firstLineChars="0"/>
              <w:jc w:val="center"/>
              <w:rPr>
                <w:rFonts w:cs="Times New Roman"/>
                <w:sz w:val="21"/>
                <w:szCs w:val="21"/>
              </w:rPr>
            </w:pPr>
            <w:r>
              <w:rPr>
                <w:rFonts w:cs="Times New Roman"/>
                <w:sz w:val="21"/>
                <w:szCs w:val="21"/>
              </w:rPr>
              <w:t>一级区代码及名称</w:t>
            </w:r>
          </w:p>
        </w:tc>
        <w:tc>
          <w:tcPr>
            <w:tcW w:w="325" w:type="pct"/>
            <w:tcBorders>
              <w:top w:val="single" w:color="auto" w:sz="4" w:space="0"/>
              <w:left w:val="nil"/>
              <w:bottom w:val="single" w:color="auto" w:sz="4" w:space="0"/>
              <w:right w:val="single" w:color="auto" w:sz="4" w:space="0"/>
            </w:tcBorders>
            <w:shd w:val="clear" w:color="auto" w:fill="auto"/>
            <w:vAlign w:val="center"/>
          </w:tcPr>
          <w:p w14:paraId="68B15FCA">
            <w:pPr>
              <w:spacing w:line="240" w:lineRule="auto"/>
              <w:ind w:firstLine="0" w:firstLineChars="0"/>
              <w:jc w:val="center"/>
              <w:rPr>
                <w:rFonts w:cs="Times New Roman"/>
                <w:sz w:val="21"/>
                <w:szCs w:val="21"/>
              </w:rPr>
            </w:pPr>
            <w:r>
              <w:rPr>
                <w:rFonts w:cs="Times New Roman"/>
                <w:sz w:val="21"/>
                <w:szCs w:val="21"/>
              </w:rPr>
              <w:t>二级区代码及名称</w:t>
            </w:r>
          </w:p>
        </w:tc>
        <w:tc>
          <w:tcPr>
            <w:tcW w:w="544" w:type="pct"/>
            <w:tcBorders>
              <w:top w:val="single" w:color="auto" w:sz="4" w:space="0"/>
              <w:left w:val="nil"/>
              <w:bottom w:val="single" w:color="auto" w:sz="4" w:space="0"/>
              <w:right w:val="single" w:color="auto" w:sz="4" w:space="0"/>
            </w:tcBorders>
            <w:shd w:val="clear" w:color="auto" w:fill="auto"/>
            <w:vAlign w:val="center"/>
          </w:tcPr>
          <w:p w14:paraId="77B4C762">
            <w:pPr>
              <w:spacing w:line="240" w:lineRule="auto"/>
              <w:ind w:firstLine="0" w:firstLineChars="0"/>
              <w:jc w:val="center"/>
              <w:rPr>
                <w:rFonts w:cs="Times New Roman"/>
                <w:sz w:val="21"/>
                <w:szCs w:val="21"/>
              </w:rPr>
            </w:pPr>
            <w:r>
              <w:rPr>
                <w:rFonts w:cs="Times New Roman"/>
                <w:sz w:val="21"/>
                <w:szCs w:val="21"/>
              </w:rPr>
              <w:t>三级区代码及名称</w:t>
            </w:r>
          </w:p>
        </w:tc>
        <w:tc>
          <w:tcPr>
            <w:tcW w:w="978" w:type="pct"/>
            <w:tcBorders>
              <w:top w:val="single" w:color="auto" w:sz="4" w:space="0"/>
              <w:left w:val="nil"/>
              <w:bottom w:val="single" w:color="auto" w:sz="4" w:space="0"/>
              <w:right w:val="single" w:color="auto" w:sz="4" w:space="0"/>
            </w:tcBorders>
            <w:shd w:val="clear" w:color="auto" w:fill="auto"/>
            <w:vAlign w:val="center"/>
          </w:tcPr>
          <w:p w14:paraId="6D51F63B">
            <w:pPr>
              <w:spacing w:line="240" w:lineRule="auto"/>
              <w:ind w:firstLine="0" w:firstLineChars="0"/>
              <w:jc w:val="center"/>
              <w:rPr>
                <w:rFonts w:cs="Times New Roman"/>
                <w:sz w:val="22"/>
                <w:szCs w:val="22"/>
              </w:rPr>
            </w:pPr>
            <w:r>
              <w:rPr>
                <w:rFonts w:cs="Times New Roman"/>
                <w:sz w:val="22"/>
                <w:szCs w:val="22"/>
              </w:rPr>
              <w:t>四级区代码及名称</w:t>
            </w:r>
          </w:p>
        </w:tc>
        <w:tc>
          <w:tcPr>
            <w:tcW w:w="488" w:type="pct"/>
            <w:tcBorders>
              <w:top w:val="single" w:color="auto" w:sz="4" w:space="0"/>
              <w:left w:val="nil"/>
              <w:bottom w:val="single" w:color="auto" w:sz="4" w:space="0"/>
              <w:right w:val="single" w:color="auto" w:sz="4" w:space="0"/>
            </w:tcBorders>
            <w:shd w:val="clear" w:color="auto" w:fill="auto"/>
            <w:vAlign w:val="center"/>
          </w:tcPr>
          <w:p w14:paraId="104D131B">
            <w:pPr>
              <w:spacing w:line="240" w:lineRule="auto"/>
              <w:ind w:firstLine="0" w:firstLineChars="0"/>
              <w:jc w:val="center"/>
              <w:rPr>
                <w:rFonts w:cs="Times New Roman"/>
                <w:sz w:val="22"/>
                <w:szCs w:val="22"/>
              </w:rPr>
            </w:pPr>
            <w:r>
              <w:rPr>
                <w:rFonts w:cs="Times New Roman"/>
                <w:sz w:val="22"/>
                <w:szCs w:val="22"/>
              </w:rPr>
              <w:t>面积（km</w:t>
            </w:r>
            <w:r>
              <w:rPr>
                <w:rFonts w:cs="Times New Roman"/>
                <w:sz w:val="22"/>
                <w:szCs w:val="22"/>
                <w:vertAlign w:val="superscript"/>
              </w:rPr>
              <w:t>2</w:t>
            </w:r>
            <w:r>
              <w:rPr>
                <w:rFonts w:cs="Times New Roman"/>
                <w:sz w:val="22"/>
                <w:szCs w:val="22"/>
              </w:rPr>
              <w:t>）</w:t>
            </w:r>
          </w:p>
        </w:tc>
        <w:tc>
          <w:tcPr>
            <w:tcW w:w="2242" w:type="pct"/>
            <w:tcBorders>
              <w:top w:val="single" w:color="auto" w:sz="4" w:space="0"/>
              <w:left w:val="nil"/>
              <w:bottom w:val="single" w:color="auto" w:sz="4" w:space="0"/>
              <w:right w:val="single" w:color="auto" w:sz="4" w:space="0"/>
            </w:tcBorders>
            <w:shd w:val="clear" w:color="auto" w:fill="auto"/>
            <w:vAlign w:val="center"/>
          </w:tcPr>
          <w:p w14:paraId="77E2A8FB">
            <w:pPr>
              <w:spacing w:line="240" w:lineRule="auto"/>
              <w:ind w:firstLine="0" w:firstLineChars="0"/>
              <w:jc w:val="center"/>
              <w:rPr>
                <w:rFonts w:cs="Times New Roman"/>
                <w:sz w:val="17"/>
                <w:szCs w:val="17"/>
              </w:rPr>
            </w:pPr>
            <w:r>
              <w:rPr>
                <w:rFonts w:hint="eastAsia" w:cs="Times New Roman"/>
                <w:sz w:val="17"/>
                <w:szCs w:val="17"/>
              </w:rPr>
              <w:t>设计乡镇</w:t>
            </w:r>
            <w:r>
              <w:rPr>
                <w:rFonts w:cs="Times New Roman"/>
                <w:sz w:val="17"/>
                <w:szCs w:val="17"/>
              </w:rPr>
              <w:t>　</w:t>
            </w:r>
          </w:p>
        </w:tc>
      </w:tr>
      <w:tr w14:paraId="0875B907">
        <w:tblPrEx>
          <w:tblCellMar>
            <w:top w:w="0" w:type="dxa"/>
            <w:left w:w="108" w:type="dxa"/>
            <w:bottom w:w="0" w:type="dxa"/>
            <w:right w:w="108" w:type="dxa"/>
          </w:tblCellMar>
        </w:tblPrEx>
        <w:trPr>
          <w:trHeight w:val="550" w:hRule="atLeast"/>
        </w:trPr>
        <w:tc>
          <w:tcPr>
            <w:tcW w:w="422" w:type="pct"/>
            <w:vMerge w:val="restart"/>
            <w:tcBorders>
              <w:top w:val="nil"/>
              <w:left w:val="single" w:color="auto" w:sz="4" w:space="0"/>
              <w:bottom w:val="single" w:color="auto" w:sz="4" w:space="0"/>
              <w:right w:val="single" w:color="auto" w:sz="4" w:space="0"/>
            </w:tcBorders>
            <w:shd w:val="clear" w:color="auto" w:fill="auto"/>
            <w:vAlign w:val="center"/>
          </w:tcPr>
          <w:p w14:paraId="4AEAE567">
            <w:pPr>
              <w:spacing w:line="240" w:lineRule="auto"/>
              <w:ind w:firstLine="0" w:firstLineChars="0"/>
              <w:jc w:val="center"/>
              <w:rPr>
                <w:rFonts w:cs="Times New Roman"/>
                <w:sz w:val="21"/>
                <w:szCs w:val="21"/>
              </w:rPr>
            </w:pPr>
            <w:r>
              <w:rPr>
                <w:rFonts w:cs="Times New Roman"/>
                <w:sz w:val="21"/>
                <w:szCs w:val="21"/>
              </w:rPr>
              <w:t>北方风沙区</w:t>
            </w:r>
          </w:p>
        </w:tc>
        <w:tc>
          <w:tcPr>
            <w:tcW w:w="325" w:type="pct"/>
            <w:vMerge w:val="restart"/>
            <w:tcBorders>
              <w:top w:val="nil"/>
              <w:left w:val="single" w:color="auto" w:sz="4" w:space="0"/>
              <w:bottom w:val="single" w:color="auto" w:sz="4" w:space="0"/>
              <w:right w:val="single" w:color="auto" w:sz="4" w:space="0"/>
            </w:tcBorders>
            <w:shd w:val="clear" w:color="auto" w:fill="auto"/>
            <w:vAlign w:val="center"/>
          </w:tcPr>
          <w:p w14:paraId="306F8A11">
            <w:pPr>
              <w:spacing w:line="240" w:lineRule="auto"/>
              <w:ind w:firstLine="0" w:firstLineChars="0"/>
              <w:jc w:val="center"/>
              <w:rPr>
                <w:rFonts w:cs="Times New Roman"/>
                <w:sz w:val="21"/>
                <w:szCs w:val="21"/>
              </w:rPr>
            </w:pPr>
            <w:r>
              <w:rPr>
                <w:rFonts w:cs="Times New Roman"/>
                <w:sz w:val="21"/>
                <w:szCs w:val="21"/>
              </w:rPr>
              <w:t>北疆山地盆地区</w:t>
            </w:r>
          </w:p>
        </w:tc>
        <w:tc>
          <w:tcPr>
            <w:tcW w:w="544" w:type="pct"/>
            <w:vMerge w:val="restart"/>
            <w:tcBorders>
              <w:top w:val="nil"/>
              <w:left w:val="single" w:color="auto" w:sz="4" w:space="0"/>
              <w:bottom w:val="single" w:color="auto" w:sz="4" w:space="0"/>
              <w:right w:val="single" w:color="auto" w:sz="4" w:space="0"/>
            </w:tcBorders>
            <w:shd w:val="clear" w:color="auto" w:fill="auto"/>
            <w:vAlign w:val="center"/>
          </w:tcPr>
          <w:p w14:paraId="42108C5C">
            <w:pPr>
              <w:spacing w:line="240" w:lineRule="auto"/>
              <w:ind w:firstLine="0" w:firstLineChars="0"/>
              <w:jc w:val="center"/>
              <w:rPr>
                <w:rFonts w:cs="Times New Roman"/>
                <w:sz w:val="21"/>
                <w:szCs w:val="21"/>
              </w:rPr>
            </w:pPr>
            <w:r>
              <w:rPr>
                <w:rFonts w:cs="Times New Roman"/>
                <w:sz w:val="21"/>
                <w:szCs w:val="21"/>
              </w:rPr>
              <w:t>天山北坡人居环境农田防护区（Ⅱ-3-2rn）</w:t>
            </w:r>
          </w:p>
        </w:tc>
        <w:tc>
          <w:tcPr>
            <w:tcW w:w="978" w:type="pct"/>
            <w:tcBorders>
              <w:top w:val="nil"/>
              <w:left w:val="nil"/>
              <w:bottom w:val="single" w:color="auto" w:sz="4" w:space="0"/>
              <w:right w:val="single" w:color="auto" w:sz="4" w:space="0"/>
            </w:tcBorders>
            <w:shd w:val="clear" w:color="auto" w:fill="auto"/>
            <w:vAlign w:val="center"/>
          </w:tcPr>
          <w:p w14:paraId="0FE58BA1">
            <w:pPr>
              <w:spacing w:line="240" w:lineRule="auto"/>
              <w:ind w:firstLine="0" w:firstLineChars="0"/>
              <w:jc w:val="center"/>
              <w:rPr>
                <w:rFonts w:cs="Times New Roman"/>
                <w:sz w:val="21"/>
                <w:szCs w:val="21"/>
              </w:rPr>
            </w:pPr>
            <w:r>
              <w:rPr>
                <w:rFonts w:cs="Times New Roman"/>
                <w:sz w:val="21"/>
                <w:szCs w:val="21"/>
              </w:rPr>
              <w:t>南部中高山冻融区（Ⅱ-3-2rn-1）</w:t>
            </w:r>
          </w:p>
        </w:tc>
        <w:tc>
          <w:tcPr>
            <w:tcW w:w="488" w:type="pct"/>
            <w:tcBorders>
              <w:top w:val="nil"/>
              <w:left w:val="nil"/>
              <w:bottom w:val="single" w:color="auto" w:sz="4" w:space="0"/>
              <w:right w:val="single" w:color="auto" w:sz="4" w:space="0"/>
            </w:tcBorders>
            <w:shd w:val="clear" w:color="auto" w:fill="auto"/>
            <w:vAlign w:val="center"/>
          </w:tcPr>
          <w:p w14:paraId="15592F71">
            <w:pPr>
              <w:spacing w:line="240" w:lineRule="auto"/>
              <w:ind w:firstLine="0" w:firstLineChars="0"/>
              <w:jc w:val="center"/>
              <w:rPr>
                <w:rFonts w:cs="Times New Roman"/>
                <w:sz w:val="22"/>
                <w:szCs w:val="22"/>
              </w:rPr>
            </w:pPr>
            <w:r>
              <w:rPr>
                <w:rFonts w:cs="Times New Roman"/>
                <w:sz w:val="22"/>
                <w:szCs w:val="22"/>
              </w:rPr>
              <w:t>171</w:t>
            </w:r>
          </w:p>
        </w:tc>
        <w:tc>
          <w:tcPr>
            <w:tcW w:w="2242" w:type="pct"/>
            <w:tcBorders>
              <w:top w:val="nil"/>
              <w:left w:val="nil"/>
              <w:bottom w:val="single" w:color="auto" w:sz="4" w:space="0"/>
              <w:right w:val="single" w:color="auto" w:sz="4" w:space="0"/>
            </w:tcBorders>
            <w:shd w:val="clear" w:color="auto" w:fill="auto"/>
            <w:vAlign w:val="center"/>
          </w:tcPr>
          <w:p w14:paraId="197DC185">
            <w:pPr>
              <w:spacing w:line="240" w:lineRule="auto"/>
              <w:ind w:firstLine="0" w:firstLineChars="0"/>
              <w:jc w:val="center"/>
              <w:rPr>
                <w:rFonts w:cs="Times New Roman"/>
                <w:sz w:val="22"/>
                <w:szCs w:val="22"/>
              </w:rPr>
            </w:pPr>
            <w:r>
              <w:rPr>
                <w:rFonts w:cs="Times New Roman"/>
                <w:sz w:val="22"/>
                <w:szCs w:val="22"/>
              </w:rPr>
              <w:t>三工河乡、上户沟哈萨克民族乡、水磨沟乡</w:t>
            </w:r>
          </w:p>
        </w:tc>
      </w:tr>
      <w:tr w14:paraId="2EB4EBA9">
        <w:tblPrEx>
          <w:tblCellMar>
            <w:top w:w="0" w:type="dxa"/>
            <w:left w:w="108" w:type="dxa"/>
            <w:bottom w:w="0" w:type="dxa"/>
            <w:right w:w="108" w:type="dxa"/>
          </w:tblCellMar>
        </w:tblPrEx>
        <w:trPr>
          <w:trHeight w:val="820" w:hRule="atLeast"/>
        </w:trPr>
        <w:tc>
          <w:tcPr>
            <w:tcW w:w="422" w:type="pct"/>
            <w:vMerge w:val="continue"/>
            <w:tcBorders>
              <w:top w:val="nil"/>
              <w:left w:val="single" w:color="auto" w:sz="4" w:space="0"/>
              <w:bottom w:val="single" w:color="auto" w:sz="4" w:space="0"/>
              <w:right w:val="single" w:color="auto" w:sz="4" w:space="0"/>
            </w:tcBorders>
            <w:vAlign w:val="center"/>
          </w:tcPr>
          <w:p w14:paraId="2747ED61">
            <w:pPr>
              <w:spacing w:line="240" w:lineRule="auto"/>
              <w:ind w:firstLine="0" w:firstLineChars="0"/>
              <w:rPr>
                <w:rFonts w:cs="Times New Roman"/>
                <w:sz w:val="21"/>
                <w:szCs w:val="21"/>
              </w:rPr>
            </w:pPr>
          </w:p>
        </w:tc>
        <w:tc>
          <w:tcPr>
            <w:tcW w:w="325" w:type="pct"/>
            <w:vMerge w:val="continue"/>
            <w:tcBorders>
              <w:top w:val="nil"/>
              <w:left w:val="single" w:color="auto" w:sz="4" w:space="0"/>
              <w:bottom w:val="single" w:color="auto" w:sz="4" w:space="0"/>
              <w:right w:val="single" w:color="auto" w:sz="4" w:space="0"/>
            </w:tcBorders>
            <w:vAlign w:val="center"/>
          </w:tcPr>
          <w:p w14:paraId="0D6A5FAF">
            <w:pPr>
              <w:spacing w:line="240" w:lineRule="auto"/>
              <w:ind w:firstLine="0" w:firstLineChars="0"/>
              <w:rPr>
                <w:rFonts w:cs="Times New Roman"/>
                <w:sz w:val="21"/>
                <w:szCs w:val="21"/>
              </w:rPr>
            </w:pPr>
          </w:p>
        </w:tc>
        <w:tc>
          <w:tcPr>
            <w:tcW w:w="544" w:type="pct"/>
            <w:vMerge w:val="continue"/>
            <w:tcBorders>
              <w:top w:val="nil"/>
              <w:left w:val="single" w:color="auto" w:sz="4" w:space="0"/>
              <w:bottom w:val="single" w:color="auto" w:sz="4" w:space="0"/>
              <w:right w:val="single" w:color="auto" w:sz="4" w:space="0"/>
            </w:tcBorders>
            <w:vAlign w:val="center"/>
          </w:tcPr>
          <w:p w14:paraId="44E56DF4">
            <w:pPr>
              <w:spacing w:line="240" w:lineRule="auto"/>
              <w:ind w:firstLine="0" w:firstLineChars="0"/>
              <w:rPr>
                <w:rFonts w:cs="Times New Roman"/>
                <w:sz w:val="21"/>
                <w:szCs w:val="21"/>
              </w:rPr>
            </w:pPr>
          </w:p>
        </w:tc>
        <w:tc>
          <w:tcPr>
            <w:tcW w:w="978" w:type="pct"/>
            <w:tcBorders>
              <w:top w:val="nil"/>
              <w:left w:val="nil"/>
              <w:bottom w:val="single" w:color="auto" w:sz="4" w:space="0"/>
              <w:right w:val="single" w:color="auto" w:sz="4" w:space="0"/>
            </w:tcBorders>
            <w:shd w:val="clear" w:color="auto" w:fill="auto"/>
            <w:vAlign w:val="center"/>
          </w:tcPr>
          <w:p w14:paraId="30B7F804">
            <w:pPr>
              <w:spacing w:line="240" w:lineRule="auto"/>
              <w:ind w:firstLine="0" w:firstLineChars="0"/>
              <w:jc w:val="center"/>
              <w:rPr>
                <w:rFonts w:cs="Times New Roman"/>
                <w:sz w:val="21"/>
                <w:szCs w:val="21"/>
              </w:rPr>
            </w:pPr>
            <w:r>
              <w:rPr>
                <w:rFonts w:cs="Times New Roman"/>
                <w:sz w:val="21"/>
                <w:szCs w:val="21"/>
              </w:rPr>
              <w:t>南部中低山丘陵水源涵养生态保护区（Ⅱ-3-2rn-2）</w:t>
            </w:r>
          </w:p>
        </w:tc>
        <w:tc>
          <w:tcPr>
            <w:tcW w:w="488" w:type="pct"/>
            <w:tcBorders>
              <w:top w:val="nil"/>
              <w:left w:val="nil"/>
              <w:bottom w:val="single" w:color="auto" w:sz="4" w:space="0"/>
              <w:right w:val="single" w:color="auto" w:sz="4" w:space="0"/>
            </w:tcBorders>
            <w:shd w:val="clear" w:color="auto" w:fill="auto"/>
            <w:vAlign w:val="center"/>
          </w:tcPr>
          <w:p w14:paraId="0890CE2E">
            <w:pPr>
              <w:spacing w:line="240" w:lineRule="auto"/>
              <w:ind w:firstLine="0" w:firstLineChars="0"/>
              <w:jc w:val="center"/>
              <w:rPr>
                <w:rFonts w:cs="Times New Roman"/>
                <w:sz w:val="22"/>
                <w:szCs w:val="22"/>
              </w:rPr>
            </w:pPr>
            <w:r>
              <w:rPr>
                <w:rFonts w:cs="Times New Roman"/>
                <w:sz w:val="22"/>
                <w:szCs w:val="22"/>
              </w:rPr>
              <w:t>691</w:t>
            </w:r>
          </w:p>
        </w:tc>
        <w:tc>
          <w:tcPr>
            <w:tcW w:w="2242" w:type="pct"/>
            <w:tcBorders>
              <w:top w:val="nil"/>
              <w:left w:val="nil"/>
              <w:bottom w:val="single" w:color="auto" w:sz="4" w:space="0"/>
              <w:right w:val="single" w:color="auto" w:sz="4" w:space="0"/>
            </w:tcBorders>
            <w:shd w:val="clear" w:color="auto" w:fill="auto"/>
            <w:vAlign w:val="center"/>
          </w:tcPr>
          <w:p w14:paraId="364275FB">
            <w:pPr>
              <w:spacing w:line="240" w:lineRule="auto"/>
              <w:ind w:firstLine="0" w:firstLineChars="0"/>
              <w:jc w:val="center"/>
              <w:rPr>
                <w:rFonts w:cs="Times New Roman"/>
                <w:sz w:val="22"/>
                <w:szCs w:val="22"/>
              </w:rPr>
            </w:pPr>
            <w:r>
              <w:rPr>
                <w:rFonts w:cs="Times New Roman"/>
                <w:sz w:val="22"/>
                <w:szCs w:val="22"/>
              </w:rPr>
              <w:t>三工河乡、上户沟哈萨克民族乡、水磨沟乡</w:t>
            </w:r>
          </w:p>
        </w:tc>
      </w:tr>
      <w:tr w14:paraId="3F55B38E">
        <w:tblPrEx>
          <w:tblCellMar>
            <w:top w:w="0" w:type="dxa"/>
            <w:left w:w="108" w:type="dxa"/>
            <w:bottom w:w="0" w:type="dxa"/>
            <w:right w:w="108" w:type="dxa"/>
          </w:tblCellMar>
        </w:tblPrEx>
        <w:trPr>
          <w:trHeight w:val="830" w:hRule="atLeast"/>
        </w:trPr>
        <w:tc>
          <w:tcPr>
            <w:tcW w:w="422" w:type="pct"/>
            <w:vMerge w:val="continue"/>
            <w:tcBorders>
              <w:top w:val="nil"/>
              <w:left w:val="single" w:color="auto" w:sz="4" w:space="0"/>
              <w:bottom w:val="single" w:color="auto" w:sz="4" w:space="0"/>
              <w:right w:val="single" w:color="auto" w:sz="4" w:space="0"/>
            </w:tcBorders>
            <w:vAlign w:val="center"/>
          </w:tcPr>
          <w:p w14:paraId="6DC18530">
            <w:pPr>
              <w:spacing w:line="240" w:lineRule="auto"/>
              <w:ind w:firstLine="0" w:firstLineChars="0"/>
              <w:rPr>
                <w:rFonts w:cs="Times New Roman"/>
                <w:sz w:val="21"/>
                <w:szCs w:val="21"/>
              </w:rPr>
            </w:pPr>
          </w:p>
        </w:tc>
        <w:tc>
          <w:tcPr>
            <w:tcW w:w="325" w:type="pct"/>
            <w:vMerge w:val="continue"/>
            <w:tcBorders>
              <w:top w:val="nil"/>
              <w:left w:val="single" w:color="auto" w:sz="4" w:space="0"/>
              <w:bottom w:val="single" w:color="auto" w:sz="4" w:space="0"/>
              <w:right w:val="single" w:color="auto" w:sz="4" w:space="0"/>
            </w:tcBorders>
            <w:vAlign w:val="center"/>
          </w:tcPr>
          <w:p w14:paraId="341F77A0">
            <w:pPr>
              <w:spacing w:line="240" w:lineRule="auto"/>
              <w:ind w:firstLine="0" w:firstLineChars="0"/>
              <w:rPr>
                <w:rFonts w:cs="Times New Roman"/>
                <w:sz w:val="21"/>
                <w:szCs w:val="21"/>
              </w:rPr>
            </w:pPr>
          </w:p>
        </w:tc>
        <w:tc>
          <w:tcPr>
            <w:tcW w:w="544" w:type="pct"/>
            <w:vMerge w:val="continue"/>
            <w:tcBorders>
              <w:top w:val="nil"/>
              <w:left w:val="single" w:color="auto" w:sz="4" w:space="0"/>
              <w:bottom w:val="single" w:color="auto" w:sz="4" w:space="0"/>
              <w:right w:val="single" w:color="auto" w:sz="4" w:space="0"/>
            </w:tcBorders>
            <w:vAlign w:val="center"/>
          </w:tcPr>
          <w:p w14:paraId="363D1243">
            <w:pPr>
              <w:spacing w:line="240" w:lineRule="auto"/>
              <w:ind w:firstLine="0" w:firstLineChars="0"/>
              <w:rPr>
                <w:rFonts w:cs="Times New Roman"/>
                <w:sz w:val="21"/>
                <w:szCs w:val="21"/>
              </w:rPr>
            </w:pPr>
          </w:p>
        </w:tc>
        <w:tc>
          <w:tcPr>
            <w:tcW w:w="978" w:type="pct"/>
            <w:tcBorders>
              <w:top w:val="single" w:color="auto" w:sz="4" w:space="0"/>
              <w:left w:val="single" w:color="auto" w:sz="4" w:space="0"/>
              <w:bottom w:val="nil"/>
              <w:right w:val="single" w:color="auto" w:sz="4" w:space="0"/>
            </w:tcBorders>
            <w:shd w:val="clear" w:color="auto" w:fill="auto"/>
            <w:vAlign w:val="center"/>
          </w:tcPr>
          <w:p w14:paraId="5FF265B6">
            <w:pPr>
              <w:spacing w:line="240" w:lineRule="auto"/>
              <w:ind w:firstLine="0" w:firstLineChars="0"/>
              <w:jc w:val="center"/>
              <w:rPr>
                <w:rFonts w:cs="Times New Roman"/>
                <w:sz w:val="21"/>
                <w:szCs w:val="21"/>
              </w:rPr>
            </w:pPr>
            <w:r>
              <w:rPr>
                <w:rFonts w:cs="Times New Roman"/>
                <w:sz w:val="21"/>
                <w:szCs w:val="21"/>
              </w:rPr>
              <w:t>南部低山丘陵土壤保持区（Ⅱ-3-2rn-3）</w:t>
            </w:r>
          </w:p>
        </w:tc>
        <w:tc>
          <w:tcPr>
            <w:tcW w:w="488" w:type="pct"/>
            <w:tcBorders>
              <w:top w:val="nil"/>
              <w:left w:val="nil"/>
              <w:bottom w:val="single" w:color="auto" w:sz="4" w:space="0"/>
              <w:right w:val="single" w:color="auto" w:sz="4" w:space="0"/>
            </w:tcBorders>
            <w:shd w:val="clear" w:color="auto" w:fill="auto"/>
            <w:vAlign w:val="center"/>
          </w:tcPr>
          <w:p w14:paraId="13C24759">
            <w:pPr>
              <w:spacing w:line="240" w:lineRule="auto"/>
              <w:ind w:firstLine="0" w:firstLineChars="0"/>
              <w:jc w:val="center"/>
              <w:rPr>
                <w:rFonts w:cs="Times New Roman"/>
                <w:sz w:val="22"/>
                <w:szCs w:val="22"/>
              </w:rPr>
            </w:pPr>
            <w:r>
              <w:rPr>
                <w:rFonts w:cs="Times New Roman"/>
                <w:sz w:val="22"/>
                <w:szCs w:val="22"/>
              </w:rPr>
              <w:t>1119</w:t>
            </w:r>
          </w:p>
        </w:tc>
        <w:tc>
          <w:tcPr>
            <w:tcW w:w="2242" w:type="pct"/>
            <w:tcBorders>
              <w:top w:val="nil"/>
              <w:left w:val="nil"/>
              <w:bottom w:val="single" w:color="auto" w:sz="4" w:space="0"/>
              <w:right w:val="single" w:color="auto" w:sz="4" w:space="0"/>
            </w:tcBorders>
            <w:shd w:val="clear" w:color="auto" w:fill="auto"/>
            <w:vAlign w:val="center"/>
          </w:tcPr>
          <w:p w14:paraId="1F37EB97">
            <w:pPr>
              <w:spacing w:line="240" w:lineRule="auto"/>
              <w:ind w:firstLine="0" w:firstLineChars="0"/>
              <w:jc w:val="center"/>
              <w:rPr>
                <w:rFonts w:cs="Times New Roman"/>
                <w:sz w:val="22"/>
                <w:szCs w:val="22"/>
              </w:rPr>
            </w:pPr>
            <w:r>
              <w:rPr>
                <w:rFonts w:cs="Times New Roman"/>
                <w:sz w:val="22"/>
                <w:szCs w:val="22"/>
              </w:rPr>
              <w:t>城关镇、甘河子镇、九运街镇、三工河乡、上户沟哈萨克民族乡、水磨沟乡、滋泥泉子镇</w:t>
            </w:r>
          </w:p>
        </w:tc>
      </w:tr>
      <w:tr w14:paraId="6D2A602A">
        <w:tblPrEx>
          <w:tblCellMar>
            <w:top w:w="0" w:type="dxa"/>
            <w:left w:w="108" w:type="dxa"/>
            <w:bottom w:w="0" w:type="dxa"/>
            <w:right w:w="108" w:type="dxa"/>
          </w:tblCellMar>
        </w:tblPrEx>
        <w:trPr>
          <w:trHeight w:val="810" w:hRule="atLeast"/>
        </w:trPr>
        <w:tc>
          <w:tcPr>
            <w:tcW w:w="422" w:type="pct"/>
            <w:vMerge w:val="continue"/>
            <w:tcBorders>
              <w:top w:val="nil"/>
              <w:left w:val="single" w:color="auto" w:sz="4" w:space="0"/>
              <w:bottom w:val="single" w:color="auto" w:sz="4" w:space="0"/>
              <w:right w:val="single" w:color="auto" w:sz="4" w:space="0"/>
            </w:tcBorders>
            <w:vAlign w:val="center"/>
          </w:tcPr>
          <w:p w14:paraId="55D63529">
            <w:pPr>
              <w:spacing w:line="240" w:lineRule="auto"/>
              <w:ind w:firstLine="0" w:firstLineChars="0"/>
              <w:rPr>
                <w:rFonts w:cs="Times New Roman"/>
                <w:sz w:val="21"/>
                <w:szCs w:val="21"/>
              </w:rPr>
            </w:pPr>
          </w:p>
        </w:tc>
        <w:tc>
          <w:tcPr>
            <w:tcW w:w="325" w:type="pct"/>
            <w:vMerge w:val="continue"/>
            <w:tcBorders>
              <w:top w:val="nil"/>
              <w:left w:val="single" w:color="auto" w:sz="4" w:space="0"/>
              <w:bottom w:val="single" w:color="auto" w:sz="4" w:space="0"/>
              <w:right w:val="single" w:color="auto" w:sz="4" w:space="0"/>
            </w:tcBorders>
            <w:vAlign w:val="center"/>
          </w:tcPr>
          <w:p w14:paraId="15C25949">
            <w:pPr>
              <w:spacing w:line="240" w:lineRule="auto"/>
              <w:ind w:firstLine="0" w:firstLineChars="0"/>
              <w:rPr>
                <w:rFonts w:cs="Times New Roman"/>
                <w:sz w:val="21"/>
                <w:szCs w:val="21"/>
              </w:rPr>
            </w:pPr>
          </w:p>
        </w:tc>
        <w:tc>
          <w:tcPr>
            <w:tcW w:w="544" w:type="pct"/>
            <w:vMerge w:val="continue"/>
            <w:tcBorders>
              <w:top w:val="nil"/>
              <w:left w:val="single" w:color="auto" w:sz="4" w:space="0"/>
              <w:bottom w:val="single" w:color="auto" w:sz="4" w:space="0"/>
              <w:right w:val="single" w:color="auto" w:sz="4" w:space="0"/>
            </w:tcBorders>
            <w:vAlign w:val="center"/>
          </w:tcPr>
          <w:p w14:paraId="5BE814DE">
            <w:pPr>
              <w:spacing w:line="240" w:lineRule="auto"/>
              <w:ind w:firstLine="0" w:firstLineChars="0"/>
              <w:rPr>
                <w:rFonts w:cs="Times New Roman"/>
                <w:sz w:val="21"/>
                <w:szCs w:val="21"/>
              </w:rPr>
            </w:pPr>
          </w:p>
        </w:tc>
        <w:tc>
          <w:tcPr>
            <w:tcW w:w="978" w:type="pct"/>
            <w:tcBorders>
              <w:top w:val="single" w:color="auto" w:sz="4" w:space="0"/>
              <w:left w:val="nil"/>
              <w:bottom w:val="single" w:color="auto" w:sz="4" w:space="0"/>
              <w:right w:val="single" w:color="auto" w:sz="4" w:space="0"/>
            </w:tcBorders>
            <w:shd w:val="clear" w:color="auto" w:fill="auto"/>
            <w:vAlign w:val="center"/>
          </w:tcPr>
          <w:p w14:paraId="71757032">
            <w:pPr>
              <w:spacing w:line="240" w:lineRule="auto"/>
              <w:ind w:firstLine="0" w:firstLineChars="0"/>
              <w:jc w:val="center"/>
              <w:rPr>
                <w:rFonts w:cs="Times New Roman"/>
                <w:sz w:val="21"/>
                <w:szCs w:val="21"/>
              </w:rPr>
            </w:pPr>
            <w:r>
              <w:rPr>
                <w:rFonts w:cs="Times New Roman"/>
                <w:sz w:val="21"/>
                <w:szCs w:val="21"/>
              </w:rPr>
              <w:t>中部绿洲人居环境农田防护区（Ⅱ-3-2rn-4）</w:t>
            </w:r>
          </w:p>
        </w:tc>
        <w:tc>
          <w:tcPr>
            <w:tcW w:w="488" w:type="pct"/>
            <w:tcBorders>
              <w:top w:val="nil"/>
              <w:left w:val="nil"/>
              <w:bottom w:val="single" w:color="auto" w:sz="4" w:space="0"/>
              <w:right w:val="single" w:color="auto" w:sz="4" w:space="0"/>
            </w:tcBorders>
            <w:shd w:val="clear" w:color="auto" w:fill="auto"/>
            <w:vAlign w:val="center"/>
          </w:tcPr>
          <w:p w14:paraId="554DDC15">
            <w:pPr>
              <w:spacing w:line="240" w:lineRule="auto"/>
              <w:ind w:firstLine="0" w:firstLineChars="0"/>
              <w:jc w:val="center"/>
              <w:rPr>
                <w:rFonts w:cs="Times New Roman"/>
                <w:sz w:val="22"/>
                <w:szCs w:val="22"/>
              </w:rPr>
            </w:pPr>
            <w:r>
              <w:rPr>
                <w:rFonts w:cs="Times New Roman"/>
                <w:sz w:val="22"/>
                <w:szCs w:val="22"/>
              </w:rPr>
              <w:t>2100</w:t>
            </w:r>
          </w:p>
        </w:tc>
        <w:tc>
          <w:tcPr>
            <w:tcW w:w="2242" w:type="pct"/>
            <w:tcBorders>
              <w:top w:val="nil"/>
              <w:left w:val="nil"/>
              <w:bottom w:val="single" w:color="auto" w:sz="4" w:space="0"/>
              <w:right w:val="single" w:color="auto" w:sz="4" w:space="0"/>
            </w:tcBorders>
            <w:shd w:val="clear" w:color="auto" w:fill="auto"/>
            <w:vAlign w:val="center"/>
          </w:tcPr>
          <w:p w14:paraId="27010505">
            <w:pPr>
              <w:spacing w:line="240" w:lineRule="auto"/>
              <w:ind w:firstLine="0" w:firstLineChars="0"/>
              <w:jc w:val="center"/>
              <w:rPr>
                <w:rFonts w:cs="Times New Roman"/>
                <w:sz w:val="22"/>
                <w:szCs w:val="22"/>
              </w:rPr>
            </w:pPr>
            <w:r>
              <w:rPr>
                <w:rFonts w:cs="Times New Roman"/>
                <w:sz w:val="22"/>
                <w:szCs w:val="22"/>
              </w:rPr>
              <w:t>城关镇、九运街镇、三工河乡、上户沟哈萨克民族乡、水磨沟乡、土墩子镇、滋泥泉子镇、荒漠区、兵团</w:t>
            </w:r>
          </w:p>
        </w:tc>
      </w:tr>
      <w:tr w14:paraId="6F796CB1">
        <w:tblPrEx>
          <w:tblCellMar>
            <w:top w:w="0" w:type="dxa"/>
            <w:left w:w="108" w:type="dxa"/>
            <w:bottom w:w="0" w:type="dxa"/>
            <w:right w:w="108" w:type="dxa"/>
          </w:tblCellMar>
        </w:tblPrEx>
        <w:trPr>
          <w:trHeight w:val="810" w:hRule="atLeast"/>
        </w:trPr>
        <w:tc>
          <w:tcPr>
            <w:tcW w:w="422" w:type="pct"/>
            <w:vMerge w:val="continue"/>
            <w:tcBorders>
              <w:top w:val="nil"/>
              <w:left w:val="single" w:color="auto" w:sz="4" w:space="0"/>
              <w:bottom w:val="single" w:color="auto" w:sz="4" w:space="0"/>
              <w:right w:val="single" w:color="auto" w:sz="4" w:space="0"/>
            </w:tcBorders>
            <w:vAlign w:val="center"/>
          </w:tcPr>
          <w:p w14:paraId="0DB812D0">
            <w:pPr>
              <w:spacing w:line="240" w:lineRule="auto"/>
              <w:ind w:firstLine="0" w:firstLineChars="0"/>
              <w:rPr>
                <w:rFonts w:cs="Times New Roman"/>
                <w:sz w:val="21"/>
                <w:szCs w:val="21"/>
              </w:rPr>
            </w:pPr>
          </w:p>
        </w:tc>
        <w:tc>
          <w:tcPr>
            <w:tcW w:w="325" w:type="pct"/>
            <w:vMerge w:val="continue"/>
            <w:tcBorders>
              <w:top w:val="nil"/>
              <w:left w:val="single" w:color="auto" w:sz="4" w:space="0"/>
              <w:bottom w:val="single" w:color="auto" w:sz="4" w:space="0"/>
              <w:right w:val="single" w:color="auto" w:sz="4" w:space="0"/>
            </w:tcBorders>
            <w:vAlign w:val="center"/>
          </w:tcPr>
          <w:p w14:paraId="69B66A3C">
            <w:pPr>
              <w:spacing w:line="240" w:lineRule="auto"/>
              <w:ind w:firstLine="0" w:firstLineChars="0"/>
              <w:rPr>
                <w:rFonts w:cs="Times New Roman"/>
                <w:sz w:val="21"/>
                <w:szCs w:val="21"/>
              </w:rPr>
            </w:pPr>
          </w:p>
        </w:tc>
        <w:tc>
          <w:tcPr>
            <w:tcW w:w="544" w:type="pct"/>
            <w:vMerge w:val="continue"/>
            <w:tcBorders>
              <w:top w:val="nil"/>
              <w:left w:val="single" w:color="auto" w:sz="4" w:space="0"/>
              <w:bottom w:val="single" w:color="auto" w:sz="4" w:space="0"/>
              <w:right w:val="single" w:color="auto" w:sz="4" w:space="0"/>
            </w:tcBorders>
            <w:vAlign w:val="center"/>
          </w:tcPr>
          <w:p w14:paraId="1616743D">
            <w:pPr>
              <w:spacing w:line="240" w:lineRule="auto"/>
              <w:ind w:firstLine="0" w:firstLineChars="0"/>
              <w:rPr>
                <w:rFonts w:cs="Times New Roman"/>
                <w:sz w:val="21"/>
                <w:szCs w:val="21"/>
              </w:rPr>
            </w:pPr>
          </w:p>
        </w:tc>
        <w:tc>
          <w:tcPr>
            <w:tcW w:w="978" w:type="pct"/>
            <w:tcBorders>
              <w:top w:val="nil"/>
              <w:left w:val="nil"/>
              <w:bottom w:val="single" w:color="auto" w:sz="4" w:space="0"/>
              <w:right w:val="single" w:color="auto" w:sz="4" w:space="0"/>
            </w:tcBorders>
            <w:shd w:val="clear" w:color="auto" w:fill="auto"/>
            <w:vAlign w:val="center"/>
          </w:tcPr>
          <w:p w14:paraId="767605F9">
            <w:pPr>
              <w:spacing w:line="240" w:lineRule="auto"/>
              <w:ind w:firstLine="0" w:firstLineChars="0"/>
              <w:jc w:val="center"/>
              <w:rPr>
                <w:rFonts w:cs="Times New Roman"/>
                <w:sz w:val="21"/>
                <w:szCs w:val="21"/>
              </w:rPr>
            </w:pPr>
            <w:r>
              <w:rPr>
                <w:rFonts w:cs="Times New Roman"/>
                <w:sz w:val="21"/>
                <w:szCs w:val="21"/>
              </w:rPr>
              <w:t>北部荒漠生态维护防风治沙区（Ⅱ-3-2rn-5）</w:t>
            </w:r>
          </w:p>
        </w:tc>
        <w:tc>
          <w:tcPr>
            <w:tcW w:w="488" w:type="pct"/>
            <w:tcBorders>
              <w:top w:val="nil"/>
              <w:left w:val="nil"/>
              <w:bottom w:val="single" w:color="auto" w:sz="4" w:space="0"/>
              <w:right w:val="single" w:color="auto" w:sz="4" w:space="0"/>
            </w:tcBorders>
            <w:shd w:val="clear" w:color="auto" w:fill="auto"/>
            <w:vAlign w:val="center"/>
          </w:tcPr>
          <w:p w14:paraId="52D08BC4">
            <w:pPr>
              <w:spacing w:line="240" w:lineRule="auto"/>
              <w:ind w:firstLine="0" w:firstLineChars="0"/>
              <w:jc w:val="center"/>
              <w:rPr>
                <w:rFonts w:cs="Times New Roman"/>
                <w:sz w:val="22"/>
                <w:szCs w:val="22"/>
              </w:rPr>
            </w:pPr>
            <w:r>
              <w:rPr>
                <w:rFonts w:cs="Times New Roman"/>
                <w:sz w:val="22"/>
                <w:szCs w:val="22"/>
              </w:rPr>
              <w:t>4448</w:t>
            </w:r>
          </w:p>
        </w:tc>
        <w:tc>
          <w:tcPr>
            <w:tcW w:w="2242" w:type="pct"/>
            <w:tcBorders>
              <w:top w:val="nil"/>
              <w:left w:val="nil"/>
              <w:bottom w:val="single" w:color="auto" w:sz="4" w:space="0"/>
              <w:right w:val="single" w:color="auto" w:sz="4" w:space="0"/>
            </w:tcBorders>
            <w:shd w:val="clear" w:color="auto" w:fill="auto"/>
            <w:vAlign w:val="center"/>
          </w:tcPr>
          <w:p w14:paraId="258EB9C4">
            <w:pPr>
              <w:spacing w:line="240" w:lineRule="auto"/>
              <w:ind w:firstLine="0" w:firstLineChars="0"/>
              <w:jc w:val="center"/>
              <w:rPr>
                <w:rFonts w:cs="Times New Roman"/>
                <w:sz w:val="22"/>
                <w:szCs w:val="22"/>
              </w:rPr>
            </w:pPr>
            <w:r>
              <w:rPr>
                <w:rFonts w:cs="Times New Roman"/>
                <w:sz w:val="22"/>
                <w:szCs w:val="22"/>
              </w:rPr>
              <w:t>荒漠区、三</w:t>
            </w:r>
            <w:r>
              <w:rPr>
                <w:rFonts w:hint="eastAsia" w:cs="Times New Roman"/>
                <w:sz w:val="22"/>
                <w:szCs w:val="22"/>
              </w:rPr>
              <w:t>工</w:t>
            </w:r>
            <w:r>
              <w:rPr>
                <w:rFonts w:cs="Times New Roman"/>
                <w:sz w:val="22"/>
                <w:szCs w:val="22"/>
              </w:rPr>
              <w:t>河乡、上户沟哈萨克民族乡、兵团</w:t>
            </w:r>
          </w:p>
        </w:tc>
      </w:tr>
    </w:tbl>
    <w:p w14:paraId="21B9CC92">
      <w:pPr>
        <w:adjustRightInd w:val="0"/>
        <w:snapToGrid w:val="0"/>
        <w:ind w:firstLine="480"/>
        <w:rPr>
          <w:rFonts w:cs="Times New Roman"/>
          <w:szCs w:val="28"/>
        </w:rPr>
        <w:sectPr>
          <w:pgSz w:w="16840" w:h="11907" w:orient="landscape"/>
          <w:pgMar w:top="1797" w:right="1440" w:bottom="1797" w:left="1440" w:header="851" w:footer="992" w:gutter="0"/>
          <w:cols w:space="720" w:num="1"/>
          <w:docGrid w:linePitch="312" w:charSpace="0"/>
        </w:sectPr>
      </w:pPr>
    </w:p>
    <w:p w14:paraId="02338941">
      <w:pPr>
        <w:pStyle w:val="44"/>
        <w:spacing w:before="120" w:after="120"/>
        <w:rPr>
          <w:rFonts w:eastAsia="仿宋_GB2312" w:cs="Times New Roman"/>
        </w:rPr>
      </w:pPr>
      <w:bookmarkStart w:id="83" w:name="_Toc150724280"/>
      <w:r>
        <w:rPr>
          <w:rFonts w:eastAsia="仿宋_GB2312" w:cs="Times New Roman"/>
        </w:rPr>
        <w:t>4.3 重点区域布局</w:t>
      </w:r>
      <w:bookmarkEnd w:id="83"/>
    </w:p>
    <w:p w14:paraId="0E252A41">
      <w:pPr>
        <w:pStyle w:val="5"/>
        <w:rPr>
          <w:rFonts w:eastAsia="仿宋_GB2312"/>
        </w:rPr>
      </w:pPr>
      <w:r>
        <w:rPr>
          <w:rFonts w:eastAsia="仿宋_GB2312"/>
        </w:rPr>
        <w:t>4.3.1 分区原则</w:t>
      </w:r>
    </w:p>
    <w:p w14:paraId="42D2B677">
      <w:pPr>
        <w:pStyle w:val="370"/>
        <w:ind w:firstLine="480"/>
        <w:rPr>
          <w:rFonts w:eastAsia="仿宋_GB2312"/>
          <w:lang w:eastAsia="zh-TW"/>
        </w:rPr>
      </w:pPr>
      <w:r>
        <w:rPr>
          <w:rFonts w:eastAsia="仿宋_GB2312"/>
        </w:rPr>
        <w:t>根据《中华人民共和国水土保持法》第十二条规定，按照总体方略和区域布局，在进一步落实国家级水土流失重点预防区预防保护对象和《新疆维吾尔自治区水土流失重点预防区和重点治理区复核划分技术报告》的基础上，依据《水土流失重点防治区划分导则》（SL717-2015）要求，按照自然因素、土地利用要素、社会经济要素和水土流失要素以及相关规划、区划成果的基础上划定了阜康市</w:t>
      </w:r>
      <w:r>
        <w:rPr>
          <w:rFonts w:eastAsia="仿宋_GB2312"/>
          <w:lang w:eastAsia="zh-TW"/>
        </w:rPr>
        <w:t>水土流失重点预防区和水土流失重点治理区。</w:t>
      </w:r>
    </w:p>
    <w:p w14:paraId="28AEBC36">
      <w:pPr>
        <w:pStyle w:val="370"/>
        <w:ind w:firstLine="480"/>
        <w:rPr>
          <w:rFonts w:eastAsia="仿宋_GB2312"/>
          <w:lang w:eastAsia="zh-TW"/>
        </w:rPr>
      </w:pPr>
      <w:r>
        <w:rPr>
          <w:rFonts w:eastAsia="仿宋_GB2312"/>
          <w:lang w:eastAsia="zh-TW"/>
        </w:rPr>
        <w:t>1、分区原则</w:t>
      </w:r>
    </w:p>
    <w:p w14:paraId="52773A4F">
      <w:pPr>
        <w:pStyle w:val="370"/>
        <w:ind w:firstLine="480"/>
        <w:rPr>
          <w:rFonts w:eastAsia="仿宋_GB2312"/>
        </w:rPr>
      </w:pPr>
      <w:bookmarkStart w:id="84" w:name="_Toc384324733"/>
      <w:bookmarkStart w:id="85" w:name="_Toc384192306"/>
      <w:r>
        <w:rPr>
          <w:rFonts w:eastAsia="仿宋_GB2312"/>
          <w:lang w:eastAsia="zh-TW"/>
        </w:rPr>
        <w:t>（1）统筹考虑水土流失现状和防治需求</w:t>
      </w:r>
      <w:bookmarkEnd w:id="84"/>
      <w:bookmarkEnd w:id="85"/>
      <w:r>
        <w:rPr>
          <w:rFonts w:eastAsia="仿宋_GB2312"/>
        </w:rPr>
        <w:t>原则</w:t>
      </w:r>
    </w:p>
    <w:p w14:paraId="4304C89C">
      <w:pPr>
        <w:pStyle w:val="376"/>
        <w:adjustRightInd w:val="0"/>
        <w:ind w:firstLine="480"/>
        <w:rPr>
          <w:color w:val="auto"/>
        </w:rPr>
      </w:pPr>
      <w:r>
        <w:rPr>
          <w:color w:val="auto"/>
        </w:rPr>
        <w:t>阜康市重点防治区以第一次全国水利普查水土保持情况普查成果资料为基础，立足于技术经济的合理性和可行性，与国家和区域水土流失防治需求相协调，统筹考虑水土流失潜在危险性、严重性进行划分。</w:t>
      </w:r>
    </w:p>
    <w:p w14:paraId="2990CF55">
      <w:pPr>
        <w:pStyle w:val="376"/>
        <w:adjustRightInd w:val="0"/>
        <w:ind w:firstLine="480"/>
        <w:rPr>
          <w:color w:val="auto"/>
        </w:rPr>
      </w:pPr>
      <w:bookmarkStart w:id="86" w:name="_Toc384324734"/>
      <w:bookmarkStart w:id="87" w:name="_Toc384192307"/>
      <w:r>
        <w:rPr>
          <w:color w:val="auto"/>
        </w:rPr>
        <w:t>（2）与已有成果相协调</w:t>
      </w:r>
      <w:bookmarkEnd w:id="86"/>
      <w:bookmarkEnd w:id="87"/>
      <w:r>
        <w:rPr>
          <w:color w:val="auto"/>
        </w:rPr>
        <w:t>原则</w:t>
      </w:r>
    </w:p>
    <w:p w14:paraId="336EAE5F">
      <w:pPr>
        <w:pStyle w:val="376"/>
        <w:adjustRightInd w:val="0"/>
        <w:ind w:firstLine="480"/>
        <w:rPr>
          <w:color w:val="auto"/>
        </w:rPr>
      </w:pPr>
      <w:r>
        <w:rPr>
          <w:color w:val="auto"/>
        </w:rPr>
        <w:t>重点防治区划分要充分继承原</w:t>
      </w:r>
      <w:r>
        <w:rPr>
          <w:color w:val="auto"/>
          <w:lang w:eastAsia="zh-CN"/>
        </w:rPr>
        <w:t>“</w:t>
      </w:r>
      <w:r>
        <w:rPr>
          <w:color w:val="auto"/>
        </w:rPr>
        <w:t>三区</w:t>
      </w:r>
      <w:r>
        <w:rPr>
          <w:color w:val="auto"/>
          <w:lang w:eastAsia="zh-CN"/>
        </w:rPr>
        <w:t>”</w:t>
      </w:r>
      <w:r>
        <w:rPr>
          <w:color w:val="auto"/>
        </w:rPr>
        <w:t>划分成果，借鉴全国重点防治区划分、主体功能区规划等成果，与已批复实施水土保持综合和专项规划相协调</w:t>
      </w:r>
      <w:r>
        <w:rPr>
          <w:color w:val="auto"/>
          <w:lang w:eastAsia="zh-CN"/>
        </w:rPr>
        <w:t>，</w:t>
      </w:r>
      <w:r>
        <w:rPr>
          <w:color w:val="auto"/>
        </w:rPr>
        <w:t>特别与土地</w:t>
      </w:r>
      <w:r>
        <w:rPr>
          <w:color w:val="auto"/>
          <w:lang w:eastAsia="zh-CN"/>
        </w:rPr>
        <w:t>、</w:t>
      </w:r>
      <w:r>
        <w:rPr>
          <w:color w:val="auto"/>
        </w:rPr>
        <w:t>城市</w:t>
      </w:r>
      <w:r>
        <w:rPr>
          <w:color w:val="auto"/>
          <w:lang w:eastAsia="zh-CN"/>
        </w:rPr>
        <w:t>、</w:t>
      </w:r>
      <w:r>
        <w:rPr>
          <w:color w:val="auto"/>
        </w:rPr>
        <w:t>专项等相关发展规划相协调</w:t>
      </w:r>
      <w:r>
        <w:rPr>
          <w:color w:val="auto"/>
          <w:lang w:eastAsia="zh-CN"/>
        </w:rPr>
        <w:t>，</w:t>
      </w:r>
      <w:r>
        <w:rPr>
          <w:color w:val="auto"/>
        </w:rPr>
        <w:t>保持水土流失重点防治工作的延续性。</w:t>
      </w:r>
    </w:p>
    <w:p w14:paraId="382438B8">
      <w:pPr>
        <w:pStyle w:val="376"/>
        <w:adjustRightInd w:val="0"/>
        <w:ind w:firstLine="480"/>
        <w:rPr>
          <w:color w:val="auto"/>
        </w:rPr>
      </w:pPr>
      <w:r>
        <w:rPr>
          <w:color w:val="auto"/>
        </w:rPr>
        <w:t>（3）相对集中连片原则</w:t>
      </w:r>
    </w:p>
    <w:p w14:paraId="60A0CC40">
      <w:pPr>
        <w:pStyle w:val="376"/>
        <w:adjustRightInd w:val="0"/>
        <w:ind w:firstLine="480"/>
        <w:rPr>
          <w:color w:val="auto"/>
        </w:rPr>
      </w:pPr>
      <w:r>
        <w:rPr>
          <w:color w:val="auto"/>
        </w:rPr>
        <w:t>为便于水土保持管理，发挥水土流失防治整体效果，重点防治区划分应集中连片，并具有相应规模，集中连片面积不小于100km</w:t>
      </w:r>
      <w:r>
        <w:rPr>
          <w:color w:val="auto"/>
          <w:vertAlign w:val="superscript"/>
        </w:rPr>
        <w:t>2</w:t>
      </w:r>
      <w:r>
        <w:rPr>
          <w:color w:val="auto"/>
        </w:rPr>
        <w:t>。</w:t>
      </w:r>
    </w:p>
    <w:p w14:paraId="13C89230">
      <w:pPr>
        <w:pStyle w:val="376"/>
        <w:adjustRightInd w:val="0"/>
        <w:ind w:firstLine="480"/>
        <w:rPr>
          <w:color w:val="auto"/>
        </w:rPr>
      </w:pPr>
      <w:r>
        <w:rPr>
          <w:color w:val="auto"/>
        </w:rPr>
        <w:t>由于</w:t>
      </w:r>
      <w:r>
        <w:rPr>
          <w:color w:val="auto"/>
          <w:lang w:eastAsia="zh-CN"/>
        </w:rPr>
        <w:t>阜康市</w:t>
      </w:r>
      <w:r>
        <w:rPr>
          <w:color w:val="auto"/>
        </w:rPr>
        <w:t>面积较小，自然、社会经济条件与周边相邻区域交叉、关联程度较高，所以</w:t>
      </w:r>
      <w:r>
        <w:rPr>
          <w:color w:val="auto"/>
          <w:lang w:eastAsia="zh-CN"/>
        </w:rPr>
        <w:t>阜康市</w:t>
      </w:r>
      <w:r>
        <w:rPr>
          <w:color w:val="auto"/>
        </w:rPr>
        <w:t>重点防治区划分在考虑本区域集中连片的同时，还必须考虑与周边地区的连片因素，以发挥整体效应。</w:t>
      </w:r>
    </w:p>
    <w:p w14:paraId="109CF43D">
      <w:pPr>
        <w:pStyle w:val="376"/>
        <w:adjustRightInd w:val="0"/>
        <w:ind w:firstLine="480"/>
        <w:rPr>
          <w:color w:val="auto"/>
        </w:rPr>
      </w:pPr>
      <w:r>
        <w:rPr>
          <w:color w:val="auto"/>
        </w:rPr>
        <w:t>（4）重点预防区优先原则</w:t>
      </w:r>
    </w:p>
    <w:p w14:paraId="70526F7F">
      <w:pPr>
        <w:pStyle w:val="376"/>
        <w:adjustRightInd w:val="0"/>
        <w:ind w:firstLine="480"/>
        <w:rPr>
          <w:color w:val="auto"/>
        </w:rPr>
      </w:pPr>
      <w:r>
        <w:rPr>
          <w:color w:val="auto"/>
        </w:rPr>
        <w:t>重点预防区和重点治理区相互不得交叉，当水土流失重点治理区与水土流失重点预防区条件都满足时，以水土流失</w:t>
      </w:r>
      <w:bookmarkStart w:id="88" w:name="_Hlk531102255"/>
      <w:r>
        <w:rPr>
          <w:color w:val="auto"/>
        </w:rPr>
        <w:t>重点预防区</w:t>
      </w:r>
      <w:bookmarkEnd w:id="88"/>
      <w:r>
        <w:rPr>
          <w:color w:val="auto"/>
        </w:rPr>
        <w:t>优先。</w:t>
      </w:r>
    </w:p>
    <w:p w14:paraId="258C42D7">
      <w:pPr>
        <w:pStyle w:val="376"/>
        <w:adjustRightInd w:val="0"/>
        <w:ind w:firstLine="480"/>
        <w:rPr>
          <w:color w:val="auto"/>
        </w:rPr>
      </w:pPr>
      <w:bookmarkStart w:id="89" w:name="_Toc384192310"/>
      <w:bookmarkStart w:id="90" w:name="_Toc384324737"/>
      <w:r>
        <w:rPr>
          <w:color w:val="auto"/>
        </w:rPr>
        <w:t>（5）因害设防</w:t>
      </w:r>
      <w:bookmarkEnd w:id="89"/>
      <w:bookmarkEnd w:id="90"/>
      <w:r>
        <w:rPr>
          <w:color w:val="auto"/>
        </w:rPr>
        <w:t>原则</w:t>
      </w:r>
    </w:p>
    <w:p w14:paraId="10ECF492">
      <w:pPr>
        <w:pStyle w:val="376"/>
        <w:adjustRightInd w:val="0"/>
        <w:ind w:firstLine="480"/>
        <w:rPr>
          <w:color w:val="auto"/>
          <w:szCs w:val="28"/>
        </w:rPr>
      </w:pPr>
      <w:r>
        <w:rPr>
          <w:color w:val="auto"/>
        </w:rPr>
        <w:t>由于阜康市水土流失的特殊性，水土流失面积大，人类居住面积相对较小较为集中，集中点都在绿洲内部，水土流失对人类生产活动造成的危害是点状或线</w:t>
      </w:r>
      <w:r>
        <w:rPr>
          <w:color w:val="auto"/>
          <w:szCs w:val="28"/>
        </w:rPr>
        <w:t>状分布的。根据水土流失治理成本与治理必要性，防治区在划分上应考虑以人为本、因害设防的原则。</w:t>
      </w:r>
    </w:p>
    <w:p w14:paraId="6D6F3CEF">
      <w:pPr>
        <w:pStyle w:val="370"/>
        <w:ind w:firstLine="480"/>
        <w:rPr>
          <w:rFonts w:eastAsia="仿宋_GB2312"/>
          <w:snapToGrid/>
          <w:kern w:val="0"/>
          <w:szCs w:val="28"/>
          <w:lang w:val="zh-TW" w:eastAsia="zh-TW"/>
        </w:rPr>
      </w:pPr>
      <w:r>
        <w:rPr>
          <w:rFonts w:eastAsia="仿宋_GB2312"/>
          <w:snapToGrid/>
          <w:kern w:val="0"/>
          <w:szCs w:val="28"/>
          <w:lang w:val="zh-TW" w:eastAsia="zh-TW"/>
        </w:rPr>
        <w:t>2、分区条件</w:t>
      </w:r>
    </w:p>
    <w:p w14:paraId="5F8189FE">
      <w:pPr>
        <w:pStyle w:val="376"/>
        <w:adjustRightInd w:val="0"/>
        <w:ind w:firstLine="480"/>
        <w:rPr>
          <w:color w:val="auto"/>
          <w:szCs w:val="28"/>
        </w:rPr>
      </w:pPr>
      <w:bookmarkStart w:id="91" w:name="_Toc305743679"/>
      <w:bookmarkStart w:id="92" w:name="_Toc384192316"/>
      <w:bookmarkStart w:id="93" w:name="_Toc384324743"/>
      <w:r>
        <w:rPr>
          <w:color w:val="auto"/>
          <w:szCs w:val="28"/>
        </w:rPr>
        <w:t>（1）水土流失重点预防区划分条件</w:t>
      </w:r>
      <w:bookmarkEnd w:id="91"/>
      <w:bookmarkEnd w:id="92"/>
      <w:bookmarkEnd w:id="93"/>
    </w:p>
    <w:p w14:paraId="0797C824">
      <w:pPr>
        <w:pStyle w:val="376"/>
        <w:adjustRightInd w:val="0"/>
        <w:ind w:firstLine="480"/>
        <w:rPr>
          <w:color w:val="auto"/>
          <w:szCs w:val="28"/>
        </w:rPr>
      </w:pPr>
      <w:r>
        <w:rPr>
          <w:color w:val="auto"/>
          <w:szCs w:val="28"/>
        </w:rPr>
        <w:t>1）山区天然林、天然草原；</w:t>
      </w:r>
    </w:p>
    <w:p w14:paraId="64E5D203">
      <w:pPr>
        <w:pStyle w:val="376"/>
        <w:adjustRightInd w:val="0"/>
        <w:ind w:firstLine="480"/>
        <w:rPr>
          <w:color w:val="auto"/>
          <w:szCs w:val="28"/>
        </w:rPr>
      </w:pPr>
      <w:r>
        <w:rPr>
          <w:color w:val="auto"/>
          <w:szCs w:val="28"/>
        </w:rPr>
        <w:t>2）河流的产流区、汇流区、河谷滩地天然林草、重要湿地；</w:t>
      </w:r>
    </w:p>
    <w:p w14:paraId="5FB69B20">
      <w:pPr>
        <w:pStyle w:val="376"/>
        <w:adjustRightInd w:val="0"/>
        <w:ind w:firstLine="480"/>
        <w:rPr>
          <w:color w:val="auto"/>
          <w:szCs w:val="28"/>
        </w:rPr>
      </w:pPr>
      <w:r>
        <w:rPr>
          <w:color w:val="auto"/>
          <w:szCs w:val="28"/>
        </w:rPr>
        <w:t>3）自治区主体工程规划中划定的禁止开发区域；</w:t>
      </w:r>
    </w:p>
    <w:p w14:paraId="7B69F2E3">
      <w:pPr>
        <w:pStyle w:val="376"/>
        <w:adjustRightInd w:val="0"/>
        <w:ind w:firstLine="480"/>
        <w:rPr>
          <w:color w:val="auto"/>
          <w:szCs w:val="28"/>
        </w:rPr>
      </w:pPr>
      <w:r>
        <w:rPr>
          <w:color w:val="auto"/>
          <w:szCs w:val="28"/>
        </w:rPr>
        <w:t>4）绿洲边缘荒漠林、荒漠草原；</w:t>
      </w:r>
    </w:p>
    <w:p w14:paraId="2A97ED9F">
      <w:pPr>
        <w:pStyle w:val="376"/>
        <w:adjustRightInd w:val="0"/>
        <w:ind w:firstLine="480"/>
        <w:rPr>
          <w:color w:val="auto"/>
          <w:szCs w:val="28"/>
        </w:rPr>
      </w:pPr>
      <w:r>
        <w:rPr>
          <w:color w:val="auto"/>
          <w:szCs w:val="28"/>
        </w:rPr>
        <w:t>5）水源涵养区、饮用水水源保护区；</w:t>
      </w:r>
    </w:p>
    <w:p w14:paraId="2183A9AE">
      <w:pPr>
        <w:pStyle w:val="376"/>
        <w:adjustRightInd w:val="0"/>
        <w:ind w:firstLine="480"/>
        <w:rPr>
          <w:color w:val="auto"/>
        </w:rPr>
      </w:pPr>
      <w:r>
        <w:rPr>
          <w:color w:val="auto"/>
          <w:szCs w:val="28"/>
        </w:rPr>
        <w:t>6）其他水土流失潜在危险较大、对区域防洪安全、水资源安全、生态安</w:t>
      </w:r>
      <w:r>
        <w:rPr>
          <w:color w:val="auto"/>
        </w:rPr>
        <w:t>全或者生产、生活有重大影响的生态较为脆弱、敏感的区域。</w:t>
      </w:r>
    </w:p>
    <w:p w14:paraId="53114589">
      <w:pPr>
        <w:pStyle w:val="376"/>
        <w:adjustRightInd w:val="0"/>
        <w:ind w:firstLine="480"/>
        <w:rPr>
          <w:color w:val="auto"/>
        </w:rPr>
      </w:pPr>
      <w:bookmarkStart w:id="94" w:name="_Toc384192320"/>
      <w:bookmarkStart w:id="95" w:name="_Toc384324747"/>
      <w:r>
        <w:rPr>
          <w:color w:val="auto"/>
        </w:rPr>
        <w:t>（2）水土流失重点治理区划分条件</w:t>
      </w:r>
      <w:bookmarkEnd w:id="94"/>
      <w:bookmarkEnd w:id="95"/>
    </w:p>
    <w:p w14:paraId="58A583FE">
      <w:pPr>
        <w:pStyle w:val="376"/>
        <w:adjustRightInd w:val="0"/>
        <w:ind w:firstLine="480"/>
        <w:rPr>
          <w:color w:val="auto"/>
          <w:szCs w:val="28"/>
        </w:rPr>
      </w:pPr>
      <w:r>
        <w:rPr>
          <w:color w:val="auto"/>
          <w:szCs w:val="28"/>
        </w:rPr>
        <w:t>1）绿洲外围风沙防治区；</w:t>
      </w:r>
    </w:p>
    <w:p w14:paraId="60C57E57">
      <w:pPr>
        <w:pStyle w:val="376"/>
        <w:adjustRightInd w:val="0"/>
        <w:ind w:firstLine="480"/>
        <w:rPr>
          <w:color w:val="auto"/>
          <w:szCs w:val="28"/>
        </w:rPr>
      </w:pPr>
      <w:r>
        <w:rPr>
          <w:color w:val="auto"/>
          <w:szCs w:val="28"/>
        </w:rPr>
        <w:t>2）河流沿岸水蚀区、湖泊周边区；</w:t>
      </w:r>
    </w:p>
    <w:p w14:paraId="138CABFF">
      <w:pPr>
        <w:pStyle w:val="376"/>
        <w:adjustRightInd w:val="0"/>
        <w:ind w:firstLine="480"/>
        <w:rPr>
          <w:color w:val="auto"/>
          <w:szCs w:val="28"/>
        </w:rPr>
      </w:pPr>
      <w:r>
        <w:rPr>
          <w:color w:val="auto"/>
          <w:szCs w:val="28"/>
        </w:rPr>
        <w:t>3）其他水土流失较为严重，对当地或者下游经济社会发展产生严重影响的区域。</w:t>
      </w:r>
    </w:p>
    <w:p w14:paraId="16AF07B1">
      <w:pPr>
        <w:pStyle w:val="370"/>
        <w:ind w:firstLine="480"/>
        <w:rPr>
          <w:rFonts w:eastAsia="仿宋_GB2312"/>
          <w:snapToGrid/>
          <w:kern w:val="0"/>
          <w:szCs w:val="28"/>
          <w:lang w:eastAsia="zh-TW"/>
        </w:rPr>
      </w:pPr>
      <w:r>
        <w:rPr>
          <w:rFonts w:eastAsia="仿宋_GB2312"/>
          <w:snapToGrid/>
          <w:kern w:val="0"/>
          <w:szCs w:val="28"/>
        </w:rPr>
        <w:t>3、</w:t>
      </w:r>
      <w:r>
        <w:rPr>
          <w:rFonts w:eastAsia="仿宋_GB2312"/>
          <w:snapToGrid/>
          <w:kern w:val="0"/>
          <w:szCs w:val="28"/>
          <w:lang w:eastAsia="zh-TW"/>
        </w:rPr>
        <w:t>分区指标</w:t>
      </w:r>
    </w:p>
    <w:p w14:paraId="53C6D1AA">
      <w:pPr>
        <w:pStyle w:val="376"/>
        <w:adjustRightInd w:val="0"/>
        <w:ind w:firstLine="480"/>
        <w:rPr>
          <w:color w:val="auto"/>
        </w:rPr>
      </w:pPr>
      <w:bookmarkStart w:id="96" w:name="_Toc384324745"/>
      <w:bookmarkStart w:id="97" w:name="_Toc384192318"/>
      <w:r>
        <w:rPr>
          <w:color w:val="auto"/>
        </w:rPr>
        <w:t>（</w:t>
      </w:r>
      <w:r>
        <w:rPr>
          <w:color w:val="auto"/>
          <w:lang w:eastAsia="zh-CN"/>
        </w:rPr>
        <w:t>1</w:t>
      </w:r>
      <w:r>
        <w:rPr>
          <w:color w:val="auto"/>
        </w:rPr>
        <w:t>）水土流失重点预防区划分指标</w:t>
      </w:r>
      <w:bookmarkEnd w:id="96"/>
      <w:bookmarkEnd w:id="97"/>
    </w:p>
    <w:p w14:paraId="0D6641B9">
      <w:pPr>
        <w:pStyle w:val="376"/>
        <w:adjustRightInd w:val="0"/>
        <w:ind w:firstLine="480"/>
        <w:rPr>
          <w:color w:val="auto"/>
          <w:szCs w:val="28"/>
        </w:rPr>
      </w:pPr>
      <w:r>
        <w:rPr>
          <w:color w:val="auto"/>
          <w:szCs w:val="28"/>
        </w:rPr>
        <w:t>1）定</w:t>
      </w:r>
      <w:r>
        <w:rPr>
          <w:color w:val="auto"/>
          <w:szCs w:val="28"/>
          <w:lang w:eastAsia="zh-CN"/>
        </w:rPr>
        <w:t>量</w:t>
      </w:r>
      <w:r>
        <w:rPr>
          <w:color w:val="auto"/>
          <w:szCs w:val="28"/>
        </w:rPr>
        <w:t>指标</w:t>
      </w:r>
    </w:p>
    <w:p w14:paraId="26F41D51">
      <w:pPr>
        <w:pStyle w:val="376"/>
        <w:adjustRightInd w:val="0"/>
        <w:ind w:firstLine="480"/>
        <w:rPr>
          <w:color w:val="auto"/>
          <w:szCs w:val="28"/>
          <w:lang w:eastAsia="zh-CN"/>
        </w:rPr>
      </w:pPr>
      <w:r>
        <w:rPr>
          <w:color w:val="auto"/>
        </w:rPr>
        <w:t>依据《水土流失重点防治区划分导则》（SL717-2015）中表4.0.2-1水土流失重点预防区划分定量指标</w:t>
      </w:r>
      <w:r>
        <w:rPr>
          <w:color w:val="auto"/>
          <w:lang w:eastAsia="zh-CN"/>
        </w:rPr>
        <w:t>，</w:t>
      </w:r>
      <w:r>
        <w:rPr>
          <w:color w:val="auto"/>
        </w:rPr>
        <w:t>新疆属北方风沙区</w:t>
      </w:r>
      <w:r>
        <w:rPr>
          <w:color w:val="auto"/>
          <w:lang w:eastAsia="zh-CN"/>
        </w:rPr>
        <w:t>，</w:t>
      </w:r>
      <w:r>
        <w:rPr>
          <w:color w:val="auto"/>
        </w:rPr>
        <w:t>水土流失重点预防区</w:t>
      </w:r>
      <w:r>
        <w:rPr>
          <w:snapToGrid w:val="0"/>
          <w:color w:val="auto"/>
        </w:rPr>
        <w:t>林草覆盖率≥10%，轻度以下水土流失面积占</w:t>
      </w:r>
      <w:r>
        <w:rPr>
          <w:color w:val="auto"/>
          <w:lang w:eastAsia="zh-CN"/>
        </w:rPr>
        <w:t>划分单元</w:t>
      </w:r>
      <w:r>
        <w:rPr>
          <w:snapToGrid w:val="0"/>
          <w:color w:val="auto"/>
        </w:rPr>
        <w:t>总土地面积的比例≥50%</w:t>
      </w:r>
      <w:r>
        <w:rPr>
          <w:color w:val="auto"/>
          <w:szCs w:val="28"/>
        </w:rPr>
        <w:t>。</w:t>
      </w:r>
    </w:p>
    <w:p w14:paraId="7E156E5C">
      <w:pPr>
        <w:pStyle w:val="376"/>
        <w:adjustRightInd w:val="0"/>
        <w:ind w:firstLine="480"/>
        <w:rPr>
          <w:color w:val="auto"/>
          <w:szCs w:val="28"/>
        </w:rPr>
      </w:pPr>
      <w:r>
        <w:rPr>
          <w:color w:val="auto"/>
          <w:szCs w:val="28"/>
        </w:rPr>
        <w:t>2）定</w:t>
      </w:r>
      <w:r>
        <w:rPr>
          <w:color w:val="auto"/>
          <w:szCs w:val="28"/>
          <w:lang w:eastAsia="zh-CN"/>
        </w:rPr>
        <w:t>性</w:t>
      </w:r>
      <w:r>
        <w:rPr>
          <w:color w:val="auto"/>
          <w:szCs w:val="28"/>
        </w:rPr>
        <w:t>因素</w:t>
      </w:r>
    </w:p>
    <w:p w14:paraId="1737B9A2">
      <w:pPr>
        <w:pStyle w:val="376"/>
        <w:adjustRightInd w:val="0"/>
        <w:ind w:firstLine="480"/>
        <w:rPr>
          <w:color w:val="auto"/>
          <w:szCs w:val="28"/>
          <w:lang w:eastAsia="zh-CN"/>
        </w:rPr>
      </w:pPr>
      <w:r>
        <w:rPr>
          <w:color w:val="auto"/>
        </w:rPr>
        <w:t>依据《水土流失重点防治区划分导则》（SL717-2015）中表4.0.2-</w:t>
      </w:r>
      <w:r>
        <w:rPr>
          <w:color w:val="auto"/>
          <w:lang w:eastAsia="zh-CN"/>
        </w:rPr>
        <w:t>2</w:t>
      </w:r>
      <w:r>
        <w:rPr>
          <w:color w:val="auto"/>
        </w:rPr>
        <w:t>水土流失重点预防区</w:t>
      </w:r>
      <w:r>
        <w:rPr>
          <w:color w:val="auto"/>
          <w:szCs w:val="28"/>
        </w:rPr>
        <w:t>定</w:t>
      </w:r>
      <w:r>
        <w:rPr>
          <w:color w:val="auto"/>
          <w:szCs w:val="28"/>
          <w:lang w:eastAsia="zh-CN"/>
        </w:rPr>
        <w:t>性</w:t>
      </w:r>
      <w:r>
        <w:rPr>
          <w:color w:val="auto"/>
          <w:szCs w:val="28"/>
        </w:rPr>
        <w:t>因素</w:t>
      </w:r>
      <w:r>
        <w:rPr>
          <w:color w:val="auto"/>
          <w:szCs w:val="28"/>
          <w:lang w:eastAsia="zh-CN"/>
        </w:rPr>
        <w:t>，</w:t>
      </w:r>
      <w:r>
        <w:rPr>
          <w:color w:val="auto"/>
        </w:rPr>
        <w:t>水土流失重点预防区水土保持功能重要</w:t>
      </w:r>
      <w:r>
        <w:rPr>
          <w:color w:val="auto"/>
          <w:lang w:eastAsia="zh-CN"/>
        </w:rPr>
        <w:t>，</w:t>
      </w:r>
      <w:r>
        <w:rPr>
          <w:color w:val="auto"/>
        </w:rPr>
        <w:t>重度以上面积占划分单元总土地面积</w:t>
      </w:r>
      <w:r>
        <w:rPr>
          <w:color w:val="auto"/>
          <w:lang w:eastAsia="zh-CN"/>
        </w:rPr>
        <w:t>30%以上，所处区位为禁止开发区、限制开发区、饮用水水源区、重要江河源头区或湖库周边区。</w:t>
      </w:r>
    </w:p>
    <w:p w14:paraId="4FD93938">
      <w:pPr>
        <w:pStyle w:val="376"/>
        <w:adjustRightInd w:val="0"/>
        <w:ind w:firstLine="480"/>
        <w:rPr>
          <w:color w:val="auto"/>
          <w:szCs w:val="28"/>
        </w:rPr>
      </w:pPr>
      <w:r>
        <w:rPr>
          <w:color w:val="auto"/>
          <w:szCs w:val="28"/>
        </w:rPr>
        <w:t>3）辅助指标</w:t>
      </w:r>
    </w:p>
    <w:p w14:paraId="5B74EA1D">
      <w:pPr>
        <w:pStyle w:val="376"/>
        <w:adjustRightInd w:val="0"/>
        <w:ind w:firstLine="480"/>
        <w:rPr>
          <w:color w:val="auto"/>
          <w:szCs w:val="28"/>
          <w:lang w:eastAsia="zh-CN"/>
        </w:rPr>
      </w:pPr>
      <w:r>
        <w:rPr>
          <w:color w:val="auto"/>
          <w:szCs w:val="28"/>
        </w:rPr>
        <w:t>重点预防区应考虑具有一定连片规模，因此辅助指标考虑集中连片面积。</w:t>
      </w:r>
    </w:p>
    <w:p w14:paraId="2F465365">
      <w:pPr>
        <w:pStyle w:val="376"/>
        <w:adjustRightInd w:val="0"/>
        <w:ind w:firstLine="480"/>
        <w:rPr>
          <w:color w:val="auto"/>
          <w:szCs w:val="28"/>
          <w:lang w:eastAsia="zh-CN"/>
        </w:rPr>
      </w:pPr>
      <w:r>
        <w:rPr>
          <w:color w:val="auto"/>
          <w:szCs w:val="28"/>
          <w:lang w:eastAsia="zh-CN"/>
        </w:rPr>
        <w:t>4）</w:t>
      </w:r>
      <w:r>
        <w:rPr>
          <w:color w:val="auto"/>
        </w:rPr>
        <w:t>水土流失重点预防区</w:t>
      </w:r>
      <w:r>
        <w:rPr>
          <w:color w:val="auto"/>
          <w:szCs w:val="28"/>
          <w:lang w:eastAsia="zh-CN"/>
        </w:rPr>
        <w:t>划分标准</w:t>
      </w:r>
    </w:p>
    <w:p w14:paraId="37FA2302">
      <w:pPr>
        <w:pStyle w:val="376"/>
        <w:adjustRightInd w:val="0"/>
        <w:ind w:firstLine="480"/>
        <w:rPr>
          <w:color w:val="auto"/>
          <w:lang w:eastAsia="zh-CN"/>
        </w:rPr>
      </w:pPr>
      <w:r>
        <w:rPr>
          <w:color w:val="auto"/>
          <w:szCs w:val="28"/>
          <w:lang w:eastAsia="zh-CN"/>
        </w:rPr>
        <w:t>符合下列条件之一且达到规模要求的，应划分为</w:t>
      </w:r>
      <w:r>
        <w:rPr>
          <w:color w:val="auto"/>
        </w:rPr>
        <w:t>水土流失重点预防区</w:t>
      </w:r>
      <w:r>
        <w:rPr>
          <w:color w:val="auto"/>
          <w:lang w:eastAsia="zh-CN"/>
        </w:rPr>
        <w:t>：</w:t>
      </w:r>
    </w:p>
    <w:p w14:paraId="121DCAFD">
      <w:pPr>
        <w:pStyle w:val="376"/>
        <w:adjustRightInd w:val="0"/>
        <w:ind w:firstLine="439" w:firstLineChars="183"/>
        <w:rPr>
          <w:color w:val="auto"/>
          <w:lang w:eastAsia="zh-CN"/>
        </w:rPr>
      </w:pPr>
      <w:r>
        <w:rPr>
          <w:rFonts w:hint="eastAsia" w:ascii="宋体" w:hAnsi="宋体" w:eastAsia="宋体" w:cs="宋体"/>
          <w:color w:val="auto"/>
          <w:lang w:eastAsia="zh-CN"/>
        </w:rPr>
        <w:t>①</w:t>
      </w:r>
      <w:r>
        <w:rPr>
          <w:color w:val="auto"/>
          <w:lang w:eastAsia="zh-CN"/>
        </w:rPr>
        <w:t>定量指标全部符合；</w:t>
      </w:r>
    </w:p>
    <w:p w14:paraId="1C00F56C">
      <w:pPr>
        <w:pStyle w:val="376"/>
        <w:adjustRightInd w:val="0"/>
        <w:ind w:firstLine="480"/>
        <w:rPr>
          <w:color w:val="auto"/>
          <w:szCs w:val="28"/>
          <w:lang w:eastAsia="zh-CN"/>
        </w:rPr>
      </w:pPr>
      <w:r>
        <w:rPr>
          <w:rFonts w:hint="eastAsia" w:ascii="宋体" w:hAnsi="宋体" w:eastAsia="宋体" w:cs="宋体"/>
          <w:color w:val="auto"/>
          <w:lang w:eastAsia="zh-CN"/>
        </w:rPr>
        <w:t>②</w:t>
      </w:r>
      <w:r>
        <w:rPr>
          <w:color w:val="auto"/>
          <w:lang w:eastAsia="zh-CN"/>
        </w:rPr>
        <w:t>定量指标基本符合，定性因素符合其中之一。</w:t>
      </w:r>
    </w:p>
    <w:p w14:paraId="6BD3FBD6">
      <w:pPr>
        <w:pStyle w:val="376"/>
        <w:adjustRightInd w:val="0"/>
        <w:ind w:firstLine="480"/>
        <w:rPr>
          <w:color w:val="auto"/>
        </w:rPr>
      </w:pPr>
      <w:bookmarkStart w:id="98" w:name="_Toc305743680"/>
      <w:bookmarkStart w:id="99" w:name="_Toc384324746"/>
      <w:bookmarkStart w:id="100" w:name="_Toc384192319"/>
      <w:r>
        <w:rPr>
          <w:color w:val="auto"/>
        </w:rPr>
        <w:t>（2）水土流失重点治理区划分指标</w:t>
      </w:r>
      <w:bookmarkEnd w:id="98"/>
      <w:bookmarkEnd w:id="99"/>
      <w:bookmarkEnd w:id="100"/>
    </w:p>
    <w:p w14:paraId="3E712526">
      <w:pPr>
        <w:pStyle w:val="376"/>
        <w:adjustRightInd w:val="0"/>
        <w:ind w:firstLine="480"/>
        <w:rPr>
          <w:color w:val="auto"/>
          <w:szCs w:val="28"/>
        </w:rPr>
      </w:pPr>
      <w:r>
        <w:rPr>
          <w:color w:val="auto"/>
          <w:szCs w:val="28"/>
        </w:rPr>
        <w:t>1）定</w:t>
      </w:r>
      <w:r>
        <w:rPr>
          <w:color w:val="auto"/>
          <w:szCs w:val="28"/>
          <w:lang w:eastAsia="zh-CN"/>
        </w:rPr>
        <w:t>量</w:t>
      </w:r>
      <w:r>
        <w:rPr>
          <w:color w:val="auto"/>
          <w:szCs w:val="28"/>
        </w:rPr>
        <w:t>指标</w:t>
      </w:r>
    </w:p>
    <w:p w14:paraId="15AAE592">
      <w:pPr>
        <w:pStyle w:val="376"/>
        <w:adjustRightInd w:val="0"/>
        <w:ind w:firstLine="480"/>
        <w:rPr>
          <w:color w:val="auto"/>
          <w:szCs w:val="28"/>
        </w:rPr>
      </w:pPr>
      <w:r>
        <w:rPr>
          <w:color w:val="auto"/>
        </w:rPr>
        <w:t>依据《水土流失重点防治区划分导则》（SL717-2015）中表4.0.</w:t>
      </w:r>
      <w:r>
        <w:rPr>
          <w:color w:val="auto"/>
          <w:lang w:eastAsia="zh-CN"/>
        </w:rPr>
        <w:t>3</w:t>
      </w:r>
      <w:r>
        <w:rPr>
          <w:color w:val="auto"/>
        </w:rPr>
        <w:t>-1水土流失重点治理区划分定量指标</w:t>
      </w:r>
      <w:r>
        <w:rPr>
          <w:color w:val="auto"/>
          <w:lang w:eastAsia="zh-CN"/>
        </w:rPr>
        <w:t>，</w:t>
      </w:r>
      <w:r>
        <w:rPr>
          <w:color w:val="auto"/>
        </w:rPr>
        <w:t>新疆属北方风沙区</w:t>
      </w:r>
      <w:r>
        <w:rPr>
          <w:color w:val="auto"/>
          <w:lang w:eastAsia="zh-CN"/>
        </w:rPr>
        <w:t>，</w:t>
      </w:r>
      <w:r>
        <w:rPr>
          <w:snapToGrid w:val="0"/>
          <w:color w:val="auto"/>
        </w:rPr>
        <w:t>水土流失面积占</w:t>
      </w:r>
      <w:r>
        <w:rPr>
          <w:color w:val="auto"/>
          <w:lang w:eastAsia="zh-CN"/>
        </w:rPr>
        <w:t>划分单元</w:t>
      </w:r>
      <w:r>
        <w:rPr>
          <w:snapToGrid w:val="0"/>
          <w:color w:val="auto"/>
          <w:lang w:eastAsia="zh-CN"/>
        </w:rPr>
        <w:t>土地</w:t>
      </w:r>
      <w:r>
        <w:rPr>
          <w:snapToGrid w:val="0"/>
          <w:color w:val="auto"/>
        </w:rPr>
        <w:t>面积的比例≥</w:t>
      </w:r>
      <w:r>
        <w:rPr>
          <w:snapToGrid w:val="0"/>
          <w:color w:val="auto"/>
          <w:lang w:eastAsia="zh-CN"/>
        </w:rPr>
        <w:t>50</w:t>
      </w:r>
      <w:r>
        <w:rPr>
          <w:snapToGrid w:val="0"/>
          <w:color w:val="auto"/>
        </w:rPr>
        <w:t>%和中度及以上的水土流失面积占</w:t>
      </w:r>
      <w:r>
        <w:rPr>
          <w:color w:val="auto"/>
          <w:lang w:eastAsia="zh-CN"/>
        </w:rPr>
        <w:t>划分单元</w:t>
      </w:r>
      <w:r>
        <w:rPr>
          <w:snapToGrid w:val="0"/>
          <w:color w:val="auto"/>
        </w:rPr>
        <w:t>水土流失面积的比例≥50%</w:t>
      </w:r>
      <w:r>
        <w:rPr>
          <w:color w:val="auto"/>
          <w:szCs w:val="28"/>
        </w:rPr>
        <w:t>。</w:t>
      </w:r>
    </w:p>
    <w:p w14:paraId="5835BF72">
      <w:pPr>
        <w:pStyle w:val="376"/>
        <w:adjustRightInd w:val="0"/>
        <w:ind w:firstLine="480"/>
        <w:rPr>
          <w:color w:val="auto"/>
          <w:szCs w:val="28"/>
        </w:rPr>
      </w:pPr>
      <w:r>
        <w:rPr>
          <w:color w:val="auto"/>
          <w:szCs w:val="28"/>
        </w:rPr>
        <w:t>2）定</w:t>
      </w:r>
      <w:r>
        <w:rPr>
          <w:color w:val="auto"/>
          <w:szCs w:val="28"/>
          <w:lang w:eastAsia="zh-CN"/>
        </w:rPr>
        <w:t>性因素</w:t>
      </w:r>
    </w:p>
    <w:p w14:paraId="20FE551A">
      <w:pPr>
        <w:pStyle w:val="376"/>
        <w:adjustRightInd w:val="0"/>
        <w:ind w:firstLine="480"/>
        <w:rPr>
          <w:color w:val="auto"/>
          <w:szCs w:val="28"/>
        </w:rPr>
      </w:pPr>
      <w:r>
        <w:rPr>
          <w:color w:val="auto"/>
        </w:rPr>
        <w:t>依据《水土流失重点防治区划分导则》（SL717-2015）中表4.0.</w:t>
      </w:r>
      <w:r>
        <w:rPr>
          <w:color w:val="auto"/>
          <w:lang w:eastAsia="zh-CN"/>
        </w:rPr>
        <w:t>3</w:t>
      </w:r>
      <w:r>
        <w:rPr>
          <w:color w:val="auto"/>
        </w:rPr>
        <w:t>-</w:t>
      </w:r>
      <w:r>
        <w:rPr>
          <w:color w:val="auto"/>
          <w:lang w:eastAsia="zh-CN"/>
        </w:rPr>
        <w:t>2</w:t>
      </w:r>
      <w:r>
        <w:rPr>
          <w:color w:val="auto"/>
        </w:rPr>
        <w:t>水土流失重点治理区</w:t>
      </w:r>
      <w:r>
        <w:rPr>
          <w:color w:val="auto"/>
          <w:szCs w:val="28"/>
        </w:rPr>
        <w:t>定</w:t>
      </w:r>
      <w:r>
        <w:rPr>
          <w:color w:val="auto"/>
          <w:szCs w:val="28"/>
          <w:lang w:eastAsia="zh-CN"/>
        </w:rPr>
        <w:t>性</w:t>
      </w:r>
      <w:r>
        <w:rPr>
          <w:color w:val="auto"/>
          <w:szCs w:val="28"/>
        </w:rPr>
        <w:t>因素</w:t>
      </w:r>
      <w:r>
        <w:rPr>
          <w:color w:val="auto"/>
          <w:szCs w:val="28"/>
          <w:lang w:eastAsia="zh-CN"/>
        </w:rPr>
        <w:t>，水土流失危害程度严重，治理迫切程度高，所处区位为老少变穷地区</w:t>
      </w:r>
      <w:r>
        <w:rPr>
          <w:color w:val="auto"/>
          <w:szCs w:val="28"/>
        </w:rPr>
        <w:t>。</w:t>
      </w:r>
    </w:p>
    <w:p w14:paraId="5813945F">
      <w:pPr>
        <w:pStyle w:val="376"/>
        <w:adjustRightInd w:val="0"/>
        <w:ind w:firstLine="480"/>
        <w:rPr>
          <w:color w:val="auto"/>
          <w:szCs w:val="28"/>
        </w:rPr>
      </w:pPr>
      <w:r>
        <w:rPr>
          <w:color w:val="auto"/>
          <w:szCs w:val="28"/>
        </w:rPr>
        <w:t>3）辅助指标</w:t>
      </w:r>
    </w:p>
    <w:p w14:paraId="022FD6C2">
      <w:pPr>
        <w:pStyle w:val="376"/>
        <w:adjustRightInd w:val="0"/>
        <w:ind w:firstLine="480"/>
        <w:rPr>
          <w:color w:val="auto"/>
          <w:szCs w:val="28"/>
          <w:lang w:eastAsia="zh-CN"/>
        </w:rPr>
      </w:pPr>
      <w:r>
        <w:rPr>
          <w:color w:val="auto"/>
          <w:szCs w:val="28"/>
          <w:lang w:eastAsia="zh-CN"/>
        </w:rPr>
        <w:t>集中连片面积。</w:t>
      </w:r>
    </w:p>
    <w:p w14:paraId="004E8694">
      <w:pPr>
        <w:pStyle w:val="376"/>
        <w:adjustRightInd w:val="0"/>
        <w:ind w:firstLine="480"/>
        <w:rPr>
          <w:color w:val="auto"/>
          <w:szCs w:val="28"/>
          <w:lang w:eastAsia="zh-CN"/>
        </w:rPr>
      </w:pPr>
      <w:r>
        <w:rPr>
          <w:color w:val="auto"/>
          <w:szCs w:val="28"/>
          <w:lang w:eastAsia="zh-CN"/>
        </w:rPr>
        <w:t>4）</w:t>
      </w:r>
      <w:r>
        <w:rPr>
          <w:color w:val="auto"/>
        </w:rPr>
        <w:t>水土流失重点治理区</w:t>
      </w:r>
      <w:r>
        <w:rPr>
          <w:color w:val="auto"/>
          <w:szCs w:val="28"/>
          <w:lang w:eastAsia="zh-CN"/>
        </w:rPr>
        <w:t>划分标准</w:t>
      </w:r>
    </w:p>
    <w:p w14:paraId="5F8D94C9">
      <w:pPr>
        <w:pStyle w:val="376"/>
        <w:adjustRightInd w:val="0"/>
        <w:ind w:firstLine="480"/>
        <w:rPr>
          <w:color w:val="auto"/>
          <w:szCs w:val="28"/>
        </w:rPr>
      </w:pPr>
      <w:r>
        <w:rPr>
          <w:color w:val="auto"/>
          <w:szCs w:val="28"/>
        </w:rPr>
        <w:t>划分单元定量指标全部符合</w:t>
      </w:r>
      <w:r>
        <w:rPr>
          <w:color w:val="auto"/>
          <w:szCs w:val="28"/>
          <w:lang w:eastAsia="zh-CN"/>
        </w:rPr>
        <w:t>、</w:t>
      </w:r>
      <w:r>
        <w:rPr>
          <w:color w:val="auto"/>
          <w:szCs w:val="28"/>
        </w:rPr>
        <w:t>定性因素符合其中之一且达到规模要求</w:t>
      </w:r>
      <w:r>
        <w:rPr>
          <w:color w:val="auto"/>
          <w:szCs w:val="28"/>
          <w:lang w:eastAsia="zh-CN"/>
        </w:rPr>
        <w:t>，</w:t>
      </w:r>
      <w:r>
        <w:rPr>
          <w:color w:val="auto"/>
          <w:szCs w:val="28"/>
        </w:rPr>
        <w:t>应</w:t>
      </w:r>
      <w:r>
        <w:rPr>
          <w:color w:val="auto"/>
          <w:szCs w:val="28"/>
          <w:lang w:eastAsia="zh-CN"/>
        </w:rPr>
        <w:t>化</w:t>
      </w:r>
      <w:r>
        <w:rPr>
          <w:color w:val="auto"/>
          <w:szCs w:val="28"/>
        </w:rPr>
        <w:t>为</w:t>
      </w:r>
      <w:r>
        <w:rPr>
          <w:color w:val="auto"/>
        </w:rPr>
        <w:t>水土流失重点治理区</w:t>
      </w:r>
      <w:r>
        <w:rPr>
          <w:color w:val="auto"/>
          <w:lang w:eastAsia="zh-CN"/>
        </w:rPr>
        <w:t>。</w:t>
      </w:r>
    </w:p>
    <w:p w14:paraId="5591DC9F">
      <w:pPr>
        <w:pStyle w:val="376"/>
        <w:adjustRightInd w:val="0"/>
        <w:ind w:firstLine="480"/>
        <w:rPr>
          <w:color w:val="auto"/>
        </w:rPr>
      </w:pPr>
      <w:bookmarkStart w:id="101" w:name="_Toc384192322"/>
      <w:bookmarkStart w:id="102" w:name="_Toc384324749"/>
      <w:r>
        <w:rPr>
          <w:color w:val="auto"/>
          <w:lang w:eastAsia="zh-CN"/>
        </w:rPr>
        <w:t>4、 “</w:t>
      </w:r>
      <w:r>
        <w:rPr>
          <w:color w:val="auto"/>
        </w:rPr>
        <w:t>两区</w:t>
      </w:r>
      <w:r>
        <w:rPr>
          <w:color w:val="auto"/>
          <w:lang w:eastAsia="zh-CN"/>
        </w:rPr>
        <w:t>”</w:t>
      </w:r>
      <w:r>
        <w:rPr>
          <w:color w:val="auto"/>
        </w:rPr>
        <w:t>划分</w:t>
      </w:r>
      <w:bookmarkEnd w:id="101"/>
      <w:bookmarkEnd w:id="102"/>
      <w:r>
        <w:rPr>
          <w:color w:val="auto"/>
        </w:rPr>
        <w:t>指标体系建立</w:t>
      </w:r>
    </w:p>
    <w:p w14:paraId="57C9A823">
      <w:pPr>
        <w:pStyle w:val="376"/>
        <w:adjustRightInd w:val="0"/>
        <w:ind w:firstLine="480"/>
        <w:rPr>
          <w:color w:val="auto"/>
          <w:szCs w:val="28"/>
        </w:rPr>
      </w:pPr>
      <w:r>
        <w:rPr>
          <w:color w:val="auto"/>
          <w:szCs w:val="28"/>
          <w:lang w:eastAsia="zh-CN"/>
        </w:rPr>
        <w:t>（1）</w:t>
      </w:r>
      <w:r>
        <w:rPr>
          <w:color w:val="auto"/>
          <w:szCs w:val="28"/>
        </w:rPr>
        <w:t>指标体系建立的原则</w:t>
      </w:r>
    </w:p>
    <w:p w14:paraId="6E442187">
      <w:pPr>
        <w:pStyle w:val="376"/>
        <w:adjustRightInd w:val="0"/>
        <w:ind w:firstLine="480"/>
        <w:rPr>
          <w:color w:val="auto"/>
          <w:szCs w:val="28"/>
        </w:rPr>
      </w:pPr>
      <w:r>
        <w:rPr>
          <w:rFonts w:hint="eastAsia" w:ascii="宋体" w:hAnsi="宋体" w:eastAsia="宋体" w:cs="宋体"/>
          <w:color w:val="auto"/>
          <w:szCs w:val="28"/>
          <w:lang w:eastAsia="zh-CN"/>
        </w:rPr>
        <w:t>①</w:t>
      </w:r>
      <w:r>
        <w:rPr>
          <w:color w:val="auto"/>
          <w:szCs w:val="28"/>
        </w:rPr>
        <w:t>全面性与可操作性结合：水土保持是综合自然、社会、经济等条件的系统工作，水土保持区划必须全面考虑与此相关的因素；同时，指标具有可测性和可比性，指标的获取具有可能性，易于量化，指标的设置尽可能简洁明了，避免繁杂。</w:t>
      </w:r>
    </w:p>
    <w:p w14:paraId="46C71794">
      <w:pPr>
        <w:pStyle w:val="376"/>
        <w:adjustRightInd w:val="0"/>
        <w:ind w:firstLine="480"/>
        <w:rPr>
          <w:color w:val="auto"/>
          <w:szCs w:val="28"/>
        </w:rPr>
      </w:pPr>
      <w:r>
        <w:rPr>
          <w:rFonts w:hint="eastAsia" w:ascii="宋体" w:hAnsi="宋体" w:eastAsia="宋体" w:cs="宋体"/>
          <w:color w:val="auto"/>
          <w:szCs w:val="28"/>
          <w:lang w:eastAsia="zh-CN"/>
        </w:rPr>
        <w:t>②</w:t>
      </w:r>
      <w:r>
        <w:rPr>
          <w:color w:val="auto"/>
          <w:szCs w:val="28"/>
        </w:rPr>
        <w:t>独立性与关联性结合：指标体系必须考虑各要素及指标的独立性，反映各要素的主要特征指标。同时，指标之间也存在一定的相互联系，相互协调，不是孤立存在的。</w:t>
      </w:r>
    </w:p>
    <w:p w14:paraId="5EE05305">
      <w:pPr>
        <w:pStyle w:val="376"/>
        <w:adjustRightInd w:val="0"/>
        <w:ind w:firstLine="480"/>
        <w:rPr>
          <w:color w:val="auto"/>
          <w:szCs w:val="28"/>
        </w:rPr>
      </w:pPr>
      <w:r>
        <w:rPr>
          <w:rFonts w:hint="eastAsia" w:ascii="宋体" w:hAnsi="宋体" w:eastAsia="宋体" w:cs="宋体"/>
          <w:color w:val="auto"/>
          <w:szCs w:val="28"/>
          <w:lang w:eastAsia="zh-CN"/>
        </w:rPr>
        <w:t>③</w:t>
      </w:r>
      <w:r>
        <w:rPr>
          <w:color w:val="auto"/>
          <w:szCs w:val="28"/>
        </w:rPr>
        <w:t>系统性和层次性结合：由于水土保持区划系统的多层次性，指标体系也是由多层结构组成，反映出层次特征。同时，系统中各要素相互联系构成了一个有机整体，因此，指标体系应选择一些从整体层次上能把握系统协调程度的因子。</w:t>
      </w:r>
    </w:p>
    <w:p w14:paraId="5EDDC0E1">
      <w:pPr>
        <w:pStyle w:val="376"/>
        <w:adjustRightInd w:val="0"/>
        <w:ind w:firstLine="480"/>
        <w:rPr>
          <w:color w:val="auto"/>
          <w:szCs w:val="28"/>
        </w:rPr>
      </w:pPr>
      <w:r>
        <w:rPr>
          <w:rFonts w:hint="eastAsia" w:ascii="宋体" w:hAnsi="宋体" w:eastAsia="宋体" w:cs="宋体"/>
          <w:color w:val="auto"/>
          <w:szCs w:val="28"/>
          <w:lang w:eastAsia="zh-CN"/>
        </w:rPr>
        <w:t>④</w:t>
      </w:r>
      <w:r>
        <w:rPr>
          <w:color w:val="auto"/>
          <w:szCs w:val="28"/>
        </w:rPr>
        <w:t>静态性与动态性结合：指标的内容在一定时期内应保持相应的稳定性；同时，指标体系也应具有动态性的特点，体系中的指标应对时间和空间变化具有一定的敏感性，以便于预测和决策。</w:t>
      </w:r>
    </w:p>
    <w:p w14:paraId="7C3D5E50">
      <w:pPr>
        <w:pStyle w:val="376"/>
        <w:adjustRightInd w:val="0"/>
        <w:ind w:firstLine="480"/>
        <w:rPr>
          <w:color w:val="auto"/>
          <w:szCs w:val="28"/>
        </w:rPr>
      </w:pPr>
      <w:r>
        <w:rPr>
          <w:rFonts w:hint="eastAsia" w:ascii="宋体" w:hAnsi="宋体" w:eastAsia="宋体" w:cs="宋体"/>
          <w:color w:val="auto"/>
          <w:szCs w:val="28"/>
          <w:lang w:eastAsia="zh-CN"/>
        </w:rPr>
        <w:t>⑤</w:t>
      </w:r>
      <w:r>
        <w:rPr>
          <w:color w:val="auto"/>
          <w:szCs w:val="28"/>
        </w:rPr>
        <w:t>普遍性与区域性结合：必须根据各地域自身的特点建立起符合本地情况的指标体系。但也要考虑到指标的可比性，以便于和其它地域进行横、纵向比较分析。</w:t>
      </w:r>
    </w:p>
    <w:p w14:paraId="59581673">
      <w:pPr>
        <w:pStyle w:val="376"/>
        <w:adjustRightInd w:val="0"/>
        <w:ind w:firstLine="480"/>
        <w:rPr>
          <w:color w:val="auto"/>
          <w:szCs w:val="28"/>
        </w:rPr>
      </w:pPr>
      <w:r>
        <w:rPr>
          <w:rFonts w:hint="eastAsia" w:ascii="宋体" w:hAnsi="宋体" w:eastAsia="宋体" w:cs="宋体"/>
          <w:color w:val="auto"/>
          <w:szCs w:val="28"/>
          <w:lang w:eastAsia="zh-CN"/>
        </w:rPr>
        <w:t>⑥</w:t>
      </w:r>
      <w:r>
        <w:rPr>
          <w:color w:val="auto"/>
          <w:szCs w:val="28"/>
        </w:rPr>
        <w:t>数据的权威性与可获取性结合：建立的指标体系各因子的数据来源应来自国家及各地方或专业统计部门。同时，由于客观条件限制，部分较新的数据和资料无法得到时应尽量利用现有资料。另外，还应考虑到数据获取的可能性和经济代价。</w:t>
      </w:r>
    </w:p>
    <w:p w14:paraId="23622F7E">
      <w:pPr>
        <w:pStyle w:val="376"/>
        <w:adjustRightInd w:val="0"/>
        <w:spacing w:before="120" w:beforeLines="50"/>
        <w:ind w:firstLine="480"/>
        <w:rPr>
          <w:color w:val="auto"/>
        </w:rPr>
      </w:pPr>
      <w:bookmarkStart w:id="103" w:name="_Toc384324751"/>
      <w:bookmarkStart w:id="104" w:name="_Toc384192324"/>
      <w:r>
        <w:rPr>
          <w:color w:val="auto"/>
          <w:lang w:eastAsia="zh-CN"/>
        </w:rPr>
        <w:t>（2）</w:t>
      </w:r>
      <w:r>
        <w:rPr>
          <w:color w:val="auto"/>
        </w:rPr>
        <w:t>重点防治区划分程序</w:t>
      </w:r>
      <w:bookmarkEnd w:id="103"/>
      <w:bookmarkEnd w:id="104"/>
    </w:p>
    <w:p w14:paraId="08C4B5F7">
      <w:pPr>
        <w:pStyle w:val="376"/>
        <w:adjustRightInd w:val="0"/>
        <w:ind w:firstLine="480"/>
        <w:rPr>
          <w:color w:val="auto"/>
        </w:rPr>
      </w:pPr>
      <w:r>
        <w:rPr>
          <w:color w:val="auto"/>
        </w:rPr>
        <w:t>重点防治区划分按照图</w:t>
      </w:r>
      <w:r>
        <w:rPr>
          <w:color w:val="auto"/>
          <w:lang w:eastAsia="zh-CN"/>
        </w:rPr>
        <w:t>4.3-1</w:t>
      </w:r>
      <w:r>
        <w:rPr>
          <w:color w:val="auto"/>
        </w:rPr>
        <w:t>所示程序进行：</w:t>
      </w:r>
    </w:p>
    <w:p w14:paraId="7D857940">
      <w:pPr>
        <w:pStyle w:val="379"/>
        <w:adjustRightInd w:val="0"/>
        <w:snapToGrid w:val="0"/>
        <w:ind w:firstLine="0" w:firstLineChars="0"/>
        <w:jc w:val="center"/>
        <w:rPr>
          <w:color w:val="auto"/>
        </w:rPr>
      </w:pPr>
      <w:r>
        <w:rPr>
          <w:color w:val="auto"/>
          <w:lang w:val="en-US" w:eastAsia="zh-CN"/>
        </w:rPr>
        <w:drawing>
          <wp:inline distT="0" distB="0" distL="0" distR="0">
            <wp:extent cx="5106035" cy="45796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5107938" cy="4581289"/>
                    </a:xfrm>
                    <a:prstGeom prst="rect">
                      <a:avLst/>
                    </a:prstGeom>
                  </pic:spPr>
                </pic:pic>
              </a:graphicData>
            </a:graphic>
          </wp:inline>
        </w:drawing>
      </w:r>
    </w:p>
    <w:p w14:paraId="0489991E">
      <w:pPr>
        <w:pStyle w:val="4"/>
        <w:adjustRightInd w:val="0"/>
        <w:snapToGrid w:val="0"/>
        <w:ind w:firstLine="0" w:firstLineChars="0"/>
        <w:jc w:val="center"/>
      </w:pPr>
      <w:r>
        <w:rPr>
          <w:bCs/>
          <w:sz w:val="21"/>
          <w:szCs w:val="21"/>
        </w:rPr>
        <w:t>图4.3-1  重点防治区复核划分工作流程图</w:t>
      </w:r>
    </w:p>
    <w:p w14:paraId="2DC3D9F5">
      <w:pPr>
        <w:pStyle w:val="5"/>
        <w:rPr>
          <w:rFonts w:eastAsia="仿宋_GB2312"/>
        </w:rPr>
      </w:pPr>
      <w:bookmarkStart w:id="105" w:name="_Hlk174276922"/>
      <w:r>
        <w:rPr>
          <w:rFonts w:eastAsia="仿宋_GB2312"/>
        </w:rPr>
        <w:t>4.3.2 分区结果</w:t>
      </w:r>
    </w:p>
    <w:p w14:paraId="4D8D5F79">
      <w:pPr>
        <w:adjustRightInd w:val="0"/>
        <w:snapToGrid w:val="0"/>
        <w:ind w:firstLine="480"/>
        <w:rPr>
          <w:rFonts w:cs="Times New Roman"/>
        </w:rPr>
      </w:pPr>
      <w:r>
        <w:rPr>
          <w:rFonts w:cs="Times New Roman"/>
          <w:snapToGrid w:val="0"/>
        </w:rPr>
        <w:t>1、水土流失重点预防保护区</w:t>
      </w:r>
    </w:p>
    <w:p w14:paraId="43948C22">
      <w:pPr>
        <w:adjustRightInd w:val="0"/>
        <w:snapToGrid w:val="0"/>
        <w:ind w:firstLine="480"/>
        <w:rPr>
          <w:rFonts w:cs="Times New Roman"/>
          <w:snapToGrid w:val="0"/>
        </w:rPr>
      </w:pPr>
      <w:r>
        <w:rPr>
          <w:rFonts w:cs="Times New Roman"/>
          <w:snapToGrid w:val="0"/>
        </w:rPr>
        <w:t>根据水利部办公厅水保办[2013]188号文“关于印发《全国水土保持规划国家级水土流失重点预防区和重点治理区复核划分成果》的通知”，全疆共划分4个国家级水土流失重点预防区，分别为阿尔金山国家级水土流失重点预防区，塔里木河国家级水土流失重点预防区，天山北坡国家级水土流失重点预防区和阿勒泰山国家级水土流失重点预防区，其中昌吉州位于天山北坡国家级水土流失重点预防区（见表4.3-1），</w:t>
      </w:r>
      <w:r>
        <w:rPr>
          <w:rFonts w:cs="Times New Roman"/>
        </w:rPr>
        <w:t>阜康市</w:t>
      </w:r>
      <w:r>
        <w:rPr>
          <w:rFonts w:cs="Times New Roman"/>
          <w:snapToGrid w:val="0"/>
        </w:rPr>
        <w:t>位于天山北坡国家级水土流失重点预防区。此次国家级水土流失重点预防区划分的基本单元为县（市）级行政区域，划分结果中涉及昌吉州的有玛纳斯县、呼图壁县、昌吉市、阜康市、吉木萨尔县、</w:t>
      </w:r>
      <w:r>
        <w:rPr>
          <w:rFonts w:hint="eastAsia" w:cs="Times New Roman"/>
          <w:snapToGrid w:val="0"/>
        </w:rPr>
        <w:t>奇台县</w:t>
      </w:r>
      <w:r>
        <w:rPr>
          <w:rFonts w:cs="Times New Roman"/>
          <w:snapToGrid w:val="0"/>
        </w:rPr>
        <w:t>、木垒哈萨克自治县7个县（市）级行政区，但是这些县（市）级行政区与其他州的县（市）级行政区计列在一起，只有一个总面积，没有说明涉及的昌吉州县（市）的重点预防面积，因此需要进一步复核落实。</w:t>
      </w:r>
    </w:p>
    <w:p w14:paraId="34D0D2C3">
      <w:pPr>
        <w:adjustRightInd w:val="0"/>
        <w:snapToGrid w:val="0"/>
        <w:ind w:firstLine="480"/>
        <w:rPr>
          <w:rFonts w:cs="Times New Roman"/>
          <w:snapToGrid w:val="0"/>
        </w:rPr>
      </w:pPr>
      <w:r>
        <w:rPr>
          <w:rFonts w:cs="Times New Roman"/>
          <w:snapToGrid w:val="0"/>
        </w:rPr>
        <w:t>在《新疆维吾尔自治区水土流失重点预防区和重点治理区复核划分技术报告》的基础上，依据《水土流失重点防治区划分导则》（SL717-2015）要求，即水土流失重点预防区划分指标（林草覆盖率≥10%，轻度以下水土流失面积占总土地面积的比例≥50%），以乡、镇为划分基本单元，对国家级水土流失重点预防区涉及阜康市域范围内的乡、镇进行复核。</w:t>
      </w:r>
    </w:p>
    <w:p w14:paraId="4A325795">
      <w:pPr>
        <w:adjustRightInd w:val="0"/>
        <w:snapToGrid w:val="0"/>
        <w:ind w:firstLine="480"/>
        <w:rPr>
          <w:rFonts w:cs="Times New Roman"/>
          <w:snapToGrid w:val="0"/>
        </w:rPr>
      </w:pPr>
      <w:r>
        <w:rPr>
          <w:rFonts w:cs="Times New Roman"/>
          <w:snapToGrid w:val="0"/>
        </w:rPr>
        <w:t>本规划，将涉及阜康市的水土流失重点预防区位于南部山区重要的水源涵养 区、南部山区国有公益林划定的区域、北部荒漠灌木林等区域以及自然保护区、风景名胜区、森林公园、地质公园、湿地公园、沙漠公园、沙化土地、国家级重点公益林等。本规划共落实水土流失重点预防区域面积</w:t>
      </w:r>
      <w:r>
        <w:rPr>
          <w:rFonts w:hint="eastAsia" w:cs="Times New Roman"/>
          <w:snapToGrid w:val="0"/>
        </w:rPr>
        <w:t>1526</w:t>
      </w:r>
      <w:r>
        <w:rPr>
          <w:rFonts w:cs="Times New Roman"/>
          <w:snapToGrid w:val="0"/>
        </w:rPr>
        <w:t>km</w:t>
      </w:r>
      <w:r>
        <w:rPr>
          <w:rFonts w:cs="Times New Roman"/>
          <w:snapToGrid w:val="0"/>
          <w:vertAlign w:val="superscript"/>
        </w:rPr>
        <w:t>2</w:t>
      </w:r>
      <w:r>
        <w:rPr>
          <w:rFonts w:cs="Times New Roman"/>
          <w:snapToGrid w:val="0"/>
        </w:rPr>
        <w:t>。落实结果详见表4.3-1。</w:t>
      </w:r>
    </w:p>
    <w:p w14:paraId="0856D9AE">
      <w:pPr>
        <w:adjustRightInd w:val="0"/>
        <w:snapToGrid w:val="0"/>
        <w:ind w:firstLine="482"/>
        <w:jc w:val="center"/>
        <w:rPr>
          <w:rFonts w:cs="Times New Roman"/>
          <w:b/>
          <w:bCs/>
        </w:rPr>
      </w:pPr>
      <w:r>
        <w:rPr>
          <w:rFonts w:cs="Times New Roman"/>
          <w:b/>
          <w:bCs/>
        </w:rPr>
        <w:t xml:space="preserve">表4.3-1  水土流失重点预防区 </w:t>
      </w:r>
    </w:p>
    <w:tbl>
      <w:tblPr>
        <w:tblStyle w:val="48"/>
        <w:tblW w:w="5000" w:type="pct"/>
        <w:tblInd w:w="0" w:type="dxa"/>
        <w:tblLayout w:type="autofit"/>
        <w:tblCellMar>
          <w:top w:w="0" w:type="dxa"/>
          <w:left w:w="108" w:type="dxa"/>
          <w:bottom w:w="0" w:type="dxa"/>
          <w:right w:w="108" w:type="dxa"/>
        </w:tblCellMar>
      </w:tblPr>
      <w:tblGrid>
        <w:gridCol w:w="1539"/>
        <w:gridCol w:w="3079"/>
        <w:gridCol w:w="3911"/>
      </w:tblGrid>
      <w:tr w14:paraId="12F23209">
        <w:tblPrEx>
          <w:tblCellMar>
            <w:top w:w="0" w:type="dxa"/>
            <w:left w:w="108" w:type="dxa"/>
            <w:bottom w:w="0" w:type="dxa"/>
            <w:right w:w="108" w:type="dxa"/>
          </w:tblCellMar>
        </w:tblPrEx>
        <w:trPr>
          <w:trHeight w:val="570" w:hRule="atLeast"/>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4541C3B0">
            <w:pPr>
              <w:spacing w:line="240" w:lineRule="auto"/>
              <w:ind w:firstLine="0" w:firstLineChars="0"/>
              <w:jc w:val="center"/>
              <w:rPr>
                <w:rFonts w:hint="eastAsia" w:ascii="仿宋_GB2312" w:hAnsi="宋体"/>
                <w:sz w:val="20"/>
                <w:szCs w:val="20"/>
              </w:rPr>
            </w:pPr>
            <w:r>
              <w:rPr>
                <w:rFonts w:hint="eastAsia" w:ascii="仿宋_GB2312" w:hAnsi="宋体"/>
                <w:sz w:val="20"/>
                <w:szCs w:val="20"/>
              </w:rPr>
              <w:t>区名称</w:t>
            </w:r>
          </w:p>
        </w:tc>
        <w:tc>
          <w:tcPr>
            <w:tcW w:w="1805" w:type="pct"/>
            <w:tcBorders>
              <w:top w:val="single" w:color="auto" w:sz="4" w:space="0"/>
              <w:left w:val="nil"/>
              <w:bottom w:val="single" w:color="auto" w:sz="4" w:space="0"/>
              <w:right w:val="single" w:color="auto" w:sz="4" w:space="0"/>
            </w:tcBorders>
            <w:shd w:val="clear" w:color="auto" w:fill="auto"/>
            <w:vAlign w:val="center"/>
          </w:tcPr>
          <w:p w14:paraId="06FD1FEA">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涉及乡镇</w:t>
            </w:r>
          </w:p>
        </w:tc>
        <w:tc>
          <w:tcPr>
            <w:tcW w:w="2293" w:type="pct"/>
            <w:tcBorders>
              <w:top w:val="single" w:color="auto" w:sz="4" w:space="0"/>
              <w:left w:val="nil"/>
              <w:bottom w:val="single" w:color="auto" w:sz="4" w:space="0"/>
              <w:right w:val="single" w:color="auto" w:sz="4" w:space="0"/>
            </w:tcBorders>
            <w:shd w:val="clear" w:color="auto" w:fill="auto"/>
            <w:vAlign w:val="center"/>
          </w:tcPr>
          <w:p w14:paraId="37BE19D8">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涉及重点预防区面积（</w:t>
            </w:r>
            <w:r>
              <w:rPr>
                <w:rFonts w:cs="Times New Roman"/>
                <w:sz w:val="20"/>
                <w:szCs w:val="20"/>
              </w:rPr>
              <w:t>km</w:t>
            </w:r>
            <w:r>
              <w:rPr>
                <w:rFonts w:cs="Times New Roman"/>
                <w:sz w:val="20"/>
                <w:szCs w:val="20"/>
                <w:vertAlign w:val="superscript"/>
              </w:rPr>
              <w:t>2</w:t>
            </w:r>
            <w:r>
              <w:rPr>
                <w:rFonts w:hint="eastAsia" w:ascii="仿宋_GB2312" w:hAnsi="宋体"/>
                <w:sz w:val="20"/>
                <w:szCs w:val="20"/>
              </w:rPr>
              <w:t>）</w:t>
            </w:r>
          </w:p>
        </w:tc>
      </w:tr>
      <w:tr w14:paraId="61F0DAC0">
        <w:tblPrEx>
          <w:tblCellMar>
            <w:top w:w="0" w:type="dxa"/>
            <w:left w:w="108" w:type="dxa"/>
            <w:bottom w:w="0" w:type="dxa"/>
            <w:right w:w="108" w:type="dxa"/>
          </w:tblCellMar>
        </w:tblPrEx>
        <w:trPr>
          <w:trHeight w:val="290" w:hRule="atLeast"/>
        </w:trPr>
        <w:tc>
          <w:tcPr>
            <w:tcW w:w="902" w:type="pct"/>
            <w:vMerge w:val="restart"/>
            <w:tcBorders>
              <w:top w:val="nil"/>
              <w:left w:val="single" w:color="auto" w:sz="4" w:space="0"/>
              <w:bottom w:val="single" w:color="auto" w:sz="4" w:space="0"/>
              <w:right w:val="single" w:color="auto" w:sz="4" w:space="0"/>
            </w:tcBorders>
            <w:shd w:val="clear" w:color="auto" w:fill="auto"/>
            <w:vAlign w:val="center"/>
          </w:tcPr>
          <w:p w14:paraId="70765071">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水土流失重点预防区</w:t>
            </w:r>
          </w:p>
        </w:tc>
        <w:tc>
          <w:tcPr>
            <w:tcW w:w="1805" w:type="pct"/>
            <w:tcBorders>
              <w:top w:val="nil"/>
              <w:left w:val="nil"/>
              <w:bottom w:val="single" w:color="auto" w:sz="4" w:space="0"/>
              <w:right w:val="single" w:color="auto" w:sz="4" w:space="0"/>
            </w:tcBorders>
            <w:shd w:val="clear" w:color="auto" w:fill="auto"/>
            <w:vAlign w:val="center"/>
          </w:tcPr>
          <w:p w14:paraId="05F902B4">
            <w:pPr>
              <w:spacing w:line="240" w:lineRule="auto"/>
              <w:ind w:firstLine="0" w:firstLineChars="0"/>
              <w:jc w:val="center"/>
              <w:rPr>
                <w:rFonts w:hint="eastAsia" w:ascii="仿宋_GB2312" w:hAnsi="宋体"/>
                <w:sz w:val="20"/>
                <w:szCs w:val="20"/>
              </w:rPr>
            </w:pPr>
            <w:r>
              <w:rPr>
                <w:rFonts w:hint="eastAsia" w:ascii="仿宋_GB2312" w:hAnsi="宋体"/>
                <w:sz w:val="20"/>
                <w:szCs w:val="20"/>
              </w:rPr>
              <w:t>水磨沟乡</w:t>
            </w:r>
          </w:p>
        </w:tc>
        <w:tc>
          <w:tcPr>
            <w:tcW w:w="2293" w:type="pct"/>
            <w:tcBorders>
              <w:top w:val="nil"/>
              <w:left w:val="nil"/>
              <w:bottom w:val="single" w:color="auto" w:sz="4" w:space="0"/>
              <w:right w:val="single" w:color="auto" w:sz="4" w:space="0"/>
            </w:tcBorders>
            <w:shd w:val="clear" w:color="auto" w:fill="auto"/>
            <w:vAlign w:val="center"/>
          </w:tcPr>
          <w:p w14:paraId="3CE96C69">
            <w:pPr>
              <w:spacing w:line="240" w:lineRule="auto"/>
              <w:ind w:firstLine="0" w:firstLineChars="0"/>
              <w:jc w:val="center"/>
              <w:rPr>
                <w:rFonts w:eastAsia="宋体" w:cs="Times New Roman"/>
                <w:sz w:val="20"/>
                <w:szCs w:val="20"/>
              </w:rPr>
            </w:pPr>
            <w:r>
              <w:rPr>
                <w:rFonts w:eastAsia="宋体" w:cs="Times New Roman"/>
                <w:sz w:val="20"/>
                <w:szCs w:val="20"/>
              </w:rPr>
              <w:t>144</w:t>
            </w:r>
          </w:p>
        </w:tc>
      </w:tr>
      <w:tr w14:paraId="5F744F58">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7004D316">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0422DCF2">
            <w:pPr>
              <w:spacing w:line="240" w:lineRule="auto"/>
              <w:ind w:firstLine="0" w:firstLineChars="0"/>
              <w:jc w:val="center"/>
              <w:rPr>
                <w:rFonts w:hint="eastAsia" w:ascii="仿宋_GB2312" w:hAnsi="宋体"/>
                <w:sz w:val="20"/>
                <w:szCs w:val="20"/>
              </w:rPr>
            </w:pPr>
            <w:r>
              <w:rPr>
                <w:rFonts w:hint="eastAsia" w:ascii="仿宋_GB2312" w:hAnsi="宋体"/>
                <w:sz w:val="20"/>
                <w:szCs w:val="20"/>
              </w:rPr>
              <w:t>三工河乡</w:t>
            </w:r>
          </w:p>
        </w:tc>
        <w:tc>
          <w:tcPr>
            <w:tcW w:w="2293" w:type="pct"/>
            <w:tcBorders>
              <w:top w:val="nil"/>
              <w:left w:val="nil"/>
              <w:bottom w:val="single" w:color="auto" w:sz="4" w:space="0"/>
              <w:right w:val="single" w:color="auto" w:sz="4" w:space="0"/>
            </w:tcBorders>
            <w:shd w:val="clear" w:color="auto" w:fill="auto"/>
            <w:vAlign w:val="center"/>
          </w:tcPr>
          <w:p w14:paraId="4882DD65">
            <w:pPr>
              <w:spacing w:line="240" w:lineRule="auto"/>
              <w:ind w:firstLine="0" w:firstLineChars="0"/>
              <w:jc w:val="center"/>
              <w:rPr>
                <w:rFonts w:eastAsia="宋体" w:cs="Times New Roman"/>
                <w:sz w:val="20"/>
                <w:szCs w:val="20"/>
              </w:rPr>
            </w:pPr>
            <w:r>
              <w:rPr>
                <w:rFonts w:eastAsia="宋体" w:cs="Times New Roman"/>
                <w:sz w:val="20"/>
                <w:szCs w:val="20"/>
              </w:rPr>
              <w:t>322</w:t>
            </w:r>
          </w:p>
        </w:tc>
      </w:tr>
      <w:tr w14:paraId="6F890011">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0C14D324">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15F4BC56">
            <w:pPr>
              <w:spacing w:line="240" w:lineRule="auto"/>
              <w:ind w:firstLine="0" w:firstLineChars="0"/>
              <w:jc w:val="center"/>
              <w:rPr>
                <w:rFonts w:hint="eastAsia" w:ascii="仿宋_GB2312" w:hAnsi="宋体"/>
                <w:sz w:val="20"/>
                <w:szCs w:val="20"/>
              </w:rPr>
            </w:pPr>
            <w:r>
              <w:rPr>
                <w:rFonts w:hint="eastAsia" w:ascii="仿宋_GB2312" w:hAnsi="宋体"/>
                <w:sz w:val="20"/>
                <w:szCs w:val="20"/>
              </w:rPr>
              <w:t>上户沟乡</w:t>
            </w:r>
          </w:p>
        </w:tc>
        <w:tc>
          <w:tcPr>
            <w:tcW w:w="2293" w:type="pct"/>
            <w:tcBorders>
              <w:top w:val="nil"/>
              <w:left w:val="nil"/>
              <w:bottom w:val="single" w:color="auto" w:sz="4" w:space="0"/>
              <w:right w:val="single" w:color="auto" w:sz="4" w:space="0"/>
            </w:tcBorders>
            <w:shd w:val="clear" w:color="auto" w:fill="auto"/>
            <w:vAlign w:val="center"/>
          </w:tcPr>
          <w:p w14:paraId="68E9E1D1">
            <w:pPr>
              <w:spacing w:line="240" w:lineRule="auto"/>
              <w:ind w:firstLine="0" w:firstLineChars="0"/>
              <w:jc w:val="center"/>
              <w:rPr>
                <w:rFonts w:eastAsia="宋体" w:cs="Times New Roman"/>
                <w:sz w:val="20"/>
                <w:szCs w:val="20"/>
              </w:rPr>
            </w:pPr>
            <w:r>
              <w:rPr>
                <w:rFonts w:eastAsia="宋体" w:cs="Times New Roman"/>
                <w:sz w:val="20"/>
                <w:szCs w:val="20"/>
              </w:rPr>
              <w:t>551</w:t>
            </w:r>
          </w:p>
        </w:tc>
      </w:tr>
      <w:tr w14:paraId="1AF0204F">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75D470A7">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71F2A6D5">
            <w:pPr>
              <w:spacing w:line="240" w:lineRule="auto"/>
              <w:ind w:firstLine="0" w:firstLineChars="0"/>
              <w:jc w:val="center"/>
              <w:rPr>
                <w:rFonts w:hint="eastAsia" w:ascii="仿宋_GB2312" w:hAnsi="宋体"/>
                <w:sz w:val="20"/>
                <w:szCs w:val="20"/>
              </w:rPr>
            </w:pPr>
            <w:r>
              <w:rPr>
                <w:rFonts w:hint="eastAsia" w:ascii="仿宋_GB2312" w:hAnsi="宋体"/>
                <w:sz w:val="20"/>
                <w:szCs w:val="20"/>
              </w:rPr>
              <w:t>北部荒漠区</w:t>
            </w:r>
          </w:p>
        </w:tc>
        <w:tc>
          <w:tcPr>
            <w:tcW w:w="2293" w:type="pct"/>
            <w:tcBorders>
              <w:top w:val="nil"/>
              <w:left w:val="nil"/>
              <w:bottom w:val="single" w:color="auto" w:sz="4" w:space="0"/>
              <w:right w:val="single" w:color="auto" w:sz="4" w:space="0"/>
            </w:tcBorders>
            <w:shd w:val="clear" w:color="auto" w:fill="auto"/>
            <w:vAlign w:val="center"/>
          </w:tcPr>
          <w:p w14:paraId="04F73670">
            <w:pPr>
              <w:spacing w:line="240" w:lineRule="auto"/>
              <w:ind w:firstLine="0" w:firstLineChars="0"/>
              <w:jc w:val="center"/>
              <w:rPr>
                <w:rFonts w:eastAsia="宋体" w:cs="Times New Roman"/>
                <w:sz w:val="20"/>
                <w:szCs w:val="20"/>
              </w:rPr>
            </w:pPr>
            <w:r>
              <w:rPr>
                <w:rFonts w:eastAsia="宋体" w:cs="Times New Roman"/>
                <w:sz w:val="20"/>
                <w:szCs w:val="20"/>
              </w:rPr>
              <w:t>509</w:t>
            </w:r>
          </w:p>
        </w:tc>
      </w:tr>
      <w:tr w14:paraId="22A58D3F">
        <w:tblPrEx>
          <w:tblCellMar>
            <w:top w:w="0" w:type="dxa"/>
            <w:left w:w="108" w:type="dxa"/>
            <w:bottom w:w="0" w:type="dxa"/>
            <w:right w:w="108" w:type="dxa"/>
          </w:tblCellMar>
        </w:tblPrEx>
        <w:trPr>
          <w:trHeight w:val="280" w:hRule="atLeast"/>
        </w:trPr>
        <w:tc>
          <w:tcPr>
            <w:tcW w:w="902" w:type="pct"/>
            <w:tcBorders>
              <w:top w:val="nil"/>
              <w:left w:val="single" w:color="auto" w:sz="4" w:space="0"/>
              <w:bottom w:val="single" w:color="auto" w:sz="4" w:space="0"/>
              <w:right w:val="single" w:color="auto" w:sz="4" w:space="0"/>
            </w:tcBorders>
            <w:shd w:val="clear" w:color="auto" w:fill="auto"/>
            <w:vAlign w:val="center"/>
          </w:tcPr>
          <w:p w14:paraId="09144454">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805" w:type="pct"/>
            <w:tcBorders>
              <w:top w:val="nil"/>
              <w:left w:val="nil"/>
              <w:bottom w:val="single" w:color="auto" w:sz="4" w:space="0"/>
              <w:right w:val="single" w:color="auto" w:sz="4" w:space="0"/>
            </w:tcBorders>
            <w:shd w:val="clear" w:color="auto" w:fill="auto"/>
            <w:vAlign w:val="center"/>
          </w:tcPr>
          <w:p w14:paraId="698E04E2">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2293" w:type="pct"/>
            <w:tcBorders>
              <w:top w:val="nil"/>
              <w:left w:val="nil"/>
              <w:bottom w:val="single" w:color="auto" w:sz="4" w:space="0"/>
              <w:right w:val="single" w:color="auto" w:sz="4" w:space="0"/>
            </w:tcBorders>
            <w:shd w:val="clear" w:color="auto" w:fill="auto"/>
            <w:vAlign w:val="center"/>
          </w:tcPr>
          <w:p w14:paraId="085E3F0D">
            <w:pPr>
              <w:spacing w:line="240" w:lineRule="auto"/>
              <w:ind w:firstLine="0" w:firstLineChars="0"/>
              <w:jc w:val="center"/>
              <w:rPr>
                <w:rFonts w:eastAsia="宋体" w:cs="Times New Roman"/>
                <w:b/>
                <w:bCs/>
                <w:sz w:val="20"/>
                <w:szCs w:val="20"/>
              </w:rPr>
            </w:pPr>
            <w:r>
              <w:rPr>
                <w:rFonts w:eastAsia="宋体" w:cs="Times New Roman"/>
                <w:b/>
                <w:bCs/>
                <w:sz w:val="20"/>
                <w:szCs w:val="20"/>
              </w:rPr>
              <w:t>1526</w:t>
            </w:r>
          </w:p>
        </w:tc>
      </w:tr>
    </w:tbl>
    <w:p w14:paraId="0881AC63">
      <w:pPr>
        <w:adjustRightInd w:val="0"/>
        <w:snapToGrid w:val="0"/>
        <w:spacing w:line="240" w:lineRule="auto"/>
        <w:ind w:firstLine="480"/>
        <w:rPr>
          <w:rFonts w:cs="Times New Roman"/>
          <w:snapToGrid w:val="0"/>
        </w:rPr>
      </w:pPr>
    </w:p>
    <w:p w14:paraId="2024DF57">
      <w:pPr>
        <w:adjustRightInd w:val="0"/>
        <w:snapToGrid w:val="0"/>
        <w:spacing w:line="240" w:lineRule="auto"/>
        <w:ind w:firstLine="480"/>
        <w:rPr>
          <w:rFonts w:cs="Times New Roman"/>
          <w:snapToGrid w:val="0"/>
        </w:rPr>
      </w:pPr>
    </w:p>
    <w:p w14:paraId="71BF03DD">
      <w:pPr>
        <w:adjustRightInd w:val="0"/>
        <w:snapToGrid w:val="0"/>
        <w:ind w:firstLine="480"/>
        <w:rPr>
          <w:rFonts w:cs="Times New Roman"/>
          <w:snapToGrid w:val="0"/>
        </w:rPr>
      </w:pPr>
      <w:r>
        <w:rPr>
          <w:rFonts w:cs="Times New Roman"/>
          <w:snapToGrid w:val="0"/>
        </w:rPr>
        <w:t>2、水土流失重点治理区</w:t>
      </w:r>
    </w:p>
    <w:p w14:paraId="48043470">
      <w:pPr>
        <w:adjustRightInd w:val="0"/>
        <w:snapToGrid w:val="0"/>
        <w:ind w:firstLine="480"/>
        <w:rPr>
          <w:rFonts w:cs="Times New Roman"/>
          <w:snapToGrid w:val="0"/>
        </w:rPr>
      </w:pPr>
      <w:r>
        <w:rPr>
          <w:rFonts w:cs="Times New Roman"/>
          <w:snapToGrid w:val="0"/>
        </w:rPr>
        <w:t>全疆共划分4个自治区级水土流失重点治理区，分别为额尔齐斯河流域重点治理区，天山北坡诸小河流域重点治理区，塔里木河流域重点治理区和伊犁河流域重点治理区，其中</w:t>
      </w:r>
      <w:r>
        <w:rPr>
          <w:rFonts w:cs="Times New Roman"/>
        </w:rPr>
        <w:t>阜康市</w:t>
      </w:r>
      <w:r>
        <w:rPr>
          <w:rFonts w:cs="Times New Roman"/>
          <w:snapToGrid w:val="0"/>
        </w:rPr>
        <w:t>位于天山北坡诸小河流域重点治理区（见表4.3-3）。</w:t>
      </w:r>
    </w:p>
    <w:p w14:paraId="645C8FF7">
      <w:pPr>
        <w:adjustRightInd w:val="0"/>
        <w:snapToGrid w:val="0"/>
        <w:ind w:firstLine="480"/>
        <w:rPr>
          <w:rFonts w:cs="Times New Roman"/>
          <w:snapToGrid w:val="0"/>
        </w:rPr>
      </w:pPr>
      <w:r>
        <w:rPr>
          <w:rFonts w:cs="Times New Roman"/>
          <w:snapToGrid w:val="0"/>
        </w:rPr>
        <w:t>此次自治区级水土流失重点治理区划分的基本单元为县（市）级行政区域，划分结果中涉及昌吉州的有玛纳斯县、呼图壁县、昌吉市、阜康市、吉木萨尔县、木垒哈萨克自治县6个县（市）级行政区，但是这些县（市）级行政区与其他州的县（市）级行政区计列在一起，只有一个总面积，没有说明涉及的昌吉州各县（市）的重点治理区面积，因此需要进一步复核落实。</w:t>
      </w:r>
    </w:p>
    <w:p w14:paraId="4E0BEA6B">
      <w:pPr>
        <w:adjustRightInd w:val="0"/>
        <w:snapToGrid w:val="0"/>
        <w:ind w:firstLine="480"/>
        <w:rPr>
          <w:rFonts w:cs="Times New Roman"/>
          <w:snapToGrid w:val="0"/>
        </w:rPr>
      </w:pPr>
      <w:r>
        <w:rPr>
          <w:rFonts w:cs="Times New Roman"/>
          <w:snapToGrid w:val="0"/>
        </w:rPr>
        <w:t>在《新疆维吾尔自治区水土流失重点预防区和重点治理区复核划分技术报告》的基础上，依据《水土流失重点防治区划分导则》（SL717-2015）要求，即水土流失重点治理区划分指标（水土流失面积占国土面积的比例≥50%和中度及以上的水土流失面积占水土流失面积的比例≥50%这两个指标），以乡、镇为划分基本单元，对自治区级水土流失重点治理区涉及阜康市域范围内的乡、镇进行复核。</w:t>
      </w:r>
    </w:p>
    <w:p w14:paraId="69E9CDC8">
      <w:pPr>
        <w:adjustRightInd w:val="0"/>
        <w:snapToGrid w:val="0"/>
        <w:ind w:firstLine="480"/>
        <w:rPr>
          <w:rFonts w:cs="Times New Roman"/>
          <w:snapToGrid w:val="0"/>
        </w:rPr>
      </w:pPr>
      <w:r>
        <w:rPr>
          <w:rFonts w:cs="Times New Roman"/>
          <w:snapToGrid w:val="0"/>
        </w:rPr>
        <w:t>本规划，将涉及阜康市的级水土流失重点治理区位于阜康市境内天山低山 丘陵区7条河流范围内、北部绿洲外围风蚀严重区以及海拔较低的天山北 坡诸小河流两侧低山丘陵区等人为活动影响较大，水土流失危害较大的区域。共落实水土流失重点治理区面积</w:t>
      </w:r>
      <w:r>
        <w:rPr>
          <w:rFonts w:hint="eastAsia" w:cs="Times New Roman"/>
          <w:snapToGrid w:val="0"/>
        </w:rPr>
        <w:t>457</w:t>
      </w:r>
      <w:r>
        <w:rPr>
          <w:rFonts w:cs="Times New Roman"/>
          <w:snapToGrid w:val="0"/>
        </w:rPr>
        <w:t>km</w:t>
      </w:r>
      <w:r>
        <w:rPr>
          <w:rFonts w:cs="Times New Roman"/>
          <w:snapToGrid w:val="0"/>
          <w:vertAlign w:val="superscript"/>
        </w:rPr>
        <w:t>2</w:t>
      </w:r>
      <w:r>
        <w:rPr>
          <w:rFonts w:cs="Times New Roman"/>
          <w:snapToGrid w:val="0"/>
        </w:rPr>
        <w:t>。落实结果详见表4.3-2。</w:t>
      </w:r>
    </w:p>
    <w:p w14:paraId="49887468">
      <w:pPr>
        <w:adjustRightInd w:val="0"/>
        <w:snapToGrid w:val="0"/>
        <w:ind w:firstLine="482"/>
        <w:jc w:val="center"/>
        <w:rPr>
          <w:rFonts w:cs="Times New Roman"/>
          <w:b/>
          <w:bCs/>
        </w:rPr>
      </w:pPr>
      <w:r>
        <w:rPr>
          <w:rFonts w:cs="Times New Roman"/>
          <w:b/>
          <w:bCs/>
        </w:rPr>
        <w:t>表4.3-2     水土流失重点治理区</w:t>
      </w:r>
    </w:p>
    <w:tbl>
      <w:tblPr>
        <w:tblStyle w:val="48"/>
        <w:tblW w:w="5000" w:type="pct"/>
        <w:tblInd w:w="0" w:type="dxa"/>
        <w:tblLayout w:type="autofit"/>
        <w:tblCellMar>
          <w:top w:w="0" w:type="dxa"/>
          <w:left w:w="108" w:type="dxa"/>
          <w:bottom w:w="0" w:type="dxa"/>
          <w:right w:w="108" w:type="dxa"/>
        </w:tblCellMar>
      </w:tblPr>
      <w:tblGrid>
        <w:gridCol w:w="1539"/>
        <w:gridCol w:w="3079"/>
        <w:gridCol w:w="3911"/>
      </w:tblGrid>
      <w:tr w14:paraId="627A17CE">
        <w:tblPrEx>
          <w:tblCellMar>
            <w:top w:w="0" w:type="dxa"/>
            <w:left w:w="108" w:type="dxa"/>
            <w:bottom w:w="0" w:type="dxa"/>
            <w:right w:w="108" w:type="dxa"/>
          </w:tblCellMar>
        </w:tblPrEx>
        <w:trPr>
          <w:trHeight w:val="560" w:hRule="atLeast"/>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3F5A9C38">
            <w:pPr>
              <w:spacing w:line="240" w:lineRule="auto"/>
              <w:ind w:firstLine="0" w:firstLineChars="0"/>
              <w:jc w:val="center"/>
              <w:rPr>
                <w:rFonts w:hint="eastAsia" w:ascii="仿宋_GB2312" w:hAnsi="宋体"/>
                <w:sz w:val="20"/>
                <w:szCs w:val="20"/>
              </w:rPr>
            </w:pPr>
            <w:r>
              <w:rPr>
                <w:rFonts w:hint="eastAsia" w:ascii="仿宋_GB2312" w:hAnsi="宋体"/>
                <w:sz w:val="20"/>
                <w:szCs w:val="20"/>
              </w:rPr>
              <w:t>区名称</w:t>
            </w:r>
          </w:p>
        </w:tc>
        <w:tc>
          <w:tcPr>
            <w:tcW w:w="1805" w:type="pct"/>
            <w:tcBorders>
              <w:top w:val="single" w:color="auto" w:sz="4" w:space="0"/>
              <w:left w:val="nil"/>
              <w:bottom w:val="single" w:color="auto" w:sz="4" w:space="0"/>
              <w:right w:val="single" w:color="auto" w:sz="4" w:space="0"/>
            </w:tcBorders>
            <w:shd w:val="clear" w:color="auto" w:fill="auto"/>
            <w:vAlign w:val="center"/>
          </w:tcPr>
          <w:p w14:paraId="1227E6BD">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涉及乡镇</w:t>
            </w:r>
          </w:p>
        </w:tc>
        <w:tc>
          <w:tcPr>
            <w:tcW w:w="2293" w:type="pct"/>
            <w:tcBorders>
              <w:top w:val="single" w:color="auto" w:sz="4" w:space="0"/>
              <w:left w:val="nil"/>
              <w:bottom w:val="single" w:color="auto" w:sz="4" w:space="0"/>
              <w:right w:val="single" w:color="auto" w:sz="4" w:space="0"/>
            </w:tcBorders>
            <w:shd w:val="clear" w:color="auto" w:fill="auto"/>
            <w:vAlign w:val="center"/>
          </w:tcPr>
          <w:p w14:paraId="1FCBA4B3">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涉及重点治理区面积（km</w:t>
            </w:r>
            <w:r>
              <w:rPr>
                <w:rFonts w:hint="eastAsia" w:ascii="仿宋_GB2312" w:hAnsi="宋体"/>
                <w:sz w:val="20"/>
                <w:szCs w:val="20"/>
                <w:vertAlign w:val="superscript"/>
              </w:rPr>
              <w:t>2</w:t>
            </w:r>
            <w:r>
              <w:rPr>
                <w:rFonts w:hint="eastAsia" w:ascii="仿宋_GB2312" w:hAnsi="宋体"/>
                <w:sz w:val="20"/>
                <w:szCs w:val="20"/>
              </w:rPr>
              <w:t>）</w:t>
            </w:r>
          </w:p>
        </w:tc>
      </w:tr>
      <w:tr w14:paraId="60AF9B3B">
        <w:tblPrEx>
          <w:tblCellMar>
            <w:top w:w="0" w:type="dxa"/>
            <w:left w:w="108" w:type="dxa"/>
            <w:bottom w:w="0" w:type="dxa"/>
            <w:right w:w="108" w:type="dxa"/>
          </w:tblCellMar>
        </w:tblPrEx>
        <w:trPr>
          <w:trHeight w:val="280" w:hRule="atLeast"/>
        </w:trPr>
        <w:tc>
          <w:tcPr>
            <w:tcW w:w="902" w:type="pct"/>
            <w:vMerge w:val="restart"/>
            <w:tcBorders>
              <w:top w:val="nil"/>
              <w:left w:val="single" w:color="auto" w:sz="4" w:space="0"/>
              <w:bottom w:val="single" w:color="auto" w:sz="4" w:space="0"/>
              <w:right w:val="single" w:color="auto" w:sz="4" w:space="0"/>
            </w:tcBorders>
            <w:shd w:val="clear" w:color="auto" w:fill="auto"/>
            <w:vAlign w:val="center"/>
          </w:tcPr>
          <w:p w14:paraId="00F01D32">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水土流失重点治理区</w:t>
            </w:r>
          </w:p>
        </w:tc>
        <w:tc>
          <w:tcPr>
            <w:tcW w:w="1805" w:type="pct"/>
            <w:tcBorders>
              <w:top w:val="nil"/>
              <w:left w:val="nil"/>
              <w:bottom w:val="single" w:color="auto" w:sz="4" w:space="0"/>
              <w:right w:val="single" w:color="auto" w:sz="4" w:space="0"/>
            </w:tcBorders>
            <w:shd w:val="clear" w:color="auto" w:fill="auto"/>
            <w:vAlign w:val="center"/>
          </w:tcPr>
          <w:p w14:paraId="169CB519">
            <w:pPr>
              <w:spacing w:line="240" w:lineRule="auto"/>
              <w:ind w:firstLine="0" w:firstLineChars="0"/>
              <w:jc w:val="center"/>
              <w:rPr>
                <w:rFonts w:hint="eastAsia" w:ascii="仿宋_GB2312" w:hAnsi="宋体"/>
                <w:sz w:val="20"/>
                <w:szCs w:val="20"/>
              </w:rPr>
            </w:pPr>
            <w:r>
              <w:rPr>
                <w:rFonts w:hint="eastAsia" w:ascii="仿宋_GB2312" w:hAnsi="宋体"/>
                <w:sz w:val="20"/>
                <w:szCs w:val="20"/>
              </w:rPr>
              <w:t>水磨沟乡</w:t>
            </w:r>
          </w:p>
        </w:tc>
        <w:tc>
          <w:tcPr>
            <w:tcW w:w="2293" w:type="pct"/>
            <w:tcBorders>
              <w:top w:val="nil"/>
              <w:left w:val="nil"/>
              <w:bottom w:val="single" w:color="auto" w:sz="4" w:space="0"/>
              <w:right w:val="single" w:color="auto" w:sz="4" w:space="0"/>
            </w:tcBorders>
            <w:shd w:val="clear" w:color="auto" w:fill="auto"/>
            <w:vAlign w:val="center"/>
          </w:tcPr>
          <w:p w14:paraId="14DC40D3">
            <w:pPr>
              <w:spacing w:line="240" w:lineRule="auto"/>
              <w:ind w:firstLine="0" w:firstLineChars="0"/>
              <w:jc w:val="center"/>
              <w:rPr>
                <w:rFonts w:hint="eastAsia" w:ascii="仿宋_GB2312" w:hAnsi="宋体"/>
                <w:sz w:val="20"/>
                <w:szCs w:val="20"/>
              </w:rPr>
            </w:pPr>
            <w:r>
              <w:rPr>
                <w:rFonts w:hint="eastAsia" w:ascii="仿宋_GB2312" w:hAnsi="宋体"/>
                <w:sz w:val="20"/>
                <w:szCs w:val="20"/>
              </w:rPr>
              <w:t>111</w:t>
            </w:r>
          </w:p>
        </w:tc>
      </w:tr>
      <w:tr w14:paraId="0E48E508">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4BE30DF2">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609AE776">
            <w:pPr>
              <w:spacing w:line="240" w:lineRule="auto"/>
              <w:ind w:firstLine="0" w:firstLineChars="0"/>
              <w:jc w:val="center"/>
              <w:rPr>
                <w:rFonts w:hint="eastAsia" w:ascii="仿宋_GB2312" w:hAnsi="宋体"/>
                <w:sz w:val="20"/>
                <w:szCs w:val="20"/>
              </w:rPr>
            </w:pPr>
            <w:r>
              <w:rPr>
                <w:rFonts w:hint="eastAsia" w:ascii="仿宋_GB2312" w:hAnsi="宋体"/>
                <w:sz w:val="20"/>
                <w:szCs w:val="20"/>
              </w:rPr>
              <w:t>三工河乡</w:t>
            </w:r>
          </w:p>
        </w:tc>
        <w:tc>
          <w:tcPr>
            <w:tcW w:w="2293" w:type="pct"/>
            <w:tcBorders>
              <w:top w:val="nil"/>
              <w:left w:val="nil"/>
              <w:bottom w:val="single" w:color="auto" w:sz="4" w:space="0"/>
              <w:right w:val="single" w:color="auto" w:sz="4" w:space="0"/>
            </w:tcBorders>
            <w:shd w:val="clear" w:color="auto" w:fill="auto"/>
            <w:vAlign w:val="center"/>
          </w:tcPr>
          <w:p w14:paraId="31AE7EF2">
            <w:pPr>
              <w:spacing w:line="240" w:lineRule="auto"/>
              <w:ind w:firstLine="0" w:firstLineChars="0"/>
              <w:jc w:val="center"/>
              <w:rPr>
                <w:rFonts w:hint="eastAsia" w:ascii="仿宋_GB2312" w:hAnsi="宋体"/>
                <w:sz w:val="20"/>
                <w:szCs w:val="20"/>
              </w:rPr>
            </w:pPr>
            <w:r>
              <w:rPr>
                <w:rFonts w:hint="eastAsia" w:ascii="仿宋_GB2312" w:hAnsi="宋体"/>
                <w:sz w:val="20"/>
                <w:szCs w:val="20"/>
              </w:rPr>
              <w:t>92</w:t>
            </w:r>
          </w:p>
        </w:tc>
      </w:tr>
      <w:tr w14:paraId="7EC73389">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1D871297">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61E0E48C">
            <w:pPr>
              <w:spacing w:line="240" w:lineRule="auto"/>
              <w:ind w:firstLine="0" w:firstLineChars="0"/>
              <w:jc w:val="center"/>
              <w:rPr>
                <w:rFonts w:hint="eastAsia" w:ascii="仿宋_GB2312" w:hAnsi="宋体"/>
                <w:sz w:val="20"/>
                <w:szCs w:val="20"/>
              </w:rPr>
            </w:pPr>
            <w:r>
              <w:rPr>
                <w:rFonts w:hint="eastAsia" w:ascii="仿宋_GB2312" w:hAnsi="宋体"/>
                <w:sz w:val="20"/>
                <w:szCs w:val="20"/>
              </w:rPr>
              <w:t>上户沟乡</w:t>
            </w:r>
          </w:p>
        </w:tc>
        <w:tc>
          <w:tcPr>
            <w:tcW w:w="2293" w:type="pct"/>
            <w:tcBorders>
              <w:top w:val="nil"/>
              <w:left w:val="nil"/>
              <w:bottom w:val="single" w:color="auto" w:sz="4" w:space="0"/>
              <w:right w:val="single" w:color="auto" w:sz="4" w:space="0"/>
            </w:tcBorders>
            <w:shd w:val="clear" w:color="auto" w:fill="auto"/>
            <w:vAlign w:val="center"/>
          </w:tcPr>
          <w:p w14:paraId="0BACC9D2">
            <w:pPr>
              <w:spacing w:line="240" w:lineRule="auto"/>
              <w:ind w:firstLine="0" w:firstLineChars="0"/>
              <w:jc w:val="center"/>
              <w:rPr>
                <w:rFonts w:hint="eastAsia" w:ascii="仿宋_GB2312" w:hAnsi="宋体"/>
                <w:sz w:val="20"/>
                <w:szCs w:val="20"/>
              </w:rPr>
            </w:pPr>
            <w:r>
              <w:rPr>
                <w:rFonts w:hint="eastAsia" w:ascii="仿宋_GB2312" w:hAnsi="宋体"/>
                <w:sz w:val="20"/>
                <w:szCs w:val="20"/>
              </w:rPr>
              <w:t>218</w:t>
            </w:r>
          </w:p>
        </w:tc>
      </w:tr>
      <w:tr w14:paraId="03978543">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3B10FC17">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15A3D8CC">
            <w:pPr>
              <w:spacing w:line="240" w:lineRule="auto"/>
              <w:ind w:firstLine="0" w:firstLineChars="0"/>
              <w:jc w:val="center"/>
              <w:rPr>
                <w:rFonts w:hint="eastAsia" w:ascii="仿宋_GB2312" w:hAnsi="宋体"/>
                <w:sz w:val="20"/>
                <w:szCs w:val="20"/>
              </w:rPr>
            </w:pPr>
            <w:r>
              <w:rPr>
                <w:rFonts w:hint="eastAsia" w:ascii="仿宋_GB2312" w:hAnsi="宋体"/>
                <w:sz w:val="20"/>
                <w:szCs w:val="20"/>
              </w:rPr>
              <w:t>甘河子镇</w:t>
            </w:r>
          </w:p>
        </w:tc>
        <w:tc>
          <w:tcPr>
            <w:tcW w:w="2293" w:type="pct"/>
            <w:tcBorders>
              <w:top w:val="nil"/>
              <w:left w:val="nil"/>
              <w:bottom w:val="single" w:color="auto" w:sz="4" w:space="0"/>
              <w:right w:val="single" w:color="auto" w:sz="4" w:space="0"/>
            </w:tcBorders>
            <w:shd w:val="clear" w:color="auto" w:fill="auto"/>
            <w:vAlign w:val="center"/>
          </w:tcPr>
          <w:p w14:paraId="49C0C6CD">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r>
      <w:tr w14:paraId="6B1BC65D">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66E00632">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3B5AA879">
            <w:pPr>
              <w:spacing w:line="240" w:lineRule="auto"/>
              <w:ind w:firstLine="0" w:firstLineChars="0"/>
              <w:jc w:val="center"/>
              <w:rPr>
                <w:rFonts w:hint="eastAsia" w:ascii="仿宋_GB2312" w:hAnsi="宋体"/>
                <w:sz w:val="20"/>
                <w:szCs w:val="20"/>
              </w:rPr>
            </w:pPr>
            <w:r>
              <w:rPr>
                <w:rFonts w:hint="eastAsia" w:ascii="仿宋_GB2312" w:hAnsi="宋体"/>
                <w:sz w:val="20"/>
                <w:szCs w:val="20"/>
              </w:rPr>
              <w:t>九运街镇</w:t>
            </w:r>
          </w:p>
        </w:tc>
        <w:tc>
          <w:tcPr>
            <w:tcW w:w="2293" w:type="pct"/>
            <w:tcBorders>
              <w:top w:val="nil"/>
              <w:left w:val="nil"/>
              <w:bottom w:val="single" w:color="auto" w:sz="4" w:space="0"/>
              <w:right w:val="single" w:color="auto" w:sz="4" w:space="0"/>
            </w:tcBorders>
            <w:shd w:val="clear" w:color="auto" w:fill="auto"/>
            <w:vAlign w:val="center"/>
          </w:tcPr>
          <w:p w14:paraId="1FFDEA8C">
            <w:pPr>
              <w:spacing w:line="240" w:lineRule="auto"/>
              <w:ind w:firstLine="0" w:firstLineChars="0"/>
              <w:jc w:val="center"/>
              <w:rPr>
                <w:rFonts w:hint="eastAsia" w:ascii="仿宋_GB2312" w:hAnsi="宋体"/>
                <w:sz w:val="20"/>
                <w:szCs w:val="20"/>
              </w:rPr>
            </w:pPr>
            <w:r>
              <w:rPr>
                <w:rFonts w:hint="eastAsia" w:ascii="仿宋_GB2312" w:hAnsi="宋体"/>
                <w:sz w:val="20"/>
                <w:szCs w:val="20"/>
              </w:rPr>
              <w:t>35</w:t>
            </w:r>
          </w:p>
        </w:tc>
      </w:tr>
      <w:tr w14:paraId="18593565">
        <w:tblPrEx>
          <w:tblCellMar>
            <w:top w:w="0" w:type="dxa"/>
            <w:left w:w="108" w:type="dxa"/>
            <w:bottom w:w="0" w:type="dxa"/>
            <w:right w:w="108" w:type="dxa"/>
          </w:tblCellMar>
        </w:tblPrEx>
        <w:trPr>
          <w:trHeight w:val="280" w:hRule="atLeast"/>
        </w:trPr>
        <w:tc>
          <w:tcPr>
            <w:tcW w:w="902" w:type="pct"/>
            <w:tcBorders>
              <w:top w:val="nil"/>
              <w:left w:val="single" w:color="auto" w:sz="4" w:space="0"/>
              <w:bottom w:val="single" w:color="auto" w:sz="4" w:space="0"/>
              <w:right w:val="single" w:color="auto" w:sz="4" w:space="0"/>
            </w:tcBorders>
            <w:shd w:val="clear" w:color="auto" w:fill="auto"/>
            <w:vAlign w:val="center"/>
          </w:tcPr>
          <w:p w14:paraId="2395BEE5">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805" w:type="pct"/>
            <w:tcBorders>
              <w:top w:val="nil"/>
              <w:left w:val="nil"/>
              <w:bottom w:val="single" w:color="auto" w:sz="4" w:space="0"/>
              <w:right w:val="single" w:color="auto" w:sz="4" w:space="0"/>
            </w:tcBorders>
            <w:shd w:val="clear" w:color="auto" w:fill="auto"/>
            <w:vAlign w:val="center"/>
          </w:tcPr>
          <w:p w14:paraId="42C91A41">
            <w:pPr>
              <w:spacing w:line="240" w:lineRule="auto"/>
              <w:ind w:firstLine="0" w:firstLineChars="0"/>
              <w:rPr>
                <w:rFonts w:hint="eastAsia" w:ascii="仿宋_GB2312" w:hAnsi="宋体"/>
                <w:sz w:val="20"/>
                <w:szCs w:val="20"/>
              </w:rPr>
            </w:pPr>
            <w:r>
              <w:rPr>
                <w:rFonts w:hint="eastAsia" w:ascii="仿宋_GB2312" w:hAnsi="宋体"/>
                <w:sz w:val="20"/>
                <w:szCs w:val="20"/>
              </w:rPr>
              <w:t>　</w:t>
            </w:r>
          </w:p>
        </w:tc>
        <w:tc>
          <w:tcPr>
            <w:tcW w:w="2293" w:type="pct"/>
            <w:tcBorders>
              <w:top w:val="nil"/>
              <w:left w:val="nil"/>
              <w:bottom w:val="single" w:color="auto" w:sz="4" w:space="0"/>
              <w:right w:val="single" w:color="auto" w:sz="4" w:space="0"/>
            </w:tcBorders>
            <w:shd w:val="clear" w:color="auto" w:fill="auto"/>
            <w:vAlign w:val="center"/>
          </w:tcPr>
          <w:p w14:paraId="3800F8E5">
            <w:pPr>
              <w:spacing w:line="240" w:lineRule="auto"/>
              <w:ind w:firstLine="0" w:firstLineChars="0"/>
              <w:jc w:val="center"/>
              <w:rPr>
                <w:rFonts w:hint="eastAsia" w:ascii="仿宋_GB2312" w:hAnsi="宋体"/>
                <w:b/>
                <w:bCs/>
                <w:sz w:val="20"/>
                <w:szCs w:val="20"/>
              </w:rPr>
            </w:pPr>
            <w:r>
              <w:rPr>
                <w:rFonts w:hint="eastAsia" w:ascii="仿宋_GB2312" w:hAnsi="宋体"/>
                <w:b/>
                <w:bCs/>
                <w:sz w:val="20"/>
                <w:szCs w:val="20"/>
              </w:rPr>
              <w:t>457</w:t>
            </w:r>
          </w:p>
        </w:tc>
      </w:tr>
      <w:bookmarkEnd w:id="105"/>
    </w:tbl>
    <w:p w14:paraId="55F47CD8">
      <w:pPr>
        <w:pStyle w:val="376"/>
        <w:adjustRightInd w:val="0"/>
        <w:ind w:firstLine="420"/>
        <w:rPr>
          <w:bCs/>
          <w:color w:val="auto"/>
          <w:sz w:val="21"/>
          <w:szCs w:val="21"/>
          <w:lang w:eastAsia="zh-CN"/>
        </w:rPr>
      </w:pPr>
    </w:p>
    <w:p w14:paraId="14246FC4">
      <w:pPr>
        <w:pStyle w:val="376"/>
        <w:adjustRightInd w:val="0"/>
        <w:ind w:firstLine="420"/>
        <w:rPr>
          <w:bCs/>
          <w:color w:val="auto"/>
          <w:sz w:val="21"/>
          <w:szCs w:val="21"/>
          <w:lang w:eastAsia="zh-CN"/>
        </w:rPr>
        <w:sectPr>
          <w:pgSz w:w="11907" w:h="16840"/>
          <w:pgMar w:top="1440" w:right="1797" w:bottom="1440" w:left="1797" w:header="851" w:footer="992" w:gutter="0"/>
          <w:cols w:space="720" w:num="1"/>
          <w:docGrid w:linePitch="312" w:charSpace="0"/>
        </w:sectPr>
      </w:pPr>
    </w:p>
    <w:p w14:paraId="53F302B1">
      <w:pPr>
        <w:pStyle w:val="2"/>
        <w:spacing w:before="120" w:after="120"/>
        <w:rPr>
          <w:rFonts w:eastAsia="仿宋_GB2312" w:cs="Times New Roman"/>
          <w:color w:val="auto"/>
        </w:rPr>
      </w:pPr>
      <w:bookmarkStart w:id="106" w:name="_Toc150724281"/>
      <w:r>
        <w:rPr>
          <w:rFonts w:eastAsia="仿宋_GB2312" w:cs="Times New Roman"/>
          <w:color w:val="auto"/>
        </w:rPr>
        <w:t>5 预防规划</w:t>
      </w:r>
      <w:bookmarkEnd w:id="106"/>
    </w:p>
    <w:p w14:paraId="2CBB2FDF">
      <w:pPr>
        <w:pStyle w:val="44"/>
        <w:spacing w:before="120" w:after="120"/>
        <w:rPr>
          <w:rFonts w:eastAsia="仿宋_GB2312" w:cs="Times New Roman"/>
        </w:rPr>
      </w:pPr>
      <w:bookmarkStart w:id="107" w:name="_Toc150724282"/>
      <w:r>
        <w:rPr>
          <w:rFonts w:eastAsia="仿宋_GB2312" w:cs="Times New Roman"/>
        </w:rPr>
        <w:t>5.1 预防对象范围与对象</w:t>
      </w:r>
      <w:bookmarkEnd w:id="107"/>
    </w:p>
    <w:p w14:paraId="2428433F">
      <w:pPr>
        <w:pStyle w:val="5"/>
        <w:rPr>
          <w:rFonts w:eastAsia="仿宋_GB2312"/>
        </w:rPr>
      </w:pPr>
      <w:r>
        <w:rPr>
          <w:rFonts w:eastAsia="仿宋_GB2312"/>
        </w:rPr>
        <w:t>5.1.1 预防范围</w:t>
      </w:r>
    </w:p>
    <w:p w14:paraId="37A89B6F">
      <w:pPr>
        <w:adjustRightInd w:val="0"/>
        <w:snapToGrid w:val="0"/>
        <w:ind w:firstLine="480"/>
        <w:jc w:val="both"/>
        <w:rPr>
          <w:rFonts w:cs="Times New Roman"/>
          <w:szCs w:val="28"/>
        </w:rPr>
      </w:pPr>
      <w:r>
        <w:rPr>
          <w:rFonts w:cs="Times New Roman"/>
          <w:szCs w:val="28"/>
        </w:rPr>
        <w:t>包括水土保持规划所涉及的预防范围，即位于天山北坡山区范围内，主要 涉及自然保护区、森林公园、地质公园、沙漠公园、沙化土地、国家级重点公 益林、饮用水水源保护地、北部荒漠区沙漠南缘与绿洲交错带区域荒漠类草地等地。</w:t>
      </w:r>
    </w:p>
    <w:p w14:paraId="5A5FB91B">
      <w:pPr>
        <w:pStyle w:val="5"/>
        <w:rPr>
          <w:rFonts w:eastAsia="仿宋_GB2312"/>
        </w:rPr>
      </w:pPr>
      <w:r>
        <w:rPr>
          <w:rFonts w:eastAsia="仿宋_GB2312"/>
        </w:rPr>
        <w:t>5.1.2 预防对象</w:t>
      </w:r>
    </w:p>
    <w:p w14:paraId="240D841B">
      <w:pPr>
        <w:adjustRightInd w:val="0"/>
        <w:snapToGrid w:val="0"/>
        <w:ind w:firstLine="480"/>
        <w:jc w:val="both"/>
        <w:rPr>
          <w:rFonts w:cs="Times New Roman"/>
          <w:szCs w:val="28"/>
        </w:rPr>
      </w:pPr>
      <w:bookmarkStart w:id="108" w:name="_Toc150724283"/>
      <w:r>
        <w:rPr>
          <w:rFonts w:cs="Times New Roman"/>
          <w:szCs w:val="28"/>
        </w:rPr>
        <w:t>（1）天然林草、植被覆盖率较高的人工林、草原、草地。</w:t>
      </w:r>
    </w:p>
    <w:p w14:paraId="637B38F1">
      <w:pPr>
        <w:adjustRightInd w:val="0"/>
        <w:snapToGrid w:val="0"/>
        <w:ind w:firstLine="480"/>
        <w:jc w:val="both"/>
        <w:rPr>
          <w:rFonts w:cs="Times New Roman"/>
          <w:szCs w:val="28"/>
        </w:rPr>
      </w:pPr>
      <w:r>
        <w:rPr>
          <w:rFonts w:cs="Times New Roman"/>
          <w:szCs w:val="28"/>
        </w:rPr>
        <w:t>（2）主要河流的两岸河谷林草以及湖泊和水库周边植物保护带。</w:t>
      </w:r>
    </w:p>
    <w:p w14:paraId="4FF8DA69">
      <w:pPr>
        <w:adjustRightInd w:val="0"/>
        <w:snapToGrid w:val="0"/>
        <w:ind w:firstLine="480"/>
        <w:jc w:val="both"/>
        <w:rPr>
          <w:rFonts w:cs="Times New Roman"/>
          <w:szCs w:val="28"/>
        </w:rPr>
      </w:pPr>
      <w:r>
        <w:rPr>
          <w:rFonts w:cs="Times New Roman"/>
          <w:szCs w:val="28"/>
        </w:rPr>
        <w:t>（3）植被或地貌人为破坏后，难以恢复和治理的地带。</w:t>
      </w:r>
    </w:p>
    <w:p w14:paraId="5A1134F2">
      <w:pPr>
        <w:adjustRightInd w:val="0"/>
        <w:snapToGrid w:val="0"/>
        <w:ind w:firstLine="480"/>
        <w:jc w:val="both"/>
        <w:rPr>
          <w:rFonts w:cs="Times New Roman"/>
          <w:szCs w:val="28"/>
        </w:rPr>
      </w:pPr>
      <w:r>
        <w:rPr>
          <w:rFonts w:cs="Times New Roman"/>
          <w:szCs w:val="28"/>
        </w:rPr>
        <w:t>（4）水土流失严重、生态脆弱的区域可能造成水土流失的生产建设活动。</w:t>
      </w:r>
    </w:p>
    <w:p w14:paraId="4E296CC7">
      <w:pPr>
        <w:adjustRightInd w:val="0"/>
        <w:snapToGrid w:val="0"/>
        <w:ind w:firstLine="480"/>
        <w:jc w:val="both"/>
        <w:rPr>
          <w:rFonts w:cs="Times New Roman"/>
          <w:szCs w:val="28"/>
        </w:rPr>
      </w:pPr>
      <w:r>
        <w:rPr>
          <w:rFonts w:cs="Times New Roman"/>
          <w:szCs w:val="28"/>
        </w:rPr>
        <w:t>（5）重要的水土流失综合防治成果。</w:t>
      </w:r>
    </w:p>
    <w:p w14:paraId="3BB17FAE">
      <w:pPr>
        <w:adjustRightInd w:val="0"/>
        <w:snapToGrid w:val="0"/>
        <w:ind w:firstLine="480"/>
        <w:jc w:val="both"/>
        <w:rPr>
          <w:rFonts w:cs="Times New Roman"/>
          <w:szCs w:val="28"/>
        </w:rPr>
      </w:pPr>
      <w:r>
        <w:rPr>
          <w:rFonts w:cs="Times New Roman"/>
          <w:szCs w:val="28"/>
        </w:rPr>
        <w:t>（6）重要野生植物资源原生境保护区。</w:t>
      </w:r>
    </w:p>
    <w:p w14:paraId="18C79194">
      <w:pPr>
        <w:adjustRightInd w:val="0"/>
        <w:snapToGrid w:val="0"/>
        <w:ind w:firstLine="480"/>
        <w:jc w:val="both"/>
        <w:rPr>
          <w:rFonts w:cs="Times New Roman"/>
          <w:szCs w:val="28"/>
        </w:rPr>
      </w:pPr>
      <w:r>
        <w:rPr>
          <w:rFonts w:cs="Times New Roman"/>
          <w:szCs w:val="28"/>
        </w:rPr>
        <w:t>（7）自然保护区、森林公园、地质公园、湿地公园、沙漠公园、沙化土地、 国家级重点公益林、饮用水水源保护地等重点区域。</w:t>
      </w:r>
    </w:p>
    <w:p w14:paraId="48EC8C02">
      <w:pPr>
        <w:adjustRightInd w:val="0"/>
        <w:snapToGrid w:val="0"/>
        <w:ind w:firstLine="480"/>
        <w:jc w:val="both"/>
        <w:rPr>
          <w:rFonts w:cs="Times New Roman"/>
          <w:szCs w:val="28"/>
        </w:rPr>
      </w:pPr>
      <w:r>
        <w:rPr>
          <w:rFonts w:cs="Times New Roman"/>
          <w:szCs w:val="28"/>
        </w:rPr>
        <w:t>（8）涉及土石方开挖、填筑或者堆放、排气等生产建设活动造成新的水土 流失区域；重要的水土流失综合防治成果；已建成并发挥效益的集中连片水土 保持项目区。</w:t>
      </w:r>
    </w:p>
    <w:p w14:paraId="612840B5">
      <w:pPr>
        <w:adjustRightInd w:val="0"/>
        <w:snapToGrid w:val="0"/>
        <w:ind w:firstLine="480"/>
        <w:jc w:val="both"/>
        <w:rPr>
          <w:rFonts w:cs="Times New Roman"/>
          <w:szCs w:val="28"/>
        </w:rPr>
      </w:pPr>
      <w:r>
        <w:rPr>
          <w:rFonts w:cs="Times New Roman"/>
          <w:szCs w:val="28"/>
        </w:rPr>
        <w:t>（9）河流、水渠及其沿岸保护带等生态敏感区、地质灾害高易发区、生态 林及草场、地表水源保护区、林草面积等。</w:t>
      </w:r>
    </w:p>
    <w:p w14:paraId="61EAD98E">
      <w:pPr>
        <w:pStyle w:val="44"/>
        <w:spacing w:before="120" w:after="120"/>
        <w:rPr>
          <w:rFonts w:eastAsia="仿宋_GB2312" w:cs="Times New Roman"/>
        </w:rPr>
      </w:pPr>
      <w:r>
        <w:rPr>
          <w:rFonts w:eastAsia="仿宋_GB2312" w:cs="Times New Roman"/>
        </w:rPr>
        <w:t>5.2 措施体系与配置</w:t>
      </w:r>
      <w:bookmarkEnd w:id="108"/>
    </w:p>
    <w:p w14:paraId="40E90F4E">
      <w:pPr>
        <w:adjustRightInd w:val="0"/>
        <w:snapToGrid w:val="0"/>
        <w:ind w:firstLine="480"/>
        <w:jc w:val="both"/>
        <w:rPr>
          <w:rFonts w:cs="Times New Roman"/>
          <w:szCs w:val="28"/>
        </w:rPr>
      </w:pPr>
      <w:r>
        <w:rPr>
          <w:rFonts w:cs="Times New Roman"/>
          <w:szCs w:val="28"/>
        </w:rPr>
        <w:t>根据规划的总体布局，预防规划措施体系主要围绕国家、自治区及昌吉州水土流失重点预防区、水源涵养区、水源地、绿洲农田、荒漠草原等重点区域和重要行业进行重点布设。在保护区、地质公园、牧区草场等重点区域实施林草封禁保护措施。在重点资源开发区域及城镇建设重要行业，要加强生产建设活动的水土保持监督监管，树立生产建设活动水土保持的理念，开展区域性水土保持规划的编制，从源头控制水土流失。</w:t>
      </w:r>
    </w:p>
    <w:p w14:paraId="62756B8D">
      <w:pPr>
        <w:pStyle w:val="5"/>
        <w:rPr>
          <w:rFonts w:eastAsia="仿宋_GB2312"/>
        </w:rPr>
      </w:pPr>
      <w:bookmarkStart w:id="109" w:name="_Toc150724284"/>
      <w:r>
        <w:rPr>
          <w:rFonts w:eastAsia="仿宋_GB2312"/>
        </w:rPr>
        <w:t>5.2.1 重要江河源头区预防保护措施</w:t>
      </w:r>
    </w:p>
    <w:p w14:paraId="32D2AF36">
      <w:pPr>
        <w:adjustRightInd w:val="0"/>
        <w:snapToGrid w:val="0"/>
        <w:ind w:firstLine="480"/>
        <w:jc w:val="both"/>
        <w:rPr>
          <w:rFonts w:cs="Times New Roman"/>
          <w:szCs w:val="28"/>
        </w:rPr>
      </w:pPr>
      <w:r>
        <w:rPr>
          <w:rFonts w:cs="Times New Roman"/>
          <w:szCs w:val="28"/>
        </w:rPr>
        <w:t>（1）预防保护范围及基本情况</w:t>
      </w:r>
    </w:p>
    <w:p w14:paraId="57988907">
      <w:pPr>
        <w:adjustRightInd w:val="0"/>
        <w:snapToGrid w:val="0"/>
        <w:ind w:firstLine="480"/>
        <w:jc w:val="both"/>
        <w:rPr>
          <w:rFonts w:cs="Times New Roman"/>
          <w:szCs w:val="28"/>
        </w:rPr>
      </w:pPr>
      <w:r>
        <w:rPr>
          <w:rFonts w:cs="Times New Roman"/>
          <w:szCs w:val="28"/>
        </w:rPr>
        <w:t>范围主要为天山中高山区，区内分布有茂盛的天然森林和草场，是重要的水源涵养区。河谷两边的天然植被具有维持河道相对稳定、防止河岸侵蚀和崩塌、控制水土流失等功能。随着人口增长，农牧业的快速发展等影响，导致谷地天然植被群落的自我维持和扩展机能逐渐丧失，林分不断衰退，面积不断缩小，导致水源涵养能力大为降低。</w:t>
      </w:r>
    </w:p>
    <w:p w14:paraId="11CDA64A">
      <w:pPr>
        <w:adjustRightInd w:val="0"/>
        <w:snapToGrid w:val="0"/>
        <w:ind w:firstLine="480"/>
        <w:jc w:val="both"/>
        <w:rPr>
          <w:rFonts w:cs="Times New Roman"/>
          <w:szCs w:val="28"/>
        </w:rPr>
      </w:pPr>
      <w:r>
        <w:rPr>
          <w:rFonts w:cs="Times New Roman"/>
          <w:szCs w:val="28"/>
        </w:rPr>
        <w:t>（2）预防保护任务</w:t>
      </w:r>
    </w:p>
    <w:p w14:paraId="19712912">
      <w:pPr>
        <w:adjustRightInd w:val="0"/>
        <w:snapToGrid w:val="0"/>
        <w:ind w:firstLine="480"/>
        <w:jc w:val="both"/>
        <w:rPr>
          <w:rFonts w:cs="Times New Roman"/>
          <w:szCs w:val="28"/>
        </w:rPr>
      </w:pPr>
      <w:r>
        <w:rPr>
          <w:rFonts w:cs="Times New Roman"/>
          <w:szCs w:val="28"/>
        </w:rPr>
        <w:t>严格控制森林采伐，加强林区的建设和管理，有计划地封山育林育草。对于当地牧民禁牧有实际困难且植被较好的区域，采取轮封，将封育区划片分段，划区轮牧。</w:t>
      </w:r>
    </w:p>
    <w:p w14:paraId="25415642">
      <w:pPr>
        <w:adjustRightInd w:val="0"/>
        <w:snapToGrid w:val="0"/>
        <w:ind w:firstLine="480"/>
        <w:jc w:val="both"/>
        <w:rPr>
          <w:rFonts w:cs="Times New Roman"/>
          <w:szCs w:val="28"/>
        </w:rPr>
      </w:pPr>
      <w:r>
        <w:rPr>
          <w:rFonts w:cs="Times New Roman"/>
          <w:szCs w:val="28"/>
        </w:rPr>
        <w:t>（3）预防保护规模</w:t>
      </w:r>
    </w:p>
    <w:p w14:paraId="5696D6BA">
      <w:pPr>
        <w:adjustRightInd w:val="0"/>
        <w:snapToGrid w:val="0"/>
        <w:ind w:firstLine="480"/>
        <w:jc w:val="both"/>
        <w:rPr>
          <w:rFonts w:cs="Times New Roman"/>
          <w:szCs w:val="28"/>
        </w:rPr>
      </w:pPr>
      <w:r>
        <w:rPr>
          <w:rFonts w:cs="Times New Roman"/>
          <w:szCs w:val="28"/>
        </w:rPr>
        <w:t>近期预防面积为</w:t>
      </w:r>
      <w:r>
        <w:rPr>
          <w:rFonts w:hint="eastAsia" w:cs="Times New Roman"/>
          <w:szCs w:val="28"/>
        </w:rPr>
        <w:t>6</w:t>
      </w:r>
      <w:r>
        <w:rPr>
          <w:rFonts w:cs="Times New Roman"/>
          <w:szCs w:val="28"/>
        </w:rPr>
        <w:t>km</w:t>
      </w:r>
      <w:r>
        <w:rPr>
          <w:rFonts w:cs="Times New Roman"/>
          <w:szCs w:val="28"/>
          <w:vertAlign w:val="superscript"/>
        </w:rPr>
        <w:t>2</w:t>
      </w:r>
      <w:r>
        <w:rPr>
          <w:rFonts w:cs="Times New Roman"/>
          <w:szCs w:val="28"/>
        </w:rPr>
        <w:t>，远期预防面积为24km</w:t>
      </w:r>
      <w:r>
        <w:rPr>
          <w:rFonts w:cs="Times New Roman"/>
          <w:szCs w:val="28"/>
          <w:vertAlign w:val="superscript"/>
        </w:rPr>
        <w:t>2</w:t>
      </w:r>
      <w:r>
        <w:rPr>
          <w:rFonts w:cs="Times New Roman"/>
          <w:szCs w:val="28"/>
        </w:rPr>
        <w:t>。</w:t>
      </w:r>
    </w:p>
    <w:p w14:paraId="73B8729C">
      <w:pPr>
        <w:adjustRightInd w:val="0"/>
        <w:snapToGrid w:val="0"/>
        <w:ind w:firstLine="480"/>
        <w:jc w:val="both"/>
        <w:rPr>
          <w:rFonts w:cs="Times New Roman"/>
          <w:szCs w:val="28"/>
        </w:rPr>
      </w:pPr>
      <w:r>
        <w:rPr>
          <w:rFonts w:cs="Times New Roman"/>
          <w:szCs w:val="28"/>
        </w:rPr>
        <w:t>（4）预防保护近期重点工程</w:t>
      </w:r>
    </w:p>
    <w:p w14:paraId="0611D119">
      <w:pPr>
        <w:adjustRightInd w:val="0"/>
        <w:snapToGrid w:val="0"/>
        <w:ind w:firstLine="480"/>
        <w:jc w:val="both"/>
        <w:rPr>
          <w:rFonts w:cs="Times New Roman"/>
          <w:szCs w:val="28"/>
        </w:rPr>
      </w:pPr>
      <w:r>
        <w:rPr>
          <w:rFonts w:cs="Times New Roman"/>
          <w:szCs w:val="28"/>
        </w:rPr>
        <w:t>根据区域水土保持功能重要性，确定天池国家森林公园封禁保护工程为近期重点工程。主要实行封禁措施，禁止人为开垦、砍伐植被和放牧等活动，减少人为活动干扰，发挥生态系统自我修复功能。</w:t>
      </w:r>
    </w:p>
    <w:p w14:paraId="1E126D7D">
      <w:pPr>
        <w:pStyle w:val="5"/>
        <w:rPr>
          <w:rFonts w:eastAsia="仿宋_GB2312"/>
        </w:rPr>
      </w:pPr>
      <w:r>
        <w:rPr>
          <w:rFonts w:eastAsia="仿宋_GB2312"/>
        </w:rPr>
        <w:t>5.2.2 重要饮用水水源地预防保护措施</w:t>
      </w:r>
    </w:p>
    <w:p w14:paraId="3A8E4B6A">
      <w:pPr>
        <w:adjustRightInd w:val="0"/>
        <w:snapToGrid w:val="0"/>
        <w:ind w:firstLine="480"/>
        <w:jc w:val="both"/>
        <w:rPr>
          <w:rFonts w:cs="Times New Roman"/>
          <w:szCs w:val="28"/>
        </w:rPr>
      </w:pPr>
      <w:r>
        <w:rPr>
          <w:rFonts w:cs="Times New Roman"/>
          <w:szCs w:val="28"/>
        </w:rPr>
        <w:t>（1）预防保护范围</w:t>
      </w:r>
    </w:p>
    <w:p w14:paraId="7FF006BB">
      <w:pPr>
        <w:adjustRightInd w:val="0"/>
        <w:snapToGrid w:val="0"/>
        <w:ind w:firstLine="480"/>
        <w:jc w:val="both"/>
        <w:rPr>
          <w:rFonts w:cs="Times New Roman"/>
          <w:szCs w:val="28"/>
        </w:rPr>
      </w:pPr>
      <w:r>
        <w:rPr>
          <w:rFonts w:cs="Times New Roman"/>
          <w:szCs w:val="28"/>
        </w:rPr>
        <w:t>主要为已经批复未完成水源地规范化建设的饮用水水源保护地。区域存在着一定程度过载过牧、植被破坏等问题，对饮用水水质安全造成一定的隐患。</w:t>
      </w:r>
    </w:p>
    <w:p w14:paraId="363F4359">
      <w:pPr>
        <w:adjustRightInd w:val="0"/>
        <w:snapToGrid w:val="0"/>
        <w:ind w:firstLine="480"/>
        <w:jc w:val="both"/>
        <w:rPr>
          <w:rFonts w:cs="Times New Roman"/>
          <w:szCs w:val="28"/>
        </w:rPr>
      </w:pPr>
      <w:r>
        <w:rPr>
          <w:rFonts w:cs="Times New Roman"/>
          <w:szCs w:val="28"/>
        </w:rPr>
        <w:t>（2）预防保护任务</w:t>
      </w:r>
    </w:p>
    <w:p w14:paraId="34077A49">
      <w:pPr>
        <w:adjustRightInd w:val="0"/>
        <w:snapToGrid w:val="0"/>
        <w:ind w:firstLine="480"/>
        <w:jc w:val="both"/>
        <w:rPr>
          <w:rFonts w:cs="Times New Roman"/>
          <w:szCs w:val="28"/>
        </w:rPr>
      </w:pPr>
      <w:r>
        <w:rPr>
          <w:rFonts w:cs="Times New Roman"/>
          <w:szCs w:val="28"/>
        </w:rPr>
        <w:t>对饮用水水源地上游区域进行封禁保护，实行生态移民，禁止樵砍和垦殖活动，严格限制放牧强度，结合人工植树种草，促进植被恢复，限制矿产资源开发，减少对饮用水水源地水质的影响，划入生态保护红线范围的区域，执行生态保护红线管控要求，对水源地周边实施封育保护措施。</w:t>
      </w:r>
    </w:p>
    <w:p w14:paraId="1DEB0AE7">
      <w:pPr>
        <w:adjustRightInd w:val="0"/>
        <w:snapToGrid w:val="0"/>
        <w:ind w:firstLine="480"/>
        <w:jc w:val="both"/>
        <w:rPr>
          <w:rFonts w:cs="Times New Roman"/>
          <w:szCs w:val="28"/>
        </w:rPr>
      </w:pPr>
      <w:r>
        <w:rPr>
          <w:rFonts w:cs="Times New Roman"/>
          <w:szCs w:val="28"/>
        </w:rPr>
        <w:t>（3）预防保护规模</w:t>
      </w:r>
    </w:p>
    <w:p w14:paraId="5D0E053A">
      <w:pPr>
        <w:adjustRightInd w:val="0"/>
        <w:snapToGrid w:val="0"/>
        <w:ind w:firstLine="480"/>
        <w:jc w:val="both"/>
        <w:rPr>
          <w:rFonts w:cs="Times New Roman"/>
          <w:szCs w:val="28"/>
        </w:rPr>
      </w:pPr>
      <w:r>
        <w:rPr>
          <w:rFonts w:cs="Times New Roman"/>
          <w:szCs w:val="28"/>
        </w:rPr>
        <w:t>近期预防面积为1km</w:t>
      </w:r>
      <w:r>
        <w:rPr>
          <w:rFonts w:cs="Times New Roman"/>
          <w:szCs w:val="28"/>
          <w:vertAlign w:val="superscript"/>
        </w:rPr>
        <w:t>2</w:t>
      </w:r>
      <w:r>
        <w:rPr>
          <w:rFonts w:cs="Times New Roman"/>
          <w:szCs w:val="28"/>
        </w:rPr>
        <w:t>，远期预防面积为2km</w:t>
      </w:r>
      <w:r>
        <w:rPr>
          <w:rFonts w:cs="Times New Roman"/>
          <w:szCs w:val="28"/>
          <w:vertAlign w:val="superscript"/>
        </w:rPr>
        <w:t>2</w:t>
      </w:r>
      <w:r>
        <w:rPr>
          <w:rFonts w:cs="Times New Roman"/>
          <w:szCs w:val="28"/>
        </w:rPr>
        <w:t>。</w:t>
      </w:r>
    </w:p>
    <w:p w14:paraId="7DEB5C95">
      <w:pPr>
        <w:adjustRightInd w:val="0"/>
        <w:snapToGrid w:val="0"/>
        <w:ind w:firstLine="480"/>
        <w:jc w:val="both"/>
        <w:rPr>
          <w:rFonts w:cs="Times New Roman"/>
          <w:szCs w:val="28"/>
        </w:rPr>
      </w:pPr>
      <w:r>
        <w:rPr>
          <w:rFonts w:cs="Times New Roman"/>
          <w:szCs w:val="28"/>
        </w:rPr>
        <w:t>（4）预防保护近期重点工程</w:t>
      </w:r>
    </w:p>
    <w:p w14:paraId="494BAA27">
      <w:pPr>
        <w:adjustRightInd w:val="0"/>
        <w:snapToGrid w:val="0"/>
        <w:ind w:firstLine="480"/>
        <w:jc w:val="both"/>
        <w:rPr>
          <w:rFonts w:cs="Times New Roman"/>
          <w:szCs w:val="28"/>
        </w:rPr>
      </w:pPr>
      <w:r>
        <w:rPr>
          <w:rFonts w:cs="Times New Roman"/>
          <w:szCs w:val="28"/>
        </w:rPr>
        <w:t>在饮用水水源地边界设置防护围栏，界碑，界桩，宣传警示牌等措施，禁止设置各类污水和工业废水排放口、禁止在河道或与其有水力联系的冲沟内倾倒或填埋各类影响水质的生产或生活垃圾、禁止在距离河道1km范围内建设排放重金属等一类污染物的冶炼或尾矿库项目、禁止在天然水体进行网箱养殖和将规模化畜禽养殖场粪便排入河道，维护饮用水水质安全。</w:t>
      </w:r>
    </w:p>
    <w:p w14:paraId="552E9CF5">
      <w:pPr>
        <w:pStyle w:val="5"/>
        <w:rPr>
          <w:rFonts w:eastAsia="仿宋_GB2312"/>
        </w:rPr>
      </w:pPr>
      <w:r>
        <w:rPr>
          <w:rFonts w:eastAsia="仿宋_GB2312"/>
        </w:rPr>
        <w:t>5.2.3 退化草原的预防保护</w:t>
      </w:r>
    </w:p>
    <w:p w14:paraId="76CB74E7">
      <w:pPr>
        <w:adjustRightInd w:val="0"/>
        <w:snapToGrid w:val="0"/>
        <w:ind w:firstLine="480"/>
        <w:jc w:val="both"/>
        <w:rPr>
          <w:rFonts w:cs="Times New Roman"/>
          <w:szCs w:val="28"/>
        </w:rPr>
      </w:pPr>
      <w:r>
        <w:rPr>
          <w:rFonts w:cs="Times New Roman"/>
          <w:szCs w:val="28"/>
        </w:rPr>
        <w:t>（1）预防保护范围与基本情况</w:t>
      </w:r>
    </w:p>
    <w:p w14:paraId="7650C0D8">
      <w:pPr>
        <w:adjustRightInd w:val="0"/>
        <w:snapToGrid w:val="0"/>
        <w:ind w:firstLine="480"/>
        <w:jc w:val="both"/>
        <w:rPr>
          <w:rFonts w:cs="Times New Roman"/>
          <w:szCs w:val="28"/>
        </w:rPr>
      </w:pPr>
      <w:r>
        <w:rPr>
          <w:rFonts w:cs="Times New Roman"/>
          <w:szCs w:val="28"/>
        </w:rPr>
        <w:t>范围主要为中低山区和北部荒漠区，该区域近年来由于超载过牧、乱采滥挖、无序开垦加之蝗虫鼠灾，使得草场退化严重。</w:t>
      </w:r>
    </w:p>
    <w:p w14:paraId="13031349">
      <w:pPr>
        <w:adjustRightInd w:val="0"/>
        <w:snapToGrid w:val="0"/>
        <w:ind w:firstLine="480"/>
        <w:jc w:val="both"/>
        <w:rPr>
          <w:rFonts w:cs="Times New Roman"/>
          <w:szCs w:val="28"/>
        </w:rPr>
      </w:pPr>
      <w:r>
        <w:rPr>
          <w:rFonts w:cs="Times New Roman"/>
          <w:szCs w:val="28"/>
        </w:rPr>
        <w:t>（2）预防保护任务</w:t>
      </w:r>
    </w:p>
    <w:p w14:paraId="780791E3">
      <w:pPr>
        <w:adjustRightInd w:val="0"/>
        <w:snapToGrid w:val="0"/>
        <w:ind w:firstLine="480"/>
        <w:jc w:val="both"/>
        <w:rPr>
          <w:rFonts w:cs="Times New Roman"/>
          <w:szCs w:val="28"/>
        </w:rPr>
      </w:pPr>
      <w:r>
        <w:rPr>
          <w:rFonts w:cs="Times New Roman"/>
          <w:szCs w:val="28"/>
        </w:rPr>
        <w:t>制定规章制度及相关政策，实行轮封轮牧，严禁超载过牧，遏止草场进一步退化，大力发展人工饲草料基地的建设。</w:t>
      </w:r>
    </w:p>
    <w:p w14:paraId="55749E69">
      <w:pPr>
        <w:adjustRightInd w:val="0"/>
        <w:snapToGrid w:val="0"/>
        <w:ind w:firstLine="480"/>
        <w:jc w:val="both"/>
        <w:rPr>
          <w:rFonts w:cs="Times New Roman"/>
          <w:szCs w:val="28"/>
        </w:rPr>
      </w:pPr>
      <w:r>
        <w:rPr>
          <w:rFonts w:cs="Times New Roman"/>
          <w:szCs w:val="28"/>
        </w:rPr>
        <w:t>（3）预防保护建设规模</w:t>
      </w:r>
    </w:p>
    <w:p w14:paraId="75EE002D">
      <w:pPr>
        <w:adjustRightInd w:val="0"/>
        <w:snapToGrid w:val="0"/>
        <w:ind w:firstLine="480"/>
        <w:jc w:val="both"/>
        <w:rPr>
          <w:rFonts w:cs="Times New Roman"/>
          <w:szCs w:val="28"/>
        </w:rPr>
      </w:pPr>
      <w:r>
        <w:rPr>
          <w:rFonts w:cs="Times New Roman"/>
          <w:szCs w:val="28"/>
        </w:rPr>
        <w:t>草原封禁近期预防面积为</w:t>
      </w:r>
      <w:r>
        <w:rPr>
          <w:rFonts w:hint="eastAsia" w:cs="Times New Roman"/>
          <w:szCs w:val="28"/>
        </w:rPr>
        <w:t>400</w:t>
      </w:r>
      <w:r>
        <w:rPr>
          <w:rFonts w:cs="Times New Roman"/>
          <w:szCs w:val="28"/>
        </w:rPr>
        <w:t>km</w:t>
      </w:r>
      <w:r>
        <w:rPr>
          <w:rFonts w:cs="Times New Roman"/>
          <w:szCs w:val="28"/>
          <w:vertAlign w:val="superscript"/>
        </w:rPr>
        <w:t>2</w:t>
      </w:r>
      <w:r>
        <w:rPr>
          <w:rFonts w:cs="Times New Roman"/>
          <w:szCs w:val="28"/>
        </w:rPr>
        <w:t>，远期预防面积为1651km</w:t>
      </w:r>
      <w:r>
        <w:rPr>
          <w:rFonts w:cs="Times New Roman"/>
          <w:szCs w:val="28"/>
          <w:vertAlign w:val="superscript"/>
        </w:rPr>
        <w:t>2</w:t>
      </w:r>
      <w:r>
        <w:rPr>
          <w:rFonts w:cs="Times New Roman"/>
          <w:szCs w:val="28"/>
        </w:rPr>
        <w:t>；草原植被建设近期面积为5km</w:t>
      </w:r>
      <w:r>
        <w:rPr>
          <w:rFonts w:cs="Times New Roman"/>
          <w:szCs w:val="28"/>
          <w:vertAlign w:val="superscript"/>
        </w:rPr>
        <w:t>2</w:t>
      </w:r>
      <w:r>
        <w:rPr>
          <w:rFonts w:cs="Times New Roman"/>
          <w:szCs w:val="28"/>
        </w:rPr>
        <w:t>，远期面积为23km</w:t>
      </w:r>
      <w:r>
        <w:rPr>
          <w:rFonts w:cs="Times New Roman"/>
          <w:szCs w:val="28"/>
          <w:vertAlign w:val="superscript"/>
        </w:rPr>
        <w:t>2</w:t>
      </w:r>
      <w:r>
        <w:rPr>
          <w:rFonts w:cs="Times New Roman"/>
          <w:szCs w:val="28"/>
        </w:rPr>
        <w:t>。</w:t>
      </w:r>
    </w:p>
    <w:p w14:paraId="4689BCFA">
      <w:pPr>
        <w:adjustRightInd w:val="0"/>
        <w:snapToGrid w:val="0"/>
        <w:ind w:firstLine="480"/>
        <w:jc w:val="both"/>
        <w:rPr>
          <w:rFonts w:cs="Times New Roman"/>
          <w:szCs w:val="28"/>
        </w:rPr>
      </w:pPr>
      <w:r>
        <w:rPr>
          <w:rFonts w:cs="Times New Roman"/>
          <w:szCs w:val="28"/>
        </w:rPr>
        <w:t>（4）预防保护近期重点工程</w:t>
      </w:r>
    </w:p>
    <w:p w14:paraId="153D5BE1">
      <w:pPr>
        <w:adjustRightInd w:val="0"/>
        <w:snapToGrid w:val="0"/>
        <w:ind w:firstLine="480"/>
        <w:jc w:val="both"/>
        <w:rPr>
          <w:rFonts w:cs="Times New Roman"/>
          <w:szCs w:val="28"/>
        </w:rPr>
      </w:pPr>
      <w:r>
        <w:rPr>
          <w:rFonts w:cs="Times New Roman"/>
          <w:szCs w:val="28"/>
        </w:rPr>
        <w:t>根据退化草原保护的重要性，结合实际情况，确定中低山区和北部荒漠区过度放牧导致退化的荒漠草原为近期重点工程。主要在超载过牧，退化严重草场实行轮封轮牧、严禁超载过牧，采取封禁围栏等措施，增加坡面涵养水源的能力。</w:t>
      </w:r>
    </w:p>
    <w:p w14:paraId="68230F6E">
      <w:pPr>
        <w:pStyle w:val="5"/>
        <w:rPr>
          <w:rFonts w:eastAsia="仿宋_GB2312"/>
        </w:rPr>
      </w:pPr>
      <w:r>
        <w:rPr>
          <w:rFonts w:eastAsia="仿宋_GB2312"/>
        </w:rPr>
        <w:t xml:space="preserve">5.2.4 绿洲农田外围荒漠林草预防保护措施 </w:t>
      </w:r>
    </w:p>
    <w:p w14:paraId="6DFA9077">
      <w:pPr>
        <w:adjustRightInd w:val="0"/>
        <w:snapToGrid w:val="0"/>
        <w:ind w:firstLine="480"/>
        <w:jc w:val="both"/>
        <w:rPr>
          <w:rFonts w:cs="Times New Roman"/>
          <w:szCs w:val="28"/>
        </w:rPr>
      </w:pPr>
      <w:r>
        <w:rPr>
          <w:rFonts w:cs="Times New Roman"/>
          <w:szCs w:val="28"/>
        </w:rPr>
        <w:t>（1）预防保护范围与基本情况</w:t>
      </w:r>
    </w:p>
    <w:p w14:paraId="40851B3E">
      <w:pPr>
        <w:adjustRightInd w:val="0"/>
        <w:snapToGrid w:val="0"/>
        <w:ind w:firstLine="480"/>
        <w:jc w:val="both"/>
        <w:rPr>
          <w:rFonts w:cs="Times New Roman"/>
          <w:szCs w:val="28"/>
        </w:rPr>
      </w:pPr>
      <w:r>
        <w:rPr>
          <w:rFonts w:cs="Times New Roman"/>
          <w:szCs w:val="28"/>
        </w:rPr>
        <w:t>范围主要为绿洲农田外围，沙漠边缘过渡带区域。区内分布有以梭梭、红柳、小蓬、胡杨、骆驼刺等为主的天然荒漠植被，对阻隔沙漠向绿洲扩张，形成一个天然绿色屏障起着重要的作用，为灌区的一道主要绿色屏障，是维系荒漠生态的核心，是防止沙漠化的重要植被。</w:t>
      </w:r>
    </w:p>
    <w:p w14:paraId="4D72F6A9">
      <w:pPr>
        <w:adjustRightInd w:val="0"/>
        <w:snapToGrid w:val="0"/>
        <w:ind w:firstLine="480"/>
        <w:jc w:val="both"/>
        <w:rPr>
          <w:rFonts w:cs="Times New Roman"/>
          <w:szCs w:val="28"/>
        </w:rPr>
      </w:pPr>
      <w:r>
        <w:rPr>
          <w:rFonts w:cs="Times New Roman"/>
          <w:szCs w:val="28"/>
        </w:rPr>
        <w:t>（2）预防保护任务</w:t>
      </w:r>
    </w:p>
    <w:p w14:paraId="4E6D82C4">
      <w:pPr>
        <w:adjustRightInd w:val="0"/>
        <w:snapToGrid w:val="0"/>
        <w:ind w:firstLine="480"/>
        <w:jc w:val="both"/>
        <w:rPr>
          <w:rFonts w:cs="Times New Roman"/>
          <w:szCs w:val="28"/>
        </w:rPr>
      </w:pPr>
      <w:r>
        <w:rPr>
          <w:rFonts w:cs="Times New Roman"/>
          <w:szCs w:val="28"/>
        </w:rPr>
        <w:t>对该区域预防保护措施主要为制定规章制度及相关政策，严禁砍伐荒漠林草，采取围栏封育天然草场，使天然草场充分发挥自我修复功能，对有条件的草场进行引水灌溉措施，加强水利基础建设，补种更新天然林地，切实保护好风沙源头区域的自然植被，最大限度的减轻大风引起的水土流失。</w:t>
      </w:r>
    </w:p>
    <w:p w14:paraId="5A3E7D15">
      <w:pPr>
        <w:adjustRightInd w:val="0"/>
        <w:snapToGrid w:val="0"/>
        <w:ind w:firstLine="480"/>
        <w:jc w:val="both"/>
        <w:rPr>
          <w:rFonts w:cs="Times New Roman"/>
          <w:szCs w:val="28"/>
        </w:rPr>
      </w:pPr>
      <w:r>
        <w:rPr>
          <w:rFonts w:cs="Times New Roman"/>
          <w:szCs w:val="28"/>
        </w:rPr>
        <w:t>（3）预防保护规模</w:t>
      </w:r>
    </w:p>
    <w:p w14:paraId="2A516D57">
      <w:pPr>
        <w:adjustRightInd w:val="0"/>
        <w:snapToGrid w:val="0"/>
        <w:ind w:firstLine="480"/>
        <w:jc w:val="both"/>
        <w:rPr>
          <w:rFonts w:cs="Times New Roman"/>
          <w:szCs w:val="28"/>
        </w:rPr>
      </w:pPr>
      <w:r>
        <w:rPr>
          <w:rFonts w:cs="Times New Roman"/>
          <w:szCs w:val="28"/>
        </w:rPr>
        <w:t>近期预防面积为</w:t>
      </w:r>
      <w:r>
        <w:rPr>
          <w:rFonts w:hint="eastAsia" w:cs="Times New Roman"/>
          <w:szCs w:val="28"/>
        </w:rPr>
        <w:t>6</w:t>
      </w:r>
      <w:r>
        <w:rPr>
          <w:rFonts w:cs="Times New Roman"/>
          <w:szCs w:val="28"/>
        </w:rPr>
        <w:t>km</w:t>
      </w:r>
      <w:r>
        <w:rPr>
          <w:rFonts w:cs="Times New Roman"/>
          <w:szCs w:val="28"/>
          <w:vertAlign w:val="superscript"/>
        </w:rPr>
        <w:t>2</w:t>
      </w:r>
      <w:r>
        <w:rPr>
          <w:rFonts w:cs="Times New Roman"/>
          <w:szCs w:val="28"/>
        </w:rPr>
        <w:t>，远期预防面积为30km</w:t>
      </w:r>
      <w:r>
        <w:rPr>
          <w:rFonts w:cs="Times New Roman"/>
          <w:szCs w:val="28"/>
          <w:vertAlign w:val="superscript"/>
        </w:rPr>
        <w:t>2</w:t>
      </w:r>
      <w:r>
        <w:rPr>
          <w:rFonts w:cs="Times New Roman"/>
          <w:szCs w:val="28"/>
        </w:rPr>
        <w:t>。</w:t>
      </w:r>
    </w:p>
    <w:p w14:paraId="10DC6CDD">
      <w:pPr>
        <w:adjustRightInd w:val="0"/>
        <w:snapToGrid w:val="0"/>
        <w:ind w:firstLine="480"/>
        <w:jc w:val="both"/>
        <w:rPr>
          <w:rFonts w:cs="Times New Roman"/>
          <w:szCs w:val="28"/>
        </w:rPr>
      </w:pPr>
      <w:r>
        <w:rPr>
          <w:rFonts w:cs="Times New Roman"/>
          <w:szCs w:val="28"/>
        </w:rPr>
        <w:t>（4）预防保护近期重点工程</w:t>
      </w:r>
    </w:p>
    <w:p w14:paraId="73490DFC">
      <w:pPr>
        <w:adjustRightInd w:val="0"/>
        <w:snapToGrid w:val="0"/>
        <w:ind w:firstLine="480"/>
        <w:jc w:val="both"/>
        <w:rPr>
          <w:rFonts w:cs="Times New Roman"/>
          <w:szCs w:val="28"/>
        </w:rPr>
      </w:pPr>
      <w:r>
        <w:rPr>
          <w:rFonts w:cs="Times New Roman"/>
          <w:szCs w:val="28"/>
        </w:rPr>
        <w:t>根据农田外围荒漠林草保护的重要性，确定阜康北部荒漠类草地自然保护区、卡拉麦里山有蹄类野生动物自然保护区毗邻的外围保护带为近期重点工程区域。绿洲与沙漠边缘过度区域，分布有大量荒漠及沙生植被，地貌主要以固定半固定沙包为主，对该区域实施封沙育林工程，减少人为对该区域植被的破坏，为植被自然恢复创造条件。本规划封育保护为封禁保护与抚育管理，封禁指在自然条件适宜、水土流失相对较轻的区域，为减少人为干扰对生态系统的破坏所采取的禁垦、禁牧、禁伐或轮封轮牧等措施。抚育是通过人类对生态系统提供积极干预而使生态系统向良性方向发展的措施，如除草、松土、间作、灌溉、排水、去藤、修枝、栽植等工作。自然修复是通过改变农牧业生产方式，对生态系统停止人为干扰，依靠生态系统的自我调节和修复能力，使遭到破坏的生态系统逐步恢复或向良性循环方向发展。</w:t>
      </w:r>
    </w:p>
    <w:p w14:paraId="27A98FBA">
      <w:pPr>
        <w:adjustRightInd w:val="0"/>
        <w:snapToGrid w:val="0"/>
        <w:ind w:firstLine="480"/>
        <w:jc w:val="both"/>
        <w:rPr>
          <w:rFonts w:cs="Times New Roman"/>
          <w:szCs w:val="28"/>
        </w:rPr>
      </w:pPr>
      <w:r>
        <w:rPr>
          <w:rFonts w:cs="Times New Roman"/>
          <w:szCs w:val="28"/>
        </w:rPr>
        <w:t>预防措施中草原建设工程纳入草原保护建设发展规划，林业建设工程纳入林业规划，本规划只列出工程量，不匡算投资，不计入预防措施治理面积。</w:t>
      </w:r>
    </w:p>
    <w:p w14:paraId="2EFBA8E4">
      <w:pPr>
        <w:pStyle w:val="5"/>
        <w:rPr>
          <w:rFonts w:eastAsia="仿宋_GB2312"/>
        </w:rPr>
      </w:pPr>
      <w:r>
        <w:rPr>
          <w:rFonts w:eastAsia="仿宋_GB2312"/>
        </w:rPr>
        <w:t xml:space="preserve">5.2.5 近期重点项目预防保护方向 </w:t>
      </w:r>
    </w:p>
    <w:p w14:paraId="7E67BAAD">
      <w:pPr>
        <w:adjustRightInd w:val="0"/>
        <w:snapToGrid w:val="0"/>
        <w:ind w:firstLine="480"/>
        <w:jc w:val="both"/>
        <w:rPr>
          <w:rFonts w:cs="Times New Roman"/>
          <w:szCs w:val="28"/>
        </w:rPr>
      </w:pPr>
      <w:r>
        <w:rPr>
          <w:rFonts w:cs="Times New Roman"/>
          <w:szCs w:val="28"/>
        </w:rPr>
        <w:t>（1）南部中低山区</w:t>
      </w:r>
    </w:p>
    <w:p w14:paraId="2FE77EDF">
      <w:pPr>
        <w:adjustRightInd w:val="0"/>
        <w:snapToGrid w:val="0"/>
        <w:ind w:firstLine="480"/>
        <w:jc w:val="both"/>
        <w:rPr>
          <w:rFonts w:cs="Times New Roman"/>
          <w:szCs w:val="28"/>
        </w:rPr>
      </w:pPr>
      <w:r>
        <w:rPr>
          <w:rFonts w:cs="Times New Roman"/>
          <w:szCs w:val="28"/>
        </w:rPr>
        <w:t>近期重点工对河流源头、河流两岸、森林公园、水源涵养生态保护区、饮用水源地保护地、严重退化牧草场进行封禁保护和生态修复措施。</w:t>
      </w:r>
    </w:p>
    <w:p w14:paraId="60ADF56D">
      <w:pPr>
        <w:adjustRightInd w:val="0"/>
        <w:snapToGrid w:val="0"/>
        <w:ind w:firstLine="480"/>
        <w:jc w:val="both"/>
        <w:rPr>
          <w:rFonts w:cs="Times New Roman"/>
          <w:szCs w:val="28"/>
        </w:rPr>
      </w:pPr>
      <w:r>
        <w:rPr>
          <w:rFonts w:cs="Times New Roman"/>
          <w:szCs w:val="28"/>
        </w:rPr>
        <w:t>（2）中部绿洲人居环境农田防护区</w:t>
      </w:r>
    </w:p>
    <w:p w14:paraId="48C34A9C">
      <w:pPr>
        <w:adjustRightInd w:val="0"/>
        <w:snapToGrid w:val="0"/>
        <w:ind w:firstLine="480"/>
        <w:jc w:val="both"/>
        <w:rPr>
          <w:rFonts w:cs="Times New Roman"/>
          <w:szCs w:val="28"/>
        </w:rPr>
      </w:pPr>
      <w:r>
        <w:rPr>
          <w:rFonts w:cs="Times New Roman"/>
          <w:szCs w:val="28"/>
        </w:rPr>
        <w:t>近期重点对人居环境农田防护区饮用水源地实施封禁保护措施。</w:t>
      </w:r>
    </w:p>
    <w:p w14:paraId="5B59A6AD">
      <w:pPr>
        <w:adjustRightInd w:val="0"/>
        <w:snapToGrid w:val="0"/>
        <w:ind w:firstLine="480"/>
        <w:jc w:val="both"/>
        <w:rPr>
          <w:rFonts w:cs="Times New Roman"/>
          <w:szCs w:val="28"/>
        </w:rPr>
      </w:pPr>
      <w:r>
        <w:rPr>
          <w:rFonts w:cs="Times New Roman"/>
          <w:szCs w:val="28"/>
        </w:rPr>
        <w:t>（3）北部荒漠生态维护防风治沙区</w:t>
      </w:r>
    </w:p>
    <w:p w14:paraId="078AEFE6">
      <w:pPr>
        <w:adjustRightInd w:val="0"/>
        <w:snapToGrid w:val="0"/>
        <w:ind w:firstLine="480"/>
        <w:jc w:val="both"/>
        <w:rPr>
          <w:rFonts w:cs="Times New Roman"/>
          <w:szCs w:val="28"/>
        </w:rPr>
      </w:pPr>
      <w:r>
        <w:rPr>
          <w:rFonts w:cs="Times New Roman"/>
          <w:szCs w:val="28"/>
        </w:rPr>
        <w:t>近期重点对国家沙化土地、退化草原、沙漠公园、荒漠类草地自然保护区、重要水源地以及森林保护区实施封禁保护措施。</w:t>
      </w:r>
    </w:p>
    <w:p w14:paraId="12AD3FED">
      <w:pPr>
        <w:adjustRightInd w:val="0"/>
        <w:snapToGrid w:val="0"/>
        <w:ind w:firstLine="480"/>
        <w:jc w:val="both"/>
        <w:rPr>
          <w:rFonts w:cs="Times New Roman"/>
          <w:szCs w:val="28"/>
        </w:rPr>
      </w:pPr>
    </w:p>
    <w:p w14:paraId="39CCC35F">
      <w:pPr>
        <w:adjustRightInd w:val="0"/>
        <w:snapToGrid w:val="0"/>
        <w:ind w:firstLine="480"/>
        <w:jc w:val="both"/>
        <w:rPr>
          <w:rFonts w:cs="Times New Roman"/>
          <w:szCs w:val="28"/>
        </w:rPr>
      </w:pPr>
    </w:p>
    <w:p w14:paraId="1E2E6446">
      <w:pPr>
        <w:pStyle w:val="44"/>
        <w:spacing w:before="120" w:after="120"/>
        <w:rPr>
          <w:rFonts w:eastAsia="仿宋_GB2312" w:cs="Times New Roman"/>
        </w:rPr>
      </w:pPr>
      <w:bookmarkStart w:id="110" w:name="_Hlk174276997"/>
      <w:r>
        <w:rPr>
          <w:rFonts w:eastAsia="仿宋_GB2312" w:cs="Times New Roman"/>
        </w:rPr>
        <w:t>5.3 重点预防项目</w:t>
      </w:r>
      <w:bookmarkEnd w:id="109"/>
    </w:p>
    <w:p w14:paraId="74C9A100">
      <w:pPr>
        <w:adjustRightInd w:val="0"/>
        <w:snapToGrid w:val="0"/>
        <w:ind w:firstLine="480"/>
        <w:rPr>
          <w:rFonts w:cs="Times New Roman"/>
        </w:rPr>
      </w:pPr>
      <w:r>
        <w:rPr>
          <w:rFonts w:cs="Times New Roman"/>
        </w:rPr>
        <w:t>《新疆维吾尔自治区水土保持规划（2018-2030）》中重点预防项目有“水源涵养区保护工程”、“饮用水源地保护工程”、“湖泊与湿地保护工程”、“草原建设工程”和“荒漠林草保护工程”。</w:t>
      </w:r>
    </w:p>
    <w:p w14:paraId="0936D395">
      <w:pPr>
        <w:adjustRightInd w:val="0"/>
        <w:snapToGrid w:val="0"/>
        <w:ind w:firstLine="482"/>
        <w:jc w:val="both"/>
        <w:rPr>
          <w:rFonts w:cs="Times New Roman"/>
          <w:b/>
          <w:bCs/>
        </w:rPr>
      </w:pPr>
      <w:r>
        <w:rPr>
          <w:rFonts w:cs="Times New Roman"/>
          <w:b/>
          <w:bCs/>
        </w:rPr>
        <w:t>表5.3-1 自治区规划中确定的昌吉州预防保护项目规划目标值 单位：km</w:t>
      </w:r>
      <w:r>
        <w:rPr>
          <w:rFonts w:cs="Times New Roman"/>
          <w:b/>
          <w:bCs/>
          <w:vertAlign w:val="superscript"/>
        </w:rPr>
        <w:t>2</w:t>
      </w:r>
    </w:p>
    <w:tbl>
      <w:tblPr>
        <w:tblStyle w:val="372"/>
        <w:tblW w:w="5000" w:type="pct"/>
        <w:tblInd w:w="0" w:type="dxa"/>
        <w:tblLayout w:type="autofit"/>
        <w:tblCellMar>
          <w:top w:w="0" w:type="dxa"/>
          <w:left w:w="0" w:type="dxa"/>
          <w:bottom w:w="0" w:type="dxa"/>
          <w:right w:w="0" w:type="dxa"/>
        </w:tblCellMar>
      </w:tblPr>
      <w:tblGrid>
        <w:gridCol w:w="1316"/>
        <w:gridCol w:w="1154"/>
        <w:gridCol w:w="1232"/>
        <w:gridCol w:w="1107"/>
        <w:gridCol w:w="967"/>
        <w:gridCol w:w="1523"/>
        <w:gridCol w:w="1024"/>
      </w:tblGrid>
      <w:tr w14:paraId="3E3946C5">
        <w:tblPrEx>
          <w:tblCellMar>
            <w:top w:w="0" w:type="dxa"/>
            <w:left w:w="0" w:type="dxa"/>
            <w:bottom w:w="0" w:type="dxa"/>
            <w:right w:w="0" w:type="dxa"/>
          </w:tblCellMar>
        </w:tblPrEx>
        <w:trPr>
          <w:trHeight w:val="567" w:hRule="exact"/>
        </w:trPr>
        <w:tc>
          <w:tcPr>
            <w:tcW w:w="791" w:type="pct"/>
            <w:vMerge w:val="restart"/>
            <w:tcBorders>
              <w:top w:val="single" w:color="000000" w:sz="4" w:space="0"/>
              <w:left w:val="single" w:color="000000" w:sz="4" w:space="0"/>
              <w:right w:val="single" w:color="000000" w:sz="4" w:space="0"/>
            </w:tcBorders>
            <w:vAlign w:val="center"/>
          </w:tcPr>
          <w:p w14:paraId="4AA03484">
            <w:pPr>
              <w:pStyle w:val="209"/>
              <w:snapToGrid w:val="0"/>
              <w:spacing w:line="240" w:lineRule="auto"/>
              <w:ind w:firstLine="0" w:firstLineChars="0"/>
              <w:rPr>
                <w:rFonts w:ascii="Times New Roman" w:hAnsi="Times New Roman"/>
              </w:rPr>
            </w:pPr>
            <w:r>
              <w:rPr>
                <w:rFonts w:ascii="Times New Roman" w:hAnsi="Times New Roman"/>
              </w:rPr>
              <w:t>规划时段</w:t>
            </w:r>
          </w:p>
        </w:tc>
        <w:tc>
          <w:tcPr>
            <w:tcW w:w="693" w:type="pct"/>
            <w:tcBorders>
              <w:top w:val="single" w:color="000000" w:sz="4" w:space="0"/>
              <w:left w:val="single" w:color="000000" w:sz="4" w:space="0"/>
              <w:bottom w:val="single" w:color="000000" w:sz="4" w:space="0"/>
              <w:right w:val="single" w:color="000000" w:sz="4" w:space="0"/>
            </w:tcBorders>
            <w:vAlign w:val="center"/>
          </w:tcPr>
          <w:p w14:paraId="7A2C567D">
            <w:pPr>
              <w:pStyle w:val="209"/>
              <w:snapToGrid w:val="0"/>
              <w:spacing w:line="240" w:lineRule="auto"/>
              <w:ind w:firstLine="0" w:firstLineChars="0"/>
              <w:rPr>
                <w:rFonts w:ascii="Times New Roman" w:hAnsi="Times New Roman"/>
              </w:rPr>
            </w:pPr>
            <w:r>
              <w:rPr>
                <w:rFonts w:ascii="Times New Roman" w:hAnsi="Times New Roman"/>
              </w:rPr>
              <w:t>水源涵养区保护工程</w:t>
            </w:r>
          </w:p>
        </w:tc>
        <w:tc>
          <w:tcPr>
            <w:tcW w:w="740" w:type="pct"/>
            <w:tcBorders>
              <w:top w:val="single" w:color="000000" w:sz="4" w:space="0"/>
              <w:left w:val="single" w:color="000000" w:sz="4" w:space="0"/>
              <w:bottom w:val="single" w:color="000000" w:sz="4" w:space="0"/>
              <w:right w:val="single" w:color="000000" w:sz="4" w:space="0"/>
            </w:tcBorders>
            <w:vAlign w:val="center"/>
          </w:tcPr>
          <w:p w14:paraId="7E674605">
            <w:pPr>
              <w:pStyle w:val="209"/>
              <w:snapToGrid w:val="0"/>
              <w:spacing w:line="240" w:lineRule="auto"/>
              <w:ind w:firstLine="0" w:firstLineChars="0"/>
              <w:rPr>
                <w:rFonts w:ascii="Times New Roman" w:hAnsi="Times New Roman"/>
              </w:rPr>
            </w:pPr>
            <w:r>
              <w:rPr>
                <w:rFonts w:ascii="Times New Roman" w:hAnsi="Times New Roman"/>
              </w:rPr>
              <w:t>饮用水源地保护工程</w:t>
            </w:r>
          </w:p>
        </w:tc>
        <w:tc>
          <w:tcPr>
            <w:tcW w:w="665" w:type="pct"/>
            <w:tcBorders>
              <w:top w:val="single" w:color="000000" w:sz="4" w:space="0"/>
              <w:left w:val="single" w:color="000000" w:sz="4" w:space="0"/>
              <w:bottom w:val="single" w:color="000000" w:sz="4" w:space="0"/>
              <w:right w:val="single" w:color="000000" w:sz="4" w:space="0"/>
            </w:tcBorders>
            <w:vAlign w:val="center"/>
          </w:tcPr>
          <w:p w14:paraId="2FBAF9E0">
            <w:pPr>
              <w:pStyle w:val="209"/>
              <w:snapToGrid w:val="0"/>
              <w:spacing w:line="240" w:lineRule="auto"/>
              <w:ind w:firstLine="0" w:firstLineChars="0"/>
              <w:rPr>
                <w:rFonts w:ascii="Times New Roman" w:hAnsi="Times New Roman"/>
              </w:rPr>
            </w:pPr>
            <w:r>
              <w:rPr>
                <w:rFonts w:ascii="Times New Roman" w:hAnsi="Times New Roman"/>
              </w:rPr>
              <w:t>湖泊与湿地保护工程</w:t>
            </w:r>
          </w:p>
        </w:tc>
        <w:tc>
          <w:tcPr>
            <w:tcW w:w="1496" w:type="pct"/>
            <w:gridSpan w:val="2"/>
            <w:tcBorders>
              <w:top w:val="single" w:color="000000" w:sz="4" w:space="0"/>
              <w:left w:val="single" w:color="000000" w:sz="4" w:space="0"/>
              <w:bottom w:val="single" w:color="000000" w:sz="4" w:space="0"/>
              <w:right w:val="single" w:color="000000" w:sz="4" w:space="0"/>
            </w:tcBorders>
            <w:vAlign w:val="center"/>
          </w:tcPr>
          <w:p w14:paraId="2693B0E4">
            <w:pPr>
              <w:pStyle w:val="209"/>
              <w:snapToGrid w:val="0"/>
              <w:spacing w:line="240" w:lineRule="auto"/>
              <w:ind w:firstLine="0" w:firstLineChars="0"/>
              <w:rPr>
                <w:rFonts w:ascii="Times New Roman" w:hAnsi="Times New Roman"/>
              </w:rPr>
            </w:pPr>
            <w:r>
              <w:rPr>
                <w:rFonts w:ascii="Times New Roman" w:hAnsi="Times New Roman"/>
              </w:rPr>
              <w:t>草原建设工程</w:t>
            </w:r>
          </w:p>
        </w:tc>
        <w:tc>
          <w:tcPr>
            <w:tcW w:w="615" w:type="pct"/>
            <w:tcBorders>
              <w:top w:val="single" w:color="000000" w:sz="4" w:space="0"/>
              <w:left w:val="single" w:color="000000" w:sz="4" w:space="0"/>
              <w:bottom w:val="single" w:color="000000" w:sz="4" w:space="0"/>
              <w:right w:val="single" w:color="000000" w:sz="4" w:space="0"/>
            </w:tcBorders>
            <w:vAlign w:val="center"/>
          </w:tcPr>
          <w:p w14:paraId="16651091">
            <w:pPr>
              <w:pStyle w:val="209"/>
              <w:snapToGrid w:val="0"/>
              <w:spacing w:line="240" w:lineRule="auto"/>
              <w:ind w:firstLine="0" w:firstLineChars="0"/>
              <w:rPr>
                <w:rFonts w:ascii="Times New Roman" w:hAnsi="Times New Roman"/>
              </w:rPr>
            </w:pPr>
            <w:r>
              <w:rPr>
                <w:rFonts w:ascii="Times New Roman" w:hAnsi="Times New Roman"/>
              </w:rPr>
              <w:t>荒漠林草保护工程</w:t>
            </w:r>
          </w:p>
        </w:tc>
      </w:tr>
      <w:tr w14:paraId="110C6799">
        <w:tblPrEx>
          <w:tblCellMar>
            <w:top w:w="0" w:type="dxa"/>
            <w:left w:w="0" w:type="dxa"/>
            <w:bottom w:w="0" w:type="dxa"/>
            <w:right w:w="0" w:type="dxa"/>
          </w:tblCellMar>
        </w:tblPrEx>
        <w:trPr>
          <w:trHeight w:val="299" w:hRule="exact"/>
        </w:trPr>
        <w:tc>
          <w:tcPr>
            <w:tcW w:w="791" w:type="pct"/>
            <w:vMerge w:val="continue"/>
            <w:tcBorders>
              <w:left w:val="single" w:color="000000" w:sz="4" w:space="0"/>
              <w:bottom w:val="single" w:color="000000" w:sz="4" w:space="0"/>
              <w:right w:val="single" w:color="000000" w:sz="4" w:space="0"/>
            </w:tcBorders>
            <w:vAlign w:val="center"/>
          </w:tcPr>
          <w:p w14:paraId="365CC0F8">
            <w:pPr>
              <w:pStyle w:val="209"/>
              <w:snapToGrid w:val="0"/>
              <w:spacing w:line="240" w:lineRule="auto"/>
              <w:ind w:firstLine="0" w:firstLineChars="0"/>
              <w:rPr>
                <w:rFonts w:ascii="Times New Roman" w:hAnsi="Times New Roman"/>
              </w:rPr>
            </w:pPr>
          </w:p>
        </w:tc>
        <w:tc>
          <w:tcPr>
            <w:tcW w:w="693" w:type="pct"/>
            <w:tcBorders>
              <w:top w:val="single" w:color="000000" w:sz="4" w:space="0"/>
              <w:left w:val="single" w:color="000000" w:sz="4" w:space="0"/>
              <w:bottom w:val="single" w:color="000000" w:sz="4" w:space="0"/>
              <w:right w:val="single" w:color="000000" w:sz="4" w:space="0"/>
            </w:tcBorders>
            <w:vAlign w:val="center"/>
          </w:tcPr>
          <w:p w14:paraId="1F63B5EC">
            <w:pPr>
              <w:pStyle w:val="209"/>
              <w:snapToGrid w:val="0"/>
              <w:spacing w:line="240" w:lineRule="auto"/>
              <w:ind w:firstLine="0" w:firstLineChars="0"/>
              <w:rPr>
                <w:rFonts w:ascii="Times New Roman" w:hAnsi="Times New Roman"/>
              </w:rPr>
            </w:pPr>
            <w:r>
              <w:rPr>
                <w:rFonts w:ascii="Times New Roman" w:hAnsi="Times New Roman"/>
              </w:rPr>
              <w:t>封禁保护</w:t>
            </w:r>
          </w:p>
        </w:tc>
        <w:tc>
          <w:tcPr>
            <w:tcW w:w="740" w:type="pct"/>
            <w:tcBorders>
              <w:top w:val="single" w:color="000000" w:sz="4" w:space="0"/>
              <w:left w:val="single" w:color="000000" w:sz="4" w:space="0"/>
              <w:bottom w:val="single" w:color="000000" w:sz="4" w:space="0"/>
              <w:right w:val="single" w:color="000000" w:sz="4" w:space="0"/>
            </w:tcBorders>
            <w:vAlign w:val="center"/>
          </w:tcPr>
          <w:p w14:paraId="4F46F1AE">
            <w:pPr>
              <w:pStyle w:val="209"/>
              <w:snapToGrid w:val="0"/>
              <w:spacing w:line="240" w:lineRule="auto"/>
              <w:ind w:firstLine="0" w:firstLineChars="0"/>
              <w:rPr>
                <w:rFonts w:ascii="Times New Roman" w:hAnsi="Times New Roman"/>
              </w:rPr>
            </w:pPr>
            <w:r>
              <w:rPr>
                <w:rFonts w:ascii="Times New Roman" w:hAnsi="Times New Roman"/>
              </w:rPr>
              <w:t>封禁保护</w:t>
            </w:r>
          </w:p>
        </w:tc>
        <w:tc>
          <w:tcPr>
            <w:tcW w:w="665" w:type="pct"/>
            <w:tcBorders>
              <w:top w:val="single" w:color="000000" w:sz="4" w:space="0"/>
              <w:left w:val="single" w:color="000000" w:sz="4" w:space="0"/>
              <w:bottom w:val="single" w:color="000000" w:sz="4" w:space="0"/>
              <w:right w:val="single" w:color="000000" w:sz="4" w:space="0"/>
            </w:tcBorders>
            <w:vAlign w:val="center"/>
          </w:tcPr>
          <w:p w14:paraId="6FB27CF8">
            <w:pPr>
              <w:pStyle w:val="209"/>
              <w:snapToGrid w:val="0"/>
              <w:spacing w:line="240" w:lineRule="auto"/>
              <w:ind w:firstLine="0" w:firstLineChars="0"/>
              <w:rPr>
                <w:rFonts w:ascii="Times New Roman" w:hAnsi="Times New Roman"/>
              </w:rPr>
            </w:pPr>
            <w:r>
              <w:rPr>
                <w:rFonts w:ascii="Times New Roman" w:hAnsi="Times New Roman"/>
              </w:rPr>
              <w:t>封禁保护</w:t>
            </w:r>
          </w:p>
        </w:tc>
        <w:tc>
          <w:tcPr>
            <w:tcW w:w="581" w:type="pct"/>
            <w:tcBorders>
              <w:top w:val="single" w:color="000000" w:sz="4" w:space="0"/>
              <w:left w:val="single" w:color="000000" w:sz="4" w:space="0"/>
              <w:bottom w:val="single" w:color="000000" w:sz="4" w:space="0"/>
              <w:right w:val="single" w:color="000000" w:sz="4" w:space="0"/>
            </w:tcBorders>
            <w:vAlign w:val="center"/>
          </w:tcPr>
          <w:p w14:paraId="2D71315A">
            <w:pPr>
              <w:pStyle w:val="209"/>
              <w:snapToGrid w:val="0"/>
              <w:spacing w:line="240" w:lineRule="auto"/>
              <w:ind w:firstLine="0" w:firstLineChars="0"/>
              <w:rPr>
                <w:rFonts w:ascii="Times New Roman" w:hAnsi="Times New Roman"/>
              </w:rPr>
            </w:pPr>
            <w:r>
              <w:rPr>
                <w:rFonts w:ascii="Times New Roman" w:hAnsi="Times New Roman"/>
              </w:rPr>
              <w:t>封禁保护</w:t>
            </w:r>
          </w:p>
        </w:tc>
        <w:tc>
          <w:tcPr>
            <w:tcW w:w="915" w:type="pct"/>
            <w:tcBorders>
              <w:top w:val="single" w:color="000000" w:sz="4" w:space="0"/>
              <w:left w:val="single" w:color="000000" w:sz="4" w:space="0"/>
              <w:bottom w:val="single" w:color="000000" w:sz="4" w:space="0"/>
              <w:right w:val="single" w:color="000000" w:sz="4" w:space="0"/>
            </w:tcBorders>
            <w:vAlign w:val="center"/>
          </w:tcPr>
          <w:p w14:paraId="6A7F1BE4">
            <w:pPr>
              <w:pStyle w:val="209"/>
              <w:snapToGrid w:val="0"/>
              <w:spacing w:line="240" w:lineRule="auto"/>
              <w:ind w:firstLine="0" w:firstLineChars="0"/>
              <w:rPr>
                <w:rFonts w:ascii="Times New Roman" w:hAnsi="Times New Roman"/>
              </w:rPr>
            </w:pPr>
            <w:r>
              <w:rPr>
                <w:rFonts w:ascii="Times New Roman" w:hAnsi="Times New Roman"/>
              </w:rPr>
              <w:t>植被恢复与建设</w:t>
            </w:r>
          </w:p>
        </w:tc>
        <w:tc>
          <w:tcPr>
            <w:tcW w:w="615" w:type="pct"/>
            <w:tcBorders>
              <w:top w:val="single" w:color="000000" w:sz="4" w:space="0"/>
              <w:left w:val="single" w:color="000000" w:sz="4" w:space="0"/>
              <w:bottom w:val="single" w:color="000000" w:sz="4" w:space="0"/>
              <w:right w:val="single" w:color="000000" w:sz="4" w:space="0"/>
            </w:tcBorders>
            <w:vAlign w:val="center"/>
          </w:tcPr>
          <w:p w14:paraId="295DDDA2">
            <w:pPr>
              <w:pStyle w:val="209"/>
              <w:snapToGrid w:val="0"/>
              <w:spacing w:line="240" w:lineRule="auto"/>
              <w:ind w:firstLine="0" w:firstLineChars="0"/>
              <w:rPr>
                <w:rFonts w:ascii="Times New Roman" w:hAnsi="Times New Roman"/>
              </w:rPr>
            </w:pPr>
            <w:r>
              <w:rPr>
                <w:rFonts w:ascii="Times New Roman" w:hAnsi="Times New Roman"/>
              </w:rPr>
              <w:t>封禁保护</w:t>
            </w:r>
          </w:p>
        </w:tc>
      </w:tr>
      <w:tr w14:paraId="7FF3462E">
        <w:tblPrEx>
          <w:tblCellMar>
            <w:top w:w="0" w:type="dxa"/>
            <w:left w:w="0" w:type="dxa"/>
            <w:bottom w:w="0" w:type="dxa"/>
            <w:right w:w="0" w:type="dxa"/>
          </w:tblCellMar>
        </w:tblPrEx>
        <w:trPr>
          <w:trHeight w:val="344" w:hRule="exact"/>
        </w:trPr>
        <w:tc>
          <w:tcPr>
            <w:tcW w:w="791" w:type="pct"/>
            <w:tcBorders>
              <w:top w:val="single" w:color="000000" w:sz="4" w:space="0"/>
              <w:left w:val="single" w:color="000000" w:sz="4" w:space="0"/>
              <w:bottom w:val="single" w:color="000000" w:sz="4" w:space="0"/>
              <w:right w:val="single" w:color="000000" w:sz="4" w:space="0"/>
            </w:tcBorders>
            <w:vAlign w:val="center"/>
          </w:tcPr>
          <w:p w14:paraId="23EF0099">
            <w:pPr>
              <w:pStyle w:val="209"/>
              <w:snapToGrid w:val="0"/>
              <w:spacing w:line="240" w:lineRule="auto"/>
              <w:ind w:firstLine="0" w:firstLineChars="0"/>
              <w:rPr>
                <w:rFonts w:ascii="Times New Roman" w:hAnsi="Times New Roman"/>
              </w:rPr>
            </w:pPr>
            <w:r>
              <w:rPr>
                <w:rFonts w:ascii="Times New Roman" w:hAnsi="Times New Roman"/>
              </w:rPr>
              <w:t>2018-2020</w:t>
            </w:r>
          </w:p>
        </w:tc>
        <w:tc>
          <w:tcPr>
            <w:tcW w:w="693" w:type="pct"/>
            <w:tcBorders>
              <w:top w:val="single" w:color="000000" w:sz="4" w:space="0"/>
              <w:left w:val="single" w:color="000000" w:sz="4" w:space="0"/>
              <w:bottom w:val="single" w:color="000000" w:sz="4" w:space="0"/>
              <w:right w:val="single" w:color="000000" w:sz="4" w:space="0"/>
            </w:tcBorders>
            <w:vAlign w:val="center"/>
          </w:tcPr>
          <w:p w14:paraId="22F6A0E9">
            <w:pPr>
              <w:pStyle w:val="209"/>
              <w:snapToGrid w:val="0"/>
              <w:spacing w:line="240" w:lineRule="auto"/>
              <w:ind w:firstLine="0" w:firstLineChars="0"/>
              <w:rPr>
                <w:rFonts w:ascii="Times New Roman" w:hAnsi="Times New Roman"/>
              </w:rPr>
            </w:pPr>
            <w:r>
              <w:rPr>
                <w:rFonts w:ascii="Times New Roman" w:hAnsi="Times New Roman"/>
              </w:rPr>
              <w:t>146</w:t>
            </w:r>
          </w:p>
        </w:tc>
        <w:tc>
          <w:tcPr>
            <w:tcW w:w="740" w:type="pct"/>
            <w:tcBorders>
              <w:top w:val="single" w:color="000000" w:sz="4" w:space="0"/>
              <w:left w:val="single" w:color="000000" w:sz="4" w:space="0"/>
              <w:bottom w:val="single" w:color="000000" w:sz="4" w:space="0"/>
              <w:right w:val="single" w:color="000000" w:sz="4" w:space="0"/>
            </w:tcBorders>
            <w:vAlign w:val="center"/>
          </w:tcPr>
          <w:p w14:paraId="6A87CE61">
            <w:pPr>
              <w:pStyle w:val="209"/>
              <w:snapToGrid w:val="0"/>
              <w:spacing w:line="240" w:lineRule="auto"/>
              <w:ind w:firstLine="0" w:firstLineChars="0"/>
              <w:rPr>
                <w:rFonts w:ascii="Times New Roman" w:hAnsi="Times New Roman"/>
              </w:rPr>
            </w:pPr>
            <w:r>
              <w:rPr>
                <w:rFonts w:ascii="Times New Roman" w:hAnsi="Times New Roman"/>
              </w:rPr>
              <w:t>5</w:t>
            </w:r>
          </w:p>
        </w:tc>
        <w:tc>
          <w:tcPr>
            <w:tcW w:w="665" w:type="pct"/>
            <w:tcBorders>
              <w:top w:val="single" w:color="000000" w:sz="4" w:space="0"/>
              <w:left w:val="single" w:color="000000" w:sz="4" w:space="0"/>
              <w:bottom w:val="single" w:color="000000" w:sz="4" w:space="0"/>
              <w:right w:val="single" w:color="000000" w:sz="4" w:space="0"/>
            </w:tcBorders>
            <w:vAlign w:val="center"/>
          </w:tcPr>
          <w:p w14:paraId="770540DE">
            <w:pPr>
              <w:pStyle w:val="209"/>
              <w:snapToGrid w:val="0"/>
              <w:spacing w:line="240" w:lineRule="auto"/>
              <w:ind w:firstLine="0" w:firstLineChars="0"/>
              <w:rPr>
                <w:rFonts w:ascii="Times New Roman" w:hAnsi="Times New Roman"/>
              </w:rPr>
            </w:pPr>
            <w:r>
              <w:rPr>
                <w:rFonts w:ascii="Times New Roman" w:hAnsi="Times New Roman"/>
              </w:rPr>
              <w:t>27</w:t>
            </w:r>
          </w:p>
        </w:tc>
        <w:tc>
          <w:tcPr>
            <w:tcW w:w="581" w:type="pct"/>
            <w:tcBorders>
              <w:top w:val="single" w:color="000000" w:sz="4" w:space="0"/>
              <w:left w:val="single" w:color="000000" w:sz="4" w:space="0"/>
              <w:bottom w:val="single" w:color="000000" w:sz="4" w:space="0"/>
              <w:right w:val="single" w:color="000000" w:sz="4" w:space="0"/>
            </w:tcBorders>
            <w:vAlign w:val="center"/>
          </w:tcPr>
          <w:p w14:paraId="1F96787D">
            <w:pPr>
              <w:pStyle w:val="209"/>
              <w:snapToGrid w:val="0"/>
              <w:spacing w:line="240" w:lineRule="auto"/>
              <w:ind w:firstLine="0" w:firstLineChars="0"/>
              <w:rPr>
                <w:rFonts w:ascii="Times New Roman" w:hAnsi="Times New Roman"/>
              </w:rPr>
            </w:pPr>
            <w:r>
              <w:rPr>
                <w:rFonts w:ascii="Times New Roman" w:hAnsi="Times New Roman"/>
              </w:rPr>
              <w:t>7056</w:t>
            </w:r>
          </w:p>
        </w:tc>
        <w:tc>
          <w:tcPr>
            <w:tcW w:w="915" w:type="pct"/>
            <w:tcBorders>
              <w:top w:val="single" w:color="000000" w:sz="4" w:space="0"/>
              <w:left w:val="single" w:color="000000" w:sz="4" w:space="0"/>
              <w:bottom w:val="single" w:color="000000" w:sz="4" w:space="0"/>
              <w:right w:val="single" w:color="000000" w:sz="4" w:space="0"/>
            </w:tcBorders>
            <w:vAlign w:val="center"/>
          </w:tcPr>
          <w:p w14:paraId="6A99265A">
            <w:pPr>
              <w:pStyle w:val="209"/>
              <w:snapToGrid w:val="0"/>
              <w:spacing w:line="240" w:lineRule="auto"/>
              <w:ind w:firstLine="0" w:firstLineChars="0"/>
              <w:rPr>
                <w:rFonts w:ascii="Times New Roman" w:hAnsi="Times New Roman"/>
              </w:rPr>
            </w:pPr>
            <w:r>
              <w:rPr>
                <w:rFonts w:ascii="Times New Roman" w:hAnsi="Times New Roman"/>
              </w:rPr>
              <w:t>172</w:t>
            </w:r>
          </w:p>
        </w:tc>
        <w:tc>
          <w:tcPr>
            <w:tcW w:w="615" w:type="pct"/>
            <w:tcBorders>
              <w:top w:val="single" w:color="000000" w:sz="4" w:space="0"/>
              <w:left w:val="single" w:color="000000" w:sz="4" w:space="0"/>
              <w:bottom w:val="single" w:color="000000" w:sz="4" w:space="0"/>
              <w:right w:val="single" w:color="000000" w:sz="4" w:space="0"/>
            </w:tcBorders>
            <w:vAlign w:val="center"/>
          </w:tcPr>
          <w:p w14:paraId="10614DD3">
            <w:pPr>
              <w:pStyle w:val="209"/>
              <w:snapToGrid w:val="0"/>
              <w:spacing w:line="240" w:lineRule="auto"/>
              <w:ind w:firstLine="0" w:firstLineChars="0"/>
              <w:rPr>
                <w:rFonts w:ascii="Times New Roman" w:hAnsi="Times New Roman"/>
              </w:rPr>
            </w:pPr>
            <w:r>
              <w:rPr>
                <w:rFonts w:ascii="Times New Roman" w:hAnsi="Times New Roman"/>
              </w:rPr>
              <w:t>1029</w:t>
            </w:r>
          </w:p>
        </w:tc>
      </w:tr>
      <w:tr w14:paraId="02F69DAD">
        <w:tblPrEx>
          <w:tblCellMar>
            <w:top w:w="0" w:type="dxa"/>
            <w:left w:w="0" w:type="dxa"/>
            <w:bottom w:w="0" w:type="dxa"/>
            <w:right w:w="0" w:type="dxa"/>
          </w:tblCellMar>
        </w:tblPrEx>
        <w:trPr>
          <w:trHeight w:val="346" w:hRule="exact"/>
        </w:trPr>
        <w:tc>
          <w:tcPr>
            <w:tcW w:w="791" w:type="pct"/>
            <w:tcBorders>
              <w:top w:val="single" w:color="000000" w:sz="4" w:space="0"/>
              <w:left w:val="single" w:color="000000" w:sz="4" w:space="0"/>
              <w:bottom w:val="single" w:color="000000" w:sz="4" w:space="0"/>
              <w:right w:val="single" w:color="000000" w:sz="4" w:space="0"/>
            </w:tcBorders>
            <w:vAlign w:val="center"/>
          </w:tcPr>
          <w:p w14:paraId="32D84B32">
            <w:pPr>
              <w:pStyle w:val="209"/>
              <w:snapToGrid w:val="0"/>
              <w:spacing w:line="240" w:lineRule="auto"/>
              <w:ind w:firstLine="0" w:firstLineChars="0"/>
              <w:rPr>
                <w:rFonts w:ascii="Times New Roman" w:hAnsi="Times New Roman"/>
              </w:rPr>
            </w:pPr>
            <w:r>
              <w:rPr>
                <w:rFonts w:ascii="Times New Roman" w:hAnsi="Times New Roman"/>
              </w:rPr>
              <w:t>2021-2030</w:t>
            </w:r>
          </w:p>
        </w:tc>
        <w:tc>
          <w:tcPr>
            <w:tcW w:w="693" w:type="pct"/>
            <w:tcBorders>
              <w:top w:val="single" w:color="000000" w:sz="4" w:space="0"/>
              <w:left w:val="single" w:color="000000" w:sz="4" w:space="0"/>
              <w:bottom w:val="single" w:color="000000" w:sz="4" w:space="0"/>
              <w:right w:val="single" w:color="000000" w:sz="4" w:space="0"/>
            </w:tcBorders>
            <w:vAlign w:val="center"/>
          </w:tcPr>
          <w:p w14:paraId="2EC99A00">
            <w:pPr>
              <w:pStyle w:val="209"/>
              <w:snapToGrid w:val="0"/>
              <w:spacing w:line="240" w:lineRule="auto"/>
              <w:ind w:firstLine="0" w:firstLineChars="0"/>
              <w:rPr>
                <w:rFonts w:ascii="Times New Roman" w:hAnsi="Times New Roman"/>
              </w:rPr>
            </w:pPr>
            <w:r>
              <w:rPr>
                <w:rFonts w:ascii="Times New Roman" w:hAnsi="Times New Roman"/>
              </w:rPr>
              <w:t>699</w:t>
            </w:r>
          </w:p>
        </w:tc>
        <w:tc>
          <w:tcPr>
            <w:tcW w:w="740" w:type="pct"/>
            <w:tcBorders>
              <w:top w:val="single" w:color="000000" w:sz="4" w:space="0"/>
              <w:left w:val="single" w:color="000000" w:sz="4" w:space="0"/>
              <w:bottom w:val="single" w:color="000000" w:sz="4" w:space="0"/>
              <w:right w:val="single" w:color="000000" w:sz="4" w:space="0"/>
            </w:tcBorders>
            <w:vAlign w:val="center"/>
          </w:tcPr>
          <w:p w14:paraId="0725CDDE">
            <w:pPr>
              <w:pStyle w:val="209"/>
              <w:snapToGrid w:val="0"/>
              <w:spacing w:line="240" w:lineRule="auto"/>
              <w:ind w:firstLine="0" w:firstLineChars="0"/>
              <w:rPr>
                <w:rFonts w:ascii="Times New Roman" w:hAnsi="Times New Roman"/>
              </w:rPr>
            </w:pPr>
            <w:r>
              <w:rPr>
                <w:rFonts w:ascii="Times New Roman" w:hAnsi="Times New Roman"/>
              </w:rPr>
              <w:t>22</w:t>
            </w:r>
          </w:p>
        </w:tc>
        <w:tc>
          <w:tcPr>
            <w:tcW w:w="665" w:type="pct"/>
            <w:tcBorders>
              <w:top w:val="single" w:color="000000" w:sz="4" w:space="0"/>
              <w:left w:val="single" w:color="000000" w:sz="4" w:space="0"/>
              <w:bottom w:val="single" w:color="000000" w:sz="4" w:space="0"/>
              <w:right w:val="single" w:color="000000" w:sz="4" w:space="0"/>
            </w:tcBorders>
            <w:vAlign w:val="center"/>
          </w:tcPr>
          <w:p w14:paraId="50576549">
            <w:pPr>
              <w:pStyle w:val="209"/>
              <w:snapToGrid w:val="0"/>
              <w:spacing w:line="240" w:lineRule="auto"/>
              <w:ind w:firstLine="0" w:firstLineChars="0"/>
              <w:rPr>
                <w:rFonts w:ascii="Times New Roman" w:hAnsi="Times New Roman"/>
              </w:rPr>
            </w:pPr>
            <w:r>
              <w:rPr>
                <w:rFonts w:ascii="Times New Roman" w:hAnsi="Times New Roman"/>
              </w:rPr>
              <w:t>130</w:t>
            </w:r>
          </w:p>
        </w:tc>
        <w:tc>
          <w:tcPr>
            <w:tcW w:w="581" w:type="pct"/>
            <w:tcBorders>
              <w:top w:val="single" w:color="000000" w:sz="4" w:space="0"/>
              <w:left w:val="single" w:color="000000" w:sz="4" w:space="0"/>
              <w:bottom w:val="single" w:color="000000" w:sz="4" w:space="0"/>
              <w:right w:val="single" w:color="000000" w:sz="4" w:space="0"/>
            </w:tcBorders>
            <w:vAlign w:val="center"/>
          </w:tcPr>
          <w:p w14:paraId="43D57EBB">
            <w:pPr>
              <w:pStyle w:val="209"/>
              <w:snapToGrid w:val="0"/>
              <w:spacing w:line="240" w:lineRule="auto"/>
              <w:ind w:firstLine="0" w:firstLineChars="0"/>
              <w:rPr>
                <w:rFonts w:ascii="Times New Roman" w:hAnsi="Times New Roman"/>
              </w:rPr>
            </w:pPr>
            <w:r>
              <w:rPr>
                <w:rFonts w:ascii="Times New Roman" w:hAnsi="Times New Roman"/>
              </w:rPr>
              <w:t>15664</w:t>
            </w:r>
          </w:p>
        </w:tc>
        <w:tc>
          <w:tcPr>
            <w:tcW w:w="915" w:type="pct"/>
            <w:tcBorders>
              <w:top w:val="single" w:color="000000" w:sz="4" w:space="0"/>
              <w:left w:val="single" w:color="000000" w:sz="4" w:space="0"/>
              <w:bottom w:val="single" w:color="000000" w:sz="4" w:space="0"/>
              <w:right w:val="single" w:color="000000" w:sz="4" w:space="0"/>
            </w:tcBorders>
            <w:vAlign w:val="center"/>
          </w:tcPr>
          <w:p w14:paraId="706BA445">
            <w:pPr>
              <w:pStyle w:val="209"/>
              <w:snapToGrid w:val="0"/>
              <w:spacing w:line="240" w:lineRule="auto"/>
              <w:ind w:firstLine="0" w:firstLineChars="0"/>
              <w:rPr>
                <w:rFonts w:ascii="Times New Roman" w:hAnsi="Times New Roman"/>
              </w:rPr>
            </w:pPr>
            <w:r>
              <w:rPr>
                <w:rFonts w:ascii="Times New Roman" w:hAnsi="Times New Roman"/>
              </w:rPr>
              <w:t>381</w:t>
            </w:r>
          </w:p>
        </w:tc>
        <w:tc>
          <w:tcPr>
            <w:tcW w:w="615" w:type="pct"/>
            <w:tcBorders>
              <w:top w:val="single" w:color="000000" w:sz="4" w:space="0"/>
              <w:left w:val="single" w:color="000000" w:sz="4" w:space="0"/>
              <w:bottom w:val="single" w:color="000000" w:sz="4" w:space="0"/>
              <w:right w:val="single" w:color="000000" w:sz="4" w:space="0"/>
            </w:tcBorders>
            <w:vAlign w:val="center"/>
          </w:tcPr>
          <w:p w14:paraId="6C89F130">
            <w:pPr>
              <w:pStyle w:val="209"/>
              <w:snapToGrid w:val="0"/>
              <w:spacing w:line="240" w:lineRule="auto"/>
              <w:ind w:firstLine="0" w:firstLineChars="0"/>
              <w:rPr>
                <w:rFonts w:ascii="Times New Roman" w:hAnsi="Times New Roman"/>
              </w:rPr>
            </w:pPr>
            <w:r>
              <w:rPr>
                <w:rFonts w:ascii="Times New Roman" w:hAnsi="Times New Roman"/>
              </w:rPr>
              <w:t>2284</w:t>
            </w:r>
          </w:p>
        </w:tc>
      </w:tr>
    </w:tbl>
    <w:p w14:paraId="4ED6A9AB">
      <w:pPr>
        <w:adjustRightInd w:val="0"/>
        <w:snapToGrid w:val="0"/>
        <w:ind w:firstLine="480"/>
        <w:rPr>
          <w:rFonts w:cs="Times New Roman"/>
        </w:rPr>
      </w:pPr>
    </w:p>
    <w:p w14:paraId="1C37D705">
      <w:pPr>
        <w:adjustRightInd w:val="0"/>
        <w:snapToGrid w:val="0"/>
        <w:ind w:firstLine="480"/>
        <w:rPr>
          <w:rFonts w:cs="Times New Roman"/>
        </w:rPr>
      </w:pPr>
      <w:r>
        <w:rPr>
          <w:rFonts w:cs="Times New Roman"/>
        </w:rPr>
        <w:t>注：草原建设工程纳入草原保护建设发展规划考虑，荒漠林草保护工程来源于林业部门相关规划，本规划只列出工程数量或面积，不匡算投资，不计入预防措施治理面积。</w:t>
      </w:r>
    </w:p>
    <w:p w14:paraId="2540A2C0">
      <w:pPr>
        <w:adjustRightInd w:val="0"/>
        <w:snapToGrid w:val="0"/>
        <w:ind w:firstLine="480"/>
        <w:rPr>
          <w:rFonts w:cs="Times New Roman"/>
        </w:rPr>
      </w:pPr>
      <w:r>
        <w:rPr>
          <w:rFonts w:cs="Times New Roman"/>
        </w:rPr>
        <w:t>《新疆维吾尔自治区昌吉回族自治州水土保持规划（2020-2030年）》中重点预防项目有“水源涵养区保护工程”、“饮用水源地保护工程”、“湖泊与湿地保护工程”、“草原建设工程”和“荒漠林草保护工程”。涉及阜康市的预防保护项目规划详见表5.3-2。</w:t>
      </w:r>
    </w:p>
    <w:p w14:paraId="789D90E9">
      <w:pPr>
        <w:adjustRightInd w:val="0"/>
        <w:snapToGrid w:val="0"/>
        <w:ind w:firstLine="482"/>
        <w:jc w:val="both"/>
        <w:rPr>
          <w:rFonts w:cs="Times New Roman"/>
          <w:b/>
          <w:bCs/>
        </w:rPr>
      </w:pPr>
      <w:r>
        <w:rPr>
          <w:rFonts w:cs="Times New Roman"/>
          <w:b/>
          <w:bCs/>
        </w:rPr>
        <w:t>表5.3-2 昌吉州规划中确定的阜康市预防保护项目规划目标值 单位：km</w:t>
      </w:r>
      <w:r>
        <w:rPr>
          <w:rFonts w:cs="Times New Roman"/>
          <w:b/>
          <w:bCs/>
          <w:vertAlign w:val="superscript"/>
        </w:rPr>
        <w:t>2</w:t>
      </w:r>
    </w:p>
    <w:tbl>
      <w:tblPr>
        <w:tblStyle w:val="372"/>
        <w:tblW w:w="8341" w:type="dxa"/>
        <w:tblInd w:w="117" w:type="dxa"/>
        <w:tblLayout w:type="fixed"/>
        <w:tblCellMar>
          <w:top w:w="0" w:type="dxa"/>
          <w:left w:w="0" w:type="dxa"/>
          <w:bottom w:w="0" w:type="dxa"/>
          <w:right w:w="0" w:type="dxa"/>
        </w:tblCellMar>
      </w:tblPr>
      <w:tblGrid>
        <w:gridCol w:w="926"/>
        <w:gridCol w:w="1049"/>
        <w:gridCol w:w="988"/>
        <w:gridCol w:w="1067"/>
        <w:gridCol w:w="1037"/>
        <w:gridCol w:w="869"/>
        <w:gridCol w:w="1379"/>
        <w:gridCol w:w="1026"/>
      </w:tblGrid>
      <w:tr w14:paraId="21627C28">
        <w:tblPrEx>
          <w:tblCellMar>
            <w:top w:w="0" w:type="dxa"/>
            <w:left w:w="0" w:type="dxa"/>
            <w:bottom w:w="0" w:type="dxa"/>
            <w:right w:w="0" w:type="dxa"/>
          </w:tblCellMar>
        </w:tblPrEx>
        <w:trPr>
          <w:trHeight w:val="505" w:hRule="exact"/>
        </w:trPr>
        <w:tc>
          <w:tcPr>
            <w:tcW w:w="926" w:type="dxa"/>
            <w:vMerge w:val="restart"/>
            <w:tcBorders>
              <w:top w:val="single" w:color="000000" w:sz="4" w:space="0"/>
              <w:left w:val="single" w:color="000000" w:sz="4" w:space="0"/>
              <w:right w:val="single" w:color="000000" w:sz="4" w:space="0"/>
            </w:tcBorders>
            <w:vAlign w:val="center"/>
          </w:tcPr>
          <w:p w14:paraId="44ABD7D1">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县（市、区）</w:t>
            </w:r>
          </w:p>
        </w:tc>
        <w:tc>
          <w:tcPr>
            <w:tcW w:w="1049" w:type="dxa"/>
            <w:vMerge w:val="restart"/>
            <w:tcBorders>
              <w:top w:val="single" w:color="000000" w:sz="4" w:space="0"/>
              <w:left w:val="single" w:color="000000" w:sz="4" w:space="0"/>
              <w:right w:val="single" w:color="000000" w:sz="4" w:space="0"/>
            </w:tcBorders>
            <w:vAlign w:val="center"/>
          </w:tcPr>
          <w:p w14:paraId="3BDC8C41">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规划时段</w:t>
            </w:r>
          </w:p>
        </w:tc>
        <w:tc>
          <w:tcPr>
            <w:tcW w:w="988" w:type="dxa"/>
            <w:tcBorders>
              <w:top w:val="single" w:color="000000" w:sz="4" w:space="0"/>
              <w:left w:val="single" w:color="000000" w:sz="4" w:space="0"/>
              <w:bottom w:val="single" w:color="000000" w:sz="4" w:space="0"/>
              <w:right w:val="single" w:color="000000" w:sz="4" w:space="0"/>
            </w:tcBorders>
            <w:vAlign w:val="center"/>
          </w:tcPr>
          <w:p w14:paraId="16FD6106">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水源涵养区保护工程</w:t>
            </w:r>
          </w:p>
        </w:tc>
        <w:tc>
          <w:tcPr>
            <w:tcW w:w="1067" w:type="dxa"/>
            <w:tcBorders>
              <w:top w:val="single" w:color="000000" w:sz="4" w:space="0"/>
              <w:left w:val="single" w:color="000000" w:sz="4" w:space="0"/>
              <w:bottom w:val="single" w:color="000000" w:sz="4" w:space="0"/>
              <w:right w:val="single" w:color="000000" w:sz="4" w:space="0"/>
            </w:tcBorders>
            <w:vAlign w:val="center"/>
          </w:tcPr>
          <w:p w14:paraId="117FDAA1">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饮用水源地保护工程</w:t>
            </w:r>
          </w:p>
        </w:tc>
        <w:tc>
          <w:tcPr>
            <w:tcW w:w="1037" w:type="dxa"/>
            <w:tcBorders>
              <w:top w:val="single" w:color="000000" w:sz="4" w:space="0"/>
              <w:left w:val="single" w:color="000000" w:sz="4" w:space="0"/>
              <w:bottom w:val="single" w:color="000000" w:sz="4" w:space="0"/>
              <w:right w:val="single" w:color="000000" w:sz="4" w:space="0"/>
            </w:tcBorders>
            <w:vAlign w:val="center"/>
          </w:tcPr>
          <w:p w14:paraId="70F315D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湖泊与湿地保护工程</w:t>
            </w:r>
          </w:p>
        </w:tc>
        <w:tc>
          <w:tcPr>
            <w:tcW w:w="2248" w:type="dxa"/>
            <w:gridSpan w:val="2"/>
            <w:tcBorders>
              <w:top w:val="single" w:color="000000" w:sz="4" w:space="0"/>
              <w:left w:val="single" w:color="000000" w:sz="4" w:space="0"/>
              <w:bottom w:val="single" w:color="000000" w:sz="4" w:space="0"/>
              <w:right w:val="single" w:color="000000" w:sz="4" w:space="0"/>
            </w:tcBorders>
            <w:vAlign w:val="center"/>
          </w:tcPr>
          <w:p w14:paraId="389A0AFC">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草原建设工程</w:t>
            </w:r>
          </w:p>
        </w:tc>
        <w:tc>
          <w:tcPr>
            <w:tcW w:w="1026" w:type="dxa"/>
            <w:tcBorders>
              <w:top w:val="single" w:color="000000" w:sz="4" w:space="0"/>
              <w:left w:val="single" w:color="000000" w:sz="4" w:space="0"/>
              <w:bottom w:val="single" w:color="000000" w:sz="4" w:space="0"/>
              <w:right w:val="single" w:color="000000" w:sz="4" w:space="0"/>
            </w:tcBorders>
            <w:vAlign w:val="center"/>
          </w:tcPr>
          <w:p w14:paraId="08A447C8">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荒漠林草保护工程</w:t>
            </w:r>
          </w:p>
        </w:tc>
      </w:tr>
      <w:tr w14:paraId="5E6B3421">
        <w:tblPrEx>
          <w:tblCellMar>
            <w:top w:w="0" w:type="dxa"/>
            <w:left w:w="0" w:type="dxa"/>
            <w:bottom w:w="0" w:type="dxa"/>
            <w:right w:w="0" w:type="dxa"/>
          </w:tblCellMar>
        </w:tblPrEx>
        <w:trPr>
          <w:trHeight w:val="278" w:hRule="exact"/>
        </w:trPr>
        <w:tc>
          <w:tcPr>
            <w:tcW w:w="926" w:type="dxa"/>
            <w:vMerge w:val="continue"/>
            <w:tcBorders>
              <w:left w:val="single" w:color="000000" w:sz="4" w:space="0"/>
              <w:bottom w:val="single" w:color="000000" w:sz="4" w:space="0"/>
              <w:right w:val="single" w:color="000000" w:sz="4" w:space="0"/>
            </w:tcBorders>
            <w:vAlign w:val="center"/>
          </w:tcPr>
          <w:p w14:paraId="5A41BC5B">
            <w:pPr>
              <w:adjustRightInd w:val="0"/>
              <w:snapToGrid w:val="0"/>
              <w:spacing w:line="240" w:lineRule="auto"/>
              <w:ind w:firstLine="0" w:firstLineChars="0"/>
              <w:jc w:val="center"/>
              <w:rPr>
                <w:rFonts w:ascii="Times New Roman" w:hAnsi="Times New Roman" w:cs="Times New Roman"/>
              </w:rPr>
            </w:pPr>
          </w:p>
        </w:tc>
        <w:tc>
          <w:tcPr>
            <w:tcW w:w="1049" w:type="dxa"/>
            <w:vMerge w:val="continue"/>
            <w:tcBorders>
              <w:left w:val="single" w:color="000000" w:sz="4" w:space="0"/>
              <w:bottom w:val="single" w:color="000000" w:sz="4" w:space="0"/>
              <w:right w:val="single" w:color="000000" w:sz="4" w:space="0"/>
            </w:tcBorders>
            <w:vAlign w:val="center"/>
          </w:tcPr>
          <w:p w14:paraId="26E3E73F">
            <w:pPr>
              <w:adjustRightInd w:val="0"/>
              <w:snapToGrid w:val="0"/>
              <w:spacing w:line="240" w:lineRule="auto"/>
              <w:ind w:firstLine="0" w:firstLineChars="0"/>
              <w:jc w:val="center"/>
              <w:rPr>
                <w:rFonts w:ascii="Times New Roman" w:hAnsi="Times New Roman" w:cs="Times New Roman"/>
              </w:rPr>
            </w:pPr>
          </w:p>
        </w:tc>
        <w:tc>
          <w:tcPr>
            <w:tcW w:w="988" w:type="dxa"/>
            <w:tcBorders>
              <w:top w:val="single" w:color="000000" w:sz="4" w:space="0"/>
              <w:left w:val="single" w:color="000000" w:sz="4" w:space="0"/>
              <w:bottom w:val="single" w:color="000000" w:sz="4" w:space="0"/>
              <w:right w:val="single" w:color="000000" w:sz="4" w:space="0"/>
            </w:tcBorders>
            <w:vAlign w:val="center"/>
          </w:tcPr>
          <w:p w14:paraId="102B1CDA">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封禁保护</w:t>
            </w:r>
          </w:p>
        </w:tc>
        <w:tc>
          <w:tcPr>
            <w:tcW w:w="1067" w:type="dxa"/>
            <w:tcBorders>
              <w:top w:val="single" w:color="000000" w:sz="4" w:space="0"/>
              <w:left w:val="single" w:color="000000" w:sz="4" w:space="0"/>
              <w:bottom w:val="single" w:color="000000" w:sz="4" w:space="0"/>
              <w:right w:val="single" w:color="000000" w:sz="4" w:space="0"/>
            </w:tcBorders>
            <w:vAlign w:val="center"/>
          </w:tcPr>
          <w:p w14:paraId="60FE9D2D">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封禁保护</w:t>
            </w:r>
          </w:p>
        </w:tc>
        <w:tc>
          <w:tcPr>
            <w:tcW w:w="1037" w:type="dxa"/>
            <w:tcBorders>
              <w:top w:val="single" w:color="000000" w:sz="4" w:space="0"/>
              <w:left w:val="single" w:color="000000" w:sz="4" w:space="0"/>
              <w:bottom w:val="single" w:color="000000" w:sz="4" w:space="0"/>
              <w:right w:val="single" w:color="000000" w:sz="4" w:space="0"/>
            </w:tcBorders>
            <w:vAlign w:val="center"/>
          </w:tcPr>
          <w:p w14:paraId="22E0BA37">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封禁保护</w:t>
            </w:r>
          </w:p>
        </w:tc>
        <w:tc>
          <w:tcPr>
            <w:tcW w:w="869" w:type="dxa"/>
            <w:tcBorders>
              <w:top w:val="single" w:color="000000" w:sz="4" w:space="0"/>
              <w:left w:val="single" w:color="000000" w:sz="4" w:space="0"/>
              <w:bottom w:val="single" w:color="000000" w:sz="4" w:space="0"/>
              <w:right w:val="single" w:color="000000" w:sz="4" w:space="0"/>
            </w:tcBorders>
            <w:vAlign w:val="center"/>
          </w:tcPr>
          <w:p w14:paraId="225494EB">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封禁保护</w:t>
            </w:r>
          </w:p>
        </w:tc>
        <w:tc>
          <w:tcPr>
            <w:tcW w:w="1379" w:type="dxa"/>
            <w:tcBorders>
              <w:top w:val="single" w:color="000000" w:sz="4" w:space="0"/>
              <w:left w:val="single" w:color="000000" w:sz="4" w:space="0"/>
              <w:bottom w:val="single" w:color="000000" w:sz="4" w:space="0"/>
              <w:right w:val="single" w:color="000000" w:sz="4" w:space="0"/>
            </w:tcBorders>
            <w:vAlign w:val="center"/>
          </w:tcPr>
          <w:p w14:paraId="21E1B30C">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植被恢复与建设</w:t>
            </w:r>
          </w:p>
        </w:tc>
        <w:tc>
          <w:tcPr>
            <w:tcW w:w="1026" w:type="dxa"/>
            <w:tcBorders>
              <w:top w:val="single" w:color="000000" w:sz="4" w:space="0"/>
              <w:left w:val="single" w:color="000000" w:sz="4" w:space="0"/>
              <w:bottom w:val="single" w:color="000000" w:sz="4" w:space="0"/>
              <w:right w:val="single" w:color="000000" w:sz="4" w:space="0"/>
            </w:tcBorders>
            <w:vAlign w:val="center"/>
          </w:tcPr>
          <w:p w14:paraId="6A9E8542">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封禁保护</w:t>
            </w:r>
          </w:p>
        </w:tc>
      </w:tr>
      <w:tr w14:paraId="1F73366D">
        <w:tblPrEx>
          <w:tblCellMar>
            <w:top w:w="0" w:type="dxa"/>
            <w:left w:w="0" w:type="dxa"/>
            <w:bottom w:w="0" w:type="dxa"/>
            <w:right w:w="0" w:type="dxa"/>
          </w:tblCellMar>
        </w:tblPrEx>
        <w:trPr>
          <w:trHeight w:val="312" w:hRule="exact"/>
        </w:trPr>
        <w:tc>
          <w:tcPr>
            <w:tcW w:w="926" w:type="dxa"/>
            <w:vMerge w:val="restart"/>
            <w:tcBorders>
              <w:top w:val="single" w:color="000000" w:sz="4" w:space="0"/>
              <w:left w:val="single" w:color="000000" w:sz="4" w:space="0"/>
              <w:right w:val="single" w:color="000000" w:sz="4" w:space="0"/>
            </w:tcBorders>
            <w:vAlign w:val="center"/>
          </w:tcPr>
          <w:p w14:paraId="42EF34F1">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阜康市</w:t>
            </w:r>
          </w:p>
        </w:tc>
        <w:tc>
          <w:tcPr>
            <w:tcW w:w="1049" w:type="dxa"/>
            <w:tcBorders>
              <w:top w:val="single" w:color="000000" w:sz="4" w:space="0"/>
              <w:left w:val="single" w:color="000000" w:sz="4" w:space="0"/>
              <w:bottom w:val="single" w:color="000000" w:sz="4" w:space="0"/>
              <w:right w:val="single" w:color="000000" w:sz="4" w:space="0"/>
            </w:tcBorders>
            <w:vAlign w:val="center"/>
          </w:tcPr>
          <w:p w14:paraId="6DCECC2D">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近期</w:t>
            </w:r>
          </w:p>
        </w:tc>
        <w:tc>
          <w:tcPr>
            <w:tcW w:w="988" w:type="dxa"/>
            <w:tcBorders>
              <w:top w:val="single" w:color="000000" w:sz="4" w:space="0"/>
              <w:left w:val="single" w:color="000000" w:sz="4" w:space="0"/>
              <w:bottom w:val="single" w:color="000000" w:sz="4" w:space="0"/>
              <w:right w:val="single" w:color="000000" w:sz="4" w:space="0"/>
            </w:tcBorders>
            <w:vAlign w:val="center"/>
          </w:tcPr>
          <w:p w14:paraId="317BD741">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20</w:t>
            </w:r>
          </w:p>
        </w:tc>
        <w:tc>
          <w:tcPr>
            <w:tcW w:w="1067" w:type="dxa"/>
            <w:tcBorders>
              <w:top w:val="single" w:color="000000" w:sz="4" w:space="0"/>
              <w:left w:val="single" w:color="000000" w:sz="4" w:space="0"/>
              <w:bottom w:val="single" w:color="000000" w:sz="4" w:space="0"/>
              <w:right w:val="single" w:color="000000" w:sz="4" w:space="0"/>
            </w:tcBorders>
            <w:vAlign w:val="center"/>
          </w:tcPr>
          <w:p w14:paraId="76FDAAA8">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w:t>
            </w:r>
          </w:p>
        </w:tc>
        <w:tc>
          <w:tcPr>
            <w:tcW w:w="1037" w:type="dxa"/>
            <w:tcBorders>
              <w:top w:val="single" w:color="000000" w:sz="4" w:space="0"/>
              <w:left w:val="single" w:color="000000" w:sz="4" w:space="0"/>
              <w:bottom w:val="single" w:color="000000" w:sz="4" w:space="0"/>
              <w:right w:val="single" w:color="000000" w:sz="4" w:space="0"/>
            </w:tcBorders>
            <w:vAlign w:val="center"/>
          </w:tcPr>
          <w:p w14:paraId="7C88EB42">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3</w:t>
            </w:r>
          </w:p>
        </w:tc>
        <w:tc>
          <w:tcPr>
            <w:tcW w:w="869" w:type="dxa"/>
            <w:tcBorders>
              <w:top w:val="single" w:color="000000" w:sz="4" w:space="0"/>
              <w:left w:val="single" w:color="000000" w:sz="4" w:space="0"/>
              <w:bottom w:val="single" w:color="000000" w:sz="4" w:space="0"/>
              <w:right w:val="single" w:color="000000" w:sz="4" w:space="0"/>
            </w:tcBorders>
            <w:vAlign w:val="center"/>
          </w:tcPr>
          <w:p w14:paraId="2BB6497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1000</w:t>
            </w:r>
          </w:p>
        </w:tc>
        <w:tc>
          <w:tcPr>
            <w:tcW w:w="1379" w:type="dxa"/>
            <w:tcBorders>
              <w:top w:val="single" w:color="000000" w:sz="4" w:space="0"/>
              <w:left w:val="single" w:color="000000" w:sz="4" w:space="0"/>
              <w:bottom w:val="single" w:color="000000" w:sz="4" w:space="0"/>
              <w:right w:val="single" w:color="000000" w:sz="4" w:space="0"/>
            </w:tcBorders>
            <w:vAlign w:val="center"/>
          </w:tcPr>
          <w:p w14:paraId="0B2D829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15</w:t>
            </w:r>
          </w:p>
        </w:tc>
        <w:tc>
          <w:tcPr>
            <w:tcW w:w="1026" w:type="dxa"/>
            <w:tcBorders>
              <w:top w:val="single" w:color="000000" w:sz="4" w:space="0"/>
              <w:left w:val="single" w:color="000000" w:sz="4" w:space="0"/>
              <w:bottom w:val="single" w:color="000000" w:sz="4" w:space="0"/>
              <w:right w:val="single" w:color="000000" w:sz="4" w:space="0"/>
            </w:tcBorders>
            <w:vAlign w:val="center"/>
          </w:tcPr>
          <w:p w14:paraId="6BF7E0AD">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15</w:t>
            </w:r>
          </w:p>
        </w:tc>
      </w:tr>
      <w:tr w14:paraId="488B5A3F">
        <w:tblPrEx>
          <w:tblCellMar>
            <w:top w:w="0" w:type="dxa"/>
            <w:left w:w="0" w:type="dxa"/>
            <w:bottom w:w="0" w:type="dxa"/>
            <w:right w:w="0" w:type="dxa"/>
          </w:tblCellMar>
        </w:tblPrEx>
        <w:trPr>
          <w:trHeight w:val="312" w:hRule="exact"/>
        </w:trPr>
        <w:tc>
          <w:tcPr>
            <w:tcW w:w="926" w:type="dxa"/>
            <w:vMerge w:val="continue"/>
            <w:tcBorders>
              <w:left w:val="single" w:color="000000" w:sz="4" w:space="0"/>
              <w:bottom w:val="single" w:color="000000" w:sz="4" w:space="0"/>
              <w:right w:val="single" w:color="000000" w:sz="4" w:space="0"/>
            </w:tcBorders>
            <w:vAlign w:val="center"/>
          </w:tcPr>
          <w:p w14:paraId="21FBA487">
            <w:pPr>
              <w:adjustRightInd w:val="0"/>
              <w:snapToGrid w:val="0"/>
              <w:spacing w:line="240" w:lineRule="auto"/>
              <w:ind w:firstLine="0" w:firstLineChars="0"/>
              <w:jc w:val="center"/>
              <w:rPr>
                <w:rFonts w:ascii="Times New Roman" w:hAnsi="Times New Roman" w:cs="Times New Roman"/>
              </w:rPr>
            </w:pPr>
          </w:p>
        </w:tc>
        <w:tc>
          <w:tcPr>
            <w:tcW w:w="1049" w:type="dxa"/>
            <w:tcBorders>
              <w:top w:val="single" w:color="000000" w:sz="4" w:space="0"/>
              <w:left w:val="single" w:color="000000" w:sz="4" w:space="0"/>
              <w:bottom w:val="single" w:color="000000" w:sz="4" w:space="0"/>
              <w:right w:val="single" w:color="000000" w:sz="4" w:space="0"/>
            </w:tcBorders>
            <w:vAlign w:val="center"/>
          </w:tcPr>
          <w:p w14:paraId="4DE399F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远期</w:t>
            </w:r>
          </w:p>
        </w:tc>
        <w:tc>
          <w:tcPr>
            <w:tcW w:w="988" w:type="dxa"/>
            <w:tcBorders>
              <w:top w:val="single" w:color="000000" w:sz="4" w:space="0"/>
              <w:left w:val="single" w:color="000000" w:sz="4" w:space="0"/>
              <w:bottom w:val="single" w:color="000000" w:sz="4" w:space="0"/>
              <w:right w:val="single" w:color="000000" w:sz="4" w:space="0"/>
            </w:tcBorders>
            <w:vAlign w:val="center"/>
          </w:tcPr>
          <w:p w14:paraId="2F96B183">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24</w:t>
            </w:r>
          </w:p>
        </w:tc>
        <w:tc>
          <w:tcPr>
            <w:tcW w:w="1067" w:type="dxa"/>
            <w:tcBorders>
              <w:top w:val="single" w:color="000000" w:sz="4" w:space="0"/>
              <w:left w:val="single" w:color="000000" w:sz="4" w:space="0"/>
              <w:bottom w:val="single" w:color="000000" w:sz="4" w:space="0"/>
              <w:right w:val="single" w:color="000000" w:sz="4" w:space="0"/>
            </w:tcBorders>
            <w:vAlign w:val="center"/>
          </w:tcPr>
          <w:p w14:paraId="4324B014">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2</w:t>
            </w:r>
          </w:p>
        </w:tc>
        <w:tc>
          <w:tcPr>
            <w:tcW w:w="1037" w:type="dxa"/>
            <w:tcBorders>
              <w:top w:val="single" w:color="000000" w:sz="4" w:space="0"/>
              <w:left w:val="single" w:color="000000" w:sz="4" w:space="0"/>
              <w:bottom w:val="single" w:color="000000" w:sz="4" w:space="0"/>
              <w:right w:val="single" w:color="000000" w:sz="4" w:space="0"/>
            </w:tcBorders>
            <w:vAlign w:val="center"/>
          </w:tcPr>
          <w:p w14:paraId="7183BFA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4</w:t>
            </w:r>
          </w:p>
        </w:tc>
        <w:tc>
          <w:tcPr>
            <w:tcW w:w="869" w:type="dxa"/>
            <w:tcBorders>
              <w:top w:val="single" w:color="000000" w:sz="4" w:space="0"/>
              <w:left w:val="single" w:color="000000" w:sz="4" w:space="0"/>
              <w:bottom w:val="single" w:color="000000" w:sz="4" w:space="0"/>
              <w:right w:val="single" w:color="000000" w:sz="4" w:space="0"/>
            </w:tcBorders>
            <w:vAlign w:val="center"/>
          </w:tcPr>
          <w:p w14:paraId="665CB2C6">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1651</w:t>
            </w:r>
          </w:p>
        </w:tc>
        <w:tc>
          <w:tcPr>
            <w:tcW w:w="1379" w:type="dxa"/>
            <w:tcBorders>
              <w:top w:val="single" w:color="000000" w:sz="4" w:space="0"/>
              <w:left w:val="single" w:color="000000" w:sz="4" w:space="0"/>
              <w:bottom w:val="single" w:color="000000" w:sz="4" w:space="0"/>
              <w:right w:val="single" w:color="000000" w:sz="4" w:space="0"/>
            </w:tcBorders>
            <w:vAlign w:val="center"/>
          </w:tcPr>
          <w:p w14:paraId="0D4343DA">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23</w:t>
            </w:r>
          </w:p>
        </w:tc>
        <w:tc>
          <w:tcPr>
            <w:tcW w:w="1026" w:type="dxa"/>
            <w:tcBorders>
              <w:top w:val="single" w:color="000000" w:sz="4" w:space="0"/>
              <w:left w:val="single" w:color="000000" w:sz="4" w:space="0"/>
              <w:bottom w:val="single" w:color="000000" w:sz="4" w:space="0"/>
              <w:right w:val="single" w:color="000000" w:sz="4" w:space="0"/>
            </w:tcBorders>
            <w:vAlign w:val="center"/>
          </w:tcPr>
          <w:p w14:paraId="688EC794">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30</w:t>
            </w:r>
          </w:p>
        </w:tc>
      </w:tr>
    </w:tbl>
    <w:p w14:paraId="0BAE52BE">
      <w:pPr>
        <w:adjustRightInd w:val="0"/>
        <w:snapToGrid w:val="0"/>
        <w:ind w:firstLine="480"/>
        <w:rPr>
          <w:rFonts w:cs="Times New Roman"/>
        </w:rPr>
      </w:pPr>
    </w:p>
    <w:p w14:paraId="2E3B1644">
      <w:pPr>
        <w:adjustRightInd w:val="0"/>
        <w:snapToGrid w:val="0"/>
        <w:ind w:firstLine="480"/>
        <w:rPr>
          <w:rFonts w:cs="Times New Roman"/>
        </w:rPr>
      </w:pPr>
      <w:r>
        <w:rPr>
          <w:rFonts w:cs="Times New Roman"/>
        </w:rPr>
        <w:t>本规划阜康市的预防保护项目规划目标应不低于昌吉州规划中确定的目标值。</w:t>
      </w:r>
      <w:r>
        <w:rPr>
          <w:rFonts w:hint="eastAsia" w:cs="Times New Roman"/>
        </w:rPr>
        <w:t>昌吉州确定的近期为2021~2025年，本次规划近期为2024年~2025年，因此根据</w:t>
      </w:r>
      <w:r>
        <w:rPr>
          <w:rFonts w:cs="Times New Roman"/>
        </w:rPr>
        <w:t>昌吉州规划中确定的目标值</w:t>
      </w:r>
      <w:r>
        <w:rPr>
          <w:rFonts w:hint="eastAsia" w:cs="Times New Roman"/>
        </w:rPr>
        <w:t>对本次规划的近期目标值进行修正，远期目标值确定依据</w:t>
      </w:r>
      <w:r>
        <w:rPr>
          <w:rFonts w:cs="Times New Roman"/>
        </w:rPr>
        <w:t>昌吉州规划中确定的目标值</w:t>
      </w:r>
      <w:r>
        <w:rPr>
          <w:rFonts w:hint="eastAsia" w:cs="Times New Roman"/>
        </w:rPr>
        <w:t>为准，</w:t>
      </w:r>
      <w:r>
        <w:rPr>
          <w:rFonts w:cs="Times New Roman"/>
        </w:rPr>
        <w:t>综合考虑县级重点预防区划分结果、适宜治理区域和治理经费等因素，确定阜康市的预防保护项目规划目标值，详见表5.3-3和5.3-4。</w:t>
      </w:r>
    </w:p>
    <w:p w14:paraId="5DDABC67">
      <w:pPr>
        <w:adjustRightInd w:val="0"/>
        <w:snapToGrid w:val="0"/>
        <w:ind w:firstLine="480"/>
        <w:rPr>
          <w:rFonts w:cs="Times New Roman"/>
        </w:rPr>
      </w:pPr>
    </w:p>
    <w:p w14:paraId="1AD09EBA">
      <w:pPr>
        <w:adjustRightInd w:val="0"/>
        <w:snapToGrid w:val="0"/>
        <w:ind w:firstLine="480"/>
        <w:rPr>
          <w:rFonts w:cs="Times New Roman"/>
        </w:rPr>
      </w:pPr>
    </w:p>
    <w:p w14:paraId="39A8FDC5">
      <w:pPr>
        <w:adjustRightInd w:val="0"/>
        <w:snapToGrid w:val="0"/>
        <w:ind w:firstLine="482"/>
        <w:jc w:val="both"/>
        <w:rPr>
          <w:rFonts w:cs="Times New Roman"/>
          <w:b/>
          <w:bCs/>
        </w:rPr>
      </w:pPr>
      <w:r>
        <w:rPr>
          <w:rFonts w:cs="Times New Roman"/>
          <w:b/>
          <w:bCs/>
        </w:rPr>
        <w:t>表5.3-3 本规划确定的阜康市预防保护项目规划目标值 单位：km</w:t>
      </w:r>
      <w:r>
        <w:rPr>
          <w:rFonts w:cs="Times New Roman"/>
          <w:b/>
          <w:bCs/>
          <w:vertAlign w:val="superscript"/>
        </w:rPr>
        <w:t>2</w:t>
      </w:r>
    </w:p>
    <w:tbl>
      <w:tblPr>
        <w:tblStyle w:val="48"/>
        <w:tblW w:w="5000" w:type="pct"/>
        <w:tblInd w:w="0" w:type="dxa"/>
        <w:tblLayout w:type="autofit"/>
        <w:tblCellMar>
          <w:top w:w="0" w:type="dxa"/>
          <w:left w:w="108" w:type="dxa"/>
          <w:bottom w:w="0" w:type="dxa"/>
          <w:right w:w="108" w:type="dxa"/>
        </w:tblCellMar>
      </w:tblPr>
      <w:tblGrid>
        <w:gridCol w:w="1218"/>
        <w:gridCol w:w="1218"/>
        <w:gridCol w:w="1218"/>
        <w:gridCol w:w="1218"/>
        <w:gridCol w:w="1218"/>
        <w:gridCol w:w="1220"/>
        <w:gridCol w:w="1219"/>
      </w:tblGrid>
      <w:tr w14:paraId="196CD035">
        <w:tblPrEx>
          <w:tblCellMar>
            <w:top w:w="0" w:type="dxa"/>
            <w:left w:w="108" w:type="dxa"/>
            <w:bottom w:w="0" w:type="dxa"/>
            <w:right w:w="108" w:type="dxa"/>
          </w:tblCellMar>
        </w:tblPrEx>
        <w:trPr>
          <w:trHeight w:val="780" w:hRule="atLeast"/>
        </w:trPr>
        <w:tc>
          <w:tcPr>
            <w:tcW w:w="71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C4A3AA1">
            <w:pPr>
              <w:spacing w:line="240" w:lineRule="auto"/>
              <w:ind w:firstLine="0" w:firstLineChars="0"/>
              <w:jc w:val="center"/>
              <w:rPr>
                <w:rFonts w:hint="eastAsia" w:ascii="仿宋_GB2312" w:hAnsi="宋体"/>
                <w:sz w:val="20"/>
                <w:szCs w:val="20"/>
              </w:rPr>
            </w:pPr>
            <w:r>
              <w:rPr>
                <w:rFonts w:hint="eastAsia" w:ascii="仿宋_GB2312" w:hAnsi="宋体"/>
                <w:sz w:val="20"/>
                <w:szCs w:val="20"/>
              </w:rPr>
              <w:t>规划时段</w:t>
            </w:r>
          </w:p>
        </w:tc>
        <w:tc>
          <w:tcPr>
            <w:tcW w:w="714" w:type="pct"/>
            <w:tcBorders>
              <w:top w:val="single" w:color="auto" w:sz="4" w:space="0"/>
              <w:left w:val="nil"/>
              <w:bottom w:val="single" w:color="auto" w:sz="4" w:space="0"/>
              <w:right w:val="single" w:color="auto" w:sz="4" w:space="0"/>
            </w:tcBorders>
            <w:shd w:val="clear" w:color="auto" w:fill="auto"/>
            <w:vAlign w:val="center"/>
          </w:tcPr>
          <w:p w14:paraId="56B804AF">
            <w:pPr>
              <w:spacing w:line="240" w:lineRule="auto"/>
              <w:ind w:firstLine="0" w:firstLineChars="0"/>
              <w:jc w:val="center"/>
              <w:rPr>
                <w:rFonts w:hint="eastAsia" w:ascii="仿宋_GB2312" w:hAnsi="宋体"/>
                <w:sz w:val="20"/>
                <w:szCs w:val="20"/>
              </w:rPr>
            </w:pPr>
            <w:r>
              <w:rPr>
                <w:rFonts w:hint="eastAsia" w:ascii="仿宋_GB2312" w:hAnsi="宋体"/>
                <w:sz w:val="20"/>
                <w:szCs w:val="20"/>
              </w:rPr>
              <w:t>水源涵养区保护工程</w:t>
            </w:r>
          </w:p>
        </w:tc>
        <w:tc>
          <w:tcPr>
            <w:tcW w:w="714" w:type="pct"/>
            <w:tcBorders>
              <w:top w:val="single" w:color="auto" w:sz="4" w:space="0"/>
              <w:left w:val="nil"/>
              <w:bottom w:val="single" w:color="auto" w:sz="4" w:space="0"/>
              <w:right w:val="single" w:color="auto" w:sz="4" w:space="0"/>
            </w:tcBorders>
            <w:shd w:val="clear" w:color="auto" w:fill="auto"/>
            <w:vAlign w:val="center"/>
          </w:tcPr>
          <w:p w14:paraId="6C989160">
            <w:pPr>
              <w:spacing w:line="240" w:lineRule="auto"/>
              <w:ind w:firstLine="0" w:firstLineChars="0"/>
              <w:jc w:val="center"/>
              <w:rPr>
                <w:rFonts w:hint="eastAsia" w:ascii="仿宋_GB2312" w:hAnsi="宋体"/>
                <w:sz w:val="20"/>
                <w:szCs w:val="20"/>
              </w:rPr>
            </w:pPr>
            <w:r>
              <w:rPr>
                <w:rFonts w:hint="eastAsia" w:ascii="仿宋_GB2312" w:hAnsi="宋体"/>
                <w:sz w:val="20"/>
                <w:szCs w:val="20"/>
              </w:rPr>
              <w:t>饮用水源地保护工程</w:t>
            </w:r>
          </w:p>
        </w:tc>
        <w:tc>
          <w:tcPr>
            <w:tcW w:w="714" w:type="pct"/>
            <w:tcBorders>
              <w:top w:val="single" w:color="auto" w:sz="4" w:space="0"/>
              <w:left w:val="nil"/>
              <w:bottom w:val="single" w:color="auto" w:sz="4" w:space="0"/>
              <w:right w:val="single" w:color="auto" w:sz="4" w:space="0"/>
            </w:tcBorders>
            <w:shd w:val="clear" w:color="auto" w:fill="auto"/>
            <w:vAlign w:val="center"/>
          </w:tcPr>
          <w:p w14:paraId="340E0DFB">
            <w:pPr>
              <w:spacing w:line="240" w:lineRule="auto"/>
              <w:ind w:firstLine="0" w:firstLineChars="0"/>
              <w:jc w:val="center"/>
              <w:rPr>
                <w:rFonts w:hint="eastAsia" w:ascii="仿宋_GB2312" w:hAnsi="宋体"/>
                <w:sz w:val="20"/>
                <w:szCs w:val="20"/>
              </w:rPr>
            </w:pPr>
            <w:r>
              <w:rPr>
                <w:rFonts w:hint="eastAsia" w:ascii="仿宋_GB2312" w:hAnsi="宋体"/>
                <w:sz w:val="20"/>
                <w:szCs w:val="20"/>
              </w:rPr>
              <w:t>湖泊与湿地保护工程</w:t>
            </w:r>
          </w:p>
        </w:tc>
        <w:tc>
          <w:tcPr>
            <w:tcW w:w="1429" w:type="pct"/>
            <w:gridSpan w:val="2"/>
            <w:tcBorders>
              <w:top w:val="single" w:color="auto" w:sz="4" w:space="0"/>
              <w:left w:val="nil"/>
              <w:bottom w:val="single" w:color="auto" w:sz="4" w:space="0"/>
              <w:right w:val="single" w:color="auto" w:sz="4" w:space="0"/>
            </w:tcBorders>
            <w:shd w:val="clear" w:color="auto" w:fill="auto"/>
            <w:vAlign w:val="center"/>
          </w:tcPr>
          <w:p w14:paraId="1A3B24A3">
            <w:pPr>
              <w:spacing w:line="240" w:lineRule="auto"/>
              <w:ind w:firstLine="0" w:firstLineChars="0"/>
              <w:jc w:val="center"/>
              <w:rPr>
                <w:rFonts w:hint="eastAsia" w:ascii="仿宋_GB2312" w:hAnsi="宋体"/>
                <w:sz w:val="20"/>
                <w:szCs w:val="20"/>
              </w:rPr>
            </w:pPr>
            <w:r>
              <w:rPr>
                <w:rFonts w:hint="eastAsia" w:ascii="仿宋_GB2312" w:hAnsi="宋体"/>
                <w:sz w:val="20"/>
                <w:szCs w:val="20"/>
              </w:rPr>
              <w:t>草原建设工程</w:t>
            </w:r>
          </w:p>
        </w:tc>
        <w:tc>
          <w:tcPr>
            <w:tcW w:w="714" w:type="pct"/>
            <w:tcBorders>
              <w:top w:val="single" w:color="auto" w:sz="4" w:space="0"/>
              <w:left w:val="nil"/>
              <w:bottom w:val="single" w:color="auto" w:sz="4" w:space="0"/>
              <w:right w:val="single" w:color="auto" w:sz="4" w:space="0"/>
            </w:tcBorders>
            <w:shd w:val="clear" w:color="auto" w:fill="auto"/>
            <w:vAlign w:val="center"/>
          </w:tcPr>
          <w:p w14:paraId="69F93B82">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荒漠林草保护工程</w:t>
            </w:r>
          </w:p>
        </w:tc>
      </w:tr>
      <w:tr w14:paraId="0026C46D">
        <w:tblPrEx>
          <w:tblCellMar>
            <w:top w:w="0" w:type="dxa"/>
            <w:left w:w="108" w:type="dxa"/>
            <w:bottom w:w="0" w:type="dxa"/>
            <w:right w:w="108" w:type="dxa"/>
          </w:tblCellMar>
        </w:tblPrEx>
        <w:trPr>
          <w:trHeight w:val="520" w:hRule="atLeast"/>
        </w:trPr>
        <w:tc>
          <w:tcPr>
            <w:tcW w:w="714" w:type="pct"/>
            <w:vMerge w:val="continue"/>
            <w:tcBorders>
              <w:top w:val="single" w:color="auto" w:sz="4" w:space="0"/>
              <w:left w:val="single" w:color="auto" w:sz="4" w:space="0"/>
              <w:bottom w:val="single" w:color="auto" w:sz="4" w:space="0"/>
              <w:right w:val="single" w:color="auto" w:sz="4" w:space="0"/>
            </w:tcBorders>
            <w:vAlign w:val="center"/>
          </w:tcPr>
          <w:p w14:paraId="7E7C3CE5">
            <w:pPr>
              <w:spacing w:line="240" w:lineRule="auto"/>
              <w:ind w:firstLine="0" w:firstLineChars="0"/>
              <w:rPr>
                <w:rFonts w:hint="eastAsia" w:ascii="仿宋_GB2312" w:hAnsi="宋体"/>
                <w:sz w:val="20"/>
                <w:szCs w:val="20"/>
              </w:rPr>
            </w:pPr>
          </w:p>
        </w:tc>
        <w:tc>
          <w:tcPr>
            <w:tcW w:w="714" w:type="pct"/>
            <w:tcBorders>
              <w:top w:val="nil"/>
              <w:left w:val="nil"/>
              <w:bottom w:val="single" w:color="auto" w:sz="4" w:space="0"/>
              <w:right w:val="single" w:color="auto" w:sz="4" w:space="0"/>
            </w:tcBorders>
            <w:shd w:val="clear" w:color="auto" w:fill="auto"/>
            <w:vAlign w:val="center"/>
          </w:tcPr>
          <w:p w14:paraId="7F390D81">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714" w:type="pct"/>
            <w:tcBorders>
              <w:top w:val="nil"/>
              <w:left w:val="nil"/>
              <w:bottom w:val="single" w:color="auto" w:sz="4" w:space="0"/>
              <w:right w:val="single" w:color="auto" w:sz="4" w:space="0"/>
            </w:tcBorders>
            <w:shd w:val="clear" w:color="auto" w:fill="auto"/>
            <w:vAlign w:val="center"/>
          </w:tcPr>
          <w:p w14:paraId="4AC818DB">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714" w:type="pct"/>
            <w:tcBorders>
              <w:top w:val="nil"/>
              <w:left w:val="nil"/>
              <w:bottom w:val="single" w:color="auto" w:sz="4" w:space="0"/>
              <w:right w:val="single" w:color="auto" w:sz="4" w:space="0"/>
            </w:tcBorders>
            <w:shd w:val="clear" w:color="auto" w:fill="auto"/>
            <w:vAlign w:val="center"/>
          </w:tcPr>
          <w:p w14:paraId="796E614C">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714" w:type="pct"/>
            <w:tcBorders>
              <w:top w:val="nil"/>
              <w:left w:val="nil"/>
              <w:bottom w:val="single" w:color="auto" w:sz="4" w:space="0"/>
              <w:right w:val="single" w:color="auto" w:sz="4" w:space="0"/>
            </w:tcBorders>
            <w:shd w:val="clear" w:color="auto" w:fill="auto"/>
            <w:vAlign w:val="center"/>
          </w:tcPr>
          <w:p w14:paraId="1A97955A">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714" w:type="pct"/>
            <w:tcBorders>
              <w:top w:val="nil"/>
              <w:left w:val="nil"/>
              <w:bottom w:val="single" w:color="auto" w:sz="4" w:space="0"/>
              <w:right w:val="single" w:color="auto" w:sz="4" w:space="0"/>
            </w:tcBorders>
            <w:shd w:val="clear" w:color="auto" w:fill="auto"/>
            <w:vAlign w:val="center"/>
          </w:tcPr>
          <w:p w14:paraId="4449512C">
            <w:pPr>
              <w:spacing w:line="240" w:lineRule="auto"/>
              <w:ind w:firstLine="0" w:firstLineChars="0"/>
              <w:jc w:val="center"/>
              <w:rPr>
                <w:rFonts w:hint="eastAsia" w:ascii="仿宋_GB2312" w:hAnsi="宋体"/>
                <w:sz w:val="20"/>
                <w:szCs w:val="20"/>
              </w:rPr>
            </w:pPr>
            <w:r>
              <w:rPr>
                <w:rFonts w:hint="eastAsia" w:ascii="仿宋_GB2312" w:hAnsi="宋体"/>
                <w:sz w:val="20"/>
                <w:szCs w:val="20"/>
              </w:rPr>
              <w:t>植被恢复与建设</w:t>
            </w:r>
          </w:p>
        </w:tc>
        <w:tc>
          <w:tcPr>
            <w:tcW w:w="714" w:type="pct"/>
            <w:tcBorders>
              <w:top w:val="nil"/>
              <w:left w:val="nil"/>
              <w:bottom w:val="single" w:color="auto" w:sz="4" w:space="0"/>
              <w:right w:val="single" w:color="auto" w:sz="4" w:space="0"/>
            </w:tcBorders>
            <w:shd w:val="clear" w:color="auto" w:fill="auto"/>
            <w:vAlign w:val="center"/>
          </w:tcPr>
          <w:p w14:paraId="4BBBD6A8">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r>
      <w:tr w14:paraId="699767CA">
        <w:tblPrEx>
          <w:tblCellMar>
            <w:top w:w="0" w:type="dxa"/>
            <w:left w:w="108" w:type="dxa"/>
            <w:bottom w:w="0" w:type="dxa"/>
            <w:right w:w="108" w:type="dxa"/>
          </w:tblCellMar>
        </w:tblPrEx>
        <w:trPr>
          <w:trHeight w:val="280" w:hRule="atLeast"/>
        </w:trPr>
        <w:tc>
          <w:tcPr>
            <w:tcW w:w="714" w:type="pct"/>
            <w:tcBorders>
              <w:top w:val="nil"/>
              <w:left w:val="single" w:color="auto" w:sz="4" w:space="0"/>
              <w:bottom w:val="single" w:color="auto" w:sz="4" w:space="0"/>
              <w:right w:val="single" w:color="auto" w:sz="4" w:space="0"/>
            </w:tcBorders>
            <w:shd w:val="clear" w:color="auto" w:fill="auto"/>
            <w:vAlign w:val="center"/>
          </w:tcPr>
          <w:p w14:paraId="6A4A3175">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714" w:type="pct"/>
            <w:tcBorders>
              <w:top w:val="nil"/>
              <w:left w:val="nil"/>
              <w:bottom w:val="single" w:color="auto" w:sz="4" w:space="0"/>
              <w:right w:val="single" w:color="auto" w:sz="4" w:space="0"/>
            </w:tcBorders>
            <w:shd w:val="clear" w:color="auto" w:fill="auto"/>
            <w:vAlign w:val="center"/>
          </w:tcPr>
          <w:p w14:paraId="3B58479F">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714" w:type="pct"/>
            <w:tcBorders>
              <w:top w:val="nil"/>
              <w:left w:val="nil"/>
              <w:bottom w:val="single" w:color="auto" w:sz="4" w:space="0"/>
              <w:right w:val="single" w:color="auto" w:sz="4" w:space="0"/>
            </w:tcBorders>
            <w:shd w:val="clear" w:color="auto" w:fill="auto"/>
            <w:vAlign w:val="center"/>
          </w:tcPr>
          <w:p w14:paraId="44C07920">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714" w:type="pct"/>
            <w:tcBorders>
              <w:top w:val="nil"/>
              <w:left w:val="nil"/>
              <w:bottom w:val="single" w:color="auto" w:sz="4" w:space="0"/>
              <w:right w:val="single" w:color="auto" w:sz="4" w:space="0"/>
            </w:tcBorders>
            <w:shd w:val="clear" w:color="auto" w:fill="auto"/>
            <w:vAlign w:val="center"/>
          </w:tcPr>
          <w:p w14:paraId="26F39CB7">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714" w:type="pct"/>
            <w:tcBorders>
              <w:top w:val="nil"/>
              <w:left w:val="nil"/>
              <w:bottom w:val="single" w:color="auto" w:sz="4" w:space="0"/>
              <w:right w:val="single" w:color="auto" w:sz="4" w:space="0"/>
            </w:tcBorders>
            <w:shd w:val="clear" w:color="auto" w:fill="auto"/>
            <w:vAlign w:val="center"/>
          </w:tcPr>
          <w:p w14:paraId="6ACFD505">
            <w:pPr>
              <w:spacing w:line="240" w:lineRule="auto"/>
              <w:ind w:firstLine="0" w:firstLineChars="0"/>
              <w:jc w:val="center"/>
              <w:rPr>
                <w:rFonts w:hint="eastAsia" w:ascii="仿宋_GB2312" w:hAnsi="宋体"/>
                <w:sz w:val="20"/>
                <w:szCs w:val="20"/>
              </w:rPr>
            </w:pPr>
            <w:r>
              <w:rPr>
                <w:rFonts w:hint="eastAsia" w:ascii="仿宋_GB2312" w:hAnsi="宋体"/>
                <w:sz w:val="20"/>
                <w:szCs w:val="20"/>
              </w:rPr>
              <w:t>400</w:t>
            </w:r>
          </w:p>
        </w:tc>
        <w:tc>
          <w:tcPr>
            <w:tcW w:w="714" w:type="pct"/>
            <w:tcBorders>
              <w:top w:val="nil"/>
              <w:left w:val="nil"/>
              <w:bottom w:val="single" w:color="auto" w:sz="4" w:space="0"/>
              <w:right w:val="single" w:color="auto" w:sz="4" w:space="0"/>
            </w:tcBorders>
            <w:shd w:val="clear" w:color="auto" w:fill="auto"/>
            <w:vAlign w:val="center"/>
          </w:tcPr>
          <w:p w14:paraId="422C1807">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714" w:type="pct"/>
            <w:tcBorders>
              <w:top w:val="nil"/>
              <w:left w:val="nil"/>
              <w:bottom w:val="single" w:color="auto" w:sz="4" w:space="0"/>
              <w:right w:val="single" w:color="auto" w:sz="4" w:space="0"/>
            </w:tcBorders>
            <w:shd w:val="clear" w:color="auto" w:fill="auto"/>
            <w:vAlign w:val="center"/>
          </w:tcPr>
          <w:p w14:paraId="30A29E15">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r>
      <w:tr w14:paraId="55D6B417">
        <w:tblPrEx>
          <w:tblCellMar>
            <w:top w:w="0" w:type="dxa"/>
            <w:left w:w="108" w:type="dxa"/>
            <w:bottom w:w="0" w:type="dxa"/>
            <w:right w:w="108" w:type="dxa"/>
          </w:tblCellMar>
        </w:tblPrEx>
        <w:trPr>
          <w:trHeight w:val="280" w:hRule="atLeast"/>
        </w:trPr>
        <w:tc>
          <w:tcPr>
            <w:tcW w:w="714" w:type="pct"/>
            <w:tcBorders>
              <w:top w:val="nil"/>
              <w:left w:val="single" w:color="auto" w:sz="4" w:space="0"/>
              <w:bottom w:val="single" w:color="auto" w:sz="4" w:space="0"/>
              <w:right w:val="single" w:color="auto" w:sz="4" w:space="0"/>
            </w:tcBorders>
            <w:shd w:val="clear" w:color="auto" w:fill="auto"/>
            <w:vAlign w:val="center"/>
          </w:tcPr>
          <w:p w14:paraId="70759A41">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714" w:type="pct"/>
            <w:tcBorders>
              <w:top w:val="nil"/>
              <w:left w:val="nil"/>
              <w:bottom w:val="single" w:color="auto" w:sz="4" w:space="0"/>
              <w:right w:val="single" w:color="auto" w:sz="4" w:space="0"/>
            </w:tcBorders>
            <w:shd w:val="clear" w:color="auto" w:fill="auto"/>
            <w:vAlign w:val="center"/>
          </w:tcPr>
          <w:p w14:paraId="6AABA2B3">
            <w:pPr>
              <w:spacing w:line="240" w:lineRule="auto"/>
              <w:ind w:firstLine="0" w:firstLineChars="0"/>
              <w:jc w:val="center"/>
              <w:rPr>
                <w:rFonts w:hint="eastAsia" w:ascii="仿宋_GB2312" w:hAnsi="宋体"/>
                <w:sz w:val="20"/>
                <w:szCs w:val="20"/>
              </w:rPr>
            </w:pPr>
            <w:r>
              <w:rPr>
                <w:rFonts w:hint="eastAsia" w:ascii="仿宋_GB2312" w:hAnsi="宋体"/>
                <w:sz w:val="20"/>
                <w:szCs w:val="20"/>
              </w:rPr>
              <w:t>24</w:t>
            </w:r>
          </w:p>
        </w:tc>
        <w:tc>
          <w:tcPr>
            <w:tcW w:w="714" w:type="pct"/>
            <w:tcBorders>
              <w:top w:val="nil"/>
              <w:left w:val="nil"/>
              <w:bottom w:val="single" w:color="auto" w:sz="4" w:space="0"/>
              <w:right w:val="single" w:color="auto" w:sz="4" w:space="0"/>
            </w:tcBorders>
            <w:shd w:val="clear" w:color="auto" w:fill="auto"/>
            <w:vAlign w:val="center"/>
          </w:tcPr>
          <w:p w14:paraId="558DAD3B">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714" w:type="pct"/>
            <w:tcBorders>
              <w:top w:val="nil"/>
              <w:left w:val="nil"/>
              <w:bottom w:val="single" w:color="auto" w:sz="4" w:space="0"/>
              <w:right w:val="single" w:color="auto" w:sz="4" w:space="0"/>
            </w:tcBorders>
            <w:shd w:val="clear" w:color="auto" w:fill="auto"/>
            <w:vAlign w:val="center"/>
          </w:tcPr>
          <w:p w14:paraId="373B821B">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714" w:type="pct"/>
            <w:tcBorders>
              <w:top w:val="nil"/>
              <w:left w:val="nil"/>
              <w:bottom w:val="single" w:color="auto" w:sz="4" w:space="0"/>
              <w:right w:val="single" w:color="auto" w:sz="4" w:space="0"/>
            </w:tcBorders>
            <w:shd w:val="clear" w:color="auto" w:fill="auto"/>
            <w:vAlign w:val="center"/>
          </w:tcPr>
          <w:p w14:paraId="00FB1F34">
            <w:pPr>
              <w:spacing w:line="240" w:lineRule="auto"/>
              <w:ind w:firstLine="0" w:firstLineChars="0"/>
              <w:jc w:val="center"/>
              <w:rPr>
                <w:rFonts w:hint="eastAsia" w:ascii="仿宋_GB2312" w:hAnsi="宋体"/>
                <w:sz w:val="20"/>
                <w:szCs w:val="20"/>
              </w:rPr>
            </w:pPr>
            <w:r>
              <w:rPr>
                <w:rFonts w:hint="eastAsia" w:ascii="仿宋_GB2312" w:hAnsi="宋体"/>
                <w:sz w:val="20"/>
                <w:szCs w:val="20"/>
              </w:rPr>
              <w:t>1651</w:t>
            </w:r>
          </w:p>
        </w:tc>
        <w:tc>
          <w:tcPr>
            <w:tcW w:w="714" w:type="pct"/>
            <w:tcBorders>
              <w:top w:val="nil"/>
              <w:left w:val="nil"/>
              <w:bottom w:val="single" w:color="auto" w:sz="4" w:space="0"/>
              <w:right w:val="single" w:color="auto" w:sz="4" w:space="0"/>
            </w:tcBorders>
            <w:shd w:val="clear" w:color="auto" w:fill="auto"/>
            <w:vAlign w:val="center"/>
          </w:tcPr>
          <w:p w14:paraId="3CE8B5C1">
            <w:pPr>
              <w:spacing w:line="240" w:lineRule="auto"/>
              <w:ind w:firstLine="0" w:firstLineChars="0"/>
              <w:jc w:val="center"/>
              <w:rPr>
                <w:rFonts w:hint="eastAsia" w:ascii="仿宋_GB2312" w:hAnsi="宋体"/>
                <w:sz w:val="20"/>
                <w:szCs w:val="20"/>
              </w:rPr>
            </w:pPr>
            <w:r>
              <w:rPr>
                <w:rFonts w:hint="eastAsia" w:ascii="仿宋_GB2312" w:hAnsi="宋体"/>
                <w:sz w:val="20"/>
                <w:szCs w:val="20"/>
              </w:rPr>
              <w:t>23</w:t>
            </w:r>
          </w:p>
        </w:tc>
        <w:tc>
          <w:tcPr>
            <w:tcW w:w="714" w:type="pct"/>
            <w:tcBorders>
              <w:top w:val="nil"/>
              <w:left w:val="nil"/>
              <w:bottom w:val="single" w:color="auto" w:sz="4" w:space="0"/>
              <w:right w:val="single" w:color="auto" w:sz="4" w:space="0"/>
            </w:tcBorders>
            <w:shd w:val="clear" w:color="auto" w:fill="auto"/>
            <w:vAlign w:val="center"/>
          </w:tcPr>
          <w:p w14:paraId="469178DE">
            <w:pPr>
              <w:spacing w:line="240" w:lineRule="auto"/>
              <w:ind w:firstLine="0" w:firstLineChars="0"/>
              <w:jc w:val="center"/>
              <w:rPr>
                <w:rFonts w:hint="eastAsia" w:ascii="仿宋_GB2312" w:hAnsi="宋体"/>
                <w:sz w:val="20"/>
                <w:szCs w:val="20"/>
              </w:rPr>
            </w:pPr>
            <w:r>
              <w:rPr>
                <w:rFonts w:hint="eastAsia" w:ascii="仿宋_GB2312" w:hAnsi="宋体"/>
                <w:sz w:val="20"/>
                <w:szCs w:val="20"/>
              </w:rPr>
              <w:t>30</w:t>
            </w:r>
          </w:p>
        </w:tc>
      </w:tr>
      <w:tr w14:paraId="1CE54782">
        <w:tblPrEx>
          <w:tblCellMar>
            <w:top w:w="0" w:type="dxa"/>
            <w:left w:w="108" w:type="dxa"/>
            <w:bottom w:w="0" w:type="dxa"/>
            <w:right w:w="108" w:type="dxa"/>
          </w:tblCellMar>
        </w:tblPrEx>
        <w:trPr>
          <w:trHeight w:val="280" w:hRule="atLeast"/>
        </w:trPr>
        <w:tc>
          <w:tcPr>
            <w:tcW w:w="714" w:type="pct"/>
            <w:tcBorders>
              <w:top w:val="nil"/>
              <w:left w:val="single" w:color="auto" w:sz="4" w:space="0"/>
              <w:bottom w:val="single" w:color="auto" w:sz="4" w:space="0"/>
              <w:right w:val="single" w:color="auto" w:sz="4" w:space="0"/>
            </w:tcBorders>
            <w:shd w:val="clear" w:color="auto" w:fill="auto"/>
            <w:noWrap/>
            <w:vAlign w:val="bottom"/>
          </w:tcPr>
          <w:p w14:paraId="28C7AF39">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714" w:type="pct"/>
            <w:tcBorders>
              <w:top w:val="nil"/>
              <w:left w:val="nil"/>
              <w:bottom w:val="single" w:color="auto" w:sz="4" w:space="0"/>
              <w:right w:val="single" w:color="auto" w:sz="4" w:space="0"/>
            </w:tcBorders>
            <w:shd w:val="clear" w:color="auto" w:fill="auto"/>
            <w:noWrap/>
            <w:vAlign w:val="bottom"/>
          </w:tcPr>
          <w:p w14:paraId="0F99E185">
            <w:pPr>
              <w:spacing w:line="240" w:lineRule="auto"/>
              <w:ind w:firstLine="0" w:firstLineChars="0"/>
              <w:jc w:val="center"/>
              <w:rPr>
                <w:rFonts w:hint="eastAsia" w:ascii="仿宋_GB2312" w:hAnsi="宋体"/>
                <w:sz w:val="20"/>
                <w:szCs w:val="20"/>
              </w:rPr>
            </w:pPr>
            <w:r>
              <w:rPr>
                <w:rFonts w:hint="eastAsia" w:ascii="仿宋_GB2312" w:hAnsi="宋体"/>
                <w:sz w:val="20"/>
                <w:szCs w:val="20"/>
              </w:rPr>
              <w:t>30</w:t>
            </w:r>
          </w:p>
        </w:tc>
        <w:tc>
          <w:tcPr>
            <w:tcW w:w="714" w:type="pct"/>
            <w:tcBorders>
              <w:top w:val="nil"/>
              <w:left w:val="nil"/>
              <w:bottom w:val="single" w:color="auto" w:sz="4" w:space="0"/>
              <w:right w:val="single" w:color="auto" w:sz="4" w:space="0"/>
            </w:tcBorders>
            <w:shd w:val="clear" w:color="auto" w:fill="auto"/>
            <w:noWrap/>
            <w:vAlign w:val="bottom"/>
          </w:tcPr>
          <w:p w14:paraId="1D6D6D8E">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714" w:type="pct"/>
            <w:tcBorders>
              <w:top w:val="nil"/>
              <w:left w:val="nil"/>
              <w:bottom w:val="single" w:color="auto" w:sz="4" w:space="0"/>
              <w:right w:val="single" w:color="auto" w:sz="4" w:space="0"/>
            </w:tcBorders>
            <w:shd w:val="clear" w:color="auto" w:fill="auto"/>
            <w:noWrap/>
            <w:vAlign w:val="bottom"/>
          </w:tcPr>
          <w:p w14:paraId="0A10A9F2">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714" w:type="pct"/>
            <w:tcBorders>
              <w:top w:val="nil"/>
              <w:left w:val="nil"/>
              <w:bottom w:val="single" w:color="auto" w:sz="4" w:space="0"/>
              <w:right w:val="single" w:color="auto" w:sz="4" w:space="0"/>
            </w:tcBorders>
            <w:shd w:val="clear" w:color="auto" w:fill="auto"/>
            <w:noWrap/>
            <w:vAlign w:val="bottom"/>
          </w:tcPr>
          <w:p w14:paraId="3C5455B9">
            <w:pPr>
              <w:spacing w:line="240" w:lineRule="auto"/>
              <w:ind w:firstLine="0" w:firstLineChars="0"/>
              <w:jc w:val="center"/>
              <w:rPr>
                <w:rFonts w:hint="eastAsia" w:ascii="仿宋_GB2312" w:hAnsi="宋体"/>
                <w:sz w:val="20"/>
                <w:szCs w:val="20"/>
              </w:rPr>
            </w:pPr>
            <w:r>
              <w:rPr>
                <w:rFonts w:hint="eastAsia" w:ascii="仿宋_GB2312" w:hAnsi="宋体"/>
                <w:sz w:val="20"/>
                <w:szCs w:val="20"/>
              </w:rPr>
              <w:t>2051</w:t>
            </w:r>
          </w:p>
        </w:tc>
        <w:tc>
          <w:tcPr>
            <w:tcW w:w="714" w:type="pct"/>
            <w:tcBorders>
              <w:top w:val="nil"/>
              <w:left w:val="nil"/>
              <w:bottom w:val="single" w:color="auto" w:sz="4" w:space="0"/>
              <w:right w:val="single" w:color="auto" w:sz="4" w:space="0"/>
            </w:tcBorders>
            <w:shd w:val="clear" w:color="auto" w:fill="auto"/>
            <w:noWrap/>
            <w:vAlign w:val="bottom"/>
          </w:tcPr>
          <w:p w14:paraId="0A696583">
            <w:pPr>
              <w:spacing w:line="240" w:lineRule="auto"/>
              <w:ind w:firstLine="0" w:firstLineChars="0"/>
              <w:jc w:val="center"/>
              <w:rPr>
                <w:rFonts w:hint="eastAsia" w:ascii="仿宋_GB2312" w:hAnsi="宋体"/>
                <w:sz w:val="20"/>
                <w:szCs w:val="20"/>
              </w:rPr>
            </w:pPr>
            <w:r>
              <w:rPr>
                <w:rFonts w:hint="eastAsia" w:ascii="仿宋_GB2312" w:hAnsi="宋体"/>
                <w:sz w:val="20"/>
                <w:szCs w:val="20"/>
              </w:rPr>
              <w:t>28</w:t>
            </w:r>
          </w:p>
        </w:tc>
        <w:tc>
          <w:tcPr>
            <w:tcW w:w="714" w:type="pct"/>
            <w:tcBorders>
              <w:top w:val="nil"/>
              <w:left w:val="nil"/>
              <w:bottom w:val="single" w:color="auto" w:sz="4" w:space="0"/>
              <w:right w:val="single" w:color="auto" w:sz="4" w:space="0"/>
            </w:tcBorders>
            <w:shd w:val="clear" w:color="auto" w:fill="auto"/>
            <w:noWrap/>
            <w:vAlign w:val="bottom"/>
          </w:tcPr>
          <w:p w14:paraId="08681B20">
            <w:pPr>
              <w:spacing w:line="240" w:lineRule="auto"/>
              <w:ind w:firstLine="0" w:firstLineChars="0"/>
              <w:jc w:val="center"/>
              <w:rPr>
                <w:rFonts w:hint="eastAsia" w:ascii="仿宋_GB2312" w:hAnsi="宋体"/>
                <w:sz w:val="20"/>
                <w:szCs w:val="20"/>
              </w:rPr>
            </w:pPr>
            <w:r>
              <w:rPr>
                <w:rFonts w:hint="eastAsia" w:ascii="仿宋_GB2312" w:hAnsi="宋体"/>
                <w:sz w:val="20"/>
                <w:szCs w:val="20"/>
              </w:rPr>
              <w:t>36</w:t>
            </w:r>
          </w:p>
        </w:tc>
      </w:tr>
      <w:bookmarkEnd w:id="110"/>
    </w:tbl>
    <w:p w14:paraId="142169BB">
      <w:pPr>
        <w:adjustRightInd w:val="0"/>
        <w:snapToGrid w:val="0"/>
        <w:ind w:firstLine="480"/>
        <w:jc w:val="both"/>
        <w:rPr>
          <w:rFonts w:cs="Times New Roman"/>
        </w:rPr>
      </w:pPr>
    </w:p>
    <w:p w14:paraId="096A4C1B">
      <w:pPr>
        <w:adjustRightInd w:val="0"/>
        <w:snapToGrid w:val="0"/>
        <w:ind w:firstLine="482"/>
        <w:jc w:val="both"/>
        <w:rPr>
          <w:rFonts w:cs="Times New Roman"/>
          <w:b/>
          <w:bCs/>
        </w:rPr>
      </w:pPr>
      <w:r>
        <w:rPr>
          <w:rFonts w:cs="Times New Roman"/>
          <w:b/>
          <w:bCs/>
        </w:rPr>
        <w:t>表5.3-4   本规划确定的阜康市重点预防保护项目规划目标值  单位：km</w:t>
      </w:r>
      <w:r>
        <w:rPr>
          <w:rFonts w:cs="Times New Roman"/>
          <w:b/>
          <w:bCs/>
          <w:vertAlign w:val="superscript"/>
        </w:rPr>
        <w:t>2</w:t>
      </w:r>
      <w:r>
        <w:rPr>
          <w:rFonts w:cs="Times New Roman"/>
          <w:b/>
          <w:bCs/>
        </w:rPr>
        <w:t xml:space="preserve"> </w:t>
      </w:r>
    </w:p>
    <w:tbl>
      <w:tblPr>
        <w:tblStyle w:val="48"/>
        <w:tblW w:w="5000" w:type="pct"/>
        <w:tblInd w:w="0" w:type="dxa"/>
        <w:tblLayout w:type="autofit"/>
        <w:tblCellMar>
          <w:top w:w="0" w:type="dxa"/>
          <w:left w:w="108" w:type="dxa"/>
          <w:bottom w:w="0" w:type="dxa"/>
          <w:right w:w="108" w:type="dxa"/>
        </w:tblCellMar>
      </w:tblPr>
      <w:tblGrid>
        <w:gridCol w:w="1875"/>
        <w:gridCol w:w="708"/>
        <w:gridCol w:w="1032"/>
        <w:gridCol w:w="1032"/>
        <w:gridCol w:w="1128"/>
        <w:gridCol w:w="918"/>
        <w:gridCol w:w="918"/>
        <w:gridCol w:w="918"/>
      </w:tblGrid>
      <w:tr w14:paraId="2B823883">
        <w:tblPrEx>
          <w:tblCellMar>
            <w:top w:w="0" w:type="dxa"/>
            <w:left w:w="108" w:type="dxa"/>
            <w:bottom w:w="0" w:type="dxa"/>
            <w:right w:w="108" w:type="dxa"/>
          </w:tblCellMar>
        </w:tblPrEx>
        <w:trPr>
          <w:trHeight w:val="520" w:hRule="atLeast"/>
        </w:trPr>
        <w:tc>
          <w:tcPr>
            <w:tcW w:w="109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82E9A9F">
            <w:pPr>
              <w:spacing w:line="240" w:lineRule="auto"/>
              <w:ind w:firstLine="0" w:firstLineChars="0"/>
              <w:jc w:val="center"/>
              <w:rPr>
                <w:rFonts w:hint="eastAsia" w:ascii="仿宋_GB2312" w:hAnsi="宋体"/>
                <w:sz w:val="20"/>
                <w:szCs w:val="20"/>
              </w:rPr>
            </w:pPr>
            <w:r>
              <w:rPr>
                <w:rFonts w:hint="eastAsia" w:ascii="仿宋_GB2312" w:hAnsi="宋体"/>
                <w:sz w:val="20"/>
                <w:szCs w:val="20"/>
              </w:rPr>
              <w:t>分区</w:t>
            </w:r>
          </w:p>
        </w:tc>
        <w:tc>
          <w:tcPr>
            <w:tcW w:w="41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EEE861F">
            <w:pPr>
              <w:spacing w:line="240" w:lineRule="auto"/>
              <w:ind w:firstLine="0" w:firstLineChars="0"/>
              <w:jc w:val="center"/>
              <w:rPr>
                <w:rFonts w:hint="eastAsia" w:ascii="仿宋_GB2312" w:hAnsi="宋体"/>
                <w:sz w:val="20"/>
                <w:szCs w:val="20"/>
              </w:rPr>
            </w:pPr>
            <w:r>
              <w:rPr>
                <w:rFonts w:hint="eastAsia" w:ascii="仿宋_GB2312" w:hAnsi="宋体"/>
                <w:sz w:val="20"/>
                <w:szCs w:val="20"/>
              </w:rPr>
              <w:t>规划时段</w:t>
            </w:r>
          </w:p>
        </w:tc>
        <w:tc>
          <w:tcPr>
            <w:tcW w:w="605" w:type="pct"/>
            <w:tcBorders>
              <w:top w:val="single" w:color="auto" w:sz="4" w:space="0"/>
              <w:left w:val="nil"/>
              <w:bottom w:val="single" w:color="auto" w:sz="4" w:space="0"/>
              <w:right w:val="single" w:color="auto" w:sz="4" w:space="0"/>
            </w:tcBorders>
            <w:shd w:val="clear" w:color="auto" w:fill="auto"/>
            <w:vAlign w:val="center"/>
          </w:tcPr>
          <w:p w14:paraId="1F9C5497">
            <w:pPr>
              <w:spacing w:line="240" w:lineRule="auto"/>
              <w:ind w:firstLine="0" w:firstLineChars="0"/>
              <w:jc w:val="center"/>
              <w:rPr>
                <w:rFonts w:hint="eastAsia" w:ascii="仿宋_GB2312" w:hAnsi="宋体"/>
                <w:sz w:val="20"/>
                <w:szCs w:val="20"/>
              </w:rPr>
            </w:pPr>
            <w:r>
              <w:rPr>
                <w:rFonts w:hint="eastAsia" w:ascii="仿宋_GB2312" w:hAnsi="宋体"/>
                <w:sz w:val="20"/>
                <w:szCs w:val="20"/>
              </w:rPr>
              <w:t>水源涵养区保护工程</w:t>
            </w:r>
          </w:p>
        </w:tc>
        <w:tc>
          <w:tcPr>
            <w:tcW w:w="605" w:type="pct"/>
            <w:tcBorders>
              <w:top w:val="single" w:color="auto" w:sz="4" w:space="0"/>
              <w:left w:val="nil"/>
              <w:bottom w:val="single" w:color="auto" w:sz="4" w:space="0"/>
              <w:right w:val="single" w:color="auto" w:sz="4" w:space="0"/>
            </w:tcBorders>
            <w:shd w:val="clear" w:color="auto" w:fill="auto"/>
            <w:vAlign w:val="center"/>
          </w:tcPr>
          <w:p w14:paraId="4B65EC1D">
            <w:pPr>
              <w:spacing w:line="240" w:lineRule="auto"/>
              <w:ind w:firstLine="0" w:firstLineChars="0"/>
              <w:jc w:val="center"/>
              <w:rPr>
                <w:rFonts w:hint="eastAsia" w:ascii="仿宋_GB2312" w:hAnsi="宋体"/>
                <w:sz w:val="20"/>
                <w:szCs w:val="20"/>
              </w:rPr>
            </w:pPr>
            <w:r>
              <w:rPr>
                <w:rFonts w:hint="eastAsia" w:ascii="仿宋_GB2312" w:hAnsi="宋体"/>
                <w:sz w:val="20"/>
                <w:szCs w:val="20"/>
              </w:rPr>
              <w:t>饮用水源地保护工程</w:t>
            </w:r>
          </w:p>
        </w:tc>
        <w:tc>
          <w:tcPr>
            <w:tcW w:w="661" w:type="pct"/>
            <w:tcBorders>
              <w:top w:val="single" w:color="auto" w:sz="4" w:space="0"/>
              <w:left w:val="nil"/>
              <w:bottom w:val="single" w:color="auto" w:sz="4" w:space="0"/>
              <w:right w:val="single" w:color="auto" w:sz="4" w:space="0"/>
            </w:tcBorders>
            <w:shd w:val="clear" w:color="auto" w:fill="auto"/>
            <w:vAlign w:val="center"/>
          </w:tcPr>
          <w:p w14:paraId="201FE469">
            <w:pPr>
              <w:spacing w:line="240" w:lineRule="auto"/>
              <w:ind w:firstLine="0" w:firstLineChars="0"/>
              <w:jc w:val="center"/>
              <w:rPr>
                <w:rFonts w:hint="eastAsia" w:ascii="仿宋_GB2312" w:hAnsi="宋体"/>
                <w:sz w:val="20"/>
                <w:szCs w:val="20"/>
              </w:rPr>
            </w:pPr>
            <w:r>
              <w:rPr>
                <w:rFonts w:hint="eastAsia" w:ascii="仿宋_GB2312" w:hAnsi="宋体"/>
                <w:sz w:val="20"/>
                <w:szCs w:val="20"/>
              </w:rPr>
              <w:t>湖泊与湿地保护工程</w:t>
            </w:r>
          </w:p>
        </w:tc>
        <w:tc>
          <w:tcPr>
            <w:tcW w:w="1076" w:type="pct"/>
            <w:gridSpan w:val="2"/>
            <w:tcBorders>
              <w:top w:val="single" w:color="auto" w:sz="4" w:space="0"/>
              <w:left w:val="nil"/>
              <w:bottom w:val="single" w:color="auto" w:sz="4" w:space="0"/>
              <w:right w:val="single" w:color="auto" w:sz="4" w:space="0"/>
            </w:tcBorders>
            <w:shd w:val="clear" w:color="auto" w:fill="auto"/>
            <w:vAlign w:val="center"/>
          </w:tcPr>
          <w:p w14:paraId="028A5BC0">
            <w:pPr>
              <w:spacing w:line="240" w:lineRule="auto"/>
              <w:ind w:firstLine="0" w:firstLineChars="0"/>
              <w:jc w:val="center"/>
              <w:rPr>
                <w:rFonts w:hint="eastAsia" w:ascii="仿宋_GB2312" w:hAnsi="宋体"/>
                <w:sz w:val="20"/>
                <w:szCs w:val="20"/>
              </w:rPr>
            </w:pPr>
            <w:r>
              <w:rPr>
                <w:rFonts w:hint="eastAsia" w:ascii="仿宋_GB2312" w:hAnsi="宋体"/>
                <w:sz w:val="20"/>
                <w:szCs w:val="20"/>
              </w:rPr>
              <w:t>草原建设工程</w:t>
            </w:r>
          </w:p>
        </w:tc>
        <w:tc>
          <w:tcPr>
            <w:tcW w:w="538" w:type="pct"/>
            <w:tcBorders>
              <w:top w:val="single" w:color="auto" w:sz="4" w:space="0"/>
              <w:left w:val="nil"/>
              <w:bottom w:val="single" w:color="auto" w:sz="4" w:space="0"/>
              <w:right w:val="single" w:color="auto" w:sz="4" w:space="0"/>
            </w:tcBorders>
            <w:shd w:val="clear" w:color="auto" w:fill="auto"/>
            <w:vAlign w:val="center"/>
          </w:tcPr>
          <w:p w14:paraId="10EE92CB">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荒漠林草保护工程</w:t>
            </w:r>
          </w:p>
        </w:tc>
      </w:tr>
      <w:tr w14:paraId="60EAB24B">
        <w:tblPrEx>
          <w:tblCellMar>
            <w:top w:w="0" w:type="dxa"/>
            <w:left w:w="108" w:type="dxa"/>
            <w:bottom w:w="0" w:type="dxa"/>
            <w:right w:w="108" w:type="dxa"/>
          </w:tblCellMar>
        </w:tblPrEx>
        <w:trPr>
          <w:trHeight w:val="520" w:hRule="atLeast"/>
        </w:trPr>
        <w:tc>
          <w:tcPr>
            <w:tcW w:w="1099" w:type="pct"/>
            <w:vMerge w:val="continue"/>
            <w:tcBorders>
              <w:top w:val="single" w:color="auto" w:sz="4" w:space="0"/>
              <w:left w:val="single" w:color="auto" w:sz="4" w:space="0"/>
              <w:bottom w:val="single" w:color="auto" w:sz="4" w:space="0"/>
              <w:right w:val="single" w:color="auto" w:sz="4" w:space="0"/>
            </w:tcBorders>
            <w:vAlign w:val="center"/>
          </w:tcPr>
          <w:p w14:paraId="3DBEBE00">
            <w:pPr>
              <w:spacing w:line="240" w:lineRule="auto"/>
              <w:ind w:firstLine="0" w:firstLineChars="0"/>
              <w:rPr>
                <w:rFonts w:hint="eastAsia" w:ascii="仿宋_GB2312" w:hAnsi="宋体"/>
                <w:sz w:val="20"/>
                <w:szCs w:val="20"/>
              </w:rPr>
            </w:pPr>
          </w:p>
        </w:tc>
        <w:tc>
          <w:tcPr>
            <w:tcW w:w="415" w:type="pct"/>
            <w:vMerge w:val="continue"/>
            <w:tcBorders>
              <w:top w:val="single" w:color="auto" w:sz="4" w:space="0"/>
              <w:left w:val="single" w:color="auto" w:sz="4" w:space="0"/>
              <w:bottom w:val="single" w:color="auto" w:sz="4" w:space="0"/>
              <w:right w:val="single" w:color="auto" w:sz="4" w:space="0"/>
            </w:tcBorders>
            <w:vAlign w:val="center"/>
          </w:tcPr>
          <w:p w14:paraId="598BD99E">
            <w:pPr>
              <w:spacing w:line="240" w:lineRule="auto"/>
              <w:ind w:firstLine="0" w:firstLineChars="0"/>
              <w:rPr>
                <w:rFonts w:hint="eastAsia" w:ascii="仿宋_GB2312" w:hAnsi="宋体"/>
                <w:sz w:val="20"/>
                <w:szCs w:val="20"/>
              </w:rPr>
            </w:pPr>
          </w:p>
        </w:tc>
        <w:tc>
          <w:tcPr>
            <w:tcW w:w="605" w:type="pct"/>
            <w:tcBorders>
              <w:top w:val="nil"/>
              <w:left w:val="nil"/>
              <w:bottom w:val="single" w:color="auto" w:sz="4" w:space="0"/>
              <w:right w:val="single" w:color="auto" w:sz="4" w:space="0"/>
            </w:tcBorders>
            <w:shd w:val="clear" w:color="auto" w:fill="auto"/>
            <w:vAlign w:val="center"/>
          </w:tcPr>
          <w:p w14:paraId="65287782">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605" w:type="pct"/>
            <w:tcBorders>
              <w:top w:val="nil"/>
              <w:left w:val="nil"/>
              <w:bottom w:val="single" w:color="auto" w:sz="4" w:space="0"/>
              <w:right w:val="single" w:color="auto" w:sz="4" w:space="0"/>
            </w:tcBorders>
            <w:shd w:val="clear" w:color="auto" w:fill="auto"/>
            <w:vAlign w:val="center"/>
          </w:tcPr>
          <w:p w14:paraId="5C7DB2C2">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661" w:type="pct"/>
            <w:tcBorders>
              <w:top w:val="nil"/>
              <w:left w:val="nil"/>
              <w:bottom w:val="single" w:color="auto" w:sz="4" w:space="0"/>
              <w:right w:val="single" w:color="auto" w:sz="4" w:space="0"/>
            </w:tcBorders>
            <w:shd w:val="clear" w:color="auto" w:fill="auto"/>
            <w:vAlign w:val="center"/>
          </w:tcPr>
          <w:p w14:paraId="5D3F91F8">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538" w:type="pct"/>
            <w:tcBorders>
              <w:top w:val="nil"/>
              <w:left w:val="nil"/>
              <w:bottom w:val="single" w:color="auto" w:sz="4" w:space="0"/>
              <w:right w:val="single" w:color="auto" w:sz="4" w:space="0"/>
            </w:tcBorders>
            <w:shd w:val="clear" w:color="auto" w:fill="auto"/>
            <w:vAlign w:val="center"/>
          </w:tcPr>
          <w:p w14:paraId="6ACFBA99">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538" w:type="pct"/>
            <w:tcBorders>
              <w:top w:val="nil"/>
              <w:left w:val="nil"/>
              <w:bottom w:val="single" w:color="auto" w:sz="4" w:space="0"/>
              <w:right w:val="single" w:color="auto" w:sz="4" w:space="0"/>
            </w:tcBorders>
            <w:shd w:val="clear" w:color="auto" w:fill="auto"/>
            <w:vAlign w:val="center"/>
          </w:tcPr>
          <w:p w14:paraId="3E3661D0">
            <w:pPr>
              <w:spacing w:line="240" w:lineRule="auto"/>
              <w:ind w:firstLine="0" w:firstLineChars="0"/>
              <w:jc w:val="center"/>
              <w:rPr>
                <w:rFonts w:hint="eastAsia" w:ascii="仿宋_GB2312" w:hAnsi="宋体"/>
                <w:sz w:val="20"/>
                <w:szCs w:val="20"/>
              </w:rPr>
            </w:pPr>
            <w:r>
              <w:rPr>
                <w:rFonts w:hint="eastAsia" w:ascii="仿宋_GB2312" w:hAnsi="宋体"/>
                <w:sz w:val="20"/>
                <w:szCs w:val="20"/>
              </w:rPr>
              <w:t>植被恢复与建设</w:t>
            </w:r>
          </w:p>
        </w:tc>
        <w:tc>
          <w:tcPr>
            <w:tcW w:w="538" w:type="pct"/>
            <w:tcBorders>
              <w:top w:val="nil"/>
              <w:left w:val="nil"/>
              <w:bottom w:val="single" w:color="auto" w:sz="4" w:space="0"/>
              <w:right w:val="single" w:color="auto" w:sz="4" w:space="0"/>
            </w:tcBorders>
            <w:shd w:val="clear" w:color="auto" w:fill="auto"/>
            <w:vAlign w:val="center"/>
          </w:tcPr>
          <w:p w14:paraId="4753477F">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r>
      <w:tr w14:paraId="1D9CF081">
        <w:tblPrEx>
          <w:tblCellMar>
            <w:top w:w="0" w:type="dxa"/>
            <w:left w:w="108" w:type="dxa"/>
            <w:bottom w:w="0" w:type="dxa"/>
            <w:right w:w="108" w:type="dxa"/>
          </w:tblCellMar>
        </w:tblPrEx>
        <w:trPr>
          <w:trHeight w:val="280" w:hRule="atLeast"/>
        </w:trPr>
        <w:tc>
          <w:tcPr>
            <w:tcW w:w="1099" w:type="pct"/>
            <w:vMerge w:val="restart"/>
            <w:tcBorders>
              <w:top w:val="nil"/>
              <w:left w:val="single" w:color="auto" w:sz="4" w:space="0"/>
              <w:bottom w:val="single" w:color="auto" w:sz="4" w:space="0"/>
              <w:right w:val="single" w:color="auto" w:sz="4" w:space="0"/>
            </w:tcBorders>
            <w:shd w:val="clear" w:color="auto" w:fill="auto"/>
            <w:vAlign w:val="center"/>
          </w:tcPr>
          <w:p w14:paraId="26C6DB50">
            <w:pPr>
              <w:spacing w:line="240" w:lineRule="auto"/>
              <w:ind w:firstLine="0" w:firstLineChars="0"/>
              <w:jc w:val="center"/>
              <w:rPr>
                <w:rFonts w:hint="eastAsia" w:ascii="仿宋_GB2312" w:hAnsi="宋体"/>
                <w:sz w:val="20"/>
                <w:szCs w:val="20"/>
              </w:rPr>
            </w:pPr>
            <w:r>
              <w:rPr>
                <w:rFonts w:hint="eastAsia" w:ascii="仿宋_GB2312" w:hAnsi="宋体"/>
                <w:sz w:val="20"/>
                <w:szCs w:val="20"/>
              </w:rPr>
              <w:t>南部中山丘陵水源涵养生态保护区</w:t>
            </w:r>
          </w:p>
        </w:tc>
        <w:tc>
          <w:tcPr>
            <w:tcW w:w="415" w:type="pct"/>
            <w:tcBorders>
              <w:top w:val="nil"/>
              <w:left w:val="nil"/>
              <w:bottom w:val="single" w:color="auto" w:sz="4" w:space="0"/>
              <w:right w:val="single" w:color="auto" w:sz="4" w:space="0"/>
            </w:tcBorders>
            <w:shd w:val="clear" w:color="auto" w:fill="auto"/>
            <w:vAlign w:val="center"/>
          </w:tcPr>
          <w:p w14:paraId="35D84D67">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5" w:type="pct"/>
            <w:tcBorders>
              <w:top w:val="nil"/>
              <w:left w:val="nil"/>
              <w:bottom w:val="single" w:color="auto" w:sz="4" w:space="0"/>
              <w:right w:val="single" w:color="auto" w:sz="4" w:space="0"/>
            </w:tcBorders>
            <w:shd w:val="clear" w:color="auto" w:fill="auto"/>
            <w:vAlign w:val="center"/>
          </w:tcPr>
          <w:p w14:paraId="461E2AE1">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605" w:type="pct"/>
            <w:tcBorders>
              <w:top w:val="nil"/>
              <w:left w:val="nil"/>
              <w:bottom w:val="single" w:color="auto" w:sz="4" w:space="0"/>
              <w:right w:val="single" w:color="auto" w:sz="4" w:space="0"/>
            </w:tcBorders>
            <w:shd w:val="clear" w:color="auto" w:fill="auto"/>
            <w:vAlign w:val="center"/>
          </w:tcPr>
          <w:p w14:paraId="0E5FD800">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61" w:type="pct"/>
            <w:tcBorders>
              <w:top w:val="nil"/>
              <w:left w:val="nil"/>
              <w:bottom w:val="single" w:color="auto" w:sz="4" w:space="0"/>
              <w:right w:val="single" w:color="auto" w:sz="4" w:space="0"/>
            </w:tcBorders>
            <w:shd w:val="clear" w:color="auto" w:fill="auto"/>
            <w:vAlign w:val="center"/>
          </w:tcPr>
          <w:p w14:paraId="0DEE3ED0">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538" w:type="pct"/>
            <w:tcBorders>
              <w:top w:val="nil"/>
              <w:left w:val="nil"/>
              <w:bottom w:val="single" w:color="auto" w:sz="4" w:space="0"/>
              <w:right w:val="single" w:color="auto" w:sz="4" w:space="0"/>
            </w:tcBorders>
            <w:shd w:val="clear" w:color="auto" w:fill="auto"/>
            <w:vAlign w:val="center"/>
          </w:tcPr>
          <w:p w14:paraId="07EC57A1">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10EA7975">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538" w:type="pct"/>
            <w:tcBorders>
              <w:top w:val="nil"/>
              <w:left w:val="nil"/>
              <w:bottom w:val="single" w:color="auto" w:sz="4" w:space="0"/>
              <w:right w:val="single" w:color="auto" w:sz="4" w:space="0"/>
            </w:tcBorders>
            <w:shd w:val="clear" w:color="auto" w:fill="auto"/>
            <w:vAlign w:val="center"/>
          </w:tcPr>
          <w:p w14:paraId="0E42394D">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0B933A79">
        <w:tblPrEx>
          <w:tblCellMar>
            <w:top w:w="0" w:type="dxa"/>
            <w:left w:w="108" w:type="dxa"/>
            <w:bottom w:w="0" w:type="dxa"/>
            <w:right w:w="108" w:type="dxa"/>
          </w:tblCellMar>
        </w:tblPrEx>
        <w:trPr>
          <w:trHeight w:val="280" w:hRule="atLeast"/>
        </w:trPr>
        <w:tc>
          <w:tcPr>
            <w:tcW w:w="1099" w:type="pct"/>
            <w:vMerge w:val="continue"/>
            <w:tcBorders>
              <w:top w:val="nil"/>
              <w:left w:val="single" w:color="auto" w:sz="4" w:space="0"/>
              <w:bottom w:val="single" w:color="auto" w:sz="4" w:space="0"/>
              <w:right w:val="single" w:color="auto" w:sz="4" w:space="0"/>
            </w:tcBorders>
            <w:vAlign w:val="center"/>
          </w:tcPr>
          <w:p w14:paraId="28C33AD0">
            <w:pPr>
              <w:spacing w:line="240" w:lineRule="auto"/>
              <w:ind w:firstLine="0" w:firstLineChars="0"/>
              <w:rPr>
                <w:rFonts w:hint="eastAsia" w:ascii="仿宋_GB2312" w:hAnsi="宋体"/>
                <w:sz w:val="20"/>
                <w:szCs w:val="20"/>
              </w:rPr>
            </w:pPr>
          </w:p>
        </w:tc>
        <w:tc>
          <w:tcPr>
            <w:tcW w:w="415" w:type="pct"/>
            <w:tcBorders>
              <w:top w:val="nil"/>
              <w:left w:val="nil"/>
              <w:bottom w:val="single" w:color="auto" w:sz="4" w:space="0"/>
              <w:right w:val="single" w:color="auto" w:sz="4" w:space="0"/>
            </w:tcBorders>
            <w:shd w:val="clear" w:color="auto" w:fill="auto"/>
            <w:vAlign w:val="center"/>
          </w:tcPr>
          <w:p w14:paraId="64B40F02">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5" w:type="pct"/>
            <w:tcBorders>
              <w:top w:val="nil"/>
              <w:left w:val="nil"/>
              <w:bottom w:val="single" w:color="auto" w:sz="4" w:space="0"/>
              <w:right w:val="single" w:color="auto" w:sz="4" w:space="0"/>
            </w:tcBorders>
            <w:shd w:val="clear" w:color="auto" w:fill="auto"/>
            <w:vAlign w:val="center"/>
          </w:tcPr>
          <w:p w14:paraId="6AB0AA92">
            <w:pPr>
              <w:spacing w:line="240" w:lineRule="auto"/>
              <w:ind w:firstLine="0" w:firstLineChars="0"/>
              <w:jc w:val="center"/>
              <w:rPr>
                <w:rFonts w:hint="eastAsia" w:ascii="仿宋_GB2312" w:hAnsi="宋体"/>
                <w:sz w:val="20"/>
                <w:szCs w:val="20"/>
              </w:rPr>
            </w:pPr>
            <w:r>
              <w:rPr>
                <w:rFonts w:hint="eastAsia" w:ascii="仿宋_GB2312" w:hAnsi="宋体"/>
                <w:sz w:val="20"/>
                <w:szCs w:val="20"/>
              </w:rPr>
              <w:t>24</w:t>
            </w:r>
          </w:p>
        </w:tc>
        <w:tc>
          <w:tcPr>
            <w:tcW w:w="605" w:type="pct"/>
            <w:tcBorders>
              <w:top w:val="nil"/>
              <w:left w:val="nil"/>
              <w:bottom w:val="single" w:color="auto" w:sz="4" w:space="0"/>
              <w:right w:val="single" w:color="auto" w:sz="4" w:space="0"/>
            </w:tcBorders>
            <w:shd w:val="clear" w:color="auto" w:fill="auto"/>
            <w:vAlign w:val="center"/>
          </w:tcPr>
          <w:p w14:paraId="168CA3FE">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61" w:type="pct"/>
            <w:tcBorders>
              <w:top w:val="nil"/>
              <w:left w:val="nil"/>
              <w:bottom w:val="single" w:color="auto" w:sz="4" w:space="0"/>
              <w:right w:val="single" w:color="auto" w:sz="4" w:space="0"/>
            </w:tcBorders>
            <w:shd w:val="clear" w:color="auto" w:fill="auto"/>
            <w:vAlign w:val="center"/>
          </w:tcPr>
          <w:p w14:paraId="2C7C11E7">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538" w:type="pct"/>
            <w:tcBorders>
              <w:top w:val="nil"/>
              <w:left w:val="nil"/>
              <w:bottom w:val="single" w:color="auto" w:sz="4" w:space="0"/>
              <w:right w:val="single" w:color="auto" w:sz="4" w:space="0"/>
            </w:tcBorders>
            <w:shd w:val="clear" w:color="auto" w:fill="auto"/>
            <w:vAlign w:val="center"/>
          </w:tcPr>
          <w:p w14:paraId="2EC7A176">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3B89FDD7">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538" w:type="pct"/>
            <w:tcBorders>
              <w:top w:val="nil"/>
              <w:left w:val="nil"/>
              <w:bottom w:val="single" w:color="auto" w:sz="4" w:space="0"/>
              <w:right w:val="single" w:color="auto" w:sz="4" w:space="0"/>
            </w:tcBorders>
            <w:shd w:val="clear" w:color="auto" w:fill="auto"/>
            <w:vAlign w:val="center"/>
          </w:tcPr>
          <w:p w14:paraId="37DBF001">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37782B33">
        <w:tblPrEx>
          <w:tblCellMar>
            <w:top w:w="0" w:type="dxa"/>
            <w:left w:w="108" w:type="dxa"/>
            <w:bottom w:w="0" w:type="dxa"/>
            <w:right w:w="108" w:type="dxa"/>
          </w:tblCellMar>
        </w:tblPrEx>
        <w:trPr>
          <w:trHeight w:val="430" w:hRule="atLeast"/>
        </w:trPr>
        <w:tc>
          <w:tcPr>
            <w:tcW w:w="1099" w:type="pct"/>
            <w:vMerge w:val="restart"/>
            <w:tcBorders>
              <w:top w:val="nil"/>
              <w:left w:val="single" w:color="auto" w:sz="4" w:space="0"/>
              <w:bottom w:val="single" w:color="auto" w:sz="4" w:space="0"/>
              <w:right w:val="single" w:color="auto" w:sz="4" w:space="0"/>
            </w:tcBorders>
            <w:shd w:val="clear" w:color="auto" w:fill="auto"/>
            <w:vAlign w:val="center"/>
          </w:tcPr>
          <w:p w14:paraId="2A36DAD9">
            <w:pPr>
              <w:spacing w:line="240" w:lineRule="auto"/>
              <w:ind w:firstLine="0" w:firstLineChars="0"/>
              <w:jc w:val="center"/>
              <w:rPr>
                <w:rFonts w:hint="eastAsia" w:ascii="仿宋_GB2312" w:hAnsi="宋体"/>
                <w:sz w:val="20"/>
                <w:szCs w:val="20"/>
              </w:rPr>
            </w:pPr>
            <w:r>
              <w:rPr>
                <w:rFonts w:hint="eastAsia" w:ascii="仿宋_GB2312" w:hAnsi="宋体"/>
                <w:sz w:val="20"/>
                <w:szCs w:val="20"/>
              </w:rPr>
              <w:t>南部低山丘陵土壤保持区</w:t>
            </w:r>
          </w:p>
        </w:tc>
        <w:tc>
          <w:tcPr>
            <w:tcW w:w="415" w:type="pct"/>
            <w:tcBorders>
              <w:top w:val="nil"/>
              <w:left w:val="nil"/>
              <w:bottom w:val="single" w:color="auto" w:sz="4" w:space="0"/>
              <w:right w:val="single" w:color="auto" w:sz="4" w:space="0"/>
            </w:tcBorders>
            <w:shd w:val="clear" w:color="auto" w:fill="auto"/>
            <w:vAlign w:val="center"/>
          </w:tcPr>
          <w:p w14:paraId="157674BA">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5" w:type="pct"/>
            <w:tcBorders>
              <w:top w:val="nil"/>
              <w:left w:val="nil"/>
              <w:bottom w:val="single" w:color="auto" w:sz="4" w:space="0"/>
              <w:right w:val="single" w:color="auto" w:sz="4" w:space="0"/>
            </w:tcBorders>
            <w:shd w:val="clear" w:color="auto" w:fill="auto"/>
            <w:vAlign w:val="center"/>
          </w:tcPr>
          <w:p w14:paraId="7C68B864">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5" w:type="pct"/>
            <w:tcBorders>
              <w:top w:val="nil"/>
              <w:left w:val="nil"/>
              <w:bottom w:val="single" w:color="auto" w:sz="4" w:space="0"/>
              <w:right w:val="single" w:color="auto" w:sz="4" w:space="0"/>
            </w:tcBorders>
            <w:shd w:val="clear" w:color="auto" w:fill="auto"/>
            <w:vAlign w:val="center"/>
          </w:tcPr>
          <w:p w14:paraId="5876D6B4">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661" w:type="pct"/>
            <w:tcBorders>
              <w:top w:val="nil"/>
              <w:left w:val="nil"/>
              <w:bottom w:val="single" w:color="auto" w:sz="4" w:space="0"/>
              <w:right w:val="single" w:color="auto" w:sz="4" w:space="0"/>
            </w:tcBorders>
            <w:shd w:val="clear" w:color="auto" w:fill="auto"/>
            <w:vAlign w:val="center"/>
          </w:tcPr>
          <w:p w14:paraId="6217935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3D7BD27C">
            <w:pPr>
              <w:spacing w:line="240" w:lineRule="auto"/>
              <w:ind w:firstLine="0" w:firstLineChars="0"/>
              <w:jc w:val="center"/>
              <w:rPr>
                <w:rFonts w:hint="eastAsia" w:ascii="仿宋_GB2312" w:hAnsi="宋体"/>
                <w:sz w:val="20"/>
                <w:szCs w:val="20"/>
              </w:rPr>
            </w:pPr>
            <w:r>
              <w:rPr>
                <w:rFonts w:hint="eastAsia" w:ascii="仿宋_GB2312" w:hAnsi="宋体"/>
                <w:sz w:val="20"/>
                <w:szCs w:val="20"/>
              </w:rPr>
              <w:t>200</w:t>
            </w:r>
          </w:p>
        </w:tc>
        <w:tc>
          <w:tcPr>
            <w:tcW w:w="538" w:type="pct"/>
            <w:tcBorders>
              <w:top w:val="nil"/>
              <w:left w:val="nil"/>
              <w:bottom w:val="single" w:color="auto" w:sz="4" w:space="0"/>
              <w:right w:val="single" w:color="auto" w:sz="4" w:space="0"/>
            </w:tcBorders>
            <w:shd w:val="clear" w:color="auto" w:fill="auto"/>
            <w:vAlign w:val="center"/>
          </w:tcPr>
          <w:p w14:paraId="5246B823">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538" w:type="pct"/>
            <w:tcBorders>
              <w:top w:val="nil"/>
              <w:left w:val="nil"/>
              <w:bottom w:val="single" w:color="auto" w:sz="4" w:space="0"/>
              <w:right w:val="single" w:color="auto" w:sz="4" w:space="0"/>
            </w:tcBorders>
            <w:shd w:val="clear" w:color="auto" w:fill="auto"/>
            <w:vAlign w:val="center"/>
          </w:tcPr>
          <w:p w14:paraId="7E12EF6D">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2F6C4DA8">
        <w:tblPrEx>
          <w:tblCellMar>
            <w:top w:w="0" w:type="dxa"/>
            <w:left w:w="108" w:type="dxa"/>
            <w:bottom w:w="0" w:type="dxa"/>
            <w:right w:w="108" w:type="dxa"/>
          </w:tblCellMar>
        </w:tblPrEx>
        <w:trPr>
          <w:trHeight w:val="280" w:hRule="atLeast"/>
        </w:trPr>
        <w:tc>
          <w:tcPr>
            <w:tcW w:w="1099" w:type="pct"/>
            <w:vMerge w:val="continue"/>
            <w:tcBorders>
              <w:top w:val="nil"/>
              <w:left w:val="single" w:color="auto" w:sz="4" w:space="0"/>
              <w:bottom w:val="single" w:color="auto" w:sz="4" w:space="0"/>
              <w:right w:val="single" w:color="auto" w:sz="4" w:space="0"/>
            </w:tcBorders>
            <w:vAlign w:val="center"/>
          </w:tcPr>
          <w:p w14:paraId="181E0E15">
            <w:pPr>
              <w:spacing w:line="240" w:lineRule="auto"/>
              <w:ind w:firstLine="0" w:firstLineChars="0"/>
              <w:rPr>
                <w:rFonts w:hint="eastAsia" w:ascii="仿宋_GB2312" w:hAnsi="宋体"/>
                <w:sz w:val="20"/>
                <w:szCs w:val="20"/>
              </w:rPr>
            </w:pPr>
          </w:p>
        </w:tc>
        <w:tc>
          <w:tcPr>
            <w:tcW w:w="415" w:type="pct"/>
            <w:tcBorders>
              <w:top w:val="nil"/>
              <w:left w:val="nil"/>
              <w:bottom w:val="single" w:color="auto" w:sz="4" w:space="0"/>
              <w:right w:val="single" w:color="auto" w:sz="4" w:space="0"/>
            </w:tcBorders>
            <w:shd w:val="clear" w:color="auto" w:fill="auto"/>
            <w:vAlign w:val="center"/>
          </w:tcPr>
          <w:p w14:paraId="540F0B34">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5" w:type="pct"/>
            <w:tcBorders>
              <w:top w:val="nil"/>
              <w:left w:val="nil"/>
              <w:bottom w:val="single" w:color="auto" w:sz="4" w:space="0"/>
              <w:right w:val="single" w:color="auto" w:sz="4" w:space="0"/>
            </w:tcBorders>
            <w:shd w:val="clear" w:color="auto" w:fill="auto"/>
            <w:vAlign w:val="center"/>
          </w:tcPr>
          <w:p w14:paraId="602D9FFB">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5" w:type="pct"/>
            <w:tcBorders>
              <w:top w:val="nil"/>
              <w:left w:val="nil"/>
              <w:bottom w:val="single" w:color="auto" w:sz="4" w:space="0"/>
              <w:right w:val="single" w:color="auto" w:sz="4" w:space="0"/>
            </w:tcBorders>
            <w:shd w:val="clear" w:color="auto" w:fill="auto"/>
            <w:vAlign w:val="center"/>
          </w:tcPr>
          <w:p w14:paraId="515F5512">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661" w:type="pct"/>
            <w:tcBorders>
              <w:top w:val="nil"/>
              <w:left w:val="nil"/>
              <w:bottom w:val="single" w:color="auto" w:sz="4" w:space="0"/>
              <w:right w:val="single" w:color="auto" w:sz="4" w:space="0"/>
            </w:tcBorders>
            <w:shd w:val="clear" w:color="auto" w:fill="auto"/>
            <w:vAlign w:val="center"/>
          </w:tcPr>
          <w:p w14:paraId="514F7B2A">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7134DC1D">
            <w:pPr>
              <w:spacing w:line="240" w:lineRule="auto"/>
              <w:ind w:firstLine="0" w:firstLineChars="0"/>
              <w:jc w:val="center"/>
              <w:rPr>
                <w:rFonts w:hint="eastAsia" w:ascii="仿宋_GB2312" w:hAnsi="宋体"/>
                <w:sz w:val="20"/>
                <w:szCs w:val="20"/>
              </w:rPr>
            </w:pPr>
            <w:r>
              <w:rPr>
                <w:rFonts w:hint="eastAsia" w:ascii="仿宋_GB2312" w:hAnsi="宋体"/>
                <w:sz w:val="20"/>
                <w:szCs w:val="20"/>
              </w:rPr>
              <w:t>800</w:t>
            </w:r>
          </w:p>
        </w:tc>
        <w:tc>
          <w:tcPr>
            <w:tcW w:w="538" w:type="pct"/>
            <w:tcBorders>
              <w:top w:val="nil"/>
              <w:left w:val="nil"/>
              <w:bottom w:val="single" w:color="auto" w:sz="4" w:space="0"/>
              <w:right w:val="single" w:color="auto" w:sz="4" w:space="0"/>
            </w:tcBorders>
            <w:shd w:val="clear" w:color="auto" w:fill="auto"/>
            <w:vAlign w:val="center"/>
          </w:tcPr>
          <w:p w14:paraId="13ED26EB">
            <w:pPr>
              <w:spacing w:line="240" w:lineRule="auto"/>
              <w:ind w:firstLine="0" w:firstLineChars="0"/>
              <w:jc w:val="center"/>
              <w:rPr>
                <w:rFonts w:hint="eastAsia" w:ascii="仿宋_GB2312" w:hAnsi="宋体"/>
                <w:sz w:val="20"/>
                <w:szCs w:val="20"/>
              </w:rPr>
            </w:pPr>
            <w:r>
              <w:rPr>
                <w:rFonts w:hint="eastAsia" w:ascii="仿宋_GB2312" w:hAnsi="宋体"/>
                <w:sz w:val="20"/>
                <w:szCs w:val="20"/>
              </w:rPr>
              <w:t>9</w:t>
            </w:r>
          </w:p>
        </w:tc>
        <w:tc>
          <w:tcPr>
            <w:tcW w:w="538" w:type="pct"/>
            <w:tcBorders>
              <w:top w:val="nil"/>
              <w:left w:val="nil"/>
              <w:bottom w:val="single" w:color="auto" w:sz="4" w:space="0"/>
              <w:right w:val="single" w:color="auto" w:sz="4" w:space="0"/>
            </w:tcBorders>
            <w:shd w:val="clear" w:color="auto" w:fill="auto"/>
            <w:vAlign w:val="center"/>
          </w:tcPr>
          <w:p w14:paraId="0BFACBE2">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08B96667">
        <w:tblPrEx>
          <w:tblCellMar>
            <w:top w:w="0" w:type="dxa"/>
            <w:left w:w="108" w:type="dxa"/>
            <w:bottom w:w="0" w:type="dxa"/>
            <w:right w:w="108" w:type="dxa"/>
          </w:tblCellMar>
        </w:tblPrEx>
        <w:trPr>
          <w:trHeight w:val="280" w:hRule="atLeast"/>
        </w:trPr>
        <w:tc>
          <w:tcPr>
            <w:tcW w:w="1099" w:type="pct"/>
            <w:vMerge w:val="restart"/>
            <w:tcBorders>
              <w:top w:val="nil"/>
              <w:left w:val="single" w:color="auto" w:sz="4" w:space="0"/>
              <w:bottom w:val="single" w:color="auto" w:sz="4" w:space="0"/>
              <w:right w:val="single" w:color="auto" w:sz="4" w:space="0"/>
            </w:tcBorders>
            <w:shd w:val="clear" w:color="auto" w:fill="auto"/>
            <w:vAlign w:val="center"/>
          </w:tcPr>
          <w:p w14:paraId="68EBF47B">
            <w:pPr>
              <w:spacing w:line="240" w:lineRule="auto"/>
              <w:ind w:firstLine="0" w:firstLineChars="0"/>
              <w:jc w:val="center"/>
              <w:rPr>
                <w:rFonts w:hint="eastAsia" w:ascii="仿宋_GB2312" w:hAnsi="宋体"/>
                <w:sz w:val="20"/>
                <w:szCs w:val="20"/>
              </w:rPr>
            </w:pPr>
            <w:r>
              <w:rPr>
                <w:rFonts w:hint="eastAsia" w:ascii="仿宋_GB2312" w:hAnsi="宋体"/>
                <w:sz w:val="20"/>
                <w:szCs w:val="20"/>
              </w:rPr>
              <w:t>中部绿洲人居环境农田防护区</w:t>
            </w:r>
          </w:p>
        </w:tc>
        <w:tc>
          <w:tcPr>
            <w:tcW w:w="415" w:type="pct"/>
            <w:tcBorders>
              <w:top w:val="nil"/>
              <w:left w:val="nil"/>
              <w:bottom w:val="single" w:color="auto" w:sz="4" w:space="0"/>
              <w:right w:val="single" w:color="auto" w:sz="4" w:space="0"/>
            </w:tcBorders>
            <w:shd w:val="clear" w:color="auto" w:fill="auto"/>
            <w:vAlign w:val="center"/>
          </w:tcPr>
          <w:p w14:paraId="3F0EF357">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5" w:type="pct"/>
            <w:tcBorders>
              <w:top w:val="nil"/>
              <w:left w:val="nil"/>
              <w:bottom w:val="single" w:color="auto" w:sz="4" w:space="0"/>
              <w:right w:val="single" w:color="auto" w:sz="4" w:space="0"/>
            </w:tcBorders>
            <w:shd w:val="clear" w:color="auto" w:fill="auto"/>
            <w:vAlign w:val="center"/>
          </w:tcPr>
          <w:p w14:paraId="3B9A3695">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5" w:type="pct"/>
            <w:tcBorders>
              <w:top w:val="nil"/>
              <w:left w:val="nil"/>
              <w:bottom w:val="single" w:color="auto" w:sz="4" w:space="0"/>
              <w:right w:val="single" w:color="auto" w:sz="4" w:space="0"/>
            </w:tcBorders>
            <w:shd w:val="clear" w:color="auto" w:fill="auto"/>
            <w:vAlign w:val="center"/>
          </w:tcPr>
          <w:p w14:paraId="262CD42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61" w:type="pct"/>
            <w:tcBorders>
              <w:top w:val="nil"/>
              <w:left w:val="nil"/>
              <w:bottom w:val="single" w:color="auto" w:sz="4" w:space="0"/>
              <w:right w:val="single" w:color="auto" w:sz="4" w:space="0"/>
            </w:tcBorders>
            <w:shd w:val="clear" w:color="auto" w:fill="auto"/>
            <w:vAlign w:val="center"/>
          </w:tcPr>
          <w:p w14:paraId="20D30CAC">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5B99E0AC">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394D1D8C">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5E734F6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73DE3A14">
        <w:tblPrEx>
          <w:tblCellMar>
            <w:top w:w="0" w:type="dxa"/>
            <w:left w:w="108" w:type="dxa"/>
            <w:bottom w:w="0" w:type="dxa"/>
            <w:right w:w="108" w:type="dxa"/>
          </w:tblCellMar>
        </w:tblPrEx>
        <w:trPr>
          <w:trHeight w:val="280" w:hRule="atLeast"/>
        </w:trPr>
        <w:tc>
          <w:tcPr>
            <w:tcW w:w="1099" w:type="pct"/>
            <w:vMerge w:val="continue"/>
            <w:tcBorders>
              <w:top w:val="nil"/>
              <w:left w:val="single" w:color="auto" w:sz="4" w:space="0"/>
              <w:bottom w:val="single" w:color="auto" w:sz="4" w:space="0"/>
              <w:right w:val="single" w:color="auto" w:sz="4" w:space="0"/>
            </w:tcBorders>
            <w:vAlign w:val="center"/>
          </w:tcPr>
          <w:p w14:paraId="4B9A444D">
            <w:pPr>
              <w:spacing w:line="240" w:lineRule="auto"/>
              <w:ind w:firstLine="0" w:firstLineChars="0"/>
              <w:rPr>
                <w:rFonts w:hint="eastAsia" w:ascii="仿宋_GB2312" w:hAnsi="宋体"/>
                <w:sz w:val="20"/>
                <w:szCs w:val="20"/>
              </w:rPr>
            </w:pPr>
          </w:p>
        </w:tc>
        <w:tc>
          <w:tcPr>
            <w:tcW w:w="415" w:type="pct"/>
            <w:tcBorders>
              <w:top w:val="nil"/>
              <w:left w:val="nil"/>
              <w:bottom w:val="single" w:color="auto" w:sz="4" w:space="0"/>
              <w:right w:val="single" w:color="auto" w:sz="4" w:space="0"/>
            </w:tcBorders>
            <w:shd w:val="clear" w:color="auto" w:fill="auto"/>
            <w:vAlign w:val="center"/>
          </w:tcPr>
          <w:p w14:paraId="783B115D">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5" w:type="pct"/>
            <w:tcBorders>
              <w:top w:val="nil"/>
              <w:left w:val="nil"/>
              <w:bottom w:val="single" w:color="auto" w:sz="4" w:space="0"/>
              <w:right w:val="single" w:color="auto" w:sz="4" w:space="0"/>
            </w:tcBorders>
            <w:shd w:val="clear" w:color="auto" w:fill="auto"/>
            <w:vAlign w:val="center"/>
          </w:tcPr>
          <w:p w14:paraId="0D16235C">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5" w:type="pct"/>
            <w:tcBorders>
              <w:top w:val="nil"/>
              <w:left w:val="nil"/>
              <w:bottom w:val="single" w:color="auto" w:sz="4" w:space="0"/>
              <w:right w:val="single" w:color="auto" w:sz="4" w:space="0"/>
            </w:tcBorders>
            <w:shd w:val="clear" w:color="auto" w:fill="auto"/>
            <w:vAlign w:val="center"/>
          </w:tcPr>
          <w:p w14:paraId="25573C97">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61" w:type="pct"/>
            <w:tcBorders>
              <w:top w:val="nil"/>
              <w:left w:val="nil"/>
              <w:bottom w:val="single" w:color="auto" w:sz="4" w:space="0"/>
              <w:right w:val="single" w:color="auto" w:sz="4" w:space="0"/>
            </w:tcBorders>
            <w:shd w:val="clear" w:color="auto" w:fill="auto"/>
            <w:vAlign w:val="center"/>
          </w:tcPr>
          <w:p w14:paraId="1EBC413A">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371F15C7">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3E93469D">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3308CE47">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114154E4">
        <w:tblPrEx>
          <w:tblCellMar>
            <w:top w:w="0" w:type="dxa"/>
            <w:left w:w="108" w:type="dxa"/>
            <w:bottom w:w="0" w:type="dxa"/>
            <w:right w:w="108" w:type="dxa"/>
          </w:tblCellMar>
        </w:tblPrEx>
        <w:trPr>
          <w:trHeight w:val="280" w:hRule="atLeast"/>
        </w:trPr>
        <w:tc>
          <w:tcPr>
            <w:tcW w:w="1099" w:type="pct"/>
            <w:vMerge w:val="restart"/>
            <w:tcBorders>
              <w:top w:val="nil"/>
              <w:left w:val="single" w:color="auto" w:sz="4" w:space="0"/>
              <w:bottom w:val="single" w:color="auto" w:sz="4" w:space="0"/>
              <w:right w:val="single" w:color="auto" w:sz="4" w:space="0"/>
            </w:tcBorders>
            <w:shd w:val="clear" w:color="auto" w:fill="auto"/>
            <w:vAlign w:val="center"/>
          </w:tcPr>
          <w:p w14:paraId="2F670BA0">
            <w:pPr>
              <w:spacing w:line="240" w:lineRule="auto"/>
              <w:ind w:firstLine="0" w:firstLineChars="0"/>
              <w:jc w:val="center"/>
              <w:rPr>
                <w:rFonts w:hint="eastAsia" w:ascii="仿宋_GB2312" w:hAnsi="宋体"/>
                <w:sz w:val="20"/>
                <w:szCs w:val="20"/>
              </w:rPr>
            </w:pPr>
            <w:r>
              <w:rPr>
                <w:rFonts w:hint="eastAsia" w:ascii="仿宋_GB2312" w:hAnsi="宋体"/>
                <w:sz w:val="20"/>
                <w:szCs w:val="20"/>
              </w:rPr>
              <w:t>北部荒漠生态维护防风治沙区</w:t>
            </w:r>
          </w:p>
        </w:tc>
        <w:tc>
          <w:tcPr>
            <w:tcW w:w="415" w:type="pct"/>
            <w:tcBorders>
              <w:top w:val="nil"/>
              <w:left w:val="nil"/>
              <w:bottom w:val="single" w:color="auto" w:sz="4" w:space="0"/>
              <w:right w:val="single" w:color="auto" w:sz="4" w:space="0"/>
            </w:tcBorders>
            <w:shd w:val="clear" w:color="auto" w:fill="auto"/>
            <w:vAlign w:val="center"/>
          </w:tcPr>
          <w:p w14:paraId="1F35C46E">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5" w:type="pct"/>
            <w:tcBorders>
              <w:top w:val="nil"/>
              <w:left w:val="nil"/>
              <w:bottom w:val="single" w:color="auto" w:sz="4" w:space="0"/>
              <w:right w:val="single" w:color="auto" w:sz="4" w:space="0"/>
            </w:tcBorders>
            <w:shd w:val="clear" w:color="auto" w:fill="auto"/>
            <w:vAlign w:val="center"/>
          </w:tcPr>
          <w:p w14:paraId="6CBD787D">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5" w:type="pct"/>
            <w:tcBorders>
              <w:top w:val="nil"/>
              <w:left w:val="nil"/>
              <w:bottom w:val="single" w:color="auto" w:sz="4" w:space="0"/>
              <w:right w:val="single" w:color="auto" w:sz="4" w:space="0"/>
            </w:tcBorders>
            <w:shd w:val="clear" w:color="auto" w:fill="auto"/>
            <w:vAlign w:val="center"/>
          </w:tcPr>
          <w:p w14:paraId="3BC44D05">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61" w:type="pct"/>
            <w:tcBorders>
              <w:top w:val="nil"/>
              <w:left w:val="nil"/>
              <w:bottom w:val="single" w:color="auto" w:sz="4" w:space="0"/>
              <w:right w:val="single" w:color="auto" w:sz="4" w:space="0"/>
            </w:tcBorders>
            <w:shd w:val="clear" w:color="auto" w:fill="auto"/>
            <w:vAlign w:val="center"/>
          </w:tcPr>
          <w:p w14:paraId="74CB8B29">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38" w:type="pct"/>
            <w:tcBorders>
              <w:top w:val="nil"/>
              <w:left w:val="nil"/>
              <w:bottom w:val="single" w:color="auto" w:sz="4" w:space="0"/>
              <w:right w:val="single" w:color="auto" w:sz="4" w:space="0"/>
            </w:tcBorders>
            <w:shd w:val="clear" w:color="auto" w:fill="auto"/>
            <w:vAlign w:val="center"/>
          </w:tcPr>
          <w:p w14:paraId="3FA695A3">
            <w:pPr>
              <w:spacing w:line="240" w:lineRule="auto"/>
              <w:ind w:firstLine="0" w:firstLineChars="0"/>
              <w:jc w:val="center"/>
              <w:rPr>
                <w:rFonts w:hint="eastAsia" w:ascii="仿宋_GB2312" w:hAnsi="宋体"/>
                <w:sz w:val="20"/>
                <w:szCs w:val="20"/>
              </w:rPr>
            </w:pPr>
            <w:r>
              <w:rPr>
                <w:rFonts w:hint="eastAsia" w:ascii="仿宋_GB2312" w:hAnsi="宋体"/>
                <w:sz w:val="20"/>
                <w:szCs w:val="20"/>
              </w:rPr>
              <w:t>200</w:t>
            </w:r>
          </w:p>
        </w:tc>
        <w:tc>
          <w:tcPr>
            <w:tcW w:w="538" w:type="pct"/>
            <w:tcBorders>
              <w:top w:val="nil"/>
              <w:left w:val="nil"/>
              <w:bottom w:val="single" w:color="auto" w:sz="4" w:space="0"/>
              <w:right w:val="single" w:color="auto" w:sz="4" w:space="0"/>
            </w:tcBorders>
            <w:shd w:val="clear" w:color="auto" w:fill="auto"/>
            <w:vAlign w:val="center"/>
          </w:tcPr>
          <w:p w14:paraId="74C75DDC">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538" w:type="pct"/>
            <w:tcBorders>
              <w:top w:val="nil"/>
              <w:left w:val="nil"/>
              <w:bottom w:val="single" w:color="auto" w:sz="4" w:space="0"/>
              <w:right w:val="single" w:color="auto" w:sz="4" w:space="0"/>
            </w:tcBorders>
            <w:shd w:val="clear" w:color="auto" w:fill="auto"/>
            <w:vAlign w:val="center"/>
          </w:tcPr>
          <w:p w14:paraId="1F68C459">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r>
      <w:tr w14:paraId="0B228E7B">
        <w:tblPrEx>
          <w:tblCellMar>
            <w:top w:w="0" w:type="dxa"/>
            <w:left w:w="108" w:type="dxa"/>
            <w:bottom w:w="0" w:type="dxa"/>
            <w:right w:w="108" w:type="dxa"/>
          </w:tblCellMar>
        </w:tblPrEx>
        <w:trPr>
          <w:trHeight w:val="280" w:hRule="atLeast"/>
        </w:trPr>
        <w:tc>
          <w:tcPr>
            <w:tcW w:w="1099" w:type="pct"/>
            <w:vMerge w:val="continue"/>
            <w:tcBorders>
              <w:top w:val="nil"/>
              <w:left w:val="single" w:color="auto" w:sz="4" w:space="0"/>
              <w:bottom w:val="single" w:color="auto" w:sz="4" w:space="0"/>
              <w:right w:val="single" w:color="auto" w:sz="4" w:space="0"/>
            </w:tcBorders>
            <w:vAlign w:val="center"/>
          </w:tcPr>
          <w:p w14:paraId="1262580B">
            <w:pPr>
              <w:spacing w:line="240" w:lineRule="auto"/>
              <w:ind w:firstLine="0" w:firstLineChars="0"/>
              <w:rPr>
                <w:rFonts w:hint="eastAsia" w:ascii="仿宋_GB2312" w:hAnsi="宋体"/>
                <w:sz w:val="20"/>
                <w:szCs w:val="20"/>
              </w:rPr>
            </w:pPr>
          </w:p>
        </w:tc>
        <w:tc>
          <w:tcPr>
            <w:tcW w:w="415" w:type="pct"/>
            <w:tcBorders>
              <w:top w:val="nil"/>
              <w:left w:val="nil"/>
              <w:bottom w:val="single" w:color="auto" w:sz="4" w:space="0"/>
              <w:right w:val="single" w:color="auto" w:sz="4" w:space="0"/>
            </w:tcBorders>
            <w:shd w:val="clear" w:color="auto" w:fill="auto"/>
            <w:vAlign w:val="center"/>
          </w:tcPr>
          <w:p w14:paraId="61D84DB9">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5" w:type="pct"/>
            <w:tcBorders>
              <w:top w:val="nil"/>
              <w:left w:val="nil"/>
              <w:bottom w:val="single" w:color="auto" w:sz="4" w:space="0"/>
              <w:right w:val="single" w:color="auto" w:sz="4" w:space="0"/>
            </w:tcBorders>
            <w:shd w:val="clear" w:color="auto" w:fill="auto"/>
            <w:vAlign w:val="center"/>
          </w:tcPr>
          <w:p w14:paraId="422AA718">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5" w:type="pct"/>
            <w:tcBorders>
              <w:top w:val="nil"/>
              <w:left w:val="nil"/>
              <w:bottom w:val="single" w:color="auto" w:sz="4" w:space="0"/>
              <w:right w:val="single" w:color="auto" w:sz="4" w:space="0"/>
            </w:tcBorders>
            <w:shd w:val="clear" w:color="auto" w:fill="auto"/>
            <w:vAlign w:val="center"/>
          </w:tcPr>
          <w:p w14:paraId="79592B57">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61" w:type="pct"/>
            <w:tcBorders>
              <w:top w:val="nil"/>
              <w:left w:val="nil"/>
              <w:bottom w:val="single" w:color="auto" w:sz="4" w:space="0"/>
              <w:right w:val="single" w:color="auto" w:sz="4" w:space="0"/>
            </w:tcBorders>
            <w:shd w:val="clear" w:color="auto" w:fill="auto"/>
            <w:vAlign w:val="center"/>
          </w:tcPr>
          <w:p w14:paraId="6CE0B0D3">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538" w:type="pct"/>
            <w:tcBorders>
              <w:top w:val="nil"/>
              <w:left w:val="nil"/>
              <w:bottom w:val="single" w:color="auto" w:sz="4" w:space="0"/>
              <w:right w:val="single" w:color="auto" w:sz="4" w:space="0"/>
            </w:tcBorders>
            <w:shd w:val="clear" w:color="auto" w:fill="auto"/>
            <w:vAlign w:val="center"/>
          </w:tcPr>
          <w:p w14:paraId="02EC7130">
            <w:pPr>
              <w:spacing w:line="240" w:lineRule="auto"/>
              <w:ind w:firstLine="0" w:firstLineChars="0"/>
              <w:jc w:val="center"/>
              <w:rPr>
                <w:rFonts w:hint="eastAsia" w:ascii="仿宋_GB2312" w:hAnsi="宋体"/>
                <w:sz w:val="20"/>
                <w:szCs w:val="20"/>
              </w:rPr>
            </w:pPr>
            <w:r>
              <w:rPr>
                <w:rFonts w:hint="eastAsia" w:ascii="仿宋_GB2312" w:hAnsi="宋体"/>
                <w:sz w:val="20"/>
                <w:szCs w:val="20"/>
              </w:rPr>
              <w:t>851</w:t>
            </w:r>
          </w:p>
        </w:tc>
        <w:tc>
          <w:tcPr>
            <w:tcW w:w="538" w:type="pct"/>
            <w:tcBorders>
              <w:top w:val="nil"/>
              <w:left w:val="nil"/>
              <w:bottom w:val="single" w:color="auto" w:sz="4" w:space="0"/>
              <w:right w:val="single" w:color="auto" w:sz="4" w:space="0"/>
            </w:tcBorders>
            <w:shd w:val="clear" w:color="auto" w:fill="auto"/>
            <w:vAlign w:val="center"/>
          </w:tcPr>
          <w:p w14:paraId="43BEEC85">
            <w:pPr>
              <w:spacing w:line="240" w:lineRule="auto"/>
              <w:ind w:firstLine="0" w:firstLineChars="0"/>
              <w:jc w:val="center"/>
              <w:rPr>
                <w:rFonts w:hint="eastAsia" w:ascii="仿宋_GB2312" w:hAnsi="宋体"/>
                <w:sz w:val="20"/>
                <w:szCs w:val="20"/>
              </w:rPr>
            </w:pPr>
            <w:r>
              <w:rPr>
                <w:rFonts w:hint="eastAsia" w:ascii="仿宋_GB2312" w:hAnsi="宋体"/>
                <w:sz w:val="20"/>
                <w:szCs w:val="20"/>
              </w:rPr>
              <w:t>8</w:t>
            </w:r>
          </w:p>
        </w:tc>
        <w:tc>
          <w:tcPr>
            <w:tcW w:w="538" w:type="pct"/>
            <w:tcBorders>
              <w:top w:val="nil"/>
              <w:left w:val="nil"/>
              <w:bottom w:val="single" w:color="auto" w:sz="4" w:space="0"/>
              <w:right w:val="single" w:color="auto" w:sz="4" w:space="0"/>
            </w:tcBorders>
            <w:shd w:val="clear" w:color="auto" w:fill="auto"/>
            <w:vAlign w:val="center"/>
          </w:tcPr>
          <w:p w14:paraId="0E8478FF">
            <w:pPr>
              <w:spacing w:line="240" w:lineRule="auto"/>
              <w:ind w:firstLine="0" w:firstLineChars="0"/>
              <w:jc w:val="center"/>
              <w:rPr>
                <w:rFonts w:hint="eastAsia" w:ascii="仿宋_GB2312" w:hAnsi="宋体"/>
                <w:sz w:val="20"/>
                <w:szCs w:val="20"/>
              </w:rPr>
            </w:pPr>
            <w:r>
              <w:rPr>
                <w:rFonts w:hint="eastAsia" w:ascii="仿宋_GB2312" w:hAnsi="宋体"/>
                <w:sz w:val="20"/>
                <w:szCs w:val="20"/>
              </w:rPr>
              <w:t>30</w:t>
            </w:r>
          </w:p>
        </w:tc>
      </w:tr>
      <w:tr w14:paraId="7F81ED0B">
        <w:tblPrEx>
          <w:tblCellMar>
            <w:top w:w="0" w:type="dxa"/>
            <w:left w:w="108" w:type="dxa"/>
            <w:bottom w:w="0" w:type="dxa"/>
            <w:right w:w="108" w:type="dxa"/>
          </w:tblCellMar>
        </w:tblPrEx>
        <w:trPr>
          <w:trHeight w:val="280" w:hRule="atLeast"/>
        </w:trPr>
        <w:tc>
          <w:tcPr>
            <w:tcW w:w="151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7C0AEDE">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5" w:type="pct"/>
            <w:tcBorders>
              <w:top w:val="nil"/>
              <w:left w:val="nil"/>
              <w:bottom w:val="single" w:color="auto" w:sz="4" w:space="0"/>
              <w:right w:val="single" w:color="auto" w:sz="4" w:space="0"/>
            </w:tcBorders>
            <w:shd w:val="clear" w:color="auto" w:fill="auto"/>
            <w:vAlign w:val="center"/>
          </w:tcPr>
          <w:p w14:paraId="46015E9A">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605" w:type="pct"/>
            <w:tcBorders>
              <w:top w:val="nil"/>
              <w:left w:val="nil"/>
              <w:bottom w:val="single" w:color="auto" w:sz="4" w:space="0"/>
              <w:right w:val="single" w:color="auto" w:sz="4" w:space="0"/>
            </w:tcBorders>
            <w:shd w:val="clear" w:color="auto" w:fill="auto"/>
            <w:vAlign w:val="center"/>
          </w:tcPr>
          <w:p w14:paraId="3D971FA0">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661" w:type="pct"/>
            <w:tcBorders>
              <w:top w:val="nil"/>
              <w:left w:val="nil"/>
              <w:bottom w:val="single" w:color="auto" w:sz="4" w:space="0"/>
              <w:right w:val="single" w:color="auto" w:sz="4" w:space="0"/>
            </w:tcBorders>
            <w:shd w:val="clear" w:color="auto" w:fill="auto"/>
            <w:vAlign w:val="center"/>
          </w:tcPr>
          <w:p w14:paraId="69A50341">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538" w:type="pct"/>
            <w:tcBorders>
              <w:top w:val="nil"/>
              <w:left w:val="nil"/>
              <w:bottom w:val="single" w:color="auto" w:sz="4" w:space="0"/>
              <w:right w:val="single" w:color="auto" w:sz="4" w:space="0"/>
            </w:tcBorders>
            <w:shd w:val="clear" w:color="auto" w:fill="auto"/>
            <w:vAlign w:val="center"/>
          </w:tcPr>
          <w:p w14:paraId="7A7AD569">
            <w:pPr>
              <w:spacing w:line="240" w:lineRule="auto"/>
              <w:ind w:firstLine="0" w:firstLineChars="0"/>
              <w:jc w:val="center"/>
              <w:rPr>
                <w:rFonts w:hint="eastAsia" w:ascii="仿宋_GB2312" w:hAnsi="宋体"/>
                <w:sz w:val="20"/>
                <w:szCs w:val="20"/>
              </w:rPr>
            </w:pPr>
            <w:r>
              <w:rPr>
                <w:rFonts w:hint="eastAsia" w:ascii="仿宋_GB2312" w:hAnsi="宋体"/>
                <w:sz w:val="20"/>
                <w:szCs w:val="20"/>
              </w:rPr>
              <w:t>400</w:t>
            </w:r>
          </w:p>
        </w:tc>
        <w:tc>
          <w:tcPr>
            <w:tcW w:w="538" w:type="pct"/>
            <w:tcBorders>
              <w:top w:val="nil"/>
              <w:left w:val="nil"/>
              <w:bottom w:val="single" w:color="auto" w:sz="4" w:space="0"/>
              <w:right w:val="single" w:color="auto" w:sz="4" w:space="0"/>
            </w:tcBorders>
            <w:shd w:val="clear" w:color="auto" w:fill="auto"/>
            <w:vAlign w:val="center"/>
          </w:tcPr>
          <w:p w14:paraId="555A2690">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538" w:type="pct"/>
            <w:tcBorders>
              <w:top w:val="nil"/>
              <w:left w:val="nil"/>
              <w:bottom w:val="single" w:color="auto" w:sz="4" w:space="0"/>
              <w:right w:val="single" w:color="auto" w:sz="4" w:space="0"/>
            </w:tcBorders>
            <w:shd w:val="clear" w:color="auto" w:fill="auto"/>
            <w:vAlign w:val="center"/>
          </w:tcPr>
          <w:p w14:paraId="7E86413E">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r>
      <w:tr w14:paraId="3025F4C9">
        <w:tblPrEx>
          <w:tblCellMar>
            <w:top w:w="0" w:type="dxa"/>
            <w:left w:w="108" w:type="dxa"/>
            <w:bottom w:w="0" w:type="dxa"/>
            <w:right w:w="108" w:type="dxa"/>
          </w:tblCellMar>
        </w:tblPrEx>
        <w:trPr>
          <w:trHeight w:val="280" w:hRule="atLeast"/>
        </w:trPr>
        <w:tc>
          <w:tcPr>
            <w:tcW w:w="151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66FB336">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5" w:type="pct"/>
            <w:tcBorders>
              <w:top w:val="nil"/>
              <w:left w:val="nil"/>
              <w:bottom w:val="single" w:color="auto" w:sz="4" w:space="0"/>
              <w:right w:val="single" w:color="auto" w:sz="4" w:space="0"/>
            </w:tcBorders>
            <w:shd w:val="clear" w:color="auto" w:fill="auto"/>
            <w:vAlign w:val="center"/>
          </w:tcPr>
          <w:p w14:paraId="763AEDF7">
            <w:pPr>
              <w:spacing w:line="240" w:lineRule="auto"/>
              <w:ind w:firstLine="0" w:firstLineChars="0"/>
              <w:jc w:val="center"/>
              <w:rPr>
                <w:rFonts w:hint="eastAsia" w:ascii="仿宋_GB2312" w:hAnsi="宋体"/>
                <w:sz w:val="20"/>
                <w:szCs w:val="20"/>
              </w:rPr>
            </w:pPr>
            <w:r>
              <w:rPr>
                <w:rFonts w:hint="eastAsia" w:ascii="仿宋_GB2312" w:hAnsi="宋体"/>
                <w:sz w:val="20"/>
                <w:szCs w:val="20"/>
              </w:rPr>
              <w:t>24</w:t>
            </w:r>
          </w:p>
        </w:tc>
        <w:tc>
          <w:tcPr>
            <w:tcW w:w="605" w:type="pct"/>
            <w:tcBorders>
              <w:top w:val="nil"/>
              <w:left w:val="nil"/>
              <w:bottom w:val="single" w:color="auto" w:sz="4" w:space="0"/>
              <w:right w:val="single" w:color="auto" w:sz="4" w:space="0"/>
            </w:tcBorders>
            <w:shd w:val="clear" w:color="auto" w:fill="auto"/>
            <w:vAlign w:val="center"/>
          </w:tcPr>
          <w:p w14:paraId="4DC80448">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661" w:type="pct"/>
            <w:tcBorders>
              <w:top w:val="nil"/>
              <w:left w:val="nil"/>
              <w:bottom w:val="single" w:color="auto" w:sz="4" w:space="0"/>
              <w:right w:val="single" w:color="auto" w:sz="4" w:space="0"/>
            </w:tcBorders>
            <w:shd w:val="clear" w:color="auto" w:fill="auto"/>
            <w:vAlign w:val="center"/>
          </w:tcPr>
          <w:p w14:paraId="0D591933">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538" w:type="pct"/>
            <w:tcBorders>
              <w:top w:val="nil"/>
              <w:left w:val="nil"/>
              <w:bottom w:val="single" w:color="auto" w:sz="4" w:space="0"/>
              <w:right w:val="single" w:color="auto" w:sz="4" w:space="0"/>
            </w:tcBorders>
            <w:shd w:val="clear" w:color="auto" w:fill="auto"/>
            <w:vAlign w:val="center"/>
          </w:tcPr>
          <w:p w14:paraId="2E28613E">
            <w:pPr>
              <w:spacing w:line="240" w:lineRule="auto"/>
              <w:ind w:firstLine="0" w:firstLineChars="0"/>
              <w:jc w:val="center"/>
              <w:rPr>
                <w:rFonts w:hint="eastAsia" w:ascii="仿宋_GB2312" w:hAnsi="宋体"/>
                <w:sz w:val="20"/>
                <w:szCs w:val="20"/>
              </w:rPr>
            </w:pPr>
            <w:r>
              <w:rPr>
                <w:rFonts w:hint="eastAsia" w:ascii="仿宋_GB2312" w:hAnsi="宋体"/>
                <w:sz w:val="20"/>
                <w:szCs w:val="20"/>
              </w:rPr>
              <w:t>1651</w:t>
            </w:r>
          </w:p>
        </w:tc>
        <w:tc>
          <w:tcPr>
            <w:tcW w:w="538" w:type="pct"/>
            <w:tcBorders>
              <w:top w:val="nil"/>
              <w:left w:val="nil"/>
              <w:bottom w:val="single" w:color="auto" w:sz="4" w:space="0"/>
              <w:right w:val="single" w:color="auto" w:sz="4" w:space="0"/>
            </w:tcBorders>
            <w:shd w:val="clear" w:color="auto" w:fill="auto"/>
            <w:vAlign w:val="center"/>
          </w:tcPr>
          <w:p w14:paraId="5E274556">
            <w:pPr>
              <w:spacing w:line="240" w:lineRule="auto"/>
              <w:ind w:firstLine="0" w:firstLineChars="0"/>
              <w:jc w:val="center"/>
              <w:rPr>
                <w:rFonts w:hint="eastAsia" w:ascii="仿宋_GB2312" w:hAnsi="宋体"/>
                <w:sz w:val="20"/>
                <w:szCs w:val="20"/>
              </w:rPr>
            </w:pPr>
            <w:r>
              <w:rPr>
                <w:rFonts w:hint="eastAsia" w:ascii="仿宋_GB2312" w:hAnsi="宋体"/>
                <w:sz w:val="20"/>
                <w:szCs w:val="20"/>
              </w:rPr>
              <w:t>23</w:t>
            </w:r>
          </w:p>
        </w:tc>
        <w:tc>
          <w:tcPr>
            <w:tcW w:w="538" w:type="pct"/>
            <w:tcBorders>
              <w:top w:val="nil"/>
              <w:left w:val="nil"/>
              <w:bottom w:val="single" w:color="auto" w:sz="4" w:space="0"/>
              <w:right w:val="single" w:color="auto" w:sz="4" w:space="0"/>
            </w:tcBorders>
            <w:shd w:val="clear" w:color="auto" w:fill="auto"/>
            <w:vAlign w:val="center"/>
          </w:tcPr>
          <w:p w14:paraId="239BEED4">
            <w:pPr>
              <w:spacing w:line="240" w:lineRule="auto"/>
              <w:ind w:firstLine="0" w:firstLineChars="0"/>
              <w:jc w:val="center"/>
              <w:rPr>
                <w:rFonts w:hint="eastAsia" w:ascii="仿宋_GB2312" w:hAnsi="宋体"/>
                <w:sz w:val="20"/>
                <w:szCs w:val="20"/>
              </w:rPr>
            </w:pPr>
            <w:r>
              <w:rPr>
                <w:rFonts w:hint="eastAsia" w:ascii="仿宋_GB2312" w:hAnsi="宋体"/>
                <w:sz w:val="20"/>
                <w:szCs w:val="20"/>
              </w:rPr>
              <w:t>30</w:t>
            </w:r>
          </w:p>
        </w:tc>
      </w:tr>
    </w:tbl>
    <w:p w14:paraId="6442DD5F">
      <w:pPr>
        <w:adjustRightInd w:val="0"/>
        <w:snapToGrid w:val="0"/>
        <w:ind w:firstLine="0" w:firstLineChars="0"/>
        <w:jc w:val="both"/>
        <w:rPr>
          <w:rFonts w:cs="Times New Roman"/>
        </w:rPr>
      </w:pPr>
    </w:p>
    <w:p w14:paraId="3FE4700C">
      <w:pPr>
        <w:adjustRightInd w:val="0"/>
        <w:snapToGrid w:val="0"/>
        <w:ind w:firstLine="480"/>
        <w:rPr>
          <w:rFonts w:cs="Times New Roman"/>
          <w:kern w:val="2"/>
        </w:rPr>
        <w:sectPr>
          <w:pgSz w:w="11907" w:h="16840"/>
          <w:pgMar w:top="1440" w:right="1797" w:bottom="1440" w:left="1797" w:header="567" w:footer="567" w:gutter="0"/>
          <w:cols w:space="720" w:num="1"/>
          <w:docGrid w:linePitch="312" w:charSpace="0"/>
        </w:sectPr>
      </w:pPr>
    </w:p>
    <w:p w14:paraId="71FA9012">
      <w:pPr>
        <w:pStyle w:val="2"/>
        <w:spacing w:before="120" w:after="120"/>
        <w:rPr>
          <w:rFonts w:eastAsia="仿宋_GB2312" w:cs="Times New Roman"/>
          <w:color w:val="auto"/>
        </w:rPr>
      </w:pPr>
      <w:bookmarkStart w:id="111" w:name="_Toc150724285"/>
      <w:r>
        <w:rPr>
          <w:rFonts w:eastAsia="仿宋_GB2312" w:cs="Times New Roman"/>
          <w:color w:val="auto"/>
        </w:rPr>
        <w:t>6 治理规划</w:t>
      </w:r>
      <w:bookmarkEnd w:id="111"/>
    </w:p>
    <w:p w14:paraId="3475FF72">
      <w:pPr>
        <w:adjustRightInd w:val="0"/>
        <w:snapToGrid w:val="0"/>
        <w:ind w:firstLine="464"/>
        <w:jc w:val="both"/>
        <w:rPr>
          <w:rFonts w:cs="Times New Roman"/>
          <w:spacing w:val="-4"/>
          <w:szCs w:val="28"/>
        </w:rPr>
      </w:pPr>
      <w:r>
        <w:rPr>
          <w:rFonts w:cs="Times New Roman"/>
          <w:spacing w:val="-4"/>
          <w:szCs w:val="28"/>
        </w:rPr>
        <w:t>阜康市的治理规划主要从荒漠化治理、城市清洁小流域治理、坡耕地综合治理和重点流域和重要行业水土流失综合治理等进行规划。</w:t>
      </w:r>
    </w:p>
    <w:p w14:paraId="2DD58A76">
      <w:pPr>
        <w:adjustRightInd w:val="0"/>
        <w:snapToGrid w:val="0"/>
        <w:ind w:firstLine="464"/>
        <w:jc w:val="both"/>
        <w:rPr>
          <w:rFonts w:cs="Times New Roman"/>
        </w:rPr>
      </w:pPr>
      <w:r>
        <w:rPr>
          <w:rFonts w:cs="Times New Roman"/>
          <w:spacing w:val="-4"/>
          <w:szCs w:val="28"/>
        </w:rPr>
        <w:t>治理措施主要包括工程措施、林草措施和耕作措施。</w:t>
      </w:r>
    </w:p>
    <w:p w14:paraId="742DA6BB">
      <w:pPr>
        <w:pStyle w:val="44"/>
        <w:spacing w:before="120" w:after="120"/>
        <w:rPr>
          <w:rFonts w:eastAsia="仿宋_GB2312" w:cs="Times New Roman"/>
        </w:rPr>
      </w:pPr>
      <w:bookmarkStart w:id="112" w:name="_Toc150724286"/>
      <w:r>
        <w:rPr>
          <w:rFonts w:eastAsia="仿宋_GB2312" w:cs="Times New Roman"/>
        </w:rPr>
        <w:t>6.1 治理范围与对象</w:t>
      </w:r>
      <w:bookmarkEnd w:id="112"/>
    </w:p>
    <w:p w14:paraId="16625A48">
      <w:pPr>
        <w:pStyle w:val="5"/>
        <w:rPr>
          <w:rFonts w:eastAsia="仿宋_GB2312"/>
        </w:rPr>
      </w:pPr>
      <w:r>
        <w:rPr>
          <w:rFonts w:eastAsia="仿宋_GB2312"/>
        </w:rPr>
        <w:t>6.1.1 治理范围</w:t>
      </w:r>
    </w:p>
    <w:p w14:paraId="562E49DB">
      <w:pPr>
        <w:adjustRightInd w:val="0"/>
        <w:snapToGrid w:val="0"/>
        <w:ind w:firstLine="464"/>
        <w:jc w:val="both"/>
        <w:rPr>
          <w:rFonts w:cs="Times New Roman"/>
          <w:spacing w:val="-4"/>
          <w:szCs w:val="28"/>
        </w:rPr>
      </w:pPr>
      <w:r>
        <w:rPr>
          <w:rFonts w:cs="Times New Roman"/>
          <w:spacing w:val="-4"/>
          <w:szCs w:val="28"/>
        </w:rPr>
        <w:t>包括</w:t>
      </w:r>
      <w:r>
        <w:rPr>
          <w:rFonts w:hint="eastAsia" w:cs="Times New Roman"/>
          <w:spacing w:val="-4"/>
          <w:szCs w:val="28"/>
          <w:lang w:eastAsia="zh-CN"/>
        </w:rPr>
        <w:t>新疆维吾尔自治区</w:t>
      </w:r>
      <w:r>
        <w:rPr>
          <w:rFonts w:cs="Times New Roman"/>
          <w:spacing w:val="-4"/>
          <w:szCs w:val="28"/>
        </w:rPr>
        <w:t>级水土保持规划以及昌吉州水土保持规划中涉及阜康市的治理范围，还包括本规划划定的阜康市水土流失重点治理区。此外，还包括水土流失严重并具有土壤保持、拦沙减沙、蓄水保水、防灾减灾等水土保持功能的区域。</w:t>
      </w:r>
    </w:p>
    <w:p w14:paraId="48D43E42">
      <w:pPr>
        <w:pStyle w:val="5"/>
        <w:rPr>
          <w:rFonts w:eastAsia="仿宋_GB2312"/>
        </w:rPr>
      </w:pPr>
      <w:r>
        <w:rPr>
          <w:rFonts w:eastAsia="仿宋_GB2312"/>
        </w:rPr>
        <w:t>6.1.2 治理对象</w:t>
      </w:r>
    </w:p>
    <w:p w14:paraId="116552CE">
      <w:pPr>
        <w:adjustRightInd w:val="0"/>
        <w:snapToGrid w:val="0"/>
        <w:ind w:firstLine="464"/>
        <w:jc w:val="both"/>
        <w:rPr>
          <w:rFonts w:cs="Times New Roman"/>
          <w:spacing w:val="-4"/>
          <w:szCs w:val="28"/>
        </w:rPr>
      </w:pPr>
      <w:r>
        <w:rPr>
          <w:rFonts w:cs="Times New Roman"/>
          <w:spacing w:val="-4"/>
          <w:szCs w:val="28"/>
        </w:rPr>
        <w:t>（1）自治区级及昌吉州的水土流失重点治理区；</w:t>
      </w:r>
    </w:p>
    <w:p w14:paraId="772660BB">
      <w:pPr>
        <w:adjustRightInd w:val="0"/>
        <w:snapToGrid w:val="0"/>
        <w:ind w:firstLine="464"/>
        <w:jc w:val="both"/>
        <w:rPr>
          <w:rFonts w:cs="Times New Roman"/>
          <w:spacing w:val="-4"/>
          <w:szCs w:val="28"/>
        </w:rPr>
      </w:pPr>
      <w:r>
        <w:rPr>
          <w:rFonts w:cs="Times New Roman"/>
          <w:spacing w:val="-4"/>
          <w:szCs w:val="28"/>
        </w:rPr>
        <w:t>（2）侵蚀沟道、山洪沟道、支毛沟、侵蚀沟沟坡等；</w:t>
      </w:r>
    </w:p>
    <w:p w14:paraId="1659D31B">
      <w:pPr>
        <w:adjustRightInd w:val="0"/>
        <w:snapToGrid w:val="0"/>
        <w:ind w:firstLine="464"/>
        <w:jc w:val="both"/>
        <w:rPr>
          <w:rFonts w:cs="Times New Roman"/>
          <w:spacing w:val="-4"/>
          <w:szCs w:val="28"/>
        </w:rPr>
      </w:pPr>
      <w:r>
        <w:rPr>
          <w:rFonts w:cs="Times New Roman"/>
          <w:spacing w:val="-4"/>
          <w:szCs w:val="28"/>
        </w:rPr>
        <w:t>（3）绿洲外围沙化土地、风蚀区和风蚀水蚀交错区退化草地等；</w:t>
      </w:r>
    </w:p>
    <w:p w14:paraId="0F047F50">
      <w:pPr>
        <w:adjustRightInd w:val="0"/>
        <w:snapToGrid w:val="0"/>
        <w:ind w:firstLine="464"/>
        <w:jc w:val="both"/>
        <w:rPr>
          <w:rFonts w:cs="Times New Roman"/>
          <w:spacing w:val="-4"/>
          <w:szCs w:val="28"/>
        </w:rPr>
      </w:pPr>
      <w:r>
        <w:rPr>
          <w:rFonts w:cs="Times New Roman"/>
          <w:spacing w:val="-4"/>
          <w:szCs w:val="28"/>
        </w:rPr>
        <w:t>（4）退化严重的牧草场；</w:t>
      </w:r>
    </w:p>
    <w:p w14:paraId="3A94E4FF">
      <w:pPr>
        <w:adjustRightInd w:val="0"/>
        <w:snapToGrid w:val="0"/>
        <w:ind w:firstLine="464"/>
        <w:jc w:val="both"/>
        <w:rPr>
          <w:rFonts w:cs="Times New Roman"/>
          <w:spacing w:val="-4"/>
          <w:szCs w:val="28"/>
        </w:rPr>
      </w:pPr>
      <w:r>
        <w:rPr>
          <w:rFonts w:cs="Times New Roman"/>
          <w:spacing w:val="-4"/>
          <w:szCs w:val="28"/>
        </w:rPr>
        <w:t>（5）城镇周边水土流失频发、水土流失危害严重的小流域；</w:t>
      </w:r>
    </w:p>
    <w:p w14:paraId="7D21E8AB">
      <w:pPr>
        <w:adjustRightInd w:val="0"/>
        <w:snapToGrid w:val="0"/>
        <w:ind w:firstLine="464"/>
        <w:jc w:val="both"/>
        <w:rPr>
          <w:rFonts w:cs="Times New Roman"/>
          <w:spacing w:val="-4"/>
          <w:szCs w:val="28"/>
        </w:rPr>
      </w:pPr>
      <w:r>
        <w:rPr>
          <w:rFonts w:cs="Times New Roman"/>
          <w:spacing w:val="-4"/>
          <w:szCs w:val="28"/>
        </w:rPr>
        <w:t>（6）资源开发、农林开发、城镇建设设等生产建设项目区；</w:t>
      </w:r>
    </w:p>
    <w:p w14:paraId="18E7E6C1">
      <w:pPr>
        <w:adjustRightInd w:val="0"/>
        <w:snapToGrid w:val="0"/>
        <w:ind w:firstLine="464"/>
        <w:jc w:val="both"/>
        <w:rPr>
          <w:rFonts w:cs="Times New Roman"/>
          <w:spacing w:val="-4"/>
          <w:szCs w:val="28"/>
        </w:rPr>
      </w:pPr>
      <w:r>
        <w:rPr>
          <w:rFonts w:cs="Times New Roman"/>
          <w:spacing w:val="-4"/>
          <w:szCs w:val="28"/>
        </w:rPr>
        <w:t>（7）其他水土流失较为严重，对当地或者下游经济社会发展产生严重影响的区域。</w:t>
      </w:r>
    </w:p>
    <w:p w14:paraId="138C2CB1">
      <w:pPr>
        <w:pStyle w:val="44"/>
        <w:spacing w:before="120" w:after="120"/>
        <w:rPr>
          <w:rFonts w:eastAsia="仿宋_GB2312" w:cs="Times New Roman"/>
        </w:rPr>
      </w:pPr>
      <w:bookmarkStart w:id="113" w:name="_Toc150724287"/>
      <w:r>
        <w:rPr>
          <w:rFonts w:eastAsia="仿宋_GB2312" w:cs="Times New Roman"/>
        </w:rPr>
        <w:t>6.2 措施体系与配置</w:t>
      </w:r>
      <w:bookmarkEnd w:id="113"/>
    </w:p>
    <w:p w14:paraId="039B4D15">
      <w:pPr>
        <w:adjustRightInd w:val="0"/>
        <w:snapToGrid w:val="0"/>
        <w:ind w:firstLine="464"/>
        <w:jc w:val="both"/>
        <w:rPr>
          <w:rFonts w:cs="Times New Roman"/>
          <w:spacing w:val="-4"/>
          <w:szCs w:val="28"/>
        </w:rPr>
      </w:pPr>
      <w:r>
        <w:rPr>
          <w:rFonts w:cs="Times New Roman"/>
          <w:spacing w:val="-4"/>
          <w:szCs w:val="28"/>
        </w:rPr>
        <w:t>在阜康市水土流失一级分区的基础上，选择典型的区域进行典型调查，根据典型调查分析结果，确定阜康市一级分区的措施比配，推算措施数量。主要措施包括草原建设工程、林业建设工程、侵蚀沟综合治理工程、荒漠化治理、城郊型清洁小流域建设、重点区域（流域）和重要行业水土保持综合治理等，以上措施在专项规划或具体实施时，均应以水资源合理配置为基础，坚持水资源保护“三条红线”，在保证生态用水的情况下予以实施。</w:t>
      </w:r>
    </w:p>
    <w:p w14:paraId="77E8DCBE">
      <w:pPr>
        <w:pStyle w:val="5"/>
        <w:rPr>
          <w:rFonts w:eastAsia="仿宋_GB2312"/>
        </w:rPr>
      </w:pPr>
      <w:r>
        <w:rPr>
          <w:rFonts w:eastAsia="仿宋_GB2312"/>
        </w:rPr>
        <w:t>6.2.1 侵蚀沟治理工程</w:t>
      </w:r>
    </w:p>
    <w:p w14:paraId="42626050">
      <w:pPr>
        <w:adjustRightInd w:val="0"/>
        <w:snapToGrid w:val="0"/>
        <w:ind w:firstLine="480"/>
        <w:rPr>
          <w:rFonts w:cs="Times New Roman"/>
        </w:rPr>
      </w:pPr>
      <w:r>
        <w:rPr>
          <w:rFonts w:cs="Times New Roman"/>
        </w:rPr>
        <w:t>侵蚀沟治理工程主要针对南部低山丘陵土壤保持区对于农牧业生产、道路造成危害的山洪沟道。该区域的诸小流域，应按照小流域水土保持综合治理措施，实行封山禁牧、轮封轮牧、人工种植，通过拦、蓄、引、提等工程措施对坡面、沟道进行全面治理。在水分土壤条件较好或坡度大于25°不适宜耕作的区域种植水土保持林草。规划侵蚀沟近期治理</w:t>
      </w:r>
      <w:r>
        <w:rPr>
          <w:rFonts w:hint="eastAsia" w:cs="Times New Roman"/>
        </w:rPr>
        <w:t>1</w:t>
      </w:r>
      <w:r>
        <w:rPr>
          <w:rFonts w:cs="Times New Roman"/>
        </w:rPr>
        <w:t>条，远期2条。</w:t>
      </w:r>
    </w:p>
    <w:p w14:paraId="441F183B">
      <w:pPr>
        <w:pStyle w:val="5"/>
        <w:rPr>
          <w:rFonts w:eastAsia="仿宋_GB2312"/>
        </w:rPr>
      </w:pPr>
      <w:r>
        <w:rPr>
          <w:rFonts w:eastAsia="仿宋_GB2312"/>
        </w:rPr>
        <w:t>6.2.2 荒漠化治理工程</w:t>
      </w:r>
    </w:p>
    <w:p w14:paraId="05128094">
      <w:pPr>
        <w:adjustRightInd w:val="0"/>
        <w:snapToGrid w:val="0"/>
        <w:ind w:firstLine="480"/>
        <w:rPr>
          <w:rFonts w:cs="Times New Roman"/>
        </w:rPr>
      </w:pPr>
      <w:r>
        <w:rPr>
          <w:rFonts w:cs="Times New Roman"/>
        </w:rPr>
        <w:t>荒漠化治理工程主要包括人居环境农田防护区绿洲外围的荒漠化林草植被建设工程，对满足条件的严重沙化耕地进行退耕还林还草，同时加大农田防护林网建设，营造小气候。农田防护防沙区在绿洲外围建立综合性的防护体系，即机械沙障—灌草带—人工固沙灌木林带—窄带多带式防沙林网，充分依靠每一组成部分自身功能，形成群体防护功能，从而有效地遏制流动沙丘继续扩大、蔓延，防止流沙威胁绿洲的安全。对满足条件的严重沙化区域进行林草植被建设工程，开展水土流失沙地治理，应以造林植草固沙为主，选引耐干旱、耐贫瘠、根系发达的树种，采用乔灌草结合，减轻土地裸露面积，增加植被覆盖度。荒漠化治理林草植被选择以灌木和小半灌木为主，有梭梭、柽柳、琵琶柴、沙枣等植被。在流动的蔓延沙丘设置机械固沙障，有效地阻止沙丘和沙粒的移动、控制地形，沙障的设置可根据地区戈壁化特点、风向和风速的特点合理选择，使其更好地发挥防治沙漠化的作用。规划近期荒漠化综合治理</w:t>
      </w:r>
      <w:r>
        <w:rPr>
          <w:rFonts w:hint="eastAsia" w:cs="Times New Roman"/>
        </w:rPr>
        <w:t>3</w:t>
      </w:r>
      <w:r>
        <w:rPr>
          <w:rFonts w:cs="Times New Roman"/>
        </w:rPr>
        <w:t>km</w:t>
      </w:r>
      <w:r>
        <w:rPr>
          <w:rFonts w:cs="Times New Roman"/>
          <w:vertAlign w:val="superscript"/>
        </w:rPr>
        <w:t>2</w:t>
      </w:r>
      <w:r>
        <w:rPr>
          <w:rFonts w:cs="Times New Roman"/>
        </w:rPr>
        <w:t>，远期治理</w:t>
      </w:r>
      <w:r>
        <w:rPr>
          <w:rFonts w:hint="eastAsia" w:cs="Times New Roman"/>
        </w:rPr>
        <w:t>17</w:t>
      </w:r>
      <w:r>
        <w:rPr>
          <w:rFonts w:cs="Times New Roman"/>
        </w:rPr>
        <w:t>km</w:t>
      </w:r>
      <w:r>
        <w:rPr>
          <w:rFonts w:cs="Times New Roman"/>
          <w:vertAlign w:val="superscript"/>
        </w:rPr>
        <w:t>2</w:t>
      </w:r>
      <w:r>
        <w:rPr>
          <w:rFonts w:cs="Times New Roman"/>
        </w:rPr>
        <w:t>。</w:t>
      </w:r>
    </w:p>
    <w:p w14:paraId="1FDE1721">
      <w:pPr>
        <w:pStyle w:val="5"/>
        <w:rPr>
          <w:rFonts w:eastAsia="仿宋_GB2312"/>
        </w:rPr>
      </w:pPr>
      <w:r>
        <w:rPr>
          <w:rFonts w:eastAsia="仿宋_GB2312"/>
        </w:rPr>
        <w:t>6.2.3 城郊型清洁小流域建设</w:t>
      </w:r>
    </w:p>
    <w:p w14:paraId="17AED2B3">
      <w:pPr>
        <w:adjustRightInd w:val="0"/>
        <w:snapToGrid w:val="0"/>
        <w:ind w:firstLine="480"/>
        <w:rPr>
          <w:rFonts w:cs="Times New Roman"/>
        </w:rPr>
      </w:pPr>
      <w:r>
        <w:rPr>
          <w:rFonts w:cs="Times New Roman"/>
        </w:rPr>
        <w:t>中部人居环境农田防护区在绿洲内部大力建设农田防护林，以保障粮食增产和改善农村生产生活环境为目标，加快建设农田林网，大力开展村镇绿化美化。城市通过发展城市森林，构建远山、近郊和城区相连结，水网、路网和林网相融合，以森林为主体，城市和乡村一体化的人居环境。合理安排本区工业布局与城镇建设，对区内生产建设项目实行严格的水土保持方案审批制度，重点监督方案的落实，加强本区内城镇及工业区的绿化，做好“三废”处理。通过大力营造农田防护林，保护农业生产及粮食安全，加快城镇绿化，美化环境，改善居民生活条件。推广节水灌溉，衬砌灌溉渠道，提高灌溉水利用系数。近期重点开展小流域水土保持综合治理工程。建设内容主要包括封禁治理，营造水土保持林、布设人工草地、配套灌溉管网工程，修建河道护岸工程，标志牌等。规划城郊型清洁小流域近期治理</w:t>
      </w:r>
      <w:r>
        <w:rPr>
          <w:rFonts w:hint="eastAsia" w:cs="Times New Roman"/>
        </w:rPr>
        <w:t>3</w:t>
      </w:r>
      <w:r>
        <w:rPr>
          <w:rFonts w:cs="Times New Roman"/>
        </w:rPr>
        <w:t>km</w:t>
      </w:r>
      <w:r>
        <w:rPr>
          <w:rFonts w:cs="Times New Roman"/>
          <w:vertAlign w:val="superscript"/>
        </w:rPr>
        <w:t>2</w:t>
      </w:r>
      <w:r>
        <w:rPr>
          <w:rFonts w:cs="Times New Roman"/>
        </w:rPr>
        <w:t>，远期</w:t>
      </w:r>
      <w:r>
        <w:rPr>
          <w:rFonts w:hint="eastAsia" w:cs="Times New Roman"/>
        </w:rPr>
        <w:t>17</w:t>
      </w:r>
      <w:r>
        <w:rPr>
          <w:rFonts w:cs="Times New Roman"/>
        </w:rPr>
        <w:t>km</w:t>
      </w:r>
      <w:r>
        <w:rPr>
          <w:rFonts w:cs="Times New Roman"/>
          <w:vertAlign w:val="superscript"/>
        </w:rPr>
        <w:t>2</w:t>
      </w:r>
      <w:r>
        <w:rPr>
          <w:rFonts w:cs="Times New Roman"/>
        </w:rPr>
        <w:t>。</w:t>
      </w:r>
    </w:p>
    <w:p w14:paraId="4D4F060C">
      <w:pPr>
        <w:pStyle w:val="5"/>
        <w:rPr>
          <w:rFonts w:eastAsia="仿宋_GB2312"/>
        </w:rPr>
      </w:pPr>
      <w:r>
        <w:rPr>
          <w:rFonts w:eastAsia="仿宋_GB2312"/>
        </w:rPr>
        <w:t>6.2.4 重点区域（流域）和重要行业水土保持综合治理工程</w:t>
      </w:r>
    </w:p>
    <w:p w14:paraId="04349146">
      <w:pPr>
        <w:adjustRightInd w:val="0"/>
        <w:snapToGrid w:val="0"/>
        <w:ind w:firstLine="480"/>
        <w:rPr>
          <w:rFonts w:cs="Times New Roman"/>
        </w:rPr>
      </w:pPr>
      <w:r>
        <w:rPr>
          <w:rFonts w:cs="Times New Roman"/>
        </w:rPr>
        <w:t>1、对象及规模</w:t>
      </w:r>
    </w:p>
    <w:p w14:paraId="6FB5CB9F">
      <w:pPr>
        <w:adjustRightInd w:val="0"/>
        <w:snapToGrid w:val="0"/>
        <w:ind w:firstLine="480"/>
        <w:rPr>
          <w:rFonts w:cs="Times New Roman"/>
        </w:rPr>
      </w:pPr>
      <w:r>
        <w:rPr>
          <w:rFonts w:cs="Times New Roman"/>
        </w:rPr>
        <w:t>重点区域（流域）和重要行业水土保持综合治理工程主要针对没有开展水土流失综合治理的重点区域、重点流域，从全局角度、不留死角开展水土保持综合治理工作，尤其是南部低山丘陵土壤保持区对于农牧业生产、道路造成危害的山洪沟道的诸小流域，按照小流域水土保持综合治理措施，实行封山禁牧、轮封轮牧、人工种植，通过拦、蓄、引、提等工程措施对坡面、沟道进行全面治理；其次是针对没有依法编报水土保持方案报告书的生产建设项目，在实际调查的基础上补报水土保持方案报告书，落实水保法要求建设单位承担的水土</w:t>
      </w:r>
    </w:p>
    <w:p w14:paraId="4D6F22DC">
      <w:pPr>
        <w:adjustRightInd w:val="0"/>
        <w:snapToGrid w:val="0"/>
        <w:ind w:firstLine="480"/>
        <w:rPr>
          <w:rFonts w:cs="Times New Roman"/>
        </w:rPr>
      </w:pPr>
      <w:r>
        <w:rPr>
          <w:rFonts w:cs="Times New Roman"/>
        </w:rPr>
        <w:t>流失防治责任，使单项生产建设项目切实落实水土保持法律法规的各项规定；再次是针对已经编报水土保持方案报告书但是水保措施没有落实的生产建设项目，查缺补漏，落实各项水土保持措施。以工程措施为主，以水源为制约因子布设植物措施，结合生物措施进行综合治理，经济发展与生态和谐。规划生态修复近期治理</w:t>
      </w:r>
      <w:r>
        <w:rPr>
          <w:rFonts w:hint="eastAsia" w:cs="Times New Roman"/>
        </w:rPr>
        <w:t>12</w:t>
      </w:r>
      <w:r>
        <w:rPr>
          <w:rFonts w:cs="Times New Roman"/>
        </w:rPr>
        <w:t>km</w:t>
      </w:r>
      <w:r>
        <w:rPr>
          <w:rFonts w:cs="Times New Roman"/>
          <w:vertAlign w:val="superscript"/>
        </w:rPr>
        <w:t>2</w:t>
      </w:r>
      <w:r>
        <w:rPr>
          <w:rFonts w:cs="Times New Roman"/>
        </w:rPr>
        <w:t>，远期</w:t>
      </w:r>
      <w:r>
        <w:rPr>
          <w:rFonts w:hint="eastAsia" w:cs="Times New Roman"/>
        </w:rPr>
        <w:t>47</w:t>
      </w:r>
      <w:r>
        <w:rPr>
          <w:rFonts w:cs="Times New Roman"/>
        </w:rPr>
        <w:t>km</w:t>
      </w:r>
      <w:r>
        <w:rPr>
          <w:rFonts w:cs="Times New Roman"/>
          <w:vertAlign w:val="superscript"/>
        </w:rPr>
        <w:t>2</w:t>
      </w:r>
      <w:r>
        <w:rPr>
          <w:rFonts w:cs="Times New Roman"/>
        </w:rPr>
        <w:t>；土地整治近期治理</w:t>
      </w:r>
      <w:r>
        <w:rPr>
          <w:rFonts w:hint="eastAsia" w:cs="Times New Roman"/>
        </w:rPr>
        <w:t>4</w:t>
      </w:r>
      <w:r>
        <w:rPr>
          <w:rFonts w:cs="Times New Roman"/>
        </w:rPr>
        <w:t>km</w:t>
      </w:r>
      <w:r>
        <w:rPr>
          <w:rFonts w:cs="Times New Roman"/>
          <w:vertAlign w:val="superscript"/>
        </w:rPr>
        <w:t>2</w:t>
      </w:r>
      <w:r>
        <w:rPr>
          <w:rFonts w:cs="Times New Roman"/>
        </w:rPr>
        <w:t>，远期10km</w:t>
      </w:r>
      <w:r>
        <w:rPr>
          <w:rFonts w:cs="Times New Roman"/>
          <w:vertAlign w:val="superscript"/>
        </w:rPr>
        <w:t>2</w:t>
      </w:r>
      <w:r>
        <w:rPr>
          <w:rFonts w:cs="Times New Roman"/>
        </w:rPr>
        <w:t>。</w:t>
      </w:r>
    </w:p>
    <w:p w14:paraId="3B991F66">
      <w:pPr>
        <w:adjustRightInd w:val="0"/>
        <w:snapToGrid w:val="0"/>
        <w:ind w:firstLine="480"/>
        <w:rPr>
          <w:rFonts w:cs="Times New Roman"/>
        </w:rPr>
      </w:pPr>
      <w:r>
        <w:rPr>
          <w:rFonts w:cs="Times New Roman"/>
        </w:rPr>
        <w:t>2、近期重点工程</w:t>
      </w:r>
    </w:p>
    <w:p w14:paraId="06F49C50">
      <w:pPr>
        <w:adjustRightInd w:val="0"/>
        <w:snapToGrid w:val="0"/>
        <w:ind w:firstLine="480"/>
        <w:rPr>
          <w:rFonts w:cs="Times New Roman"/>
        </w:rPr>
      </w:pPr>
      <w:r>
        <w:rPr>
          <w:rFonts w:cs="Times New Roman"/>
        </w:rPr>
        <w:t>（</w:t>
      </w:r>
      <w:r>
        <w:rPr>
          <w:rFonts w:hint="eastAsia" w:cs="Times New Roman"/>
        </w:rPr>
        <w:t>1</w:t>
      </w:r>
      <w:r>
        <w:rPr>
          <w:rFonts w:cs="Times New Roman"/>
        </w:rPr>
        <w:t>）</w:t>
      </w:r>
      <w:r>
        <w:rPr>
          <w:rFonts w:hint="eastAsia" w:cs="Times New Roman"/>
        </w:rPr>
        <w:t>阜康市三工河乡水土保持生态清洁型小流域综合治理项目</w:t>
      </w:r>
      <w:r>
        <w:rPr>
          <w:rFonts w:cs="Times New Roman"/>
        </w:rPr>
        <w:t>：计划于202</w:t>
      </w:r>
      <w:r>
        <w:rPr>
          <w:rFonts w:hint="eastAsia" w:cs="Times New Roman"/>
        </w:rPr>
        <w:t>5</w:t>
      </w:r>
      <w:r>
        <w:rPr>
          <w:rFonts w:cs="Times New Roman"/>
        </w:rPr>
        <w:t>年实施，</w:t>
      </w:r>
      <w:r>
        <w:rPr>
          <w:rFonts w:hint="eastAsia" w:cs="Times New Roman"/>
        </w:rPr>
        <w:t>治理水土流失面积20km</w:t>
      </w:r>
      <w:r>
        <w:rPr>
          <w:rFonts w:hint="eastAsia" w:cs="Times New Roman"/>
          <w:vertAlign w:val="superscript"/>
        </w:rPr>
        <w:t>2</w:t>
      </w:r>
      <w:r>
        <w:rPr>
          <w:rFonts w:hint="eastAsia" w:cs="Times New Roman"/>
        </w:rPr>
        <w:t>，村容村貌建设，营造水土保持林160hm</w:t>
      </w:r>
      <w:r>
        <w:rPr>
          <w:rFonts w:hint="eastAsia" w:cs="Times New Roman"/>
          <w:vertAlign w:val="superscript"/>
        </w:rPr>
        <w:t>2</w:t>
      </w:r>
      <w:r>
        <w:rPr>
          <w:rFonts w:hint="eastAsia" w:cs="Times New Roman"/>
        </w:rPr>
        <w:t>及配套灌溉工程</w:t>
      </w:r>
      <w:r>
        <w:rPr>
          <w:rFonts w:cs="Times New Roman"/>
        </w:rPr>
        <w:t>。</w:t>
      </w:r>
    </w:p>
    <w:p w14:paraId="3FE4BCF4">
      <w:pPr>
        <w:pStyle w:val="5"/>
        <w:rPr>
          <w:rFonts w:eastAsia="仿宋_GB2312"/>
        </w:rPr>
      </w:pPr>
      <w:r>
        <w:rPr>
          <w:rFonts w:eastAsia="仿宋_GB2312"/>
        </w:rPr>
        <w:t>6.2.5近期重点项目治理方向</w:t>
      </w:r>
    </w:p>
    <w:p w14:paraId="4531AE03">
      <w:pPr>
        <w:adjustRightInd w:val="0"/>
        <w:snapToGrid w:val="0"/>
        <w:ind w:firstLine="480"/>
        <w:rPr>
          <w:rFonts w:cs="Times New Roman"/>
        </w:rPr>
      </w:pPr>
      <w:r>
        <w:rPr>
          <w:rFonts w:cs="Times New Roman"/>
        </w:rPr>
        <w:t>近期按照水土保持分区的特点，在不同区域有针对性的重点开展小流域水土保持综合治理工程、河道两岸生态保护修复工程。</w:t>
      </w:r>
    </w:p>
    <w:p w14:paraId="7144A83D">
      <w:pPr>
        <w:adjustRightInd w:val="0"/>
        <w:snapToGrid w:val="0"/>
        <w:ind w:firstLine="480"/>
        <w:rPr>
          <w:rFonts w:cs="Times New Roman"/>
        </w:rPr>
      </w:pPr>
    </w:p>
    <w:p w14:paraId="54500064">
      <w:pPr>
        <w:adjustRightInd w:val="0"/>
        <w:snapToGrid w:val="0"/>
        <w:ind w:firstLine="480"/>
        <w:rPr>
          <w:rFonts w:cs="Times New Roman"/>
        </w:rPr>
      </w:pPr>
    </w:p>
    <w:p w14:paraId="580649D4">
      <w:pPr>
        <w:adjustRightInd w:val="0"/>
        <w:snapToGrid w:val="0"/>
        <w:ind w:firstLine="480"/>
        <w:rPr>
          <w:rFonts w:cs="Times New Roman"/>
        </w:rPr>
      </w:pPr>
    </w:p>
    <w:p w14:paraId="521E550E">
      <w:pPr>
        <w:adjustRightInd w:val="0"/>
        <w:snapToGrid w:val="0"/>
        <w:ind w:firstLine="480"/>
        <w:rPr>
          <w:rFonts w:cs="Times New Roman"/>
        </w:rPr>
      </w:pPr>
    </w:p>
    <w:p w14:paraId="054A839C">
      <w:pPr>
        <w:adjustRightInd w:val="0"/>
        <w:snapToGrid w:val="0"/>
        <w:ind w:firstLine="480"/>
        <w:rPr>
          <w:rFonts w:cs="Times New Roman"/>
          <w:b/>
          <w:spacing w:val="-4"/>
          <w:szCs w:val="28"/>
        </w:rPr>
      </w:pPr>
      <w:r>
        <w:rPr>
          <w:rFonts w:cs="Times New Roman"/>
        </w:rPr>
        <w:t>表</w:t>
      </w:r>
      <w:r>
        <w:rPr>
          <w:rFonts w:cs="Times New Roman"/>
          <w:spacing w:val="-4"/>
          <w:szCs w:val="28"/>
        </w:rPr>
        <w:t xml:space="preserve">6.2-1             </w:t>
      </w:r>
      <w:r>
        <w:rPr>
          <w:rFonts w:cs="Times New Roman"/>
          <w:b/>
          <w:spacing w:val="-4"/>
          <w:szCs w:val="28"/>
        </w:rPr>
        <w:t xml:space="preserve">     本规划重点治理项目表</w:t>
      </w:r>
    </w:p>
    <w:tbl>
      <w:tblPr>
        <w:tblStyle w:val="48"/>
        <w:tblW w:w="5000" w:type="pct"/>
        <w:tblInd w:w="0" w:type="dxa"/>
        <w:tblLayout w:type="autofit"/>
        <w:tblCellMar>
          <w:top w:w="0" w:type="dxa"/>
          <w:left w:w="108" w:type="dxa"/>
          <w:bottom w:w="0" w:type="dxa"/>
          <w:right w:w="108" w:type="dxa"/>
        </w:tblCellMar>
      </w:tblPr>
      <w:tblGrid>
        <w:gridCol w:w="470"/>
        <w:gridCol w:w="2581"/>
        <w:gridCol w:w="1022"/>
        <w:gridCol w:w="1167"/>
        <w:gridCol w:w="3289"/>
      </w:tblGrid>
      <w:tr w14:paraId="306A715F">
        <w:tblPrEx>
          <w:tblCellMar>
            <w:top w:w="0" w:type="dxa"/>
            <w:left w:w="108" w:type="dxa"/>
            <w:bottom w:w="0" w:type="dxa"/>
            <w:right w:w="108" w:type="dxa"/>
          </w:tblCellMar>
        </w:tblPrEx>
        <w:trPr>
          <w:trHeight w:val="570" w:hRule="atLeast"/>
        </w:trPr>
        <w:tc>
          <w:tcPr>
            <w:tcW w:w="276" w:type="pct"/>
            <w:tcBorders>
              <w:top w:val="single" w:color="auto" w:sz="8" w:space="0"/>
              <w:left w:val="single" w:color="auto" w:sz="8" w:space="0"/>
              <w:bottom w:val="single" w:color="auto" w:sz="8" w:space="0"/>
              <w:right w:val="single" w:color="auto" w:sz="8" w:space="0"/>
            </w:tcBorders>
            <w:shd w:val="clear" w:color="auto" w:fill="auto"/>
            <w:vAlign w:val="center"/>
          </w:tcPr>
          <w:p w14:paraId="54B3BC1D">
            <w:pPr>
              <w:spacing w:line="240" w:lineRule="auto"/>
              <w:ind w:firstLine="0" w:firstLineChars="0"/>
              <w:jc w:val="center"/>
              <w:rPr>
                <w:rFonts w:ascii="仿宋_GB2312" w:hAnsi="宋体"/>
                <w:sz w:val="20"/>
                <w:szCs w:val="20"/>
              </w:rPr>
            </w:pPr>
            <w:bookmarkStart w:id="114" w:name="_Toc150724288"/>
            <w:bookmarkStart w:id="115" w:name="_Hlk174277019"/>
            <w:r>
              <w:rPr>
                <w:rFonts w:hint="eastAsia" w:ascii="仿宋_GB2312" w:hAnsi="宋体"/>
                <w:sz w:val="20"/>
                <w:szCs w:val="20"/>
              </w:rPr>
              <w:t>序号</w:t>
            </w:r>
          </w:p>
        </w:tc>
        <w:tc>
          <w:tcPr>
            <w:tcW w:w="1513" w:type="pct"/>
            <w:tcBorders>
              <w:top w:val="single" w:color="auto" w:sz="8" w:space="0"/>
              <w:left w:val="nil"/>
              <w:bottom w:val="single" w:color="auto" w:sz="8" w:space="0"/>
              <w:right w:val="single" w:color="auto" w:sz="8" w:space="0"/>
            </w:tcBorders>
            <w:shd w:val="clear" w:color="auto" w:fill="auto"/>
            <w:vAlign w:val="center"/>
          </w:tcPr>
          <w:p w14:paraId="0E448259">
            <w:pPr>
              <w:spacing w:line="240" w:lineRule="auto"/>
              <w:ind w:firstLine="0" w:firstLineChars="0"/>
              <w:jc w:val="center"/>
              <w:rPr>
                <w:rFonts w:hint="eastAsia" w:ascii="仿宋_GB2312" w:hAnsi="宋体"/>
                <w:sz w:val="20"/>
                <w:szCs w:val="20"/>
              </w:rPr>
            </w:pPr>
            <w:r>
              <w:rPr>
                <w:rFonts w:hint="eastAsia" w:ascii="仿宋_GB2312" w:hAnsi="宋体"/>
                <w:sz w:val="20"/>
                <w:szCs w:val="20"/>
              </w:rPr>
              <w:t>项目名称</w:t>
            </w:r>
          </w:p>
        </w:tc>
        <w:tc>
          <w:tcPr>
            <w:tcW w:w="599" w:type="pct"/>
            <w:tcBorders>
              <w:top w:val="single" w:color="auto" w:sz="8" w:space="0"/>
              <w:left w:val="nil"/>
              <w:bottom w:val="single" w:color="auto" w:sz="8" w:space="0"/>
              <w:right w:val="single" w:color="auto" w:sz="8" w:space="0"/>
            </w:tcBorders>
            <w:shd w:val="clear" w:color="auto" w:fill="auto"/>
            <w:vAlign w:val="center"/>
          </w:tcPr>
          <w:p w14:paraId="754953B1">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治理面积(km</w:t>
            </w:r>
            <w:r>
              <w:rPr>
                <w:rFonts w:hint="eastAsia" w:ascii="仿宋_GB2312" w:hAnsi="宋体"/>
                <w:sz w:val="20"/>
                <w:szCs w:val="20"/>
                <w:vertAlign w:val="superscript"/>
              </w:rPr>
              <w:t>2</w:t>
            </w:r>
            <w:r>
              <w:rPr>
                <w:rFonts w:hint="eastAsia" w:ascii="仿宋_GB2312" w:hAnsi="宋体"/>
                <w:sz w:val="20"/>
                <w:szCs w:val="20"/>
              </w:rPr>
              <w:t>)</w:t>
            </w:r>
          </w:p>
        </w:tc>
        <w:tc>
          <w:tcPr>
            <w:tcW w:w="684" w:type="pct"/>
            <w:tcBorders>
              <w:top w:val="single" w:color="auto" w:sz="8" w:space="0"/>
              <w:left w:val="nil"/>
              <w:bottom w:val="single" w:color="auto" w:sz="8" w:space="0"/>
              <w:right w:val="single" w:color="auto" w:sz="8" w:space="0"/>
            </w:tcBorders>
            <w:shd w:val="clear" w:color="auto" w:fill="auto"/>
            <w:vAlign w:val="center"/>
          </w:tcPr>
          <w:p w14:paraId="191C9275">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投资（万元）</w:t>
            </w:r>
          </w:p>
        </w:tc>
        <w:tc>
          <w:tcPr>
            <w:tcW w:w="1929" w:type="pct"/>
            <w:tcBorders>
              <w:top w:val="single" w:color="auto" w:sz="8" w:space="0"/>
              <w:left w:val="nil"/>
              <w:bottom w:val="single" w:color="auto" w:sz="8" w:space="0"/>
              <w:right w:val="single" w:color="auto" w:sz="8" w:space="0"/>
            </w:tcBorders>
            <w:shd w:val="clear" w:color="auto" w:fill="auto"/>
            <w:vAlign w:val="center"/>
          </w:tcPr>
          <w:p w14:paraId="782B4E5E">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治理措施</w:t>
            </w:r>
          </w:p>
        </w:tc>
      </w:tr>
      <w:tr w14:paraId="2ED62D9A">
        <w:tblPrEx>
          <w:tblCellMar>
            <w:top w:w="0" w:type="dxa"/>
            <w:left w:w="108" w:type="dxa"/>
            <w:bottom w:w="0" w:type="dxa"/>
            <w:right w:w="108" w:type="dxa"/>
          </w:tblCellMar>
        </w:tblPrEx>
        <w:trPr>
          <w:trHeight w:val="54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7E8C21D9">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1513" w:type="pct"/>
            <w:tcBorders>
              <w:top w:val="nil"/>
              <w:left w:val="nil"/>
              <w:bottom w:val="single" w:color="auto" w:sz="8" w:space="0"/>
              <w:right w:val="single" w:color="auto" w:sz="8" w:space="0"/>
            </w:tcBorders>
            <w:shd w:val="clear" w:color="auto" w:fill="auto"/>
            <w:vAlign w:val="center"/>
          </w:tcPr>
          <w:p w14:paraId="60FB87F4">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阜康市三工河乡花儿沟村水土保持生态清洁型小流域综合治理项目（一期）</w:t>
            </w:r>
          </w:p>
        </w:tc>
        <w:tc>
          <w:tcPr>
            <w:tcW w:w="599" w:type="pct"/>
            <w:tcBorders>
              <w:top w:val="nil"/>
              <w:left w:val="nil"/>
              <w:bottom w:val="single" w:color="auto" w:sz="8" w:space="0"/>
              <w:right w:val="single" w:color="auto" w:sz="8" w:space="0"/>
            </w:tcBorders>
            <w:shd w:val="clear" w:color="auto" w:fill="auto"/>
            <w:vAlign w:val="center"/>
          </w:tcPr>
          <w:p w14:paraId="2C9B7AE0">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w:t>
            </w:r>
          </w:p>
        </w:tc>
        <w:tc>
          <w:tcPr>
            <w:tcW w:w="684" w:type="pct"/>
            <w:tcBorders>
              <w:top w:val="nil"/>
              <w:left w:val="nil"/>
              <w:bottom w:val="single" w:color="auto" w:sz="8" w:space="0"/>
              <w:right w:val="single" w:color="auto" w:sz="8" w:space="0"/>
            </w:tcBorders>
            <w:shd w:val="clear" w:color="000000" w:fill="FFFFFF"/>
            <w:vAlign w:val="center"/>
          </w:tcPr>
          <w:p w14:paraId="63C5B80B">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600</w:t>
            </w:r>
          </w:p>
        </w:tc>
        <w:tc>
          <w:tcPr>
            <w:tcW w:w="1929" w:type="pct"/>
            <w:tcBorders>
              <w:top w:val="nil"/>
              <w:left w:val="nil"/>
              <w:bottom w:val="single" w:color="auto" w:sz="8" w:space="0"/>
              <w:right w:val="single" w:color="auto" w:sz="8" w:space="0"/>
            </w:tcBorders>
            <w:shd w:val="clear" w:color="auto" w:fill="auto"/>
            <w:vAlign w:val="center"/>
          </w:tcPr>
          <w:p w14:paraId="33326194">
            <w:pPr>
              <w:spacing w:line="240" w:lineRule="auto"/>
              <w:ind w:firstLine="0" w:firstLineChars="0"/>
              <w:rPr>
                <w:rFonts w:hint="eastAsia" w:ascii="仿宋_GB2312" w:hAnsi="宋体"/>
                <w:sz w:val="20"/>
                <w:szCs w:val="20"/>
              </w:rPr>
            </w:pPr>
            <w:r>
              <w:rPr>
                <w:rFonts w:hint="eastAsia" w:ascii="仿宋_GB2312" w:hAnsi="宋体"/>
                <w:sz w:val="20"/>
                <w:szCs w:val="20"/>
              </w:rPr>
              <w:t>治理水土流失面积10km</w:t>
            </w:r>
            <w:r>
              <w:rPr>
                <w:rFonts w:hint="eastAsia" w:ascii="仿宋_GB2312" w:hAnsi="宋体"/>
                <w:sz w:val="20"/>
                <w:szCs w:val="20"/>
                <w:vertAlign w:val="superscript"/>
              </w:rPr>
              <w:t>2</w:t>
            </w:r>
            <w:r>
              <w:rPr>
                <w:rFonts w:hint="eastAsia" w:ascii="仿宋_GB2312" w:hAnsi="宋体"/>
                <w:sz w:val="20"/>
                <w:szCs w:val="20"/>
              </w:rPr>
              <w:t>，村容村貌建设，营造水土保持林160hm</w:t>
            </w:r>
            <w:r>
              <w:rPr>
                <w:rFonts w:hint="eastAsia" w:ascii="仿宋_GB2312" w:hAnsi="宋体"/>
                <w:sz w:val="20"/>
                <w:szCs w:val="20"/>
                <w:vertAlign w:val="superscript"/>
              </w:rPr>
              <w:t>2</w:t>
            </w:r>
            <w:r>
              <w:rPr>
                <w:rFonts w:hint="eastAsia" w:ascii="仿宋_GB2312" w:hAnsi="宋体"/>
                <w:sz w:val="20"/>
                <w:szCs w:val="20"/>
              </w:rPr>
              <w:t>及配套灌溉工程。</w:t>
            </w:r>
          </w:p>
        </w:tc>
      </w:tr>
      <w:tr w14:paraId="65224777">
        <w:tblPrEx>
          <w:tblCellMar>
            <w:top w:w="0" w:type="dxa"/>
            <w:left w:w="108" w:type="dxa"/>
            <w:bottom w:w="0" w:type="dxa"/>
            <w:right w:w="108" w:type="dxa"/>
          </w:tblCellMar>
        </w:tblPrEx>
        <w:trPr>
          <w:trHeight w:val="31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69A047AE">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1513" w:type="pct"/>
            <w:tcBorders>
              <w:top w:val="nil"/>
              <w:left w:val="nil"/>
              <w:bottom w:val="single" w:color="auto" w:sz="8" w:space="0"/>
              <w:right w:val="single" w:color="auto" w:sz="8" w:space="0"/>
            </w:tcBorders>
            <w:shd w:val="clear" w:color="auto" w:fill="auto"/>
            <w:vAlign w:val="center"/>
          </w:tcPr>
          <w:p w14:paraId="44EADD24">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阜康市天山天池白杨沟水土保持治理项目</w:t>
            </w:r>
          </w:p>
        </w:tc>
        <w:tc>
          <w:tcPr>
            <w:tcW w:w="599" w:type="pct"/>
            <w:tcBorders>
              <w:top w:val="nil"/>
              <w:left w:val="nil"/>
              <w:bottom w:val="single" w:color="auto" w:sz="8" w:space="0"/>
              <w:right w:val="single" w:color="auto" w:sz="8" w:space="0"/>
            </w:tcBorders>
            <w:shd w:val="clear" w:color="auto" w:fill="auto"/>
            <w:vAlign w:val="center"/>
          </w:tcPr>
          <w:p w14:paraId="01327C62">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12.5</w:t>
            </w:r>
          </w:p>
        </w:tc>
        <w:tc>
          <w:tcPr>
            <w:tcW w:w="684" w:type="pct"/>
            <w:tcBorders>
              <w:top w:val="nil"/>
              <w:left w:val="nil"/>
              <w:bottom w:val="single" w:color="auto" w:sz="8" w:space="0"/>
              <w:right w:val="single" w:color="auto" w:sz="8" w:space="0"/>
            </w:tcBorders>
            <w:shd w:val="clear" w:color="000000" w:fill="FFFFFF"/>
            <w:vAlign w:val="center"/>
          </w:tcPr>
          <w:p w14:paraId="08DA67F6">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1000</w:t>
            </w:r>
          </w:p>
        </w:tc>
        <w:tc>
          <w:tcPr>
            <w:tcW w:w="1929" w:type="pct"/>
            <w:tcBorders>
              <w:top w:val="nil"/>
              <w:left w:val="nil"/>
              <w:bottom w:val="single" w:color="auto" w:sz="8" w:space="0"/>
              <w:right w:val="single" w:color="auto" w:sz="8" w:space="0"/>
            </w:tcBorders>
            <w:shd w:val="clear" w:color="auto" w:fill="auto"/>
            <w:vAlign w:val="center"/>
          </w:tcPr>
          <w:p w14:paraId="3DD3103A">
            <w:pPr>
              <w:spacing w:line="240" w:lineRule="auto"/>
              <w:ind w:firstLine="0" w:firstLineChars="0"/>
              <w:rPr>
                <w:rFonts w:hint="eastAsia" w:ascii="仿宋_GB2312" w:hAnsi="宋体"/>
                <w:sz w:val="20"/>
                <w:szCs w:val="20"/>
              </w:rPr>
            </w:pPr>
            <w:r>
              <w:rPr>
                <w:rFonts w:hint="eastAsia" w:ascii="仿宋_GB2312" w:hAnsi="宋体"/>
                <w:sz w:val="20"/>
                <w:szCs w:val="20"/>
              </w:rPr>
              <w:t>治理水土流失面积12.5km</w:t>
            </w:r>
            <w:r>
              <w:rPr>
                <w:rFonts w:hint="eastAsia" w:ascii="仿宋_GB2312" w:hAnsi="宋体"/>
                <w:sz w:val="20"/>
                <w:szCs w:val="20"/>
                <w:vertAlign w:val="superscript"/>
              </w:rPr>
              <w:t>2</w:t>
            </w:r>
            <w:r>
              <w:rPr>
                <w:rFonts w:hint="eastAsia" w:ascii="仿宋_GB2312" w:hAnsi="宋体"/>
                <w:sz w:val="20"/>
                <w:szCs w:val="20"/>
              </w:rPr>
              <w:t>，冲洪沟治理及封禁治理。</w:t>
            </w:r>
          </w:p>
        </w:tc>
      </w:tr>
      <w:tr w14:paraId="78A89FAA">
        <w:tblPrEx>
          <w:tblCellMar>
            <w:top w:w="0" w:type="dxa"/>
            <w:left w:w="108" w:type="dxa"/>
            <w:bottom w:w="0" w:type="dxa"/>
            <w:right w:w="108" w:type="dxa"/>
          </w:tblCellMar>
        </w:tblPrEx>
        <w:trPr>
          <w:trHeight w:val="62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6F1C7FD6">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1513" w:type="pct"/>
            <w:tcBorders>
              <w:top w:val="nil"/>
              <w:left w:val="nil"/>
              <w:bottom w:val="single" w:color="auto" w:sz="8" w:space="0"/>
              <w:right w:val="single" w:color="auto" w:sz="8" w:space="0"/>
            </w:tcBorders>
            <w:shd w:val="clear" w:color="auto" w:fill="auto"/>
            <w:vAlign w:val="center"/>
          </w:tcPr>
          <w:p w14:paraId="33612C4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阜康市红星水库周边水土保持生态清洁型小流域综合治理项目</w:t>
            </w:r>
          </w:p>
        </w:tc>
        <w:tc>
          <w:tcPr>
            <w:tcW w:w="599" w:type="pct"/>
            <w:tcBorders>
              <w:top w:val="nil"/>
              <w:left w:val="nil"/>
              <w:bottom w:val="single" w:color="auto" w:sz="8" w:space="0"/>
              <w:right w:val="single" w:color="auto" w:sz="8" w:space="0"/>
            </w:tcBorders>
            <w:shd w:val="clear" w:color="auto" w:fill="auto"/>
            <w:vAlign w:val="center"/>
          </w:tcPr>
          <w:p w14:paraId="31EB88AA">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15</w:t>
            </w:r>
          </w:p>
        </w:tc>
        <w:tc>
          <w:tcPr>
            <w:tcW w:w="684" w:type="pct"/>
            <w:tcBorders>
              <w:top w:val="nil"/>
              <w:left w:val="nil"/>
              <w:bottom w:val="single" w:color="auto" w:sz="8" w:space="0"/>
              <w:right w:val="single" w:color="auto" w:sz="8" w:space="0"/>
            </w:tcBorders>
            <w:shd w:val="clear" w:color="000000" w:fill="FFFFFF"/>
            <w:vAlign w:val="center"/>
          </w:tcPr>
          <w:p w14:paraId="33E6AD70">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900</w:t>
            </w:r>
          </w:p>
        </w:tc>
        <w:tc>
          <w:tcPr>
            <w:tcW w:w="1929" w:type="pct"/>
            <w:tcBorders>
              <w:top w:val="nil"/>
              <w:left w:val="nil"/>
              <w:bottom w:val="single" w:color="auto" w:sz="8" w:space="0"/>
              <w:right w:val="single" w:color="auto" w:sz="8" w:space="0"/>
            </w:tcBorders>
            <w:shd w:val="clear" w:color="auto" w:fill="auto"/>
            <w:vAlign w:val="center"/>
          </w:tcPr>
          <w:p w14:paraId="339866B3">
            <w:pPr>
              <w:spacing w:line="240" w:lineRule="auto"/>
              <w:ind w:firstLine="0" w:firstLineChars="0"/>
              <w:rPr>
                <w:rFonts w:hint="eastAsia" w:ascii="仿宋_GB2312" w:hAnsi="宋体"/>
                <w:sz w:val="20"/>
                <w:szCs w:val="20"/>
              </w:rPr>
            </w:pPr>
            <w:r>
              <w:rPr>
                <w:rFonts w:hint="eastAsia" w:ascii="仿宋_GB2312" w:hAnsi="宋体"/>
                <w:sz w:val="20"/>
                <w:szCs w:val="20"/>
              </w:rPr>
              <w:t>治理水土流失面积15km</w:t>
            </w:r>
            <w:r>
              <w:rPr>
                <w:rFonts w:hint="eastAsia" w:ascii="仿宋_GB2312" w:hAnsi="宋体"/>
                <w:sz w:val="20"/>
                <w:szCs w:val="20"/>
                <w:vertAlign w:val="superscript"/>
              </w:rPr>
              <w:t>2</w:t>
            </w:r>
            <w:r>
              <w:rPr>
                <w:rFonts w:hint="eastAsia" w:ascii="仿宋_GB2312" w:hAnsi="宋体"/>
                <w:sz w:val="20"/>
                <w:szCs w:val="20"/>
              </w:rPr>
              <w:t>，村容村貌建设，营造水土保持林200hm</w:t>
            </w:r>
            <w:r>
              <w:rPr>
                <w:rFonts w:hint="eastAsia" w:ascii="仿宋_GB2312" w:hAnsi="宋体"/>
                <w:sz w:val="20"/>
                <w:szCs w:val="20"/>
                <w:vertAlign w:val="superscript"/>
              </w:rPr>
              <w:t>2</w:t>
            </w:r>
            <w:r>
              <w:rPr>
                <w:rFonts w:hint="eastAsia" w:ascii="仿宋_GB2312" w:hAnsi="宋体"/>
                <w:sz w:val="20"/>
                <w:szCs w:val="20"/>
              </w:rPr>
              <w:t>及配套灌溉工程。</w:t>
            </w:r>
          </w:p>
        </w:tc>
      </w:tr>
      <w:tr w14:paraId="0CF8576F">
        <w:tblPrEx>
          <w:tblCellMar>
            <w:top w:w="0" w:type="dxa"/>
            <w:left w:w="108" w:type="dxa"/>
            <w:bottom w:w="0" w:type="dxa"/>
            <w:right w:w="108" w:type="dxa"/>
          </w:tblCellMar>
        </w:tblPrEx>
        <w:trPr>
          <w:trHeight w:val="53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78023743">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1513" w:type="pct"/>
            <w:tcBorders>
              <w:top w:val="nil"/>
              <w:left w:val="nil"/>
              <w:bottom w:val="single" w:color="auto" w:sz="8" w:space="0"/>
              <w:right w:val="single" w:color="auto" w:sz="8" w:space="0"/>
            </w:tcBorders>
            <w:shd w:val="clear" w:color="auto" w:fill="auto"/>
            <w:vAlign w:val="center"/>
          </w:tcPr>
          <w:p w14:paraId="080F04F2">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阜康市四工河水库上下游段小流域水土保持综合治理工程</w:t>
            </w:r>
          </w:p>
        </w:tc>
        <w:tc>
          <w:tcPr>
            <w:tcW w:w="599" w:type="pct"/>
            <w:tcBorders>
              <w:top w:val="nil"/>
              <w:left w:val="nil"/>
              <w:bottom w:val="single" w:color="auto" w:sz="8" w:space="0"/>
              <w:right w:val="single" w:color="auto" w:sz="8" w:space="0"/>
            </w:tcBorders>
            <w:shd w:val="clear" w:color="auto" w:fill="auto"/>
            <w:vAlign w:val="center"/>
          </w:tcPr>
          <w:p w14:paraId="433D7847">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5</w:t>
            </w:r>
          </w:p>
        </w:tc>
        <w:tc>
          <w:tcPr>
            <w:tcW w:w="684" w:type="pct"/>
            <w:tcBorders>
              <w:top w:val="nil"/>
              <w:left w:val="nil"/>
              <w:bottom w:val="single" w:color="auto" w:sz="8" w:space="0"/>
              <w:right w:val="single" w:color="auto" w:sz="8" w:space="0"/>
            </w:tcBorders>
            <w:shd w:val="clear" w:color="000000" w:fill="FFFFFF"/>
            <w:vAlign w:val="center"/>
          </w:tcPr>
          <w:p w14:paraId="283C16C2">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300</w:t>
            </w:r>
          </w:p>
        </w:tc>
        <w:tc>
          <w:tcPr>
            <w:tcW w:w="1929" w:type="pct"/>
            <w:tcBorders>
              <w:top w:val="nil"/>
              <w:left w:val="nil"/>
              <w:bottom w:val="single" w:color="auto" w:sz="8" w:space="0"/>
              <w:right w:val="single" w:color="auto" w:sz="8" w:space="0"/>
            </w:tcBorders>
            <w:shd w:val="clear" w:color="auto" w:fill="auto"/>
            <w:vAlign w:val="center"/>
          </w:tcPr>
          <w:p w14:paraId="2441D796">
            <w:pPr>
              <w:spacing w:line="240" w:lineRule="auto"/>
              <w:ind w:firstLine="0" w:firstLineChars="0"/>
              <w:rPr>
                <w:rFonts w:hint="eastAsia" w:ascii="仿宋_GB2312" w:hAnsi="宋体"/>
                <w:sz w:val="20"/>
                <w:szCs w:val="20"/>
              </w:rPr>
            </w:pPr>
            <w:r>
              <w:rPr>
                <w:rFonts w:hint="eastAsia" w:ascii="仿宋_GB2312" w:hAnsi="宋体"/>
                <w:sz w:val="20"/>
                <w:szCs w:val="20"/>
              </w:rPr>
              <w:t>治理水土流失面积5km</w:t>
            </w:r>
            <w:r>
              <w:rPr>
                <w:rFonts w:hint="eastAsia" w:ascii="仿宋_GB2312" w:hAnsi="宋体"/>
                <w:sz w:val="20"/>
                <w:szCs w:val="20"/>
                <w:vertAlign w:val="superscript"/>
              </w:rPr>
              <w:t>2</w:t>
            </w:r>
            <w:r>
              <w:rPr>
                <w:rFonts w:hint="eastAsia" w:ascii="仿宋_GB2312" w:hAnsi="宋体"/>
                <w:sz w:val="20"/>
                <w:szCs w:val="20"/>
              </w:rPr>
              <w:t>，河道护岸工程1.5km，营造水土保持林65hm</w:t>
            </w:r>
            <w:r>
              <w:rPr>
                <w:rFonts w:hint="eastAsia" w:ascii="仿宋_GB2312" w:hAnsi="宋体"/>
                <w:sz w:val="20"/>
                <w:szCs w:val="20"/>
                <w:vertAlign w:val="superscript"/>
              </w:rPr>
              <w:t>2</w:t>
            </w:r>
            <w:r>
              <w:rPr>
                <w:rFonts w:hint="eastAsia" w:ascii="仿宋_GB2312" w:hAnsi="宋体"/>
                <w:sz w:val="20"/>
                <w:szCs w:val="20"/>
              </w:rPr>
              <w:t>及配套灌溉工程。</w:t>
            </w:r>
          </w:p>
        </w:tc>
      </w:tr>
      <w:tr w14:paraId="7ED88659">
        <w:tblPrEx>
          <w:tblCellMar>
            <w:top w:w="0" w:type="dxa"/>
            <w:left w:w="108" w:type="dxa"/>
            <w:bottom w:w="0" w:type="dxa"/>
            <w:right w:w="108" w:type="dxa"/>
          </w:tblCellMar>
        </w:tblPrEx>
        <w:trPr>
          <w:trHeight w:val="53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2E3EEACF">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1513" w:type="pct"/>
            <w:tcBorders>
              <w:top w:val="nil"/>
              <w:left w:val="nil"/>
              <w:bottom w:val="single" w:color="auto" w:sz="8" w:space="0"/>
              <w:right w:val="single" w:color="auto" w:sz="8" w:space="0"/>
            </w:tcBorders>
            <w:shd w:val="clear" w:color="auto" w:fill="auto"/>
            <w:vAlign w:val="center"/>
          </w:tcPr>
          <w:p w14:paraId="3EC2C47E">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阜康市卡拉麦里自然保护区水土保持综合治理工程</w:t>
            </w:r>
          </w:p>
        </w:tc>
        <w:tc>
          <w:tcPr>
            <w:tcW w:w="599" w:type="pct"/>
            <w:tcBorders>
              <w:top w:val="nil"/>
              <w:left w:val="nil"/>
              <w:bottom w:val="single" w:color="auto" w:sz="8" w:space="0"/>
              <w:right w:val="single" w:color="auto" w:sz="8" w:space="0"/>
            </w:tcBorders>
            <w:shd w:val="clear" w:color="auto" w:fill="auto"/>
            <w:vAlign w:val="center"/>
          </w:tcPr>
          <w:p w14:paraId="50F8DF94">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509</w:t>
            </w:r>
          </w:p>
        </w:tc>
        <w:tc>
          <w:tcPr>
            <w:tcW w:w="684" w:type="pct"/>
            <w:tcBorders>
              <w:top w:val="nil"/>
              <w:left w:val="nil"/>
              <w:bottom w:val="single" w:color="auto" w:sz="8" w:space="0"/>
              <w:right w:val="single" w:color="auto" w:sz="8" w:space="0"/>
            </w:tcBorders>
            <w:shd w:val="clear" w:color="000000" w:fill="FFFFFF"/>
            <w:vAlign w:val="center"/>
          </w:tcPr>
          <w:p w14:paraId="76A6076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1500</w:t>
            </w:r>
          </w:p>
        </w:tc>
        <w:tc>
          <w:tcPr>
            <w:tcW w:w="1929" w:type="pct"/>
            <w:tcBorders>
              <w:top w:val="nil"/>
              <w:left w:val="nil"/>
              <w:bottom w:val="single" w:color="auto" w:sz="8" w:space="0"/>
              <w:right w:val="single" w:color="auto" w:sz="8" w:space="0"/>
            </w:tcBorders>
            <w:shd w:val="clear" w:color="auto" w:fill="auto"/>
            <w:vAlign w:val="center"/>
          </w:tcPr>
          <w:p w14:paraId="5A76138A">
            <w:pPr>
              <w:spacing w:line="240" w:lineRule="auto"/>
              <w:ind w:firstLine="0" w:firstLineChars="0"/>
              <w:rPr>
                <w:rFonts w:hint="eastAsia" w:ascii="仿宋_GB2312" w:hAnsi="宋体"/>
                <w:sz w:val="20"/>
                <w:szCs w:val="20"/>
              </w:rPr>
            </w:pPr>
            <w:r>
              <w:rPr>
                <w:rFonts w:hint="eastAsia" w:ascii="仿宋_GB2312" w:hAnsi="宋体"/>
                <w:sz w:val="20"/>
                <w:szCs w:val="20"/>
              </w:rPr>
              <w:t>主要对卡拉麦里保护区封禁治理</w:t>
            </w:r>
          </w:p>
        </w:tc>
      </w:tr>
      <w:tr w14:paraId="0B090D7E">
        <w:tblPrEx>
          <w:tblCellMar>
            <w:top w:w="0" w:type="dxa"/>
            <w:left w:w="108" w:type="dxa"/>
            <w:bottom w:w="0" w:type="dxa"/>
            <w:right w:w="108" w:type="dxa"/>
          </w:tblCellMar>
        </w:tblPrEx>
        <w:trPr>
          <w:trHeight w:val="29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53A6EFC7">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1513" w:type="pct"/>
            <w:tcBorders>
              <w:top w:val="nil"/>
              <w:left w:val="nil"/>
              <w:bottom w:val="single" w:color="auto" w:sz="8" w:space="0"/>
              <w:right w:val="single" w:color="auto" w:sz="8" w:space="0"/>
            </w:tcBorders>
            <w:shd w:val="clear" w:color="auto" w:fill="auto"/>
            <w:vAlign w:val="center"/>
          </w:tcPr>
          <w:p w14:paraId="4649916A">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阜康市水土保持信息化平台建设项目</w:t>
            </w:r>
          </w:p>
        </w:tc>
        <w:tc>
          <w:tcPr>
            <w:tcW w:w="599" w:type="pct"/>
            <w:tcBorders>
              <w:top w:val="nil"/>
              <w:left w:val="nil"/>
              <w:bottom w:val="single" w:color="auto" w:sz="8" w:space="0"/>
              <w:right w:val="single" w:color="auto" w:sz="8" w:space="0"/>
            </w:tcBorders>
            <w:shd w:val="clear" w:color="auto" w:fill="auto"/>
            <w:vAlign w:val="center"/>
          </w:tcPr>
          <w:p w14:paraId="0F5C6D7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　</w:t>
            </w:r>
          </w:p>
        </w:tc>
        <w:tc>
          <w:tcPr>
            <w:tcW w:w="684" w:type="pct"/>
            <w:tcBorders>
              <w:top w:val="nil"/>
              <w:left w:val="nil"/>
              <w:bottom w:val="single" w:color="auto" w:sz="8" w:space="0"/>
              <w:right w:val="single" w:color="auto" w:sz="8" w:space="0"/>
            </w:tcBorders>
            <w:shd w:val="clear" w:color="000000" w:fill="FFFFFF"/>
            <w:vAlign w:val="center"/>
          </w:tcPr>
          <w:p w14:paraId="67E065E4">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200</w:t>
            </w:r>
          </w:p>
        </w:tc>
        <w:tc>
          <w:tcPr>
            <w:tcW w:w="1929" w:type="pct"/>
            <w:tcBorders>
              <w:top w:val="nil"/>
              <w:left w:val="nil"/>
              <w:bottom w:val="single" w:color="auto" w:sz="8" w:space="0"/>
              <w:right w:val="single" w:color="auto" w:sz="8" w:space="0"/>
            </w:tcBorders>
            <w:shd w:val="clear" w:color="auto" w:fill="auto"/>
            <w:vAlign w:val="center"/>
          </w:tcPr>
          <w:p w14:paraId="26B1B8BE">
            <w:pPr>
              <w:spacing w:line="240" w:lineRule="auto"/>
              <w:ind w:firstLine="0" w:firstLineChars="0"/>
              <w:rPr>
                <w:rFonts w:hint="eastAsia" w:ascii="仿宋_GB2312" w:hAnsi="宋体"/>
                <w:sz w:val="20"/>
                <w:szCs w:val="20"/>
              </w:rPr>
            </w:pPr>
            <w:r>
              <w:rPr>
                <w:rFonts w:hint="eastAsia" w:ascii="仿宋_GB2312" w:hAnsi="宋体"/>
                <w:sz w:val="20"/>
                <w:szCs w:val="20"/>
              </w:rPr>
              <w:t>信息化平台建设，软件开发及设备购买，人员培训等</w:t>
            </w:r>
          </w:p>
        </w:tc>
      </w:tr>
      <w:tr w14:paraId="1EE2DB7C">
        <w:tblPrEx>
          <w:tblCellMar>
            <w:top w:w="0" w:type="dxa"/>
            <w:left w:w="108" w:type="dxa"/>
            <w:bottom w:w="0" w:type="dxa"/>
            <w:right w:w="108" w:type="dxa"/>
          </w:tblCellMar>
        </w:tblPrEx>
        <w:trPr>
          <w:trHeight w:val="53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755764A6">
            <w:pPr>
              <w:spacing w:line="240" w:lineRule="auto"/>
              <w:ind w:firstLine="0" w:firstLineChars="0"/>
              <w:jc w:val="center"/>
              <w:rPr>
                <w:rFonts w:hint="eastAsia" w:ascii="仿宋_GB2312" w:hAnsi="宋体"/>
                <w:sz w:val="20"/>
                <w:szCs w:val="20"/>
              </w:rPr>
            </w:pPr>
            <w:r>
              <w:rPr>
                <w:rFonts w:hint="eastAsia" w:ascii="仿宋_GB2312" w:hAnsi="宋体"/>
                <w:sz w:val="20"/>
                <w:szCs w:val="20"/>
              </w:rPr>
              <w:t>7</w:t>
            </w:r>
          </w:p>
        </w:tc>
        <w:tc>
          <w:tcPr>
            <w:tcW w:w="1513" w:type="pct"/>
            <w:tcBorders>
              <w:top w:val="nil"/>
              <w:left w:val="nil"/>
              <w:bottom w:val="single" w:color="auto" w:sz="8" w:space="0"/>
              <w:right w:val="single" w:color="auto" w:sz="8" w:space="0"/>
            </w:tcBorders>
            <w:shd w:val="clear" w:color="auto" w:fill="auto"/>
            <w:vAlign w:val="center"/>
          </w:tcPr>
          <w:p w14:paraId="34BD384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阜康市三工河乡花儿沟村水土保持生态清洁型小流域综合治理项目（二期）</w:t>
            </w:r>
          </w:p>
        </w:tc>
        <w:tc>
          <w:tcPr>
            <w:tcW w:w="599" w:type="pct"/>
            <w:tcBorders>
              <w:top w:val="nil"/>
              <w:left w:val="nil"/>
              <w:bottom w:val="single" w:color="auto" w:sz="8" w:space="0"/>
              <w:right w:val="single" w:color="auto" w:sz="8" w:space="0"/>
            </w:tcBorders>
            <w:shd w:val="clear" w:color="auto" w:fill="auto"/>
            <w:vAlign w:val="center"/>
          </w:tcPr>
          <w:p w14:paraId="5A23EA8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w:t>
            </w:r>
          </w:p>
        </w:tc>
        <w:tc>
          <w:tcPr>
            <w:tcW w:w="684" w:type="pct"/>
            <w:tcBorders>
              <w:top w:val="nil"/>
              <w:left w:val="nil"/>
              <w:bottom w:val="single" w:color="auto" w:sz="8" w:space="0"/>
              <w:right w:val="single" w:color="auto" w:sz="8" w:space="0"/>
            </w:tcBorders>
            <w:shd w:val="clear" w:color="000000" w:fill="FFFFFF"/>
            <w:vAlign w:val="center"/>
          </w:tcPr>
          <w:p w14:paraId="2EE84F5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600</w:t>
            </w:r>
          </w:p>
        </w:tc>
        <w:tc>
          <w:tcPr>
            <w:tcW w:w="1929" w:type="pct"/>
            <w:tcBorders>
              <w:top w:val="nil"/>
              <w:left w:val="nil"/>
              <w:bottom w:val="single" w:color="auto" w:sz="8" w:space="0"/>
              <w:right w:val="single" w:color="auto" w:sz="8" w:space="0"/>
            </w:tcBorders>
            <w:shd w:val="clear" w:color="auto" w:fill="auto"/>
            <w:vAlign w:val="center"/>
          </w:tcPr>
          <w:p w14:paraId="2138E62C">
            <w:pPr>
              <w:spacing w:line="240" w:lineRule="auto"/>
              <w:ind w:firstLine="0" w:firstLineChars="0"/>
              <w:rPr>
                <w:rFonts w:hint="eastAsia" w:ascii="仿宋_GB2312" w:hAnsi="宋体"/>
                <w:sz w:val="20"/>
                <w:szCs w:val="20"/>
              </w:rPr>
            </w:pPr>
            <w:r>
              <w:rPr>
                <w:rFonts w:hint="eastAsia" w:ascii="仿宋_GB2312" w:hAnsi="宋体"/>
                <w:sz w:val="20"/>
                <w:szCs w:val="20"/>
              </w:rPr>
              <w:t>治理水土流失面积10km</w:t>
            </w:r>
            <w:r>
              <w:rPr>
                <w:rFonts w:hint="eastAsia" w:ascii="仿宋_GB2312" w:hAnsi="宋体"/>
                <w:sz w:val="20"/>
                <w:szCs w:val="20"/>
                <w:vertAlign w:val="superscript"/>
              </w:rPr>
              <w:t>2</w:t>
            </w:r>
            <w:r>
              <w:rPr>
                <w:rFonts w:hint="eastAsia" w:ascii="仿宋_GB2312" w:hAnsi="宋体"/>
                <w:sz w:val="20"/>
                <w:szCs w:val="20"/>
              </w:rPr>
              <w:t>，村容村貌建设，营造水土保持林200hm</w:t>
            </w:r>
            <w:r>
              <w:rPr>
                <w:rFonts w:hint="eastAsia" w:ascii="仿宋_GB2312" w:hAnsi="宋体"/>
                <w:sz w:val="20"/>
                <w:szCs w:val="20"/>
                <w:vertAlign w:val="superscript"/>
              </w:rPr>
              <w:t>2</w:t>
            </w:r>
            <w:r>
              <w:rPr>
                <w:rFonts w:hint="eastAsia" w:ascii="仿宋_GB2312" w:hAnsi="宋体"/>
                <w:sz w:val="20"/>
                <w:szCs w:val="20"/>
              </w:rPr>
              <w:t>及配套灌溉工程。</w:t>
            </w:r>
          </w:p>
        </w:tc>
      </w:tr>
      <w:tr w14:paraId="6437B10A">
        <w:tblPrEx>
          <w:tblCellMar>
            <w:top w:w="0" w:type="dxa"/>
            <w:left w:w="108" w:type="dxa"/>
            <w:bottom w:w="0" w:type="dxa"/>
            <w:right w:w="108" w:type="dxa"/>
          </w:tblCellMar>
        </w:tblPrEx>
        <w:trPr>
          <w:trHeight w:val="290" w:hRule="atLeast"/>
        </w:trPr>
        <w:tc>
          <w:tcPr>
            <w:tcW w:w="276" w:type="pct"/>
            <w:tcBorders>
              <w:top w:val="nil"/>
              <w:left w:val="single" w:color="auto" w:sz="8" w:space="0"/>
              <w:bottom w:val="single" w:color="auto" w:sz="8" w:space="0"/>
              <w:right w:val="single" w:color="auto" w:sz="8" w:space="0"/>
            </w:tcBorders>
            <w:shd w:val="clear" w:color="auto" w:fill="auto"/>
            <w:vAlign w:val="center"/>
          </w:tcPr>
          <w:p w14:paraId="000AF20D">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513" w:type="pct"/>
            <w:tcBorders>
              <w:top w:val="nil"/>
              <w:left w:val="nil"/>
              <w:bottom w:val="single" w:color="auto" w:sz="8" w:space="0"/>
              <w:right w:val="single" w:color="auto" w:sz="8" w:space="0"/>
            </w:tcBorders>
            <w:shd w:val="clear" w:color="auto" w:fill="auto"/>
            <w:vAlign w:val="center"/>
          </w:tcPr>
          <w:p w14:paraId="3EF49392">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599" w:type="pct"/>
            <w:tcBorders>
              <w:top w:val="nil"/>
              <w:left w:val="nil"/>
              <w:bottom w:val="single" w:color="auto" w:sz="8" w:space="0"/>
              <w:right w:val="single" w:color="auto" w:sz="8" w:space="0"/>
            </w:tcBorders>
            <w:shd w:val="clear" w:color="auto" w:fill="auto"/>
            <w:vAlign w:val="center"/>
          </w:tcPr>
          <w:p w14:paraId="47CE2061">
            <w:pPr>
              <w:spacing w:line="240" w:lineRule="auto"/>
              <w:ind w:firstLine="0" w:firstLineChars="0"/>
              <w:jc w:val="center"/>
              <w:rPr>
                <w:rFonts w:hint="eastAsia" w:ascii="仿宋_GB2312" w:hAnsi="宋体"/>
                <w:sz w:val="20"/>
                <w:szCs w:val="20"/>
              </w:rPr>
            </w:pPr>
            <w:r>
              <w:rPr>
                <w:rFonts w:hint="eastAsia" w:ascii="仿宋_GB2312" w:hAnsi="宋体"/>
                <w:sz w:val="20"/>
                <w:szCs w:val="20"/>
              </w:rPr>
              <w:t>561.5</w:t>
            </w:r>
          </w:p>
        </w:tc>
        <w:tc>
          <w:tcPr>
            <w:tcW w:w="684" w:type="pct"/>
            <w:tcBorders>
              <w:top w:val="nil"/>
              <w:left w:val="nil"/>
              <w:bottom w:val="single" w:color="auto" w:sz="8" w:space="0"/>
              <w:right w:val="single" w:color="auto" w:sz="8" w:space="0"/>
            </w:tcBorders>
            <w:shd w:val="clear" w:color="auto" w:fill="auto"/>
            <w:vAlign w:val="center"/>
          </w:tcPr>
          <w:p w14:paraId="49BD16A2">
            <w:pPr>
              <w:spacing w:line="240" w:lineRule="auto"/>
              <w:ind w:firstLine="0" w:firstLineChars="0"/>
              <w:jc w:val="center"/>
              <w:rPr>
                <w:rFonts w:hint="eastAsia" w:ascii="仿宋_GB2312" w:hAnsi="宋体"/>
                <w:sz w:val="20"/>
                <w:szCs w:val="20"/>
              </w:rPr>
            </w:pPr>
            <w:r>
              <w:rPr>
                <w:rFonts w:hint="eastAsia" w:ascii="仿宋_GB2312" w:hAnsi="宋体"/>
                <w:sz w:val="20"/>
                <w:szCs w:val="20"/>
              </w:rPr>
              <w:t>5100</w:t>
            </w:r>
          </w:p>
        </w:tc>
        <w:tc>
          <w:tcPr>
            <w:tcW w:w="1929" w:type="pct"/>
            <w:tcBorders>
              <w:top w:val="nil"/>
              <w:left w:val="nil"/>
              <w:bottom w:val="single" w:color="auto" w:sz="8" w:space="0"/>
              <w:right w:val="single" w:color="auto" w:sz="8" w:space="0"/>
            </w:tcBorders>
            <w:shd w:val="clear" w:color="auto" w:fill="auto"/>
            <w:vAlign w:val="center"/>
          </w:tcPr>
          <w:p w14:paraId="761A262E">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bl>
    <w:p w14:paraId="6F9CE5DB">
      <w:pPr>
        <w:pStyle w:val="44"/>
        <w:spacing w:before="120" w:after="120"/>
        <w:rPr>
          <w:rFonts w:eastAsia="仿宋_GB2312" w:cs="Times New Roman"/>
        </w:rPr>
      </w:pPr>
      <w:r>
        <w:rPr>
          <w:rFonts w:eastAsia="仿宋_GB2312" w:cs="Times New Roman"/>
        </w:rPr>
        <w:t>6.3 重点治理项目</w:t>
      </w:r>
      <w:bookmarkEnd w:id="114"/>
    </w:p>
    <w:p w14:paraId="7CEEAFAF">
      <w:pPr>
        <w:pStyle w:val="5"/>
        <w:rPr>
          <w:rFonts w:eastAsia="仿宋_GB2312"/>
        </w:rPr>
      </w:pPr>
      <w:r>
        <w:rPr>
          <w:rFonts w:eastAsia="仿宋_GB2312"/>
        </w:rPr>
        <w:t xml:space="preserve">6.3.1重点治理项目规划目标值 </w:t>
      </w:r>
    </w:p>
    <w:p w14:paraId="7A57A72D">
      <w:pPr>
        <w:adjustRightInd w:val="0"/>
        <w:snapToGrid w:val="0"/>
        <w:ind w:firstLine="480"/>
        <w:jc w:val="both"/>
        <w:rPr>
          <w:rFonts w:cs="Times New Roman"/>
        </w:rPr>
      </w:pPr>
      <w:r>
        <w:rPr>
          <w:rFonts w:cs="Times New Roman"/>
        </w:rPr>
        <w:t>《新疆维吾尔自治区水土保持规划（2018-2030）》中重点治理项目有绿洲防护生态安全保障体系中的“侵蚀沟治理工程”、“荒漠化治理工程”、“城郊型清洁小流域建设”、“坡耕地治理工程”和重点区域（流域）和重要行业水土保持综合治理体系中的“生态修复工程”、“土地整治工程”。涉及昌吉州的预防保护项目规划详见表6</w:t>
      </w:r>
      <w:r>
        <w:rPr>
          <w:rFonts w:hint="eastAsia" w:cs="Times New Roman"/>
        </w:rPr>
        <w:t>.3</w:t>
      </w:r>
      <w:r>
        <w:rPr>
          <w:rFonts w:cs="Times New Roman"/>
        </w:rPr>
        <w:t>-1、6</w:t>
      </w:r>
      <w:r>
        <w:rPr>
          <w:rFonts w:hint="eastAsia" w:cs="Times New Roman"/>
        </w:rPr>
        <w:t>.3</w:t>
      </w:r>
      <w:r>
        <w:rPr>
          <w:rFonts w:cs="Times New Roman"/>
        </w:rPr>
        <w:t>-2。本规划阜康市的治理项目规划目标应不低于自治区及昌吉州规划中确定的目标值。综合考虑县级重点治理区划分结果、适宜治理区域和治理经费等因素，确定阜康市的预防保护项目规划目标值，详见表6</w:t>
      </w:r>
      <w:r>
        <w:rPr>
          <w:rFonts w:hint="eastAsia" w:cs="Times New Roman"/>
        </w:rPr>
        <w:t>.3</w:t>
      </w:r>
      <w:r>
        <w:rPr>
          <w:rFonts w:cs="Times New Roman"/>
        </w:rPr>
        <w:t>-3、6</w:t>
      </w:r>
      <w:r>
        <w:rPr>
          <w:rFonts w:hint="eastAsia" w:cs="Times New Roman"/>
        </w:rPr>
        <w:t>.3</w:t>
      </w:r>
      <w:r>
        <w:rPr>
          <w:rFonts w:cs="Times New Roman"/>
        </w:rPr>
        <w:t>-4。</w:t>
      </w:r>
    </w:p>
    <w:p w14:paraId="3F5ED24F">
      <w:pPr>
        <w:adjustRightInd w:val="0"/>
        <w:snapToGrid w:val="0"/>
        <w:ind w:firstLine="480"/>
        <w:jc w:val="both"/>
        <w:rPr>
          <w:rFonts w:cs="Times New Roman"/>
        </w:rPr>
      </w:pPr>
    </w:p>
    <w:p w14:paraId="651D2EDE">
      <w:pPr>
        <w:adjustRightInd w:val="0"/>
        <w:snapToGrid w:val="0"/>
        <w:ind w:firstLine="480"/>
        <w:jc w:val="both"/>
        <w:rPr>
          <w:rFonts w:cs="Times New Roman"/>
        </w:rPr>
      </w:pPr>
    </w:p>
    <w:p w14:paraId="6026F8F9">
      <w:pPr>
        <w:adjustRightInd w:val="0"/>
        <w:snapToGrid w:val="0"/>
        <w:ind w:firstLine="480"/>
        <w:jc w:val="both"/>
        <w:rPr>
          <w:rFonts w:cs="Times New Roman"/>
        </w:rPr>
      </w:pPr>
    </w:p>
    <w:p w14:paraId="78367A1B">
      <w:pPr>
        <w:adjustRightInd w:val="0"/>
        <w:snapToGrid w:val="0"/>
        <w:ind w:firstLine="480"/>
        <w:jc w:val="both"/>
        <w:rPr>
          <w:rFonts w:cs="Times New Roman"/>
        </w:rPr>
      </w:pPr>
    </w:p>
    <w:p w14:paraId="14E1F8AD">
      <w:pPr>
        <w:adjustRightInd w:val="0"/>
        <w:snapToGrid w:val="0"/>
        <w:ind w:firstLine="480"/>
        <w:jc w:val="both"/>
        <w:rPr>
          <w:rFonts w:cs="Times New Roman"/>
        </w:rPr>
      </w:pPr>
    </w:p>
    <w:p w14:paraId="3BB6BE57">
      <w:pPr>
        <w:adjustRightInd w:val="0"/>
        <w:snapToGrid w:val="0"/>
        <w:ind w:firstLine="480"/>
        <w:jc w:val="both"/>
        <w:rPr>
          <w:rFonts w:cs="Times New Roman"/>
        </w:rPr>
      </w:pPr>
    </w:p>
    <w:p w14:paraId="1FF1BEBF">
      <w:pPr>
        <w:adjustRightInd w:val="0"/>
        <w:snapToGrid w:val="0"/>
        <w:ind w:firstLine="480"/>
        <w:jc w:val="both"/>
        <w:rPr>
          <w:rFonts w:cs="Times New Roman"/>
        </w:rPr>
      </w:pPr>
    </w:p>
    <w:p w14:paraId="7771FF7F">
      <w:pPr>
        <w:adjustRightInd w:val="0"/>
        <w:snapToGrid w:val="0"/>
        <w:ind w:firstLine="0" w:firstLineChars="0"/>
        <w:jc w:val="center"/>
        <w:rPr>
          <w:rFonts w:cs="Times New Roman"/>
          <w:b/>
          <w:bCs/>
        </w:rPr>
      </w:pPr>
      <w:r>
        <w:rPr>
          <w:rFonts w:cs="Times New Roman"/>
          <w:b/>
          <w:bCs/>
        </w:rPr>
        <w:t>表6</w:t>
      </w:r>
      <w:r>
        <w:rPr>
          <w:rFonts w:hint="eastAsia" w:cs="Times New Roman"/>
          <w:b/>
          <w:bCs/>
        </w:rPr>
        <w:t>.3</w:t>
      </w:r>
      <w:r>
        <w:rPr>
          <w:rFonts w:cs="Times New Roman"/>
          <w:b/>
          <w:bCs/>
        </w:rPr>
        <w:t>-1 自治区水土保持规划中确定的昌吉州治理项目规划目标值</w:t>
      </w:r>
    </w:p>
    <w:tbl>
      <w:tblPr>
        <w:tblStyle w:val="372"/>
        <w:tblW w:w="0" w:type="auto"/>
        <w:tblInd w:w="105" w:type="dxa"/>
        <w:tblLayout w:type="fixed"/>
        <w:tblCellMar>
          <w:top w:w="0" w:type="dxa"/>
          <w:left w:w="0" w:type="dxa"/>
          <w:bottom w:w="0" w:type="dxa"/>
          <w:right w:w="0" w:type="dxa"/>
        </w:tblCellMar>
      </w:tblPr>
      <w:tblGrid>
        <w:gridCol w:w="1090"/>
        <w:gridCol w:w="956"/>
        <w:gridCol w:w="1145"/>
        <w:gridCol w:w="1313"/>
        <w:gridCol w:w="1208"/>
        <w:gridCol w:w="1257"/>
        <w:gridCol w:w="1258"/>
      </w:tblGrid>
      <w:tr w14:paraId="5FEBC374">
        <w:tblPrEx>
          <w:tblCellMar>
            <w:top w:w="0" w:type="dxa"/>
            <w:left w:w="0" w:type="dxa"/>
            <w:bottom w:w="0" w:type="dxa"/>
            <w:right w:w="0" w:type="dxa"/>
          </w:tblCellMar>
        </w:tblPrEx>
        <w:trPr>
          <w:trHeight w:val="555" w:hRule="exact"/>
        </w:trPr>
        <w:tc>
          <w:tcPr>
            <w:tcW w:w="1090" w:type="dxa"/>
            <w:vMerge w:val="restart"/>
            <w:tcBorders>
              <w:top w:val="single" w:color="000000" w:sz="4" w:space="0"/>
              <w:left w:val="single" w:color="000000" w:sz="4" w:space="0"/>
              <w:right w:val="single" w:color="000000" w:sz="4" w:space="0"/>
            </w:tcBorders>
            <w:vAlign w:val="center"/>
          </w:tcPr>
          <w:p w14:paraId="1EF2E385">
            <w:pPr>
              <w:pStyle w:val="209"/>
              <w:snapToGrid w:val="0"/>
              <w:spacing w:line="240" w:lineRule="auto"/>
              <w:ind w:firstLine="0" w:firstLineChars="0"/>
              <w:rPr>
                <w:rFonts w:ascii="Times New Roman" w:hAnsi="Times New Roman"/>
                <w:szCs w:val="21"/>
              </w:rPr>
            </w:pPr>
            <w:r>
              <w:rPr>
                <w:rFonts w:ascii="Times New Roman" w:hAnsi="Times New Roman"/>
                <w:szCs w:val="21"/>
              </w:rPr>
              <w:t>规划时段</w:t>
            </w:r>
          </w:p>
        </w:tc>
        <w:tc>
          <w:tcPr>
            <w:tcW w:w="4622" w:type="dxa"/>
            <w:gridSpan w:val="4"/>
            <w:tcBorders>
              <w:top w:val="single" w:color="000000" w:sz="4" w:space="0"/>
              <w:left w:val="single" w:color="000000" w:sz="4" w:space="0"/>
              <w:bottom w:val="single" w:color="000000" w:sz="4" w:space="0"/>
              <w:right w:val="single" w:color="000000" w:sz="4" w:space="0"/>
            </w:tcBorders>
            <w:vAlign w:val="center"/>
          </w:tcPr>
          <w:p w14:paraId="670F260D">
            <w:pPr>
              <w:pStyle w:val="209"/>
              <w:snapToGrid w:val="0"/>
              <w:spacing w:line="240" w:lineRule="auto"/>
              <w:ind w:firstLine="0" w:firstLineChars="0"/>
              <w:rPr>
                <w:rFonts w:ascii="Times New Roman" w:hAnsi="Times New Roman"/>
                <w:szCs w:val="21"/>
              </w:rPr>
            </w:pPr>
            <w:r>
              <w:rPr>
                <w:rFonts w:ascii="Times New Roman" w:hAnsi="Times New Roman"/>
                <w:szCs w:val="21"/>
              </w:rPr>
              <w:t>绿洲防护生态安全保障体系</w:t>
            </w:r>
          </w:p>
        </w:tc>
        <w:tc>
          <w:tcPr>
            <w:tcW w:w="2514" w:type="dxa"/>
            <w:gridSpan w:val="2"/>
            <w:tcBorders>
              <w:top w:val="single" w:color="000000" w:sz="4" w:space="0"/>
              <w:left w:val="single" w:color="000000" w:sz="4" w:space="0"/>
              <w:bottom w:val="single" w:color="000000" w:sz="4" w:space="0"/>
              <w:right w:val="single" w:color="000000" w:sz="4" w:space="0"/>
            </w:tcBorders>
            <w:vAlign w:val="center"/>
          </w:tcPr>
          <w:p w14:paraId="4B33BE87">
            <w:pPr>
              <w:pStyle w:val="209"/>
              <w:snapToGrid w:val="0"/>
              <w:spacing w:line="240" w:lineRule="auto"/>
              <w:ind w:firstLine="0" w:firstLineChars="0"/>
              <w:rPr>
                <w:rFonts w:ascii="Times New Roman" w:hAnsi="Times New Roman"/>
                <w:szCs w:val="21"/>
              </w:rPr>
            </w:pPr>
            <w:r>
              <w:rPr>
                <w:rFonts w:ascii="Times New Roman" w:hAnsi="Times New Roman"/>
                <w:szCs w:val="21"/>
              </w:rPr>
              <w:t>重点区域（流域）和重要行</w:t>
            </w:r>
          </w:p>
          <w:p w14:paraId="1B2119E9">
            <w:pPr>
              <w:pStyle w:val="209"/>
              <w:snapToGrid w:val="0"/>
              <w:spacing w:line="240" w:lineRule="auto"/>
              <w:ind w:firstLine="0" w:firstLineChars="0"/>
              <w:rPr>
                <w:rFonts w:ascii="Times New Roman" w:hAnsi="Times New Roman"/>
                <w:szCs w:val="21"/>
              </w:rPr>
            </w:pPr>
            <w:r>
              <w:rPr>
                <w:rFonts w:ascii="Times New Roman" w:hAnsi="Times New Roman"/>
                <w:szCs w:val="21"/>
              </w:rPr>
              <w:t>业水土保持综合治理体系</w:t>
            </w:r>
          </w:p>
        </w:tc>
      </w:tr>
      <w:tr w14:paraId="0EAF0D8B">
        <w:tblPrEx>
          <w:tblCellMar>
            <w:top w:w="0" w:type="dxa"/>
            <w:left w:w="0" w:type="dxa"/>
            <w:bottom w:w="0" w:type="dxa"/>
            <w:right w:w="0" w:type="dxa"/>
          </w:tblCellMar>
        </w:tblPrEx>
        <w:trPr>
          <w:trHeight w:val="1071" w:hRule="exact"/>
        </w:trPr>
        <w:tc>
          <w:tcPr>
            <w:tcW w:w="1090" w:type="dxa"/>
            <w:vMerge w:val="continue"/>
            <w:tcBorders>
              <w:left w:val="single" w:color="000000" w:sz="4" w:space="0"/>
              <w:bottom w:val="single" w:color="000000" w:sz="4" w:space="0"/>
              <w:right w:val="single" w:color="000000" w:sz="4" w:space="0"/>
            </w:tcBorders>
            <w:vAlign w:val="center"/>
          </w:tcPr>
          <w:p w14:paraId="72B621BD">
            <w:pPr>
              <w:pStyle w:val="209"/>
              <w:snapToGrid w:val="0"/>
              <w:spacing w:line="240" w:lineRule="auto"/>
              <w:ind w:firstLine="0" w:firstLineChars="0"/>
              <w:rPr>
                <w:rFonts w:ascii="Times New Roman" w:hAnsi="Times New Roman"/>
                <w:szCs w:val="21"/>
              </w:rPr>
            </w:pPr>
          </w:p>
        </w:tc>
        <w:tc>
          <w:tcPr>
            <w:tcW w:w="956" w:type="dxa"/>
            <w:tcBorders>
              <w:top w:val="single" w:color="000000" w:sz="4" w:space="0"/>
              <w:left w:val="single" w:color="000000" w:sz="4" w:space="0"/>
              <w:bottom w:val="single" w:color="000000" w:sz="4" w:space="0"/>
              <w:right w:val="single" w:color="000000" w:sz="4" w:space="0"/>
            </w:tcBorders>
            <w:vAlign w:val="center"/>
          </w:tcPr>
          <w:p w14:paraId="50393F61">
            <w:pPr>
              <w:pStyle w:val="209"/>
              <w:snapToGrid w:val="0"/>
              <w:spacing w:line="240" w:lineRule="auto"/>
              <w:ind w:firstLine="0" w:firstLineChars="0"/>
              <w:rPr>
                <w:rFonts w:ascii="Times New Roman" w:hAnsi="Times New Roman"/>
                <w:szCs w:val="21"/>
              </w:rPr>
            </w:pPr>
            <w:r>
              <w:rPr>
                <w:rFonts w:ascii="Times New Roman" w:hAnsi="Times New Roman"/>
                <w:szCs w:val="21"/>
              </w:rPr>
              <w:t>侵蚀沟治</w:t>
            </w:r>
          </w:p>
          <w:p w14:paraId="3F413F7C">
            <w:pPr>
              <w:pStyle w:val="209"/>
              <w:snapToGrid w:val="0"/>
              <w:spacing w:line="240" w:lineRule="auto"/>
              <w:ind w:firstLine="0" w:firstLineChars="0"/>
              <w:rPr>
                <w:rFonts w:ascii="Times New Roman" w:hAnsi="Times New Roman"/>
                <w:szCs w:val="21"/>
              </w:rPr>
            </w:pPr>
            <w:r>
              <w:rPr>
                <w:rFonts w:ascii="Times New Roman" w:hAnsi="Times New Roman"/>
                <w:szCs w:val="21"/>
              </w:rPr>
              <w:t>理工程</w:t>
            </w:r>
          </w:p>
          <w:p w14:paraId="452D4A51">
            <w:pPr>
              <w:pStyle w:val="209"/>
              <w:snapToGrid w:val="0"/>
              <w:spacing w:line="240" w:lineRule="auto"/>
              <w:ind w:firstLine="0" w:firstLineChars="0"/>
              <w:rPr>
                <w:rFonts w:ascii="Times New Roman" w:hAnsi="Times New Roman"/>
                <w:szCs w:val="21"/>
              </w:rPr>
            </w:pPr>
            <w:r>
              <w:rPr>
                <w:rFonts w:ascii="Times New Roman" w:hAnsi="Times New Roman"/>
                <w:szCs w:val="21"/>
              </w:rPr>
              <w:t>（条）</w:t>
            </w:r>
          </w:p>
        </w:tc>
        <w:tc>
          <w:tcPr>
            <w:tcW w:w="1145" w:type="dxa"/>
            <w:tcBorders>
              <w:top w:val="single" w:color="000000" w:sz="4" w:space="0"/>
              <w:left w:val="single" w:color="000000" w:sz="4" w:space="0"/>
              <w:bottom w:val="single" w:color="000000" w:sz="4" w:space="0"/>
              <w:right w:val="single" w:color="000000" w:sz="4" w:space="0"/>
            </w:tcBorders>
            <w:vAlign w:val="center"/>
          </w:tcPr>
          <w:p w14:paraId="7588F032">
            <w:pPr>
              <w:pStyle w:val="209"/>
              <w:snapToGrid w:val="0"/>
              <w:spacing w:line="240" w:lineRule="auto"/>
              <w:ind w:firstLine="0" w:firstLineChars="0"/>
              <w:rPr>
                <w:rFonts w:ascii="Times New Roman" w:hAnsi="Times New Roman"/>
                <w:szCs w:val="21"/>
              </w:rPr>
            </w:pPr>
            <w:r>
              <w:rPr>
                <w:rFonts w:ascii="Times New Roman" w:hAnsi="Times New Roman"/>
                <w:szCs w:val="21"/>
              </w:rPr>
              <w:t>荒漠化治理</w:t>
            </w:r>
          </w:p>
          <w:p w14:paraId="2173A826">
            <w:pPr>
              <w:pStyle w:val="209"/>
              <w:snapToGrid w:val="0"/>
              <w:spacing w:line="240" w:lineRule="auto"/>
              <w:ind w:firstLine="0" w:firstLineChars="0"/>
              <w:rPr>
                <w:rFonts w:ascii="Times New Roman" w:hAnsi="Times New Roman"/>
                <w:szCs w:val="21"/>
              </w:rPr>
            </w:pPr>
            <w:r>
              <w:rPr>
                <w:rFonts w:ascii="Times New Roman" w:hAnsi="Times New Roman"/>
                <w:szCs w:val="21"/>
              </w:rPr>
              <w:t>工程</w:t>
            </w:r>
          </w:p>
          <w:p w14:paraId="6D06888D">
            <w:pPr>
              <w:pStyle w:val="209"/>
              <w:snapToGrid w:val="0"/>
              <w:spacing w:line="240" w:lineRule="auto"/>
              <w:ind w:firstLine="0" w:firstLineChars="0"/>
              <w:rPr>
                <w:rFonts w:ascii="Times New Roman" w:hAnsi="Times New Roman"/>
                <w:szCs w:val="21"/>
              </w:rPr>
            </w:pPr>
            <w:r>
              <w:rPr>
                <w:rFonts w:ascii="Times New Roman" w:hAnsi="Times New Roman"/>
                <w:szCs w:val="21"/>
              </w:rPr>
              <w:t>（km</w:t>
            </w:r>
            <w:r>
              <w:rPr>
                <w:rFonts w:ascii="Times New Roman" w:hAnsi="Times New Roman"/>
                <w:szCs w:val="21"/>
                <w:vertAlign w:val="superscript"/>
              </w:rPr>
              <w:t>2</w:t>
            </w:r>
            <w:r>
              <w:rPr>
                <w:rFonts w:ascii="Times New Roman" w:hAnsi="Times New Roman"/>
                <w:szCs w:val="21"/>
              </w:rPr>
              <w:t>）</w:t>
            </w:r>
          </w:p>
        </w:tc>
        <w:tc>
          <w:tcPr>
            <w:tcW w:w="1313" w:type="dxa"/>
            <w:tcBorders>
              <w:top w:val="single" w:color="000000" w:sz="4" w:space="0"/>
              <w:left w:val="single" w:color="000000" w:sz="4" w:space="0"/>
              <w:bottom w:val="single" w:color="000000" w:sz="4" w:space="0"/>
              <w:right w:val="single" w:color="000000" w:sz="4" w:space="0"/>
            </w:tcBorders>
            <w:vAlign w:val="center"/>
          </w:tcPr>
          <w:p w14:paraId="2EB185C1">
            <w:pPr>
              <w:pStyle w:val="209"/>
              <w:snapToGrid w:val="0"/>
              <w:spacing w:line="240" w:lineRule="auto"/>
              <w:ind w:firstLine="0" w:firstLineChars="0"/>
              <w:rPr>
                <w:rFonts w:ascii="Times New Roman" w:hAnsi="Times New Roman"/>
                <w:szCs w:val="21"/>
              </w:rPr>
            </w:pPr>
            <w:r>
              <w:rPr>
                <w:rFonts w:ascii="Times New Roman" w:hAnsi="Times New Roman"/>
                <w:szCs w:val="21"/>
              </w:rPr>
              <w:t>城郊型清洁小</w:t>
            </w:r>
          </w:p>
          <w:p w14:paraId="6B6512C1">
            <w:pPr>
              <w:pStyle w:val="209"/>
              <w:snapToGrid w:val="0"/>
              <w:spacing w:line="240" w:lineRule="auto"/>
              <w:ind w:firstLine="0" w:firstLineChars="0"/>
              <w:rPr>
                <w:rFonts w:ascii="Times New Roman" w:hAnsi="Times New Roman"/>
                <w:szCs w:val="21"/>
              </w:rPr>
            </w:pPr>
            <w:r>
              <w:rPr>
                <w:rFonts w:ascii="Times New Roman" w:hAnsi="Times New Roman"/>
                <w:szCs w:val="21"/>
              </w:rPr>
              <w:t>流域建设</w:t>
            </w:r>
          </w:p>
          <w:p w14:paraId="1F8D678F">
            <w:pPr>
              <w:pStyle w:val="209"/>
              <w:snapToGrid w:val="0"/>
              <w:spacing w:line="240" w:lineRule="auto"/>
              <w:ind w:firstLine="0" w:firstLineChars="0"/>
              <w:rPr>
                <w:rFonts w:ascii="Times New Roman" w:hAnsi="Times New Roman"/>
                <w:szCs w:val="21"/>
              </w:rPr>
            </w:pPr>
            <w:r>
              <w:rPr>
                <w:rFonts w:ascii="Times New Roman" w:hAnsi="Times New Roman"/>
                <w:szCs w:val="21"/>
              </w:rPr>
              <w:t>（km</w:t>
            </w:r>
            <w:r>
              <w:rPr>
                <w:rFonts w:ascii="Times New Roman" w:hAnsi="Times New Roman"/>
                <w:szCs w:val="21"/>
                <w:vertAlign w:val="superscript"/>
              </w:rPr>
              <w:t>2</w:t>
            </w:r>
            <w:r>
              <w:rPr>
                <w:rFonts w:ascii="Times New Roman" w:hAnsi="Times New Roman"/>
                <w:szCs w:val="21"/>
              </w:rPr>
              <w:t>）</w:t>
            </w:r>
          </w:p>
        </w:tc>
        <w:tc>
          <w:tcPr>
            <w:tcW w:w="1207" w:type="dxa"/>
            <w:tcBorders>
              <w:top w:val="single" w:color="000000" w:sz="4" w:space="0"/>
              <w:left w:val="single" w:color="000000" w:sz="4" w:space="0"/>
              <w:bottom w:val="single" w:color="000000" w:sz="4" w:space="0"/>
              <w:right w:val="single" w:color="000000" w:sz="4" w:space="0"/>
            </w:tcBorders>
            <w:vAlign w:val="center"/>
          </w:tcPr>
          <w:p w14:paraId="0ECA8CBA">
            <w:pPr>
              <w:pStyle w:val="209"/>
              <w:snapToGrid w:val="0"/>
              <w:spacing w:line="240" w:lineRule="auto"/>
              <w:ind w:firstLine="0" w:firstLineChars="0"/>
              <w:rPr>
                <w:rFonts w:ascii="Times New Roman" w:hAnsi="Times New Roman"/>
                <w:szCs w:val="21"/>
              </w:rPr>
            </w:pPr>
            <w:r>
              <w:rPr>
                <w:rFonts w:ascii="Times New Roman" w:hAnsi="Times New Roman"/>
                <w:szCs w:val="21"/>
              </w:rPr>
              <w:t>坡耕地治理</w:t>
            </w:r>
          </w:p>
          <w:p w14:paraId="0B8582C1">
            <w:pPr>
              <w:pStyle w:val="209"/>
              <w:snapToGrid w:val="0"/>
              <w:spacing w:line="240" w:lineRule="auto"/>
              <w:ind w:firstLine="0" w:firstLineChars="0"/>
              <w:rPr>
                <w:rFonts w:ascii="Times New Roman" w:hAnsi="Times New Roman"/>
                <w:szCs w:val="21"/>
              </w:rPr>
            </w:pPr>
            <w:r>
              <w:rPr>
                <w:rFonts w:ascii="Times New Roman" w:hAnsi="Times New Roman"/>
                <w:szCs w:val="21"/>
              </w:rPr>
              <w:t>工程</w:t>
            </w:r>
          </w:p>
          <w:p w14:paraId="1BF5EF05">
            <w:pPr>
              <w:pStyle w:val="209"/>
              <w:snapToGrid w:val="0"/>
              <w:spacing w:line="240" w:lineRule="auto"/>
              <w:ind w:firstLine="0" w:firstLineChars="0"/>
              <w:rPr>
                <w:rFonts w:ascii="Times New Roman" w:hAnsi="Times New Roman"/>
                <w:szCs w:val="21"/>
              </w:rPr>
            </w:pPr>
            <w:r>
              <w:rPr>
                <w:rFonts w:ascii="Times New Roman" w:hAnsi="Times New Roman"/>
                <w:szCs w:val="21"/>
              </w:rPr>
              <w:t>（km</w:t>
            </w:r>
            <w:r>
              <w:rPr>
                <w:rFonts w:ascii="Times New Roman" w:hAnsi="Times New Roman"/>
                <w:szCs w:val="21"/>
                <w:vertAlign w:val="superscript"/>
              </w:rPr>
              <w:t>2</w:t>
            </w:r>
            <w:r>
              <w:rPr>
                <w:rFonts w:ascii="Times New Roman" w:hAnsi="Times New Roman"/>
                <w:szCs w:val="21"/>
              </w:rPr>
              <w:t>）</w:t>
            </w:r>
          </w:p>
        </w:tc>
        <w:tc>
          <w:tcPr>
            <w:tcW w:w="1257" w:type="dxa"/>
            <w:tcBorders>
              <w:top w:val="single" w:color="000000" w:sz="4" w:space="0"/>
              <w:left w:val="single" w:color="000000" w:sz="4" w:space="0"/>
              <w:bottom w:val="single" w:color="000000" w:sz="4" w:space="0"/>
              <w:right w:val="single" w:color="000000" w:sz="4" w:space="0"/>
            </w:tcBorders>
            <w:vAlign w:val="center"/>
          </w:tcPr>
          <w:p w14:paraId="44DF628A">
            <w:pPr>
              <w:pStyle w:val="209"/>
              <w:snapToGrid w:val="0"/>
              <w:spacing w:line="240" w:lineRule="auto"/>
              <w:ind w:firstLine="0" w:firstLineChars="0"/>
              <w:rPr>
                <w:rFonts w:ascii="Times New Roman" w:hAnsi="Times New Roman"/>
                <w:szCs w:val="21"/>
              </w:rPr>
            </w:pPr>
            <w:r>
              <w:rPr>
                <w:rFonts w:ascii="Times New Roman" w:hAnsi="Times New Roman"/>
                <w:szCs w:val="21"/>
              </w:rPr>
              <w:t>生态修复工程（km</w:t>
            </w:r>
            <w:r>
              <w:rPr>
                <w:rFonts w:ascii="Times New Roman" w:hAnsi="Times New Roman"/>
                <w:szCs w:val="21"/>
                <w:vertAlign w:val="superscript"/>
              </w:rPr>
              <w:t>2</w:t>
            </w:r>
            <w:r>
              <w:rPr>
                <w:rFonts w:ascii="Times New Roman" w:hAnsi="Times New Roman"/>
                <w:szCs w:val="21"/>
              </w:rPr>
              <w:t>）</w:t>
            </w:r>
          </w:p>
        </w:tc>
        <w:tc>
          <w:tcPr>
            <w:tcW w:w="1258" w:type="dxa"/>
            <w:tcBorders>
              <w:top w:val="single" w:color="000000" w:sz="4" w:space="0"/>
              <w:left w:val="single" w:color="000000" w:sz="4" w:space="0"/>
              <w:bottom w:val="single" w:color="000000" w:sz="4" w:space="0"/>
              <w:right w:val="single" w:color="000000" w:sz="4" w:space="0"/>
            </w:tcBorders>
            <w:vAlign w:val="center"/>
          </w:tcPr>
          <w:p w14:paraId="48D42C29">
            <w:pPr>
              <w:pStyle w:val="209"/>
              <w:snapToGrid w:val="0"/>
              <w:spacing w:line="240" w:lineRule="auto"/>
              <w:ind w:firstLine="0" w:firstLineChars="0"/>
              <w:rPr>
                <w:rFonts w:ascii="Times New Roman" w:hAnsi="Times New Roman"/>
                <w:szCs w:val="21"/>
              </w:rPr>
            </w:pPr>
            <w:r>
              <w:rPr>
                <w:rFonts w:ascii="Times New Roman" w:hAnsi="Times New Roman"/>
                <w:szCs w:val="21"/>
              </w:rPr>
              <w:t>土地整治工程（km</w:t>
            </w:r>
            <w:r>
              <w:rPr>
                <w:rFonts w:ascii="Times New Roman" w:hAnsi="Times New Roman"/>
                <w:szCs w:val="21"/>
                <w:vertAlign w:val="superscript"/>
              </w:rPr>
              <w:t>2</w:t>
            </w:r>
            <w:r>
              <w:rPr>
                <w:rFonts w:ascii="Times New Roman" w:hAnsi="Times New Roman"/>
                <w:szCs w:val="21"/>
              </w:rPr>
              <w:t>）</w:t>
            </w:r>
          </w:p>
        </w:tc>
      </w:tr>
      <w:tr w14:paraId="201663EA">
        <w:tblPrEx>
          <w:tblCellMar>
            <w:top w:w="0" w:type="dxa"/>
            <w:left w:w="0" w:type="dxa"/>
            <w:bottom w:w="0" w:type="dxa"/>
            <w:right w:w="0" w:type="dxa"/>
          </w:tblCellMar>
        </w:tblPrEx>
        <w:trPr>
          <w:trHeight w:val="408" w:hRule="exact"/>
        </w:trPr>
        <w:tc>
          <w:tcPr>
            <w:tcW w:w="1090" w:type="dxa"/>
            <w:tcBorders>
              <w:top w:val="single" w:color="000000" w:sz="4" w:space="0"/>
              <w:left w:val="single" w:color="000000" w:sz="4" w:space="0"/>
              <w:bottom w:val="single" w:color="000000" w:sz="4" w:space="0"/>
              <w:right w:val="single" w:color="000000" w:sz="4" w:space="0"/>
            </w:tcBorders>
            <w:vAlign w:val="center"/>
          </w:tcPr>
          <w:p w14:paraId="6CA74F81">
            <w:pPr>
              <w:pStyle w:val="209"/>
              <w:snapToGrid w:val="0"/>
              <w:spacing w:line="240" w:lineRule="auto"/>
              <w:ind w:firstLine="0" w:firstLineChars="0"/>
              <w:rPr>
                <w:rFonts w:ascii="Times New Roman" w:hAnsi="Times New Roman"/>
                <w:szCs w:val="21"/>
              </w:rPr>
            </w:pPr>
            <w:r>
              <w:rPr>
                <w:rFonts w:ascii="Times New Roman" w:hAnsi="Times New Roman"/>
                <w:szCs w:val="21"/>
              </w:rPr>
              <w:t>2018-2020</w:t>
            </w:r>
          </w:p>
        </w:tc>
        <w:tc>
          <w:tcPr>
            <w:tcW w:w="956" w:type="dxa"/>
            <w:tcBorders>
              <w:top w:val="single" w:color="000000" w:sz="4" w:space="0"/>
              <w:left w:val="single" w:color="000000" w:sz="4" w:space="0"/>
              <w:bottom w:val="single" w:color="000000" w:sz="4" w:space="0"/>
              <w:right w:val="single" w:color="000000" w:sz="4" w:space="0"/>
            </w:tcBorders>
            <w:vAlign w:val="center"/>
          </w:tcPr>
          <w:p w14:paraId="69A2090A">
            <w:pPr>
              <w:pStyle w:val="209"/>
              <w:snapToGrid w:val="0"/>
              <w:spacing w:line="240" w:lineRule="auto"/>
              <w:ind w:firstLine="0" w:firstLineChars="0"/>
              <w:rPr>
                <w:rFonts w:ascii="Times New Roman" w:hAnsi="Times New Roman"/>
                <w:szCs w:val="21"/>
              </w:rPr>
            </w:pPr>
            <w:r>
              <w:rPr>
                <w:rFonts w:ascii="Times New Roman" w:hAnsi="Times New Roman"/>
                <w:szCs w:val="21"/>
              </w:rPr>
              <w:t>14</w:t>
            </w:r>
          </w:p>
        </w:tc>
        <w:tc>
          <w:tcPr>
            <w:tcW w:w="1145" w:type="dxa"/>
            <w:tcBorders>
              <w:top w:val="single" w:color="000000" w:sz="4" w:space="0"/>
              <w:left w:val="single" w:color="000000" w:sz="4" w:space="0"/>
              <w:bottom w:val="single" w:color="000000" w:sz="4" w:space="0"/>
              <w:right w:val="single" w:color="000000" w:sz="4" w:space="0"/>
            </w:tcBorders>
            <w:vAlign w:val="center"/>
          </w:tcPr>
          <w:p w14:paraId="0841A42C">
            <w:pPr>
              <w:pStyle w:val="209"/>
              <w:snapToGrid w:val="0"/>
              <w:spacing w:line="240" w:lineRule="auto"/>
              <w:ind w:firstLine="0" w:firstLineChars="0"/>
              <w:rPr>
                <w:rFonts w:ascii="Times New Roman" w:hAnsi="Times New Roman"/>
                <w:szCs w:val="21"/>
              </w:rPr>
            </w:pPr>
            <w:r>
              <w:rPr>
                <w:rFonts w:ascii="Times New Roman" w:hAnsi="Times New Roman"/>
                <w:szCs w:val="21"/>
              </w:rPr>
              <w:t>13</w:t>
            </w:r>
          </w:p>
        </w:tc>
        <w:tc>
          <w:tcPr>
            <w:tcW w:w="1313" w:type="dxa"/>
            <w:tcBorders>
              <w:top w:val="single" w:color="000000" w:sz="4" w:space="0"/>
              <w:left w:val="single" w:color="000000" w:sz="4" w:space="0"/>
              <w:bottom w:val="single" w:color="000000" w:sz="4" w:space="0"/>
              <w:right w:val="single" w:color="000000" w:sz="4" w:space="0"/>
            </w:tcBorders>
            <w:vAlign w:val="center"/>
          </w:tcPr>
          <w:p w14:paraId="5943CFCD">
            <w:pPr>
              <w:pStyle w:val="209"/>
              <w:snapToGrid w:val="0"/>
              <w:spacing w:line="240" w:lineRule="auto"/>
              <w:ind w:firstLine="0" w:firstLineChars="0"/>
              <w:rPr>
                <w:rFonts w:ascii="Times New Roman" w:hAnsi="Times New Roman"/>
                <w:szCs w:val="21"/>
              </w:rPr>
            </w:pPr>
            <w:r>
              <w:rPr>
                <w:rFonts w:ascii="Times New Roman" w:hAnsi="Times New Roman"/>
                <w:szCs w:val="21"/>
              </w:rPr>
              <w:t>26</w:t>
            </w:r>
          </w:p>
        </w:tc>
        <w:tc>
          <w:tcPr>
            <w:tcW w:w="1207" w:type="dxa"/>
            <w:tcBorders>
              <w:top w:val="single" w:color="000000" w:sz="4" w:space="0"/>
              <w:left w:val="single" w:color="000000" w:sz="4" w:space="0"/>
              <w:bottom w:val="single" w:color="000000" w:sz="4" w:space="0"/>
              <w:right w:val="single" w:color="000000" w:sz="4" w:space="0"/>
            </w:tcBorders>
            <w:vAlign w:val="center"/>
          </w:tcPr>
          <w:p w14:paraId="1987BE92">
            <w:pPr>
              <w:pStyle w:val="209"/>
              <w:snapToGrid w:val="0"/>
              <w:spacing w:line="240" w:lineRule="auto"/>
              <w:ind w:firstLine="0" w:firstLineChars="0"/>
              <w:rPr>
                <w:rFonts w:ascii="Times New Roman" w:hAnsi="Times New Roman"/>
                <w:szCs w:val="21"/>
              </w:rPr>
            </w:pPr>
            <w:r>
              <w:rPr>
                <w:rFonts w:ascii="Times New Roman" w:hAnsi="Times New Roman"/>
                <w:szCs w:val="21"/>
              </w:rPr>
              <w:t>20</w:t>
            </w:r>
          </w:p>
        </w:tc>
        <w:tc>
          <w:tcPr>
            <w:tcW w:w="1257" w:type="dxa"/>
            <w:tcBorders>
              <w:top w:val="single" w:color="000000" w:sz="4" w:space="0"/>
              <w:left w:val="single" w:color="000000" w:sz="4" w:space="0"/>
              <w:bottom w:val="single" w:color="000000" w:sz="4" w:space="0"/>
              <w:right w:val="single" w:color="000000" w:sz="4" w:space="0"/>
            </w:tcBorders>
            <w:vAlign w:val="center"/>
          </w:tcPr>
          <w:p w14:paraId="07A6AB61">
            <w:pPr>
              <w:pStyle w:val="209"/>
              <w:snapToGrid w:val="0"/>
              <w:spacing w:line="240" w:lineRule="auto"/>
              <w:ind w:firstLine="0" w:firstLineChars="0"/>
              <w:rPr>
                <w:rFonts w:ascii="Times New Roman" w:hAnsi="Times New Roman"/>
                <w:szCs w:val="21"/>
              </w:rPr>
            </w:pPr>
            <w:r>
              <w:rPr>
                <w:rFonts w:ascii="Times New Roman" w:hAnsi="Times New Roman"/>
                <w:szCs w:val="21"/>
              </w:rPr>
              <w:t>222</w:t>
            </w:r>
          </w:p>
        </w:tc>
        <w:tc>
          <w:tcPr>
            <w:tcW w:w="1258" w:type="dxa"/>
            <w:tcBorders>
              <w:top w:val="single" w:color="000000" w:sz="4" w:space="0"/>
              <w:left w:val="single" w:color="000000" w:sz="4" w:space="0"/>
              <w:bottom w:val="single" w:color="000000" w:sz="4" w:space="0"/>
              <w:right w:val="single" w:color="000000" w:sz="4" w:space="0"/>
            </w:tcBorders>
            <w:vAlign w:val="center"/>
          </w:tcPr>
          <w:p w14:paraId="20094E87">
            <w:pPr>
              <w:pStyle w:val="209"/>
              <w:snapToGrid w:val="0"/>
              <w:spacing w:line="240" w:lineRule="auto"/>
              <w:ind w:firstLine="0" w:firstLineChars="0"/>
              <w:rPr>
                <w:rFonts w:ascii="Times New Roman" w:hAnsi="Times New Roman"/>
                <w:szCs w:val="21"/>
              </w:rPr>
            </w:pPr>
            <w:r>
              <w:rPr>
                <w:rFonts w:ascii="Times New Roman" w:hAnsi="Times New Roman"/>
                <w:szCs w:val="21"/>
              </w:rPr>
              <w:t>63</w:t>
            </w:r>
          </w:p>
        </w:tc>
      </w:tr>
      <w:tr w14:paraId="28043BCF">
        <w:tblPrEx>
          <w:tblCellMar>
            <w:top w:w="0" w:type="dxa"/>
            <w:left w:w="0" w:type="dxa"/>
            <w:bottom w:w="0" w:type="dxa"/>
            <w:right w:w="0" w:type="dxa"/>
          </w:tblCellMar>
        </w:tblPrEx>
        <w:trPr>
          <w:trHeight w:val="407" w:hRule="exact"/>
        </w:trPr>
        <w:tc>
          <w:tcPr>
            <w:tcW w:w="1090" w:type="dxa"/>
            <w:tcBorders>
              <w:top w:val="single" w:color="000000" w:sz="4" w:space="0"/>
              <w:left w:val="single" w:color="000000" w:sz="4" w:space="0"/>
              <w:bottom w:val="single" w:color="000000" w:sz="4" w:space="0"/>
              <w:right w:val="single" w:color="000000" w:sz="4" w:space="0"/>
            </w:tcBorders>
            <w:vAlign w:val="center"/>
          </w:tcPr>
          <w:p w14:paraId="1603DDCE">
            <w:pPr>
              <w:pStyle w:val="209"/>
              <w:snapToGrid w:val="0"/>
              <w:spacing w:line="240" w:lineRule="auto"/>
              <w:ind w:firstLine="0" w:firstLineChars="0"/>
              <w:rPr>
                <w:rFonts w:ascii="Times New Roman" w:hAnsi="Times New Roman"/>
                <w:szCs w:val="21"/>
              </w:rPr>
            </w:pPr>
            <w:r>
              <w:rPr>
                <w:rFonts w:ascii="Times New Roman" w:hAnsi="Times New Roman"/>
                <w:szCs w:val="21"/>
              </w:rPr>
              <w:t>2021-2030</w:t>
            </w:r>
          </w:p>
        </w:tc>
        <w:tc>
          <w:tcPr>
            <w:tcW w:w="956" w:type="dxa"/>
            <w:tcBorders>
              <w:top w:val="single" w:color="000000" w:sz="4" w:space="0"/>
              <w:left w:val="single" w:color="000000" w:sz="4" w:space="0"/>
              <w:bottom w:val="single" w:color="000000" w:sz="4" w:space="0"/>
              <w:right w:val="single" w:color="000000" w:sz="4" w:space="0"/>
            </w:tcBorders>
            <w:vAlign w:val="center"/>
          </w:tcPr>
          <w:p w14:paraId="2D60DA7D">
            <w:pPr>
              <w:pStyle w:val="209"/>
              <w:snapToGrid w:val="0"/>
              <w:spacing w:line="240" w:lineRule="auto"/>
              <w:ind w:firstLine="0" w:firstLineChars="0"/>
              <w:rPr>
                <w:rFonts w:ascii="Times New Roman" w:hAnsi="Times New Roman"/>
                <w:szCs w:val="21"/>
              </w:rPr>
            </w:pPr>
            <w:r>
              <w:rPr>
                <w:rFonts w:ascii="Times New Roman" w:hAnsi="Times New Roman"/>
                <w:szCs w:val="21"/>
              </w:rPr>
              <w:t>31</w:t>
            </w:r>
          </w:p>
        </w:tc>
        <w:tc>
          <w:tcPr>
            <w:tcW w:w="1145" w:type="dxa"/>
            <w:tcBorders>
              <w:top w:val="single" w:color="000000" w:sz="4" w:space="0"/>
              <w:left w:val="single" w:color="000000" w:sz="4" w:space="0"/>
              <w:bottom w:val="single" w:color="000000" w:sz="4" w:space="0"/>
              <w:right w:val="single" w:color="000000" w:sz="4" w:space="0"/>
            </w:tcBorders>
            <w:vAlign w:val="center"/>
          </w:tcPr>
          <w:p w14:paraId="77AABF27">
            <w:pPr>
              <w:pStyle w:val="209"/>
              <w:snapToGrid w:val="0"/>
              <w:spacing w:line="240" w:lineRule="auto"/>
              <w:ind w:firstLine="0" w:firstLineChars="0"/>
              <w:rPr>
                <w:rFonts w:ascii="Times New Roman" w:hAnsi="Times New Roman"/>
                <w:szCs w:val="21"/>
              </w:rPr>
            </w:pPr>
            <w:r>
              <w:rPr>
                <w:rFonts w:ascii="Times New Roman" w:hAnsi="Times New Roman"/>
                <w:szCs w:val="21"/>
              </w:rPr>
              <w:t>114</w:t>
            </w:r>
          </w:p>
        </w:tc>
        <w:tc>
          <w:tcPr>
            <w:tcW w:w="1313" w:type="dxa"/>
            <w:tcBorders>
              <w:top w:val="single" w:color="000000" w:sz="4" w:space="0"/>
              <w:left w:val="single" w:color="000000" w:sz="4" w:space="0"/>
              <w:bottom w:val="single" w:color="000000" w:sz="4" w:space="0"/>
              <w:right w:val="single" w:color="000000" w:sz="4" w:space="0"/>
            </w:tcBorders>
            <w:vAlign w:val="center"/>
          </w:tcPr>
          <w:p w14:paraId="6C7441E3">
            <w:pPr>
              <w:pStyle w:val="209"/>
              <w:snapToGrid w:val="0"/>
              <w:spacing w:line="240" w:lineRule="auto"/>
              <w:ind w:firstLine="0" w:firstLineChars="0"/>
              <w:rPr>
                <w:rFonts w:ascii="Times New Roman" w:hAnsi="Times New Roman"/>
                <w:szCs w:val="21"/>
              </w:rPr>
            </w:pPr>
            <w:r>
              <w:rPr>
                <w:rFonts w:ascii="Times New Roman" w:hAnsi="Times New Roman"/>
                <w:szCs w:val="21"/>
              </w:rPr>
              <w:t>225</w:t>
            </w:r>
          </w:p>
        </w:tc>
        <w:tc>
          <w:tcPr>
            <w:tcW w:w="1207" w:type="dxa"/>
            <w:tcBorders>
              <w:top w:val="single" w:color="000000" w:sz="4" w:space="0"/>
              <w:left w:val="single" w:color="000000" w:sz="4" w:space="0"/>
              <w:bottom w:val="single" w:color="000000" w:sz="4" w:space="0"/>
              <w:right w:val="single" w:color="000000" w:sz="4" w:space="0"/>
            </w:tcBorders>
            <w:vAlign w:val="center"/>
          </w:tcPr>
          <w:p w14:paraId="43109215">
            <w:pPr>
              <w:pStyle w:val="209"/>
              <w:snapToGrid w:val="0"/>
              <w:spacing w:line="240" w:lineRule="auto"/>
              <w:ind w:firstLine="0" w:firstLineChars="0"/>
              <w:rPr>
                <w:rFonts w:ascii="Times New Roman" w:hAnsi="Times New Roman"/>
                <w:szCs w:val="21"/>
              </w:rPr>
            </w:pPr>
            <w:r>
              <w:rPr>
                <w:rFonts w:ascii="Times New Roman" w:hAnsi="Times New Roman"/>
                <w:szCs w:val="21"/>
              </w:rPr>
              <w:t>82</w:t>
            </w:r>
          </w:p>
        </w:tc>
        <w:tc>
          <w:tcPr>
            <w:tcW w:w="1257" w:type="dxa"/>
            <w:tcBorders>
              <w:top w:val="single" w:color="000000" w:sz="4" w:space="0"/>
              <w:left w:val="single" w:color="000000" w:sz="4" w:space="0"/>
              <w:bottom w:val="single" w:color="000000" w:sz="4" w:space="0"/>
              <w:right w:val="single" w:color="000000" w:sz="4" w:space="0"/>
            </w:tcBorders>
            <w:vAlign w:val="center"/>
          </w:tcPr>
          <w:p w14:paraId="6DC109C4">
            <w:pPr>
              <w:pStyle w:val="209"/>
              <w:snapToGrid w:val="0"/>
              <w:spacing w:line="240" w:lineRule="auto"/>
              <w:ind w:firstLine="0" w:firstLineChars="0"/>
              <w:rPr>
                <w:rFonts w:ascii="Times New Roman" w:hAnsi="Times New Roman"/>
                <w:szCs w:val="21"/>
              </w:rPr>
            </w:pPr>
            <w:r>
              <w:rPr>
                <w:rFonts w:ascii="Times New Roman" w:hAnsi="Times New Roman"/>
                <w:szCs w:val="21"/>
              </w:rPr>
              <w:t>696</w:t>
            </w:r>
          </w:p>
        </w:tc>
        <w:tc>
          <w:tcPr>
            <w:tcW w:w="1258" w:type="dxa"/>
            <w:tcBorders>
              <w:top w:val="single" w:color="000000" w:sz="4" w:space="0"/>
              <w:left w:val="single" w:color="000000" w:sz="4" w:space="0"/>
              <w:bottom w:val="single" w:color="000000" w:sz="4" w:space="0"/>
              <w:right w:val="single" w:color="000000" w:sz="4" w:space="0"/>
            </w:tcBorders>
            <w:vAlign w:val="center"/>
          </w:tcPr>
          <w:p w14:paraId="21A091C0">
            <w:pPr>
              <w:pStyle w:val="209"/>
              <w:snapToGrid w:val="0"/>
              <w:spacing w:line="240" w:lineRule="auto"/>
              <w:ind w:firstLine="0" w:firstLineChars="0"/>
              <w:rPr>
                <w:rFonts w:ascii="Times New Roman" w:hAnsi="Times New Roman"/>
                <w:szCs w:val="21"/>
              </w:rPr>
            </w:pPr>
            <w:r>
              <w:rPr>
                <w:rFonts w:ascii="Times New Roman" w:hAnsi="Times New Roman"/>
                <w:szCs w:val="21"/>
              </w:rPr>
              <w:t>138</w:t>
            </w:r>
          </w:p>
        </w:tc>
      </w:tr>
    </w:tbl>
    <w:p w14:paraId="76A4CEFB">
      <w:pPr>
        <w:spacing w:line="240" w:lineRule="auto"/>
        <w:ind w:firstLine="0" w:firstLineChars="0"/>
        <w:rPr>
          <w:rFonts w:cs="Times New Roman"/>
          <w:sz w:val="18"/>
          <w:szCs w:val="18"/>
        </w:rPr>
      </w:pPr>
      <w:r>
        <w:rPr>
          <w:rFonts w:cs="Times New Roman"/>
          <w:sz w:val="18"/>
          <w:szCs w:val="18"/>
        </w:rPr>
        <w:t>注：侵蚀沟综合治理考虑结合山洪沟治理规划，坡耕地综合治理来源于农业部门相关规划，本规划只列出工程数量或面积，不匡算投资，不计入治理措施面积</w:t>
      </w:r>
    </w:p>
    <w:p w14:paraId="0EDB849E">
      <w:pPr>
        <w:pStyle w:val="209"/>
        <w:ind w:firstLine="420"/>
      </w:pPr>
    </w:p>
    <w:p w14:paraId="2BA57B1B">
      <w:pPr>
        <w:adjustRightInd w:val="0"/>
        <w:snapToGrid w:val="0"/>
        <w:ind w:firstLine="0" w:firstLineChars="0"/>
        <w:jc w:val="center"/>
        <w:rPr>
          <w:rFonts w:cs="Times New Roman"/>
          <w:b/>
          <w:bCs/>
        </w:rPr>
      </w:pPr>
      <w:r>
        <w:rPr>
          <w:rFonts w:cs="Times New Roman"/>
          <w:b/>
          <w:bCs/>
        </w:rPr>
        <w:t>表6</w:t>
      </w:r>
      <w:r>
        <w:rPr>
          <w:rFonts w:hint="eastAsia" w:cs="Times New Roman"/>
          <w:b/>
          <w:bCs/>
        </w:rPr>
        <w:t>.3</w:t>
      </w:r>
      <w:r>
        <w:rPr>
          <w:rFonts w:cs="Times New Roman"/>
          <w:b/>
          <w:bCs/>
        </w:rPr>
        <w:t>-2 昌吉州水土保持规划中确定的昌吉州治理项目规划目标值</w:t>
      </w:r>
    </w:p>
    <w:tbl>
      <w:tblPr>
        <w:tblStyle w:val="372"/>
        <w:tblW w:w="5000" w:type="pct"/>
        <w:tblInd w:w="0" w:type="dxa"/>
        <w:tblLayout w:type="autofit"/>
        <w:tblCellMar>
          <w:top w:w="0" w:type="dxa"/>
          <w:left w:w="0" w:type="dxa"/>
          <w:bottom w:w="0" w:type="dxa"/>
          <w:right w:w="0" w:type="dxa"/>
        </w:tblCellMar>
      </w:tblPr>
      <w:tblGrid>
        <w:gridCol w:w="515"/>
        <w:gridCol w:w="1134"/>
        <w:gridCol w:w="1134"/>
        <w:gridCol w:w="1700"/>
        <w:gridCol w:w="1601"/>
        <w:gridCol w:w="1237"/>
        <w:gridCol w:w="1002"/>
      </w:tblGrid>
      <w:tr w14:paraId="1FA31B21">
        <w:tblPrEx>
          <w:tblCellMar>
            <w:top w:w="0" w:type="dxa"/>
            <w:left w:w="0" w:type="dxa"/>
            <w:bottom w:w="0" w:type="dxa"/>
            <w:right w:w="0" w:type="dxa"/>
          </w:tblCellMar>
        </w:tblPrEx>
        <w:trPr>
          <w:trHeight w:val="492" w:hRule="exact"/>
        </w:trPr>
        <w:tc>
          <w:tcPr>
            <w:tcW w:w="310" w:type="pct"/>
            <w:vMerge w:val="restart"/>
            <w:tcBorders>
              <w:top w:val="single" w:color="000000" w:sz="4" w:space="0"/>
              <w:left w:val="single" w:color="000000" w:sz="4" w:space="0"/>
              <w:right w:val="single" w:color="000000" w:sz="4" w:space="0"/>
            </w:tcBorders>
            <w:vAlign w:val="center"/>
          </w:tcPr>
          <w:p w14:paraId="1C702717">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规划时段</w:t>
            </w:r>
          </w:p>
        </w:tc>
        <w:tc>
          <w:tcPr>
            <w:tcW w:w="3345" w:type="pct"/>
            <w:gridSpan w:val="4"/>
            <w:tcBorders>
              <w:top w:val="single" w:color="000000" w:sz="4" w:space="0"/>
              <w:left w:val="single" w:color="000000" w:sz="4" w:space="0"/>
              <w:bottom w:val="single" w:color="000000" w:sz="4" w:space="0"/>
              <w:right w:val="single" w:color="000000" w:sz="4" w:space="0"/>
            </w:tcBorders>
            <w:vAlign w:val="center"/>
          </w:tcPr>
          <w:p w14:paraId="15986D9B">
            <w:pPr>
              <w:pStyle w:val="374"/>
              <w:adjustRightInd w:val="0"/>
              <w:snapToGrid w:val="0"/>
              <w:spacing w:line="240" w:lineRule="auto"/>
              <w:ind w:firstLine="0" w:firstLineChars="0"/>
              <w:rPr>
                <w:rFonts w:ascii="Times New Roman" w:hAnsi="Times New Roman" w:eastAsia="仿宋_GB2312"/>
                <w:sz w:val="18"/>
                <w:szCs w:val="18"/>
                <w:lang w:eastAsia="zh-CN"/>
              </w:rPr>
            </w:pPr>
            <w:r>
              <w:rPr>
                <w:rFonts w:ascii="Times New Roman" w:hAnsi="Times New Roman" w:eastAsia="仿宋_GB2312"/>
                <w:sz w:val="18"/>
                <w:szCs w:val="18"/>
                <w:lang w:eastAsia="zh-CN"/>
              </w:rPr>
              <w:t>绿洲防护生态安全保障体系</w:t>
            </w:r>
          </w:p>
        </w:tc>
        <w:tc>
          <w:tcPr>
            <w:tcW w:w="1345" w:type="pct"/>
            <w:gridSpan w:val="2"/>
            <w:tcBorders>
              <w:top w:val="single" w:color="000000" w:sz="4" w:space="0"/>
              <w:left w:val="single" w:color="000000" w:sz="4" w:space="0"/>
              <w:bottom w:val="single" w:color="000000" w:sz="4" w:space="0"/>
              <w:right w:val="single" w:color="000000" w:sz="4" w:space="0"/>
            </w:tcBorders>
            <w:vAlign w:val="center"/>
          </w:tcPr>
          <w:p w14:paraId="13B19B65">
            <w:pPr>
              <w:pStyle w:val="374"/>
              <w:adjustRightInd w:val="0"/>
              <w:snapToGrid w:val="0"/>
              <w:spacing w:line="240" w:lineRule="auto"/>
              <w:ind w:firstLine="0" w:firstLineChars="0"/>
              <w:rPr>
                <w:rFonts w:ascii="Times New Roman" w:hAnsi="Times New Roman" w:eastAsia="仿宋_GB2312"/>
                <w:sz w:val="18"/>
                <w:szCs w:val="18"/>
                <w:lang w:eastAsia="zh-CN"/>
              </w:rPr>
            </w:pPr>
            <w:r>
              <w:rPr>
                <w:rFonts w:ascii="Times New Roman" w:hAnsi="Times New Roman" w:eastAsia="仿宋_GB2312"/>
                <w:sz w:val="18"/>
                <w:szCs w:val="18"/>
                <w:lang w:eastAsia="zh-CN"/>
              </w:rPr>
              <w:t>重点区域（流域）和重要行业水土保持综合治理体系</w:t>
            </w:r>
          </w:p>
        </w:tc>
      </w:tr>
      <w:tr w14:paraId="7D5BFFFB">
        <w:tblPrEx>
          <w:tblCellMar>
            <w:top w:w="0" w:type="dxa"/>
            <w:left w:w="0" w:type="dxa"/>
            <w:bottom w:w="0" w:type="dxa"/>
            <w:right w:w="0" w:type="dxa"/>
          </w:tblCellMar>
        </w:tblPrEx>
        <w:trPr>
          <w:trHeight w:val="514" w:hRule="exact"/>
        </w:trPr>
        <w:tc>
          <w:tcPr>
            <w:tcW w:w="310" w:type="pct"/>
            <w:vMerge w:val="continue"/>
            <w:tcBorders>
              <w:left w:val="single" w:color="000000" w:sz="4" w:space="0"/>
              <w:bottom w:val="single" w:color="000000" w:sz="4" w:space="0"/>
              <w:right w:val="single" w:color="000000" w:sz="4" w:space="0"/>
            </w:tcBorders>
            <w:vAlign w:val="center"/>
          </w:tcPr>
          <w:p w14:paraId="4F54859F">
            <w:pPr>
              <w:adjustRightInd w:val="0"/>
              <w:snapToGrid w:val="0"/>
              <w:spacing w:line="240" w:lineRule="auto"/>
              <w:ind w:firstLine="0" w:firstLineChars="0"/>
              <w:jc w:val="center"/>
              <w:rPr>
                <w:rFonts w:ascii="Times New Roman" w:hAnsi="Times New Roman" w:cs="Times New Roman"/>
              </w:rPr>
            </w:pPr>
          </w:p>
        </w:tc>
        <w:tc>
          <w:tcPr>
            <w:tcW w:w="681" w:type="pct"/>
            <w:tcBorders>
              <w:top w:val="single" w:color="000000" w:sz="4" w:space="0"/>
              <w:left w:val="single" w:color="000000" w:sz="4" w:space="0"/>
              <w:bottom w:val="single" w:color="000000" w:sz="4" w:space="0"/>
              <w:right w:val="single" w:color="000000" w:sz="4" w:space="0"/>
            </w:tcBorders>
            <w:vAlign w:val="center"/>
          </w:tcPr>
          <w:p w14:paraId="55E59245">
            <w:pPr>
              <w:pStyle w:val="374"/>
              <w:adjustRightInd w:val="0"/>
              <w:snapToGrid w:val="0"/>
              <w:spacing w:line="240" w:lineRule="auto"/>
              <w:ind w:firstLine="0" w:firstLineChars="0"/>
              <w:rPr>
                <w:rFonts w:ascii="Times New Roman" w:hAnsi="Times New Roman" w:eastAsia="仿宋_GB2312"/>
                <w:sz w:val="18"/>
                <w:szCs w:val="18"/>
                <w:lang w:eastAsia="zh-CN"/>
              </w:rPr>
            </w:pPr>
            <w:r>
              <w:rPr>
                <w:rFonts w:ascii="Times New Roman" w:hAnsi="Times New Roman" w:eastAsia="仿宋_GB2312"/>
                <w:sz w:val="18"/>
                <w:szCs w:val="18"/>
                <w:lang w:eastAsia="zh-CN"/>
              </w:rPr>
              <w:t>侵蚀沟综合治理工程（条）</w:t>
            </w:r>
          </w:p>
        </w:tc>
        <w:tc>
          <w:tcPr>
            <w:tcW w:w="681" w:type="pct"/>
            <w:tcBorders>
              <w:top w:val="single" w:color="000000" w:sz="4" w:space="0"/>
              <w:left w:val="single" w:color="000000" w:sz="4" w:space="0"/>
              <w:bottom w:val="single" w:color="000000" w:sz="4" w:space="0"/>
              <w:right w:val="single" w:color="000000" w:sz="4" w:space="0"/>
            </w:tcBorders>
            <w:vAlign w:val="center"/>
          </w:tcPr>
          <w:p w14:paraId="3F69AC18">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荒漠化治理工程（km</w:t>
            </w:r>
            <w:r>
              <w:rPr>
                <w:rFonts w:ascii="Times New Roman" w:hAnsi="Times New Roman" w:eastAsia="仿宋_GB2312"/>
                <w:position w:val="9"/>
                <w:sz w:val="12"/>
                <w:szCs w:val="12"/>
              </w:rPr>
              <w:t>2</w:t>
            </w:r>
            <w:r>
              <w:rPr>
                <w:rFonts w:ascii="Times New Roman" w:hAnsi="Times New Roman" w:eastAsia="仿宋_GB2312"/>
                <w:sz w:val="18"/>
                <w:szCs w:val="18"/>
              </w:rPr>
              <w:t>）</w:t>
            </w:r>
          </w:p>
        </w:tc>
        <w:tc>
          <w:tcPr>
            <w:tcW w:w="1021" w:type="pct"/>
            <w:tcBorders>
              <w:top w:val="single" w:color="000000" w:sz="4" w:space="0"/>
              <w:left w:val="single" w:color="000000" w:sz="4" w:space="0"/>
              <w:bottom w:val="single" w:color="000000" w:sz="4" w:space="0"/>
              <w:right w:val="single" w:color="000000" w:sz="4" w:space="0"/>
            </w:tcBorders>
            <w:vAlign w:val="center"/>
          </w:tcPr>
          <w:p w14:paraId="7FAE9BA4">
            <w:pPr>
              <w:pStyle w:val="374"/>
              <w:adjustRightInd w:val="0"/>
              <w:snapToGrid w:val="0"/>
              <w:spacing w:line="240" w:lineRule="auto"/>
              <w:ind w:firstLine="0" w:firstLineChars="0"/>
              <w:rPr>
                <w:rFonts w:ascii="Times New Roman" w:hAnsi="Times New Roman" w:eastAsia="仿宋_GB2312"/>
                <w:sz w:val="18"/>
                <w:szCs w:val="18"/>
                <w:lang w:eastAsia="zh-CN"/>
              </w:rPr>
            </w:pPr>
            <w:r>
              <w:rPr>
                <w:rFonts w:ascii="Times New Roman" w:hAnsi="Times New Roman" w:eastAsia="仿宋_GB2312"/>
                <w:sz w:val="18"/>
                <w:szCs w:val="18"/>
                <w:lang w:eastAsia="zh-CN"/>
              </w:rPr>
              <w:t>城郊型清洁小流域建设（km</w:t>
            </w:r>
            <w:r>
              <w:rPr>
                <w:rFonts w:ascii="Times New Roman" w:hAnsi="Times New Roman" w:eastAsia="仿宋_GB2312"/>
                <w:position w:val="9"/>
                <w:sz w:val="12"/>
                <w:szCs w:val="12"/>
                <w:lang w:eastAsia="zh-CN"/>
              </w:rPr>
              <w:t>2</w:t>
            </w:r>
            <w:r>
              <w:rPr>
                <w:rFonts w:ascii="Times New Roman" w:hAnsi="Times New Roman" w:eastAsia="仿宋_GB2312"/>
                <w:sz w:val="18"/>
                <w:szCs w:val="18"/>
                <w:lang w:eastAsia="zh-CN"/>
              </w:rPr>
              <w:t>）</w:t>
            </w:r>
          </w:p>
        </w:tc>
        <w:tc>
          <w:tcPr>
            <w:tcW w:w="961" w:type="pct"/>
            <w:tcBorders>
              <w:top w:val="single" w:color="000000" w:sz="4" w:space="0"/>
              <w:left w:val="single" w:color="000000" w:sz="4" w:space="0"/>
              <w:bottom w:val="single" w:color="000000" w:sz="4" w:space="0"/>
              <w:right w:val="single" w:color="000000" w:sz="4" w:space="0"/>
            </w:tcBorders>
            <w:vAlign w:val="center"/>
          </w:tcPr>
          <w:p w14:paraId="56B180DB">
            <w:pPr>
              <w:pStyle w:val="374"/>
              <w:adjustRightInd w:val="0"/>
              <w:snapToGrid w:val="0"/>
              <w:spacing w:line="240" w:lineRule="auto"/>
              <w:ind w:firstLine="0" w:firstLineChars="0"/>
              <w:rPr>
                <w:rFonts w:ascii="Times New Roman" w:hAnsi="Times New Roman" w:eastAsia="仿宋_GB2312"/>
                <w:sz w:val="18"/>
                <w:szCs w:val="18"/>
                <w:lang w:eastAsia="zh-CN"/>
              </w:rPr>
            </w:pPr>
            <w:r>
              <w:rPr>
                <w:rFonts w:ascii="Times New Roman" w:hAnsi="Times New Roman" w:eastAsia="仿宋_GB2312"/>
                <w:sz w:val="18"/>
                <w:szCs w:val="18"/>
                <w:lang w:eastAsia="zh-CN"/>
              </w:rPr>
              <w:t>坡耕地综合治理工程（km</w:t>
            </w:r>
            <w:r>
              <w:rPr>
                <w:rFonts w:ascii="Times New Roman" w:hAnsi="Times New Roman" w:eastAsia="仿宋_GB2312"/>
                <w:position w:val="9"/>
                <w:sz w:val="12"/>
                <w:szCs w:val="12"/>
                <w:lang w:eastAsia="zh-CN"/>
              </w:rPr>
              <w:t>2</w:t>
            </w:r>
            <w:r>
              <w:rPr>
                <w:rFonts w:ascii="Times New Roman" w:hAnsi="Times New Roman" w:eastAsia="仿宋_GB2312"/>
                <w:sz w:val="18"/>
                <w:szCs w:val="18"/>
                <w:lang w:eastAsia="zh-CN"/>
              </w:rPr>
              <w:t>）</w:t>
            </w:r>
          </w:p>
        </w:tc>
        <w:tc>
          <w:tcPr>
            <w:tcW w:w="743" w:type="pct"/>
            <w:tcBorders>
              <w:top w:val="single" w:color="000000" w:sz="4" w:space="0"/>
              <w:left w:val="single" w:color="000000" w:sz="4" w:space="0"/>
              <w:bottom w:val="single" w:color="000000" w:sz="4" w:space="0"/>
              <w:right w:val="single" w:color="000000" w:sz="4" w:space="0"/>
            </w:tcBorders>
            <w:vAlign w:val="center"/>
          </w:tcPr>
          <w:p w14:paraId="5DD066C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生态修复（km</w:t>
            </w:r>
            <w:r>
              <w:rPr>
                <w:rFonts w:ascii="Times New Roman" w:hAnsi="Times New Roman" w:eastAsia="仿宋_GB2312"/>
                <w:position w:val="9"/>
                <w:sz w:val="12"/>
                <w:szCs w:val="12"/>
              </w:rPr>
              <w:t>2</w:t>
            </w:r>
            <w:r>
              <w:rPr>
                <w:rFonts w:ascii="Times New Roman" w:hAnsi="Times New Roman" w:eastAsia="仿宋_GB2312"/>
                <w:sz w:val="18"/>
                <w:szCs w:val="18"/>
              </w:rPr>
              <w:t>）</w:t>
            </w:r>
          </w:p>
        </w:tc>
        <w:tc>
          <w:tcPr>
            <w:tcW w:w="602" w:type="pct"/>
            <w:tcBorders>
              <w:top w:val="single" w:color="000000" w:sz="4" w:space="0"/>
              <w:left w:val="single" w:color="000000" w:sz="4" w:space="0"/>
              <w:bottom w:val="single" w:color="000000" w:sz="4" w:space="0"/>
              <w:right w:val="single" w:color="000000" w:sz="4" w:space="0"/>
            </w:tcBorders>
            <w:vAlign w:val="center"/>
          </w:tcPr>
          <w:p w14:paraId="1F042714">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土地整治工程（km</w:t>
            </w:r>
            <w:r>
              <w:rPr>
                <w:rFonts w:ascii="Times New Roman" w:hAnsi="Times New Roman" w:eastAsia="仿宋_GB2312"/>
                <w:position w:val="9"/>
                <w:sz w:val="12"/>
                <w:szCs w:val="12"/>
              </w:rPr>
              <w:t>2</w:t>
            </w:r>
            <w:r>
              <w:rPr>
                <w:rFonts w:ascii="Times New Roman" w:hAnsi="Times New Roman" w:eastAsia="仿宋_GB2312"/>
                <w:sz w:val="18"/>
                <w:szCs w:val="18"/>
              </w:rPr>
              <w:t>）</w:t>
            </w:r>
          </w:p>
        </w:tc>
      </w:tr>
      <w:tr w14:paraId="59E282AD">
        <w:tblPrEx>
          <w:tblCellMar>
            <w:top w:w="0" w:type="dxa"/>
            <w:left w:w="0" w:type="dxa"/>
            <w:bottom w:w="0" w:type="dxa"/>
            <w:right w:w="0" w:type="dxa"/>
          </w:tblCellMar>
        </w:tblPrEx>
        <w:trPr>
          <w:trHeight w:val="402" w:hRule="exact"/>
        </w:trPr>
        <w:tc>
          <w:tcPr>
            <w:tcW w:w="310" w:type="pct"/>
            <w:tcBorders>
              <w:top w:val="single" w:color="000000" w:sz="4" w:space="0"/>
              <w:left w:val="single" w:color="000000" w:sz="4" w:space="0"/>
              <w:bottom w:val="single" w:color="000000" w:sz="4" w:space="0"/>
              <w:right w:val="single" w:color="000000" w:sz="4" w:space="0"/>
            </w:tcBorders>
            <w:vAlign w:val="center"/>
          </w:tcPr>
          <w:p w14:paraId="4D783898">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近期</w:t>
            </w:r>
          </w:p>
        </w:tc>
        <w:tc>
          <w:tcPr>
            <w:tcW w:w="681" w:type="pct"/>
            <w:tcBorders>
              <w:top w:val="single" w:color="000000" w:sz="4" w:space="0"/>
              <w:left w:val="single" w:color="000000" w:sz="4" w:space="0"/>
              <w:bottom w:val="single" w:color="000000" w:sz="4" w:space="0"/>
              <w:right w:val="single" w:color="000000" w:sz="4" w:space="0"/>
            </w:tcBorders>
            <w:vAlign w:val="center"/>
          </w:tcPr>
          <w:p w14:paraId="181FF52A">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15</w:t>
            </w:r>
          </w:p>
        </w:tc>
        <w:tc>
          <w:tcPr>
            <w:tcW w:w="681" w:type="pct"/>
            <w:tcBorders>
              <w:top w:val="single" w:color="000000" w:sz="4" w:space="0"/>
              <w:left w:val="single" w:color="000000" w:sz="4" w:space="0"/>
              <w:bottom w:val="single" w:color="000000" w:sz="4" w:space="0"/>
              <w:right w:val="single" w:color="000000" w:sz="4" w:space="0"/>
            </w:tcBorders>
            <w:vAlign w:val="center"/>
          </w:tcPr>
          <w:p w14:paraId="1D0D0CD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44</w:t>
            </w:r>
          </w:p>
        </w:tc>
        <w:tc>
          <w:tcPr>
            <w:tcW w:w="1021" w:type="pct"/>
            <w:tcBorders>
              <w:top w:val="single" w:color="000000" w:sz="4" w:space="0"/>
              <w:left w:val="single" w:color="000000" w:sz="4" w:space="0"/>
              <w:bottom w:val="single" w:color="000000" w:sz="4" w:space="0"/>
              <w:right w:val="single" w:color="000000" w:sz="4" w:space="0"/>
            </w:tcBorders>
            <w:vAlign w:val="center"/>
          </w:tcPr>
          <w:p w14:paraId="18B2AA57">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90</w:t>
            </w:r>
          </w:p>
        </w:tc>
        <w:tc>
          <w:tcPr>
            <w:tcW w:w="961" w:type="pct"/>
            <w:tcBorders>
              <w:top w:val="single" w:color="000000" w:sz="4" w:space="0"/>
              <w:left w:val="single" w:color="000000" w:sz="4" w:space="0"/>
              <w:bottom w:val="single" w:color="000000" w:sz="4" w:space="0"/>
              <w:right w:val="single" w:color="000000" w:sz="4" w:space="0"/>
            </w:tcBorders>
            <w:vAlign w:val="center"/>
          </w:tcPr>
          <w:p w14:paraId="193D865A">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39</w:t>
            </w:r>
          </w:p>
        </w:tc>
        <w:tc>
          <w:tcPr>
            <w:tcW w:w="743" w:type="pct"/>
            <w:tcBorders>
              <w:top w:val="single" w:color="000000" w:sz="4" w:space="0"/>
              <w:left w:val="single" w:color="000000" w:sz="4" w:space="0"/>
              <w:bottom w:val="single" w:color="000000" w:sz="4" w:space="0"/>
              <w:right w:val="single" w:color="000000" w:sz="4" w:space="0"/>
            </w:tcBorders>
            <w:vAlign w:val="center"/>
          </w:tcPr>
          <w:p w14:paraId="6857EDC1">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297</w:t>
            </w:r>
          </w:p>
        </w:tc>
        <w:tc>
          <w:tcPr>
            <w:tcW w:w="602" w:type="pct"/>
            <w:tcBorders>
              <w:top w:val="single" w:color="000000" w:sz="4" w:space="0"/>
              <w:left w:val="single" w:color="000000" w:sz="4" w:space="0"/>
              <w:bottom w:val="single" w:color="000000" w:sz="4" w:space="0"/>
              <w:right w:val="single" w:color="000000" w:sz="4" w:space="0"/>
            </w:tcBorders>
            <w:vAlign w:val="center"/>
          </w:tcPr>
          <w:p w14:paraId="1048F4C2">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42</w:t>
            </w:r>
          </w:p>
        </w:tc>
      </w:tr>
      <w:tr w14:paraId="4BB5D05D">
        <w:tblPrEx>
          <w:tblCellMar>
            <w:top w:w="0" w:type="dxa"/>
            <w:left w:w="0" w:type="dxa"/>
            <w:bottom w:w="0" w:type="dxa"/>
            <w:right w:w="0" w:type="dxa"/>
          </w:tblCellMar>
        </w:tblPrEx>
        <w:trPr>
          <w:trHeight w:val="421" w:hRule="exact"/>
        </w:trPr>
        <w:tc>
          <w:tcPr>
            <w:tcW w:w="310" w:type="pct"/>
            <w:tcBorders>
              <w:top w:val="single" w:color="000000" w:sz="4" w:space="0"/>
              <w:left w:val="single" w:color="000000" w:sz="4" w:space="0"/>
              <w:bottom w:val="single" w:color="000000" w:sz="4" w:space="0"/>
              <w:right w:val="single" w:color="000000" w:sz="4" w:space="0"/>
            </w:tcBorders>
            <w:vAlign w:val="center"/>
          </w:tcPr>
          <w:p w14:paraId="61BC1CA2">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szCs w:val="18"/>
              </w:rPr>
              <w:t>远期</w:t>
            </w:r>
          </w:p>
        </w:tc>
        <w:tc>
          <w:tcPr>
            <w:tcW w:w="681" w:type="pct"/>
            <w:tcBorders>
              <w:top w:val="single" w:color="000000" w:sz="4" w:space="0"/>
              <w:left w:val="single" w:color="000000" w:sz="4" w:space="0"/>
              <w:bottom w:val="single" w:color="000000" w:sz="4" w:space="0"/>
              <w:right w:val="single" w:color="000000" w:sz="4" w:space="0"/>
            </w:tcBorders>
            <w:vAlign w:val="center"/>
          </w:tcPr>
          <w:p w14:paraId="08A36160">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16</w:t>
            </w:r>
          </w:p>
        </w:tc>
        <w:tc>
          <w:tcPr>
            <w:tcW w:w="681" w:type="pct"/>
            <w:tcBorders>
              <w:top w:val="single" w:color="000000" w:sz="4" w:space="0"/>
              <w:left w:val="single" w:color="000000" w:sz="4" w:space="0"/>
              <w:bottom w:val="single" w:color="000000" w:sz="4" w:space="0"/>
              <w:right w:val="single" w:color="000000" w:sz="4" w:space="0"/>
            </w:tcBorders>
            <w:vAlign w:val="center"/>
          </w:tcPr>
          <w:p w14:paraId="7EDB5046">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70</w:t>
            </w:r>
          </w:p>
        </w:tc>
        <w:tc>
          <w:tcPr>
            <w:tcW w:w="1021" w:type="pct"/>
            <w:tcBorders>
              <w:top w:val="single" w:color="000000" w:sz="4" w:space="0"/>
              <w:left w:val="single" w:color="000000" w:sz="4" w:space="0"/>
              <w:bottom w:val="single" w:color="000000" w:sz="4" w:space="0"/>
              <w:right w:val="single" w:color="000000" w:sz="4" w:space="0"/>
            </w:tcBorders>
            <w:vAlign w:val="center"/>
          </w:tcPr>
          <w:p w14:paraId="3EA39AAC">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135</w:t>
            </w:r>
          </w:p>
        </w:tc>
        <w:tc>
          <w:tcPr>
            <w:tcW w:w="961" w:type="pct"/>
            <w:tcBorders>
              <w:top w:val="single" w:color="000000" w:sz="4" w:space="0"/>
              <w:left w:val="single" w:color="000000" w:sz="4" w:space="0"/>
              <w:bottom w:val="single" w:color="000000" w:sz="4" w:space="0"/>
              <w:right w:val="single" w:color="000000" w:sz="4" w:space="0"/>
            </w:tcBorders>
            <w:vAlign w:val="center"/>
          </w:tcPr>
          <w:p w14:paraId="25717B19">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43</w:t>
            </w:r>
          </w:p>
        </w:tc>
        <w:tc>
          <w:tcPr>
            <w:tcW w:w="743" w:type="pct"/>
            <w:tcBorders>
              <w:top w:val="single" w:color="000000" w:sz="4" w:space="0"/>
              <w:left w:val="single" w:color="000000" w:sz="4" w:space="0"/>
              <w:bottom w:val="single" w:color="000000" w:sz="4" w:space="0"/>
              <w:right w:val="single" w:color="000000" w:sz="4" w:space="0"/>
            </w:tcBorders>
            <w:vAlign w:val="center"/>
          </w:tcPr>
          <w:p w14:paraId="0D8C33EB">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399</w:t>
            </w:r>
          </w:p>
        </w:tc>
        <w:tc>
          <w:tcPr>
            <w:tcW w:w="602" w:type="pct"/>
            <w:tcBorders>
              <w:top w:val="single" w:color="000000" w:sz="4" w:space="0"/>
              <w:left w:val="single" w:color="000000" w:sz="4" w:space="0"/>
              <w:bottom w:val="single" w:color="000000" w:sz="4" w:space="0"/>
              <w:right w:val="single" w:color="000000" w:sz="4" w:space="0"/>
            </w:tcBorders>
            <w:vAlign w:val="center"/>
          </w:tcPr>
          <w:p w14:paraId="56B07CEF">
            <w:pPr>
              <w:pStyle w:val="374"/>
              <w:adjustRightInd w:val="0"/>
              <w:snapToGrid w:val="0"/>
              <w:spacing w:line="240" w:lineRule="auto"/>
              <w:ind w:firstLine="0" w:firstLineChars="0"/>
              <w:rPr>
                <w:rFonts w:ascii="Times New Roman" w:hAnsi="Times New Roman" w:eastAsia="仿宋_GB2312"/>
                <w:sz w:val="18"/>
                <w:szCs w:val="18"/>
              </w:rPr>
            </w:pPr>
            <w:r>
              <w:rPr>
                <w:rFonts w:ascii="Times New Roman" w:hAnsi="Times New Roman" w:eastAsia="仿宋_GB2312"/>
                <w:sz w:val="18"/>
              </w:rPr>
              <w:t>96</w:t>
            </w:r>
          </w:p>
        </w:tc>
      </w:tr>
    </w:tbl>
    <w:p w14:paraId="6167ED33">
      <w:pPr>
        <w:adjustRightInd w:val="0"/>
        <w:snapToGrid w:val="0"/>
        <w:ind w:firstLine="0" w:firstLineChars="0"/>
        <w:jc w:val="center"/>
        <w:rPr>
          <w:rFonts w:cs="Times New Roman"/>
        </w:rPr>
      </w:pPr>
      <w:r>
        <w:rPr>
          <w:rFonts w:cs="Times New Roman"/>
          <w:b/>
          <w:bCs/>
        </w:rPr>
        <w:t>表6</w:t>
      </w:r>
      <w:r>
        <w:rPr>
          <w:rFonts w:hint="eastAsia" w:cs="Times New Roman"/>
          <w:b/>
          <w:bCs/>
        </w:rPr>
        <w:t>.3</w:t>
      </w:r>
      <w:r>
        <w:rPr>
          <w:rFonts w:cs="Times New Roman"/>
          <w:b/>
          <w:bCs/>
        </w:rPr>
        <w:t>-3 昌吉州水土保持规划中确定的阜康市治理项目规划目标值</w:t>
      </w:r>
    </w:p>
    <w:tbl>
      <w:tblPr>
        <w:tblStyle w:val="48"/>
        <w:tblW w:w="5000" w:type="pct"/>
        <w:tblInd w:w="0" w:type="dxa"/>
        <w:tblLayout w:type="autofit"/>
        <w:tblCellMar>
          <w:top w:w="0" w:type="dxa"/>
          <w:left w:w="108" w:type="dxa"/>
          <w:bottom w:w="0" w:type="dxa"/>
          <w:right w:w="108" w:type="dxa"/>
        </w:tblCellMar>
      </w:tblPr>
      <w:tblGrid>
        <w:gridCol w:w="1063"/>
        <w:gridCol w:w="1064"/>
        <w:gridCol w:w="1063"/>
        <w:gridCol w:w="1063"/>
        <w:gridCol w:w="1064"/>
        <w:gridCol w:w="1063"/>
        <w:gridCol w:w="2149"/>
      </w:tblGrid>
      <w:tr w14:paraId="209FB998">
        <w:tblPrEx>
          <w:tblCellMar>
            <w:top w:w="0" w:type="dxa"/>
            <w:left w:w="108" w:type="dxa"/>
            <w:bottom w:w="0" w:type="dxa"/>
            <w:right w:w="108" w:type="dxa"/>
          </w:tblCellMar>
        </w:tblPrEx>
        <w:trPr>
          <w:trHeight w:val="720" w:hRule="atLeast"/>
        </w:trPr>
        <w:tc>
          <w:tcPr>
            <w:tcW w:w="623"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6479C1B">
            <w:pPr>
              <w:spacing w:line="240" w:lineRule="auto"/>
              <w:ind w:firstLine="0" w:firstLineChars="0"/>
              <w:jc w:val="center"/>
              <w:rPr>
                <w:rFonts w:hint="eastAsia" w:ascii="仿宋_GB2312" w:hAnsi="宋体"/>
                <w:sz w:val="20"/>
                <w:szCs w:val="20"/>
              </w:rPr>
            </w:pPr>
            <w:r>
              <w:rPr>
                <w:rFonts w:hint="eastAsia" w:ascii="仿宋_GB2312" w:hAnsi="宋体"/>
                <w:sz w:val="20"/>
                <w:szCs w:val="20"/>
              </w:rPr>
              <w:t>县、市、区</w:t>
            </w:r>
          </w:p>
        </w:tc>
        <w:tc>
          <w:tcPr>
            <w:tcW w:w="623"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43C93D1">
            <w:pPr>
              <w:spacing w:line="240" w:lineRule="auto"/>
              <w:ind w:firstLine="0" w:firstLineChars="0"/>
              <w:jc w:val="center"/>
              <w:rPr>
                <w:rFonts w:hint="eastAsia" w:ascii="仿宋_GB2312" w:hAnsi="宋体"/>
                <w:sz w:val="20"/>
                <w:szCs w:val="20"/>
              </w:rPr>
            </w:pPr>
            <w:r>
              <w:rPr>
                <w:rFonts w:hint="eastAsia" w:ascii="仿宋_GB2312" w:hAnsi="宋体"/>
                <w:sz w:val="20"/>
                <w:szCs w:val="20"/>
              </w:rPr>
              <w:t>规划时段</w:t>
            </w:r>
          </w:p>
        </w:tc>
        <w:tc>
          <w:tcPr>
            <w:tcW w:w="1870" w:type="pct"/>
            <w:gridSpan w:val="3"/>
            <w:tcBorders>
              <w:top w:val="single" w:color="auto" w:sz="4" w:space="0"/>
              <w:left w:val="nil"/>
              <w:bottom w:val="single" w:color="auto" w:sz="4" w:space="0"/>
              <w:right w:val="single" w:color="auto" w:sz="4" w:space="0"/>
            </w:tcBorders>
            <w:shd w:val="clear" w:color="auto" w:fill="auto"/>
            <w:vAlign w:val="center"/>
          </w:tcPr>
          <w:p w14:paraId="52FFBB3A">
            <w:pPr>
              <w:spacing w:line="240" w:lineRule="auto"/>
              <w:ind w:firstLine="0" w:firstLineChars="0"/>
              <w:jc w:val="center"/>
              <w:rPr>
                <w:rFonts w:hint="eastAsia" w:ascii="仿宋_GB2312" w:hAnsi="宋体"/>
                <w:sz w:val="20"/>
                <w:szCs w:val="20"/>
              </w:rPr>
            </w:pPr>
            <w:r>
              <w:rPr>
                <w:rFonts w:hint="eastAsia" w:ascii="仿宋_GB2312" w:hAnsi="宋体"/>
                <w:sz w:val="20"/>
                <w:szCs w:val="20"/>
              </w:rPr>
              <w:t>绿洲防护生态安全保障体系</w:t>
            </w:r>
          </w:p>
        </w:tc>
        <w:tc>
          <w:tcPr>
            <w:tcW w:w="1883" w:type="pct"/>
            <w:gridSpan w:val="2"/>
            <w:tcBorders>
              <w:top w:val="single" w:color="auto" w:sz="4" w:space="0"/>
              <w:left w:val="nil"/>
              <w:bottom w:val="single" w:color="auto" w:sz="4" w:space="0"/>
              <w:right w:val="single" w:color="auto" w:sz="4" w:space="0"/>
            </w:tcBorders>
            <w:shd w:val="clear" w:color="auto" w:fill="auto"/>
            <w:vAlign w:val="center"/>
          </w:tcPr>
          <w:p w14:paraId="37BE751D">
            <w:pPr>
              <w:spacing w:line="240" w:lineRule="auto"/>
              <w:ind w:firstLine="0" w:firstLineChars="0"/>
              <w:jc w:val="center"/>
              <w:rPr>
                <w:rFonts w:hint="eastAsia" w:ascii="仿宋_GB2312" w:hAnsi="宋体"/>
                <w:sz w:val="20"/>
                <w:szCs w:val="20"/>
              </w:rPr>
            </w:pPr>
            <w:r>
              <w:rPr>
                <w:rFonts w:hint="eastAsia" w:ascii="仿宋_GB2312" w:hAnsi="宋体"/>
                <w:sz w:val="20"/>
                <w:szCs w:val="20"/>
              </w:rPr>
              <w:t>重点区域（流域）和重要行业水土保持综合治理体系</w:t>
            </w:r>
          </w:p>
        </w:tc>
      </w:tr>
      <w:tr w14:paraId="14521506">
        <w:tblPrEx>
          <w:tblCellMar>
            <w:top w:w="0" w:type="dxa"/>
            <w:left w:w="108" w:type="dxa"/>
            <w:bottom w:w="0" w:type="dxa"/>
            <w:right w:w="108" w:type="dxa"/>
          </w:tblCellMar>
        </w:tblPrEx>
        <w:trPr>
          <w:trHeight w:val="1080" w:hRule="atLeast"/>
        </w:trPr>
        <w:tc>
          <w:tcPr>
            <w:tcW w:w="623" w:type="pct"/>
            <w:vMerge w:val="continue"/>
            <w:tcBorders>
              <w:top w:val="single" w:color="auto" w:sz="4" w:space="0"/>
              <w:left w:val="single" w:color="auto" w:sz="4" w:space="0"/>
              <w:bottom w:val="single" w:color="auto" w:sz="4" w:space="0"/>
              <w:right w:val="single" w:color="auto" w:sz="4" w:space="0"/>
            </w:tcBorders>
            <w:vAlign w:val="center"/>
          </w:tcPr>
          <w:p w14:paraId="2A9FD0D0">
            <w:pPr>
              <w:spacing w:line="240" w:lineRule="auto"/>
              <w:ind w:firstLine="0" w:firstLineChars="0"/>
              <w:rPr>
                <w:rFonts w:hint="eastAsia" w:ascii="仿宋_GB2312" w:hAnsi="宋体"/>
                <w:sz w:val="20"/>
                <w:szCs w:val="20"/>
              </w:rPr>
            </w:pPr>
          </w:p>
        </w:tc>
        <w:tc>
          <w:tcPr>
            <w:tcW w:w="623" w:type="pct"/>
            <w:vMerge w:val="continue"/>
            <w:tcBorders>
              <w:top w:val="single" w:color="auto" w:sz="4" w:space="0"/>
              <w:left w:val="single" w:color="auto" w:sz="4" w:space="0"/>
              <w:bottom w:val="single" w:color="auto" w:sz="4" w:space="0"/>
              <w:right w:val="single" w:color="auto" w:sz="4" w:space="0"/>
            </w:tcBorders>
            <w:vAlign w:val="center"/>
          </w:tcPr>
          <w:p w14:paraId="501A982C">
            <w:pPr>
              <w:spacing w:line="240" w:lineRule="auto"/>
              <w:ind w:firstLine="0" w:firstLineChars="0"/>
              <w:rPr>
                <w:rFonts w:hint="eastAsia" w:ascii="仿宋_GB2312" w:hAnsi="宋体"/>
                <w:sz w:val="20"/>
                <w:szCs w:val="20"/>
              </w:rPr>
            </w:pPr>
          </w:p>
        </w:tc>
        <w:tc>
          <w:tcPr>
            <w:tcW w:w="623" w:type="pct"/>
            <w:tcBorders>
              <w:top w:val="nil"/>
              <w:left w:val="nil"/>
              <w:bottom w:val="single" w:color="auto" w:sz="4" w:space="0"/>
              <w:right w:val="single" w:color="auto" w:sz="4" w:space="0"/>
            </w:tcBorders>
            <w:shd w:val="clear" w:color="auto" w:fill="auto"/>
            <w:vAlign w:val="center"/>
          </w:tcPr>
          <w:p w14:paraId="274CBD4E">
            <w:pPr>
              <w:spacing w:line="240" w:lineRule="auto"/>
              <w:ind w:firstLine="0" w:firstLineChars="0"/>
              <w:jc w:val="center"/>
              <w:rPr>
                <w:rFonts w:hint="eastAsia" w:ascii="仿宋_GB2312" w:hAnsi="宋体"/>
                <w:sz w:val="20"/>
                <w:szCs w:val="20"/>
              </w:rPr>
            </w:pPr>
            <w:r>
              <w:rPr>
                <w:rFonts w:hint="eastAsia" w:ascii="仿宋_GB2312" w:hAnsi="宋体"/>
                <w:sz w:val="20"/>
                <w:szCs w:val="20"/>
              </w:rPr>
              <w:t>侵蚀沟综合治理工程（条）</w:t>
            </w:r>
          </w:p>
        </w:tc>
        <w:tc>
          <w:tcPr>
            <w:tcW w:w="623" w:type="pct"/>
            <w:tcBorders>
              <w:top w:val="nil"/>
              <w:left w:val="nil"/>
              <w:bottom w:val="single" w:color="auto" w:sz="4" w:space="0"/>
              <w:right w:val="single" w:color="auto" w:sz="4" w:space="0"/>
            </w:tcBorders>
            <w:shd w:val="clear" w:color="auto" w:fill="auto"/>
            <w:vAlign w:val="center"/>
          </w:tcPr>
          <w:p w14:paraId="460733B3">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荒漠化治理工程（km</w:t>
            </w:r>
            <w:r>
              <w:rPr>
                <w:rFonts w:hint="eastAsia" w:ascii="仿宋_GB2312" w:hAnsi="宋体"/>
                <w:sz w:val="20"/>
                <w:szCs w:val="20"/>
                <w:vertAlign w:val="superscript"/>
              </w:rPr>
              <w:t>2</w:t>
            </w:r>
            <w:r>
              <w:rPr>
                <w:rFonts w:hint="eastAsia" w:ascii="仿宋_GB2312" w:hAnsi="宋体"/>
                <w:sz w:val="20"/>
                <w:szCs w:val="20"/>
              </w:rPr>
              <w:t>）</w:t>
            </w:r>
          </w:p>
        </w:tc>
        <w:tc>
          <w:tcPr>
            <w:tcW w:w="623" w:type="pct"/>
            <w:tcBorders>
              <w:top w:val="nil"/>
              <w:left w:val="nil"/>
              <w:bottom w:val="single" w:color="auto" w:sz="4" w:space="0"/>
              <w:right w:val="single" w:color="auto" w:sz="4" w:space="0"/>
            </w:tcBorders>
            <w:shd w:val="clear" w:color="auto" w:fill="auto"/>
            <w:vAlign w:val="center"/>
          </w:tcPr>
          <w:p w14:paraId="1D57361E">
            <w:pPr>
              <w:spacing w:line="240" w:lineRule="auto"/>
              <w:ind w:firstLine="0" w:firstLineChars="0"/>
              <w:jc w:val="center"/>
              <w:rPr>
                <w:rFonts w:hint="eastAsia" w:ascii="仿宋_GB2312" w:hAnsi="宋体"/>
                <w:sz w:val="20"/>
                <w:szCs w:val="20"/>
              </w:rPr>
            </w:pPr>
            <w:r>
              <w:rPr>
                <w:rFonts w:hint="eastAsia" w:ascii="仿宋_GB2312" w:hAnsi="宋体"/>
                <w:sz w:val="20"/>
                <w:szCs w:val="20"/>
              </w:rPr>
              <w:t>城郊型清洁小流域建设（km</w:t>
            </w:r>
            <w:r>
              <w:rPr>
                <w:rFonts w:hint="eastAsia" w:ascii="仿宋_GB2312" w:hAnsi="宋体"/>
                <w:sz w:val="20"/>
                <w:szCs w:val="20"/>
                <w:vertAlign w:val="superscript"/>
              </w:rPr>
              <w:t>2</w:t>
            </w:r>
            <w:r>
              <w:rPr>
                <w:rFonts w:hint="eastAsia" w:ascii="仿宋_GB2312" w:hAnsi="宋体"/>
                <w:sz w:val="20"/>
                <w:szCs w:val="20"/>
              </w:rPr>
              <w:t>）</w:t>
            </w:r>
          </w:p>
        </w:tc>
        <w:tc>
          <w:tcPr>
            <w:tcW w:w="623" w:type="pct"/>
            <w:tcBorders>
              <w:top w:val="nil"/>
              <w:left w:val="nil"/>
              <w:bottom w:val="single" w:color="auto" w:sz="4" w:space="0"/>
              <w:right w:val="single" w:color="auto" w:sz="4" w:space="0"/>
            </w:tcBorders>
            <w:shd w:val="clear" w:color="auto" w:fill="auto"/>
            <w:vAlign w:val="center"/>
          </w:tcPr>
          <w:p w14:paraId="35C3D971">
            <w:pPr>
              <w:spacing w:line="240" w:lineRule="auto"/>
              <w:ind w:firstLine="0" w:firstLineChars="0"/>
              <w:jc w:val="center"/>
              <w:rPr>
                <w:rFonts w:hint="eastAsia" w:ascii="仿宋_GB2312" w:hAnsi="宋体"/>
                <w:sz w:val="20"/>
                <w:szCs w:val="20"/>
              </w:rPr>
            </w:pPr>
            <w:r>
              <w:rPr>
                <w:rFonts w:hint="eastAsia" w:ascii="仿宋_GB2312" w:hAnsi="宋体"/>
                <w:sz w:val="20"/>
                <w:szCs w:val="20"/>
              </w:rPr>
              <w:t>生态修复（km</w:t>
            </w:r>
            <w:r>
              <w:rPr>
                <w:rFonts w:hint="eastAsia" w:ascii="仿宋_GB2312" w:hAnsi="宋体"/>
                <w:sz w:val="20"/>
                <w:szCs w:val="20"/>
                <w:vertAlign w:val="superscript"/>
              </w:rPr>
              <w:t>2</w:t>
            </w:r>
            <w:r>
              <w:rPr>
                <w:rFonts w:hint="eastAsia" w:ascii="仿宋_GB2312" w:hAnsi="宋体"/>
                <w:sz w:val="20"/>
                <w:szCs w:val="20"/>
              </w:rPr>
              <w:t>）</w:t>
            </w:r>
          </w:p>
        </w:tc>
        <w:tc>
          <w:tcPr>
            <w:tcW w:w="1260" w:type="pct"/>
            <w:tcBorders>
              <w:top w:val="nil"/>
              <w:left w:val="nil"/>
              <w:bottom w:val="single" w:color="auto" w:sz="4" w:space="0"/>
              <w:right w:val="single" w:color="auto" w:sz="4" w:space="0"/>
            </w:tcBorders>
            <w:shd w:val="clear" w:color="auto" w:fill="auto"/>
            <w:vAlign w:val="center"/>
          </w:tcPr>
          <w:p w14:paraId="357994E6">
            <w:pPr>
              <w:spacing w:line="240" w:lineRule="auto"/>
              <w:ind w:firstLine="0" w:firstLineChars="0"/>
              <w:jc w:val="center"/>
              <w:rPr>
                <w:rFonts w:hint="eastAsia" w:ascii="仿宋_GB2312" w:hAnsi="宋体"/>
                <w:sz w:val="20"/>
                <w:szCs w:val="20"/>
              </w:rPr>
            </w:pPr>
            <w:r>
              <w:rPr>
                <w:rFonts w:hint="eastAsia" w:ascii="仿宋_GB2312" w:hAnsi="宋体"/>
                <w:sz w:val="20"/>
                <w:szCs w:val="20"/>
              </w:rPr>
              <w:t>土地整治工程（km</w:t>
            </w:r>
            <w:r>
              <w:rPr>
                <w:rFonts w:hint="eastAsia" w:ascii="仿宋_GB2312" w:hAnsi="宋体"/>
                <w:sz w:val="20"/>
                <w:szCs w:val="20"/>
                <w:vertAlign w:val="superscript"/>
              </w:rPr>
              <w:t>2</w:t>
            </w:r>
            <w:r>
              <w:rPr>
                <w:rFonts w:hint="eastAsia" w:ascii="仿宋_GB2312" w:hAnsi="宋体"/>
                <w:sz w:val="20"/>
                <w:szCs w:val="20"/>
              </w:rPr>
              <w:t>）</w:t>
            </w:r>
          </w:p>
        </w:tc>
      </w:tr>
      <w:tr w14:paraId="174A5DD9">
        <w:tblPrEx>
          <w:tblCellMar>
            <w:top w:w="0" w:type="dxa"/>
            <w:left w:w="108" w:type="dxa"/>
            <w:bottom w:w="0" w:type="dxa"/>
            <w:right w:w="108" w:type="dxa"/>
          </w:tblCellMar>
        </w:tblPrEx>
        <w:trPr>
          <w:trHeight w:val="280" w:hRule="atLeast"/>
        </w:trPr>
        <w:tc>
          <w:tcPr>
            <w:tcW w:w="623" w:type="pct"/>
            <w:vMerge w:val="restart"/>
            <w:tcBorders>
              <w:top w:val="nil"/>
              <w:left w:val="single" w:color="auto" w:sz="4" w:space="0"/>
              <w:bottom w:val="single" w:color="auto" w:sz="4" w:space="0"/>
              <w:right w:val="single" w:color="auto" w:sz="4" w:space="0"/>
            </w:tcBorders>
            <w:shd w:val="clear" w:color="auto" w:fill="auto"/>
            <w:vAlign w:val="center"/>
          </w:tcPr>
          <w:p w14:paraId="2BFD3603">
            <w:pPr>
              <w:spacing w:line="240" w:lineRule="auto"/>
              <w:ind w:firstLine="0" w:firstLineChars="0"/>
              <w:jc w:val="center"/>
              <w:rPr>
                <w:rFonts w:hint="eastAsia" w:ascii="仿宋_GB2312" w:hAnsi="宋体"/>
                <w:sz w:val="20"/>
                <w:szCs w:val="20"/>
              </w:rPr>
            </w:pPr>
            <w:r>
              <w:rPr>
                <w:rFonts w:hint="eastAsia" w:ascii="仿宋_GB2312" w:hAnsi="宋体"/>
                <w:sz w:val="20"/>
                <w:szCs w:val="20"/>
              </w:rPr>
              <w:t>阜康市</w:t>
            </w:r>
          </w:p>
        </w:tc>
        <w:tc>
          <w:tcPr>
            <w:tcW w:w="623" w:type="pct"/>
            <w:tcBorders>
              <w:top w:val="nil"/>
              <w:left w:val="nil"/>
              <w:bottom w:val="single" w:color="auto" w:sz="4" w:space="0"/>
              <w:right w:val="single" w:color="auto" w:sz="4" w:space="0"/>
            </w:tcBorders>
            <w:shd w:val="clear" w:color="auto" w:fill="auto"/>
            <w:vAlign w:val="center"/>
          </w:tcPr>
          <w:p w14:paraId="2C0DD8B9">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23" w:type="pct"/>
            <w:tcBorders>
              <w:top w:val="nil"/>
              <w:left w:val="nil"/>
              <w:bottom w:val="single" w:color="auto" w:sz="4" w:space="0"/>
              <w:right w:val="single" w:color="auto" w:sz="4" w:space="0"/>
            </w:tcBorders>
            <w:shd w:val="clear" w:color="auto" w:fill="auto"/>
            <w:vAlign w:val="center"/>
          </w:tcPr>
          <w:p w14:paraId="2A3FFD90">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623" w:type="pct"/>
            <w:tcBorders>
              <w:top w:val="nil"/>
              <w:left w:val="nil"/>
              <w:bottom w:val="single" w:color="auto" w:sz="4" w:space="0"/>
              <w:right w:val="single" w:color="auto" w:sz="4" w:space="0"/>
            </w:tcBorders>
            <w:shd w:val="clear" w:color="auto" w:fill="auto"/>
            <w:vAlign w:val="center"/>
          </w:tcPr>
          <w:p w14:paraId="73EF344F">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623" w:type="pct"/>
            <w:tcBorders>
              <w:top w:val="nil"/>
              <w:left w:val="nil"/>
              <w:bottom w:val="single" w:color="auto" w:sz="4" w:space="0"/>
              <w:right w:val="single" w:color="auto" w:sz="4" w:space="0"/>
            </w:tcBorders>
            <w:shd w:val="clear" w:color="auto" w:fill="auto"/>
            <w:vAlign w:val="center"/>
          </w:tcPr>
          <w:p w14:paraId="3AB6A0FA">
            <w:pPr>
              <w:spacing w:line="240" w:lineRule="auto"/>
              <w:ind w:firstLine="0" w:firstLineChars="0"/>
              <w:jc w:val="center"/>
              <w:rPr>
                <w:rFonts w:hint="eastAsia" w:ascii="仿宋_GB2312" w:hAnsi="宋体"/>
                <w:sz w:val="20"/>
                <w:szCs w:val="20"/>
              </w:rPr>
            </w:pPr>
            <w:r>
              <w:rPr>
                <w:rFonts w:hint="eastAsia" w:ascii="仿宋_GB2312" w:hAnsi="宋体"/>
                <w:sz w:val="20"/>
                <w:szCs w:val="20"/>
              </w:rPr>
              <w:t>11</w:t>
            </w:r>
          </w:p>
        </w:tc>
        <w:tc>
          <w:tcPr>
            <w:tcW w:w="623" w:type="pct"/>
            <w:tcBorders>
              <w:top w:val="nil"/>
              <w:left w:val="nil"/>
              <w:bottom w:val="single" w:color="auto" w:sz="4" w:space="0"/>
              <w:right w:val="single" w:color="auto" w:sz="4" w:space="0"/>
            </w:tcBorders>
            <w:shd w:val="clear" w:color="auto" w:fill="auto"/>
            <w:vAlign w:val="center"/>
          </w:tcPr>
          <w:p w14:paraId="0B4A6E6A">
            <w:pPr>
              <w:spacing w:line="240" w:lineRule="auto"/>
              <w:ind w:firstLine="0" w:firstLineChars="0"/>
              <w:jc w:val="center"/>
              <w:rPr>
                <w:rFonts w:hint="eastAsia" w:ascii="仿宋_GB2312" w:hAnsi="宋体"/>
                <w:sz w:val="20"/>
                <w:szCs w:val="20"/>
              </w:rPr>
            </w:pPr>
            <w:r>
              <w:rPr>
                <w:rFonts w:hint="eastAsia" w:ascii="仿宋_GB2312" w:hAnsi="宋体"/>
                <w:sz w:val="20"/>
                <w:szCs w:val="20"/>
              </w:rPr>
              <w:t>36</w:t>
            </w:r>
          </w:p>
        </w:tc>
        <w:tc>
          <w:tcPr>
            <w:tcW w:w="1260" w:type="pct"/>
            <w:tcBorders>
              <w:top w:val="nil"/>
              <w:left w:val="nil"/>
              <w:bottom w:val="single" w:color="auto" w:sz="4" w:space="0"/>
              <w:right w:val="single" w:color="auto" w:sz="4" w:space="0"/>
            </w:tcBorders>
            <w:shd w:val="clear" w:color="auto" w:fill="auto"/>
            <w:vAlign w:val="center"/>
          </w:tcPr>
          <w:p w14:paraId="417A98F2">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r>
      <w:tr w14:paraId="45BBCD2C">
        <w:tblPrEx>
          <w:tblCellMar>
            <w:top w:w="0" w:type="dxa"/>
            <w:left w:w="108" w:type="dxa"/>
            <w:bottom w:w="0" w:type="dxa"/>
            <w:right w:w="108" w:type="dxa"/>
          </w:tblCellMar>
        </w:tblPrEx>
        <w:trPr>
          <w:trHeight w:val="280" w:hRule="atLeast"/>
        </w:trPr>
        <w:tc>
          <w:tcPr>
            <w:tcW w:w="623" w:type="pct"/>
            <w:vMerge w:val="continue"/>
            <w:tcBorders>
              <w:top w:val="nil"/>
              <w:left w:val="single" w:color="auto" w:sz="4" w:space="0"/>
              <w:bottom w:val="single" w:color="auto" w:sz="4" w:space="0"/>
              <w:right w:val="single" w:color="auto" w:sz="4" w:space="0"/>
            </w:tcBorders>
            <w:vAlign w:val="center"/>
          </w:tcPr>
          <w:p w14:paraId="1AFF10D2">
            <w:pPr>
              <w:spacing w:line="240" w:lineRule="auto"/>
              <w:ind w:firstLine="0" w:firstLineChars="0"/>
              <w:rPr>
                <w:rFonts w:hint="eastAsia" w:ascii="仿宋_GB2312" w:hAnsi="宋体"/>
                <w:sz w:val="20"/>
                <w:szCs w:val="20"/>
              </w:rPr>
            </w:pPr>
          </w:p>
        </w:tc>
        <w:tc>
          <w:tcPr>
            <w:tcW w:w="623" w:type="pct"/>
            <w:tcBorders>
              <w:top w:val="nil"/>
              <w:left w:val="nil"/>
              <w:bottom w:val="single" w:color="auto" w:sz="4" w:space="0"/>
              <w:right w:val="single" w:color="auto" w:sz="4" w:space="0"/>
            </w:tcBorders>
            <w:shd w:val="clear" w:color="auto" w:fill="auto"/>
            <w:vAlign w:val="center"/>
          </w:tcPr>
          <w:p w14:paraId="46350A9A">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23" w:type="pct"/>
            <w:tcBorders>
              <w:top w:val="nil"/>
              <w:left w:val="nil"/>
              <w:bottom w:val="single" w:color="auto" w:sz="4" w:space="0"/>
              <w:right w:val="single" w:color="auto" w:sz="4" w:space="0"/>
            </w:tcBorders>
            <w:shd w:val="clear" w:color="auto" w:fill="auto"/>
            <w:vAlign w:val="center"/>
          </w:tcPr>
          <w:p w14:paraId="7BE48644">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623" w:type="pct"/>
            <w:tcBorders>
              <w:top w:val="nil"/>
              <w:left w:val="nil"/>
              <w:bottom w:val="single" w:color="auto" w:sz="4" w:space="0"/>
              <w:right w:val="single" w:color="auto" w:sz="4" w:space="0"/>
            </w:tcBorders>
            <w:shd w:val="clear" w:color="auto" w:fill="auto"/>
            <w:vAlign w:val="center"/>
          </w:tcPr>
          <w:p w14:paraId="08FFD41F">
            <w:pPr>
              <w:spacing w:line="240" w:lineRule="auto"/>
              <w:ind w:firstLine="0" w:firstLineChars="0"/>
              <w:jc w:val="center"/>
              <w:rPr>
                <w:rFonts w:hint="eastAsia" w:ascii="仿宋_GB2312" w:hAnsi="宋体"/>
                <w:sz w:val="20"/>
                <w:szCs w:val="20"/>
              </w:rPr>
            </w:pPr>
            <w:r>
              <w:rPr>
                <w:rFonts w:hint="eastAsia" w:ascii="仿宋_GB2312" w:hAnsi="宋体"/>
                <w:sz w:val="20"/>
                <w:szCs w:val="20"/>
              </w:rPr>
              <w:t>8</w:t>
            </w:r>
          </w:p>
        </w:tc>
        <w:tc>
          <w:tcPr>
            <w:tcW w:w="623" w:type="pct"/>
            <w:tcBorders>
              <w:top w:val="nil"/>
              <w:left w:val="nil"/>
              <w:bottom w:val="single" w:color="auto" w:sz="4" w:space="0"/>
              <w:right w:val="single" w:color="auto" w:sz="4" w:space="0"/>
            </w:tcBorders>
            <w:shd w:val="clear" w:color="auto" w:fill="auto"/>
            <w:vAlign w:val="center"/>
          </w:tcPr>
          <w:p w14:paraId="59794EA6">
            <w:pPr>
              <w:spacing w:line="240" w:lineRule="auto"/>
              <w:ind w:firstLine="0" w:firstLineChars="0"/>
              <w:jc w:val="center"/>
              <w:rPr>
                <w:rFonts w:hint="eastAsia" w:ascii="仿宋_GB2312" w:hAnsi="宋体"/>
                <w:sz w:val="20"/>
                <w:szCs w:val="20"/>
              </w:rPr>
            </w:pPr>
            <w:r>
              <w:rPr>
                <w:rFonts w:hint="eastAsia" w:ascii="仿宋_GB2312" w:hAnsi="宋体"/>
                <w:sz w:val="20"/>
                <w:szCs w:val="20"/>
              </w:rPr>
              <w:t>17</w:t>
            </w:r>
          </w:p>
        </w:tc>
        <w:tc>
          <w:tcPr>
            <w:tcW w:w="623" w:type="pct"/>
            <w:tcBorders>
              <w:top w:val="nil"/>
              <w:left w:val="nil"/>
              <w:bottom w:val="single" w:color="auto" w:sz="4" w:space="0"/>
              <w:right w:val="single" w:color="auto" w:sz="4" w:space="0"/>
            </w:tcBorders>
            <w:shd w:val="clear" w:color="auto" w:fill="auto"/>
            <w:vAlign w:val="center"/>
          </w:tcPr>
          <w:p w14:paraId="1DCB28A6">
            <w:pPr>
              <w:spacing w:line="240" w:lineRule="auto"/>
              <w:ind w:firstLine="0" w:firstLineChars="0"/>
              <w:jc w:val="center"/>
              <w:rPr>
                <w:rFonts w:hint="eastAsia" w:ascii="仿宋_GB2312" w:hAnsi="宋体"/>
                <w:sz w:val="20"/>
                <w:szCs w:val="20"/>
              </w:rPr>
            </w:pPr>
            <w:r>
              <w:rPr>
                <w:rFonts w:hint="eastAsia" w:ascii="仿宋_GB2312" w:hAnsi="宋体"/>
                <w:sz w:val="20"/>
                <w:szCs w:val="20"/>
              </w:rPr>
              <w:t>47</w:t>
            </w:r>
          </w:p>
        </w:tc>
        <w:tc>
          <w:tcPr>
            <w:tcW w:w="1260" w:type="pct"/>
            <w:tcBorders>
              <w:top w:val="nil"/>
              <w:left w:val="nil"/>
              <w:bottom w:val="single" w:color="auto" w:sz="4" w:space="0"/>
              <w:right w:val="single" w:color="auto" w:sz="4" w:space="0"/>
            </w:tcBorders>
            <w:shd w:val="clear" w:color="auto" w:fill="auto"/>
            <w:vAlign w:val="center"/>
          </w:tcPr>
          <w:p w14:paraId="15E322D4">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r>
      <w:tr w14:paraId="23F45E34">
        <w:tblPrEx>
          <w:tblCellMar>
            <w:top w:w="0" w:type="dxa"/>
            <w:left w:w="108" w:type="dxa"/>
            <w:bottom w:w="0" w:type="dxa"/>
            <w:right w:w="108" w:type="dxa"/>
          </w:tblCellMar>
        </w:tblPrEx>
        <w:trPr>
          <w:trHeight w:val="280" w:hRule="atLeast"/>
        </w:trPr>
        <w:tc>
          <w:tcPr>
            <w:tcW w:w="1247"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0BAE6A0">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623" w:type="pct"/>
            <w:tcBorders>
              <w:top w:val="nil"/>
              <w:left w:val="nil"/>
              <w:bottom w:val="single" w:color="auto" w:sz="4" w:space="0"/>
              <w:right w:val="single" w:color="auto" w:sz="4" w:space="0"/>
            </w:tcBorders>
            <w:shd w:val="clear" w:color="auto" w:fill="auto"/>
            <w:vAlign w:val="center"/>
          </w:tcPr>
          <w:p w14:paraId="2D2E7991">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623" w:type="pct"/>
            <w:tcBorders>
              <w:top w:val="nil"/>
              <w:left w:val="nil"/>
              <w:bottom w:val="single" w:color="auto" w:sz="4" w:space="0"/>
              <w:right w:val="single" w:color="auto" w:sz="4" w:space="0"/>
            </w:tcBorders>
            <w:shd w:val="clear" w:color="auto" w:fill="auto"/>
            <w:vAlign w:val="center"/>
          </w:tcPr>
          <w:p w14:paraId="6AFA89AA">
            <w:pPr>
              <w:spacing w:line="240" w:lineRule="auto"/>
              <w:ind w:firstLine="0" w:firstLineChars="0"/>
              <w:jc w:val="center"/>
              <w:rPr>
                <w:rFonts w:hint="eastAsia" w:ascii="仿宋_GB2312" w:hAnsi="宋体"/>
                <w:sz w:val="20"/>
                <w:szCs w:val="20"/>
              </w:rPr>
            </w:pPr>
            <w:r>
              <w:rPr>
                <w:rFonts w:hint="eastAsia" w:ascii="仿宋_GB2312" w:hAnsi="宋体"/>
                <w:sz w:val="20"/>
                <w:szCs w:val="20"/>
              </w:rPr>
              <w:t>14</w:t>
            </w:r>
          </w:p>
        </w:tc>
        <w:tc>
          <w:tcPr>
            <w:tcW w:w="623" w:type="pct"/>
            <w:tcBorders>
              <w:top w:val="nil"/>
              <w:left w:val="nil"/>
              <w:bottom w:val="single" w:color="auto" w:sz="4" w:space="0"/>
              <w:right w:val="single" w:color="auto" w:sz="4" w:space="0"/>
            </w:tcBorders>
            <w:shd w:val="clear" w:color="auto" w:fill="auto"/>
            <w:vAlign w:val="center"/>
          </w:tcPr>
          <w:p w14:paraId="28801E5E">
            <w:pPr>
              <w:spacing w:line="240" w:lineRule="auto"/>
              <w:ind w:firstLine="0" w:firstLineChars="0"/>
              <w:jc w:val="center"/>
              <w:rPr>
                <w:rFonts w:hint="eastAsia" w:ascii="仿宋_GB2312" w:hAnsi="宋体"/>
                <w:sz w:val="20"/>
                <w:szCs w:val="20"/>
              </w:rPr>
            </w:pPr>
            <w:r>
              <w:rPr>
                <w:rFonts w:hint="eastAsia" w:ascii="仿宋_GB2312" w:hAnsi="宋体"/>
                <w:sz w:val="20"/>
                <w:szCs w:val="20"/>
              </w:rPr>
              <w:t>28</w:t>
            </w:r>
          </w:p>
        </w:tc>
        <w:tc>
          <w:tcPr>
            <w:tcW w:w="623" w:type="pct"/>
            <w:tcBorders>
              <w:top w:val="nil"/>
              <w:left w:val="nil"/>
              <w:bottom w:val="single" w:color="auto" w:sz="4" w:space="0"/>
              <w:right w:val="single" w:color="auto" w:sz="4" w:space="0"/>
            </w:tcBorders>
            <w:shd w:val="clear" w:color="auto" w:fill="auto"/>
            <w:vAlign w:val="center"/>
          </w:tcPr>
          <w:p w14:paraId="5619CD4B">
            <w:pPr>
              <w:spacing w:line="240" w:lineRule="auto"/>
              <w:ind w:firstLine="0" w:firstLineChars="0"/>
              <w:jc w:val="center"/>
              <w:rPr>
                <w:rFonts w:hint="eastAsia" w:ascii="仿宋_GB2312" w:hAnsi="宋体"/>
                <w:sz w:val="20"/>
                <w:szCs w:val="20"/>
              </w:rPr>
            </w:pPr>
            <w:r>
              <w:rPr>
                <w:rFonts w:hint="eastAsia" w:ascii="仿宋_GB2312" w:hAnsi="宋体"/>
                <w:sz w:val="20"/>
                <w:szCs w:val="20"/>
              </w:rPr>
              <w:t>83</w:t>
            </w:r>
          </w:p>
        </w:tc>
        <w:tc>
          <w:tcPr>
            <w:tcW w:w="1260" w:type="pct"/>
            <w:tcBorders>
              <w:top w:val="nil"/>
              <w:left w:val="nil"/>
              <w:bottom w:val="single" w:color="auto" w:sz="4" w:space="0"/>
              <w:right w:val="single" w:color="auto" w:sz="4" w:space="0"/>
            </w:tcBorders>
            <w:shd w:val="clear" w:color="auto" w:fill="auto"/>
            <w:vAlign w:val="center"/>
          </w:tcPr>
          <w:p w14:paraId="36E5AB96">
            <w:pPr>
              <w:spacing w:line="240" w:lineRule="auto"/>
              <w:ind w:firstLine="0" w:firstLineChars="0"/>
              <w:jc w:val="center"/>
              <w:rPr>
                <w:rFonts w:hint="eastAsia" w:ascii="仿宋_GB2312" w:hAnsi="宋体"/>
                <w:sz w:val="20"/>
                <w:szCs w:val="20"/>
              </w:rPr>
            </w:pPr>
            <w:r>
              <w:rPr>
                <w:rFonts w:hint="eastAsia" w:ascii="仿宋_GB2312" w:hAnsi="宋体"/>
                <w:sz w:val="20"/>
                <w:szCs w:val="20"/>
              </w:rPr>
              <w:t>16</w:t>
            </w:r>
          </w:p>
        </w:tc>
      </w:tr>
    </w:tbl>
    <w:p w14:paraId="4C5B6157">
      <w:pPr>
        <w:spacing w:line="240" w:lineRule="auto"/>
        <w:ind w:firstLine="0" w:firstLineChars="0"/>
        <w:rPr>
          <w:rFonts w:cs="Times New Roman"/>
          <w:sz w:val="21"/>
          <w:szCs w:val="21"/>
        </w:rPr>
      </w:pPr>
    </w:p>
    <w:p w14:paraId="3016AE6B">
      <w:pPr>
        <w:adjustRightInd w:val="0"/>
        <w:snapToGrid w:val="0"/>
        <w:ind w:firstLine="480"/>
        <w:rPr>
          <w:rFonts w:cs="Times New Roman"/>
        </w:rPr>
      </w:pPr>
      <w:r>
        <w:rPr>
          <w:rFonts w:cs="Times New Roman"/>
        </w:rPr>
        <w:t>本规划阜康市的预防保护项目规划目标应不低于昌吉州规划中确定的目标值。</w:t>
      </w:r>
      <w:r>
        <w:rPr>
          <w:rFonts w:hint="eastAsia" w:cs="Times New Roman"/>
        </w:rPr>
        <w:t>昌吉州确定的近期为2021~2025年，本次规划近期为2024年~2025年，因此根据</w:t>
      </w:r>
      <w:r>
        <w:rPr>
          <w:rFonts w:cs="Times New Roman"/>
        </w:rPr>
        <w:t>昌吉州规划中确定的目标值</w:t>
      </w:r>
      <w:r>
        <w:rPr>
          <w:rFonts w:hint="eastAsia" w:cs="Times New Roman"/>
        </w:rPr>
        <w:t>对本次规划的近期目标值进行修正，远期目标值确定依据</w:t>
      </w:r>
      <w:r>
        <w:rPr>
          <w:rFonts w:cs="Times New Roman"/>
        </w:rPr>
        <w:t>昌吉州规划中确定的目标值</w:t>
      </w:r>
      <w:r>
        <w:rPr>
          <w:rFonts w:hint="eastAsia" w:cs="Times New Roman"/>
        </w:rPr>
        <w:t>为准，</w:t>
      </w:r>
      <w:r>
        <w:rPr>
          <w:rFonts w:cs="Times New Roman"/>
        </w:rPr>
        <w:t>综合考虑县级重点预防区划分结果、适宜治理区域和治理经费等因素，确定阜康市的预防保护项目规划目标值，详见表</w:t>
      </w:r>
      <w:r>
        <w:rPr>
          <w:rFonts w:hint="eastAsia" w:cs="Times New Roman"/>
        </w:rPr>
        <w:t>6</w:t>
      </w:r>
      <w:r>
        <w:rPr>
          <w:rFonts w:cs="Times New Roman"/>
        </w:rPr>
        <w:t>.3-</w:t>
      </w:r>
      <w:r>
        <w:rPr>
          <w:rFonts w:hint="eastAsia" w:cs="Times New Roman"/>
        </w:rPr>
        <w:t>4</w:t>
      </w:r>
      <w:r>
        <w:rPr>
          <w:rFonts w:cs="Times New Roman"/>
        </w:rPr>
        <w:t>和</w:t>
      </w:r>
      <w:r>
        <w:rPr>
          <w:rFonts w:hint="eastAsia" w:cs="Times New Roman"/>
        </w:rPr>
        <w:t>6</w:t>
      </w:r>
      <w:r>
        <w:rPr>
          <w:rFonts w:cs="Times New Roman"/>
        </w:rPr>
        <w:t>.3-</w:t>
      </w:r>
      <w:r>
        <w:rPr>
          <w:rFonts w:hint="eastAsia" w:cs="Times New Roman"/>
        </w:rPr>
        <w:t>5</w:t>
      </w:r>
      <w:r>
        <w:rPr>
          <w:rFonts w:cs="Times New Roman"/>
        </w:rPr>
        <w:t>。</w:t>
      </w:r>
    </w:p>
    <w:p w14:paraId="5562708F">
      <w:pPr>
        <w:adjustRightInd w:val="0"/>
        <w:snapToGrid w:val="0"/>
        <w:ind w:firstLine="0" w:firstLineChars="0"/>
        <w:jc w:val="center"/>
        <w:rPr>
          <w:rFonts w:cs="Times New Roman"/>
          <w:b/>
          <w:bCs/>
        </w:rPr>
      </w:pPr>
    </w:p>
    <w:p w14:paraId="557602CB">
      <w:pPr>
        <w:adjustRightInd w:val="0"/>
        <w:snapToGrid w:val="0"/>
        <w:ind w:firstLine="0" w:firstLineChars="0"/>
        <w:jc w:val="center"/>
        <w:rPr>
          <w:rFonts w:cs="Times New Roman"/>
          <w:b/>
          <w:bCs/>
        </w:rPr>
      </w:pPr>
    </w:p>
    <w:p w14:paraId="1F06DA79">
      <w:pPr>
        <w:adjustRightInd w:val="0"/>
        <w:snapToGrid w:val="0"/>
        <w:ind w:firstLine="0" w:firstLineChars="0"/>
        <w:jc w:val="center"/>
        <w:rPr>
          <w:rFonts w:cs="Times New Roman"/>
          <w:b/>
          <w:bCs/>
        </w:rPr>
      </w:pPr>
    </w:p>
    <w:p w14:paraId="1EDC89FA">
      <w:pPr>
        <w:adjustRightInd w:val="0"/>
        <w:snapToGrid w:val="0"/>
        <w:ind w:firstLine="0" w:firstLineChars="0"/>
        <w:jc w:val="center"/>
        <w:rPr>
          <w:rFonts w:cs="Times New Roman"/>
          <w:b/>
          <w:bCs/>
        </w:rPr>
      </w:pPr>
    </w:p>
    <w:p w14:paraId="66A51699">
      <w:pPr>
        <w:adjustRightInd w:val="0"/>
        <w:snapToGrid w:val="0"/>
        <w:ind w:firstLine="0" w:firstLineChars="0"/>
        <w:jc w:val="center"/>
        <w:rPr>
          <w:rFonts w:cs="Times New Roman"/>
        </w:rPr>
      </w:pPr>
      <w:r>
        <w:rPr>
          <w:rFonts w:cs="Times New Roman"/>
          <w:b/>
          <w:bCs/>
        </w:rPr>
        <w:t>表6</w:t>
      </w:r>
      <w:r>
        <w:rPr>
          <w:rFonts w:hint="eastAsia" w:cs="Times New Roman"/>
          <w:b/>
          <w:bCs/>
        </w:rPr>
        <w:t>.3</w:t>
      </w:r>
      <w:r>
        <w:rPr>
          <w:rFonts w:cs="Times New Roman"/>
          <w:b/>
          <w:bCs/>
        </w:rPr>
        <w:t>-4 本次规划确定的阜康市治理项目规划目标值</w:t>
      </w:r>
    </w:p>
    <w:tbl>
      <w:tblPr>
        <w:tblStyle w:val="4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4"/>
        <w:gridCol w:w="1215"/>
        <w:gridCol w:w="1215"/>
        <w:gridCol w:w="1215"/>
        <w:gridCol w:w="1215"/>
        <w:gridCol w:w="2455"/>
      </w:tblGrid>
      <w:tr w14:paraId="76A3A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712" w:type="pct"/>
            <w:vMerge w:val="restart"/>
            <w:shd w:val="clear" w:color="auto" w:fill="auto"/>
            <w:vAlign w:val="center"/>
          </w:tcPr>
          <w:p w14:paraId="6CD8FEDD">
            <w:pPr>
              <w:spacing w:line="240" w:lineRule="auto"/>
              <w:ind w:firstLine="0" w:firstLineChars="0"/>
              <w:jc w:val="center"/>
              <w:rPr>
                <w:rFonts w:hint="eastAsia" w:ascii="仿宋_GB2312" w:hAnsi="宋体"/>
                <w:sz w:val="20"/>
                <w:szCs w:val="20"/>
              </w:rPr>
            </w:pPr>
            <w:r>
              <w:rPr>
                <w:rFonts w:hint="eastAsia" w:ascii="仿宋_GB2312" w:hAnsi="宋体"/>
                <w:sz w:val="20"/>
                <w:szCs w:val="20"/>
              </w:rPr>
              <w:t>规划时段</w:t>
            </w:r>
          </w:p>
        </w:tc>
        <w:tc>
          <w:tcPr>
            <w:tcW w:w="2136" w:type="pct"/>
            <w:gridSpan w:val="3"/>
            <w:shd w:val="clear" w:color="auto" w:fill="auto"/>
            <w:vAlign w:val="center"/>
          </w:tcPr>
          <w:p w14:paraId="5BB65773">
            <w:pPr>
              <w:spacing w:line="240" w:lineRule="auto"/>
              <w:ind w:firstLine="0" w:firstLineChars="0"/>
              <w:jc w:val="center"/>
              <w:rPr>
                <w:rFonts w:hint="eastAsia" w:ascii="仿宋_GB2312" w:hAnsi="宋体"/>
                <w:sz w:val="20"/>
                <w:szCs w:val="20"/>
              </w:rPr>
            </w:pPr>
            <w:r>
              <w:rPr>
                <w:rFonts w:hint="eastAsia" w:ascii="仿宋_GB2312" w:hAnsi="宋体"/>
                <w:sz w:val="20"/>
                <w:szCs w:val="20"/>
              </w:rPr>
              <w:t>绿洲防护生态安全保障体系</w:t>
            </w:r>
          </w:p>
        </w:tc>
        <w:tc>
          <w:tcPr>
            <w:tcW w:w="2151" w:type="pct"/>
            <w:gridSpan w:val="2"/>
            <w:shd w:val="clear" w:color="auto" w:fill="auto"/>
            <w:vAlign w:val="center"/>
          </w:tcPr>
          <w:p w14:paraId="7D45B7A8">
            <w:pPr>
              <w:spacing w:line="240" w:lineRule="auto"/>
              <w:ind w:firstLine="0" w:firstLineChars="0"/>
              <w:jc w:val="center"/>
              <w:rPr>
                <w:rFonts w:hint="eastAsia" w:ascii="仿宋_GB2312" w:hAnsi="宋体"/>
                <w:sz w:val="20"/>
                <w:szCs w:val="20"/>
              </w:rPr>
            </w:pPr>
            <w:r>
              <w:rPr>
                <w:rFonts w:hint="eastAsia" w:ascii="仿宋_GB2312" w:hAnsi="宋体"/>
                <w:sz w:val="20"/>
                <w:szCs w:val="20"/>
              </w:rPr>
              <w:t>重点区域（流域）和重要行业水土保持综合治理体系</w:t>
            </w:r>
          </w:p>
        </w:tc>
      </w:tr>
      <w:tr w14:paraId="5141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4" w:hRule="atLeast"/>
        </w:trPr>
        <w:tc>
          <w:tcPr>
            <w:tcW w:w="712" w:type="pct"/>
            <w:vMerge w:val="continue"/>
            <w:vAlign w:val="center"/>
          </w:tcPr>
          <w:p w14:paraId="7EADC0A6">
            <w:pPr>
              <w:spacing w:line="240" w:lineRule="auto"/>
              <w:ind w:firstLine="0" w:firstLineChars="0"/>
              <w:rPr>
                <w:rFonts w:hint="eastAsia" w:ascii="仿宋_GB2312" w:hAnsi="宋体"/>
                <w:sz w:val="20"/>
                <w:szCs w:val="20"/>
              </w:rPr>
            </w:pPr>
          </w:p>
        </w:tc>
        <w:tc>
          <w:tcPr>
            <w:tcW w:w="712" w:type="pct"/>
            <w:shd w:val="clear" w:color="auto" w:fill="auto"/>
            <w:vAlign w:val="center"/>
          </w:tcPr>
          <w:p w14:paraId="6AC491D2">
            <w:pPr>
              <w:spacing w:line="240" w:lineRule="auto"/>
              <w:ind w:firstLine="0" w:firstLineChars="0"/>
              <w:jc w:val="center"/>
              <w:rPr>
                <w:rFonts w:hint="eastAsia" w:ascii="仿宋_GB2312" w:hAnsi="宋体"/>
                <w:sz w:val="20"/>
                <w:szCs w:val="20"/>
              </w:rPr>
            </w:pPr>
            <w:r>
              <w:rPr>
                <w:rFonts w:hint="eastAsia" w:ascii="仿宋_GB2312" w:hAnsi="宋体"/>
                <w:sz w:val="20"/>
                <w:szCs w:val="20"/>
              </w:rPr>
              <w:t>侵蚀沟综合治理工程（条）</w:t>
            </w:r>
          </w:p>
        </w:tc>
        <w:tc>
          <w:tcPr>
            <w:tcW w:w="712" w:type="pct"/>
            <w:shd w:val="clear" w:color="auto" w:fill="auto"/>
            <w:vAlign w:val="center"/>
          </w:tcPr>
          <w:p w14:paraId="121B0653">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荒漠化治理工程（km</w:t>
            </w:r>
            <w:r>
              <w:rPr>
                <w:rFonts w:hint="eastAsia" w:ascii="仿宋_GB2312" w:hAnsi="宋体"/>
                <w:sz w:val="20"/>
                <w:szCs w:val="20"/>
                <w:vertAlign w:val="superscript"/>
              </w:rPr>
              <w:t>2</w:t>
            </w:r>
            <w:r>
              <w:rPr>
                <w:rFonts w:hint="eastAsia" w:ascii="仿宋_GB2312" w:hAnsi="宋体"/>
                <w:sz w:val="20"/>
                <w:szCs w:val="20"/>
              </w:rPr>
              <w:t>）</w:t>
            </w:r>
          </w:p>
        </w:tc>
        <w:tc>
          <w:tcPr>
            <w:tcW w:w="712" w:type="pct"/>
            <w:shd w:val="clear" w:color="auto" w:fill="auto"/>
            <w:vAlign w:val="center"/>
          </w:tcPr>
          <w:p w14:paraId="31CE5A52">
            <w:pPr>
              <w:spacing w:line="240" w:lineRule="auto"/>
              <w:ind w:firstLine="0" w:firstLineChars="0"/>
              <w:jc w:val="center"/>
              <w:rPr>
                <w:rFonts w:hint="eastAsia" w:ascii="仿宋_GB2312" w:hAnsi="宋体"/>
                <w:sz w:val="20"/>
                <w:szCs w:val="20"/>
              </w:rPr>
            </w:pPr>
            <w:r>
              <w:rPr>
                <w:rFonts w:hint="eastAsia" w:ascii="仿宋_GB2312" w:hAnsi="宋体"/>
                <w:sz w:val="20"/>
                <w:szCs w:val="20"/>
              </w:rPr>
              <w:t>城郊型清洁小流域建设（km</w:t>
            </w:r>
            <w:r>
              <w:rPr>
                <w:rFonts w:hint="eastAsia" w:ascii="仿宋_GB2312" w:hAnsi="宋体"/>
                <w:sz w:val="20"/>
                <w:szCs w:val="20"/>
                <w:vertAlign w:val="superscript"/>
              </w:rPr>
              <w:t>2</w:t>
            </w:r>
            <w:r>
              <w:rPr>
                <w:rFonts w:hint="eastAsia" w:ascii="仿宋_GB2312" w:hAnsi="宋体"/>
                <w:sz w:val="20"/>
                <w:szCs w:val="20"/>
              </w:rPr>
              <w:t>）</w:t>
            </w:r>
          </w:p>
        </w:tc>
        <w:tc>
          <w:tcPr>
            <w:tcW w:w="712" w:type="pct"/>
            <w:shd w:val="clear" w:color="auto" w:fill="auto"/>
            <w:vAlign w:val="center"/>
          </w:tcPr>
          <w:p w14:paraId="546BD028">
            <w:pPr>
              <w:spacing w:line="240" w:lineRule="auto"/>
              <w:ind w:firstLine="0" w:firstLineChars="0"/>
              <w:jc w:val="center"/>
              <w:rPr>
                <w:rFonts w:hint="eastAsia" w:ascii="仿宋_GB2312" w:hAnsi="宋体"/>
                <w:sz w:val="20"/>
                <w:szCs w:val="20"/>
              </w:rPr>
            </w:pPr>
            <w:r>
              <w:rPr>
                <w:rFonts w:hint="eastAsia" w:ascii="仿宋_GB2312" w:hAnsi="宋体"/>
                <w:sz w:val="20"/>
                <w:szCs w:val="20"/>
              </w:rPr>
              <w:t>生态修复（km</w:t>
            </w:r>
            <w:r>
              <w:rPr>
                <w:rFonts w:hint="eastAsia" w:ascii="仿宋_GB2312" w:hAnsi="宋体"/>
                <w:sz w:val="20"/>
                <w:szCs w:val="20"/>
                <w:vertAlign w:val="superscript"/>
              </w:rPr>
              <w:t>2</w:t>
            </w:r>
            <w:r>
              <w:rPr>
                <w:rFonts w:hint="eastAsia" w:ascii="仿宋_GB2312" w:hAnsi="宋体"/>
                <w:sz w:val="20"/>
                <w:szCs w:val="20"/>
              </w:rPr>
              <w:t>）</w:t>
            </w:r>
          </w:p>
        </w:tc>
        <w:tc>
          <w:tcPr>
            <w:tcW w:w="1439" w:type="pct"/>
            <w:shd w:val="clear" w:color="auto" w:fill="auto"/>
            <w:vAlign w:val="center"/>
          </w:tcPr>
          <w:p w14:paraId="471D7C9A">
            <w:pPr>
              <w:spacing w:line="240" w:lineRule="auto"/>
              <w:ind w:firstLine="0" w:firstLineChars="0"/>
              <w:jc w:val="center"/>
              <w:rPr>
                <w:rFonts w:hint="eastAsia" w:ascii="仿宋_GB2312" w:hAnsi="宋体"/>
                <w:sz w:val="20"/>
                <w:szCs w:val="20"/>
              </w:rPr>
            </w:pPr>
            <w:r>
              <w:rPr>
                <w:rFonts w:hint="eastAsia" w:ascii="仿宋_GB2312" w:hAnsi="宋体"/>
                <w:sz w:val="20"/>
                <w:szCs w:val="20"/>
              </w:rPr>
              <w:t>土地整治工程（km</w:t>
            </w:r>
            <w:r>
              <w:rPr>
                <w:rFonts w:hint="eastAsia" w:ascii="仿宋_GB2312" w:hAnsi="宋体"/>
                <w:sz w:val="20"/>
                <w:szCs w:val="20"/>
                <w:vertAlign w:val="superscript"/>
              </w:rPr>
              <w:t>2</w:t>
            </w:r>
            <w:r>
              <w:rPr>
                <w:rFonts w:hint="eastAsia" w:ascii="仿宋_GB2312" w:hAnsi="宋体"/>
                <w:sz w:val="20"/>
                <w:szCs w:val="20"/>
              </w:rPr>
              <w:t>）</w:t>
            </w:r>
          </w:p>
        </w:tc>
      </w:tr>
      <w:tr w14:paraId="739AE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12" w:type="pct"/>
            <w:shd w:val="clear" w:color="auto" w:fill="auto"/>
            <w:vAlign w:val="center"/>
          </w:tcPr>
          <w:p w14:paraId="6A1E50F1">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712" w:type="pct"/>
            <w:shd w:val="clear" w:color="auto" w:fill="auto"/>
            <w:vAlign w:val="center"/>
          </w:tcPr>
          <w:p w14:paraId="28141434">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712" w:type="pct"/>
            <w:shd w:val="clear" w:color="auto" w:fill="auto"/>
            <w:vAlign w:val="center"/>
          </w:tcPr>
          <w:p w14:paraId="2557E2E3">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712" w:type="pct"/>
            <w:shd w:val="clear" w:color="auto" w:fill="auto"/>
            <w:vAlign w:val="center"/>
          </w:tcPr>
          <w:p w14:paraId="37A7E9B2">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712" w:type="pct"/>
            <w:shd w:val="clear" w:color="auto" w:fill="auto"/>
            <w:vAlign w:val="center"/>
          </w:tcPr>
          <w:p w14:paraId="3FBD133A">
            <w:pPr>
              <w:spacing w:line="240" w:lineRule="auto"/>
              <w:ind w:firstLine="0" w:firstLineChars="0"/>
              <w:jc w:val="center"/>
              <w:rPr>
                <w:rFonts w:hint="eastAsia" w:ascii="仿宋_GB2312" w:hAnsi="宋体"/>
                <w:sz w:val="20"/>
                <w:szCs w:val="20"/>
              </w:rPr>
            </w:pPr>
            <w:r>
              <w:rPr>
                <w:rFonts w:hint="eastAsia" w:ascii="仿宋_GB2312" w:hAnsi="宋体"/>
                <w:sz w:val="20"/>
                <w:szCs w:val="20"/>
              </w:rPr>
              <w:t>12</w:t>
            </w:r>
          </w:p>
        </w:tc>
        <w:tc>
          <w:tcPr>
            <w:tcW w:w="1439" w:type="pct"/>
            <w:shd w:val="clear" w:color="auto" w:fill="auto"/>
            <w:vAlign w:val="center"/>
          </w:tcPr>
          <w:p w14:paraId="53976F70">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r>
      <w:tr w14:paraId="63B3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12" w:type="pct"/>
            <w:shd w:val="clear" w:color="auto" w:fill="auto"/>
            <w:vAlign w:val="center"/>
          </w:tcPr>
          <w:p w14:paraId="19995B6D">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712" w:type="pct"/>
            <w:shd w:val="clear" w:color="auto" w:fill="auto"/>
            <w:vAlign w:val="center"/>
          </w:tcPr>
          <w:p w14:paraId="2B552676">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712" w:type="pct"/>
            <w:shd w:val="clear" w:color="auto" w:fill="auto"/>
            <w:vAlign w:val="center"/>
          </w:tcPr>
          <w:p w14:paraId="7CB149BE">
            <w:pPr>
              <w:spacing w:line="240" w:lineRule="auto"/>
              <w:ind w:firstLine="0" w:firstLineChars="0"/>
              <w:jc w:val="center"/>
              <w:rPr>
                <w:rFonts w:hint="eastAsia" w:ascii="仿宋_GB2312" w:hAnsi="宋体"/>
                <w:sz w:val="20"/>
                <w:szCs w:val="20"/>
              </w:rPr>
            </w:pPr>
            <w:r>
              <w:rPr>
                <w:rFonts w:hint="eastAsia" w:ascii="仿宋_GB2312" w:hAnsi="宋体"/>
                <w:sz w:val="20"/>
                <w:szCs w:val="20"/>
              </w:rPr>
              <w:t>8</w:t>
            </w:r>
          </w:p>
        </w:tc>
        <w:tc>
          <w:tcPr>
            <w:tcW w:w="712" w:type="pct"/>
            <w:shd w:val="clear" w:color="auto" w:fill="auto"/>
            <w:vAlign w:val="center"/>
          </w:tcPr>
          <w:p w14:paraId="3866E5CD">
            <w:pPr>
              <w:spacing w:line="240" w:lineRule="auto"/>
              <w:ind w:firstLine="0" w:firstLineChars="0"/>
              <w:jc w:val="center"/>
              <w:rPr>
                <w:rFonts w:hint="eastAsia" w:ascii="仿宋_GB2312" w:hAnsi="宋体"/>
                <w:sz w:val="20"/>
                <w:szCs w:val="20"/>
              </w:rPr>
            </w:pPr>
            <w:r>
              <w:rPr>
                <w:rFonts w:hint="eastAsia" w:ascii="仿宋_GB2312" w:hAnsi="宋体"/>
                <w:sz w:val="20"/>
                <w:szCs w:val="20"/>
              </w:rPr>
              <w:t>17</w:t>
            </w:r>
          </w:p>
        </w:tc>
        <w:tc>
          <w:tcPr>
            <w:tcW w:w="712" w:type="pct"/>
            <w:shd w:val="clear" w:color="auto" w:fill="auto"/>
            <w:vAlign w:val="center"/>
          </w:tcPr>
          <w:p w14:paraId="5E8AB2FA">
            <w:pPr>
              <w:spacing w:line="240" w:lineRule="auto"/>
              <w:ind w:firstLine="0" w:firstLineChars="0"/>
              <w:jc w:val="center"/>
              <w:rPr>
                <w:rFonts w:hint="eastAsia" w:ascii="仿宋_GB2312" w:hAnsi="宋体"/>
                <w:sz w:val="20"/>
                <w:szCs w:val="20"/>
              </w:rPr>
            </w:pPr>
            <w:r>
              <w:rPr>
                <w:rFonts w:hint="eastAsia" w:ascii="仿宋_GB2312" w:hAnsi="宋体"/>
                <w:sz w:val="20"/>
                <w:szCs w:val="20"/>
              </w:rPr>
              <w:t>47</w:t>
            </w:r>
          </w:p>
        </w:tc>
        <w:tc>
          <w:tcPr>
            <w:tcW w:w="1439" w:type="pct"/>
            <w:shd w:val="clear" w:color="auto" w:fill="auto"/>
            <w:vAlign w:val="center"/>
          </w:tcPr>
          <w:p w14:paraId="0A0101EE">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r>
      <w:tr w14:paraId="631B1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12" w:type="pct"/>
            <w:shd w:val="clear" w:color="auto" w:fill="auto"/>
            <w:vAlign w:val="center"/>
          </w:tcPr>
          <w:p w14:paraId="036D3FF7">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712" w:type="pct"/>
            <w:shd w:val="clear" w:color="auto" w:fill="auto"/>
            <w:vAlign w:val="center"/>
          </w:tcPr>
          <w:p w14:paraId="113B8C93">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712" w:type="pct"/>
            <w:shd w:val="clear" w:color="auto" w:fill="auto"/>
            <w:vAlign w:val="center"/>
          </w:tcPr>
          <w:p w14:paraId="348C8C77">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c>
          <w:tcPr>
            <w:tcW w:w="712" w:type="pct"/>
            <w:shd w:val="clear" w:color="auto" w:fill="auto"/>
            <w:vAlign w:val="center"/>
          </w:tcPr>
          <w:p w14:paraId="0EF57964">
            <w:pPr>
              <w:spacing w:line="240" w:lineRule="auto"/>
              <w:ind w:firstLine="0" w:firstLineChars="0"/>
              <w:jc w:val="center"/>
              <w:rPr>
                <w:rFonts w:hint="eastAsia" w:ascii="仿宋_GB2312" w:hAnsi="宋体"/>
                <w:sz w:val="20"/>
                <w:szCs w:val="20"/>
              </w:rPr>
            </w:pPr>
            <w:r>
              <w:rPr>
                <w:rFonts w:hint="eastAsia" w:ascii="仿宋_GB2312" w:hAnsi="宋体"/>
                <w:sz w:val="20"/>
                <w:szCs w:val="20"/>
              </w:rPr>
              <w:t>20</w:t>
            </w:r>
          </w:p>
        </w:tc>
        <w:tc>
          <w:tcPr>
            <w:tcW w:w="712" w:type="pct"/>
            <w:shd w:val="clear" w:color="auto" w:fill="auto"/>
            <w:vAlign w:val="center"/>
          </w:tcPr>
          <w:p w14:paraId="7A3EA1BB">
            <w:pPr>
              <w:spacing w:line="240" w:lineRule="auto"/>
              <w:ind w:firstLine="0" w:firstLineChars="0"/>
              <w:jc w:val="center"/>
              <w:rPr>
                <w:rFonts w:hint="eastAsia" w:ascii="仿宋_GB2312" w:hAnsi="宋体"/>
                <w:sz w:val="20"/>
                <w:szCs w:val="20"/>
              </w:rPr>
            </w:pPr>
            <w:r>
              <w:rPr>
                <w:rFonts w:hint="eastAsia" w:ascii="仿宋_GB2312" w:hAnsi="宋体"/>
                <w:sz w:val="20"/>
                <w:szCs w:val="20"/>
              </w:rPr>
              <w:t>59</w:t>
            </w:r>
          </w:p>
        </w:tc>
        <w:tc>
          <w:tcPr>
            <w:tcW w:w="1439" w:type="pct"/>
            <w:shd w:val="clear" w:color="auto" w:fill="auto"/>
            <w:vAlign w:val="center"/>
          </w:tcPr>
          <w:p w14:paraId="4FCF69CF">
            <w:pPr>
              <w:spacing w:line="240" w:lineRule="auto"/>
              <w:ind w:firstLine="0" w:firstLineChars="0"/>
              <w:jc w:val="center"/>
              <w:rPr>
                <w:rFonts w:hint="eastAsia" w:ascii="仿宋_GB2312" w:hAnsi="宋体"/>
                <w:sz w:val="20"/>
                <w:szCs w:val="20"/>
              </w:rPr>
            </w:pPr>
            <w:r>
              <w:rPr>
                <w:rFonts w:hint="eastAsia" w:ascii="仿宋_GB2312" w:hAnsi="宋体"/>
                <w:sz w:val="20"/>
                <w:szCs w:val="20"/>
              </w:rPr>
              <w:t>14</w:t>
            </w:r>
          </w:p>
        </w:tc>
      </w:tr>
    </w:tbl>
    <w:p w14:paraId="14264C01">
      <w:pPr>
        <w:adjustRightInd w:val="0"/>
        <w:snapToGrid w:val="0"/>
        <w:ind w:firstLine="0" w:firstLineChars="0"/>
        <w:jc w:val="center"/>
        <w:rPr>
          <w:rFonts w:cs="Times New Roman"/>
          <w:b/>
          <w:bCs/>
        </w:rPr>
      </w:pPr>
      <w:r>
        <w:rPr>
          <w:rFonts w:cs="Times New Roman"/>
          <w:b/>
          <w:bCs/>
        </w:rPr>
        <w:t>表6</w:t>
      </w:r>
      <w:r>
        <w:rPr>
          <w:rFonts w:hint="eastAsia" w:cs="Times New Roman"/>
          <w:b/>
          <w:bCs/>
        </w:rPr>
        <w:t>.3</w:t>
      </w:r>
      <w:r>
        <w:rPr>
          <w:rFonts w:cs="Times New Roman"/>
          <w:b/>
          <w:bCs/>
        </w:rPr>
        <w:t>-5 阜康市治理项目规划目标值 单位：km</w:t>
      </w:r>
      <w:r>
        <w:rPr>
          <w:rFonts w:cs="Times New Roman"/>
          <w:b/>
          <w:bCs/>
          <w:vertAlign w:val="superscript"/>
        </w:rPr>
        <w:t>2</w:t>
      </w:r>
    </w:p>
    <w:bookmarkEnd w:id="115"/>
    <w:tbl>
      <w:tblPr>
        <w:tblStyle w:val="48"/>
        <w:tblW w:w="5000" w:type="pct"/>
        <w:tblInd w:w="0" w:type="dxa"/>
        <w:tblLayout w:type="autofit"/>
        <w:tblCellMar>
          <w:top w:w="0" w:type="dxa"/>
          <w:left w:w="108" w:type="dxa"/>
          <w:bottom w:w="0" w:type="dxa"/>
          <w:right w:w="108" w:type="dxa"/>
        </w:tblCellMar>
      </w:tblPr>
      <w:tblGrid>
        <w:gridCol w:w="2052"/>
        <w:gridCol w:w="1027"/>
        <w:gridCol w:w="1027"/>
        <w:gridCol w:w="1027"/>
        <w:gridCol w:w="1346"/>
        <w:gridCol w:w="1027"/>
        <w:gridCol w:w="1023"/>
      </w:tblGrid>
      <w:tr w14:paraId="1CADEC1E">
        <w:tblPrEx>
          <w:tblCellMar>
            <w:top w:w="0" w:type="dxa"/>
            <w:left w:w="108" w:type="dxa"/>
            <w:bottom w:w="0" w:type="dxa"/>
            <w:right w:w="108" w:type="dxa"/>
          </w:tblCellMar>
        </w:tblPrEx>
        <w:trPr>
          <w:trHeight w:val="720" w:hRule="atLeast"/>
        </w:trPr>
        <w:tc>
          <w:tcPr>
            <w:tcW w:w="1203"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39306B8">
            <w:pPr>
              <w:spacing w:line="240" w:lineRule="auto"/>
              <w:ind w:firstLine="0" w:firstLineChars="0"/>
              <w:jc w:val="center"/>
              <w:rPr>
                <w:rFonts w:hint="eastAsia" w:ascii="仿宋_GB2312" w:hAnsi="宋体"/>
                <w:sz w:val="20"/>
                <w:szCs w:val="20"/>
              </w:rPr>
            </w:pPr>
            <w:r>
              <w:rPr>
                <w:rFonts w:hint="eastAsia" w:ascii="仿宋_GB2312" w:hAnsi="宋体"/>
                <w:sz w:val="20"/>
                <w:szCs w:val="20"/>
              </w:rPr>
              <w:t>分区</w:t>
            </w:r>
          </w:p>
        </w:tc>
        <w:tc>
          <w:tcPr>
            <w:tcW w:w="602"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A75AD90">
            <w:pPr>
              <w:spacing w:line="240" w:lineRule="auto"/>
              <w:ind w:firstLine="0" w:firstLineChars="0"/>
              <w:jc w:val="center"/>
              <w:rPr>
                <w:rFonts w:hint="eastAsia" w:ascii="仿宋_GB2312" w:hAnsi="宋体"/>
                <w:sz w:val="20"/>
                <w:szCs w:val="20"/>
              </w:rPr>
            </w:pPr>
            <w:r>
              <w:rPr>
                <w:rFonts w:hint="eastAsia" w:ascii="仿宋_GB2312" w:hAnsi="宋体"/>
                <w:sz w:val="20"/>
                <w:szCs w:val="20"/>
              </w:rPr>
              <w:t>规划时段</w:t>
            </w:r>
          </w:p>
        </w:tc>
        <w:tc>
          <w:tcPr>
            <w:tcW w:w="1992" w:type="pct"/>
            <w:gridSpan w:val="3"/>
            <w:tcBorders>
              <w:top w:val="single" w:color="auto" w:sz="4" w:space="0"/>
              <w:left w:val="nil"/>
              <w:bottom w:val="single" w:color="auto" w:sz="4" w:space="0"/>
              <w:right w:val="single" w:color="auto" w:sz="4" w:space="0"/>
            </w:tcBorders>
            <w:shd w:val="clear" w:color="auto" w:fill="auto"/>
            <w:vAlign w:val="center"/>
          </w:tcPr>
          <w:p w14:paraId="1F905CA9">
            <w:pPr>
              <w:spacing w:line="240" w:lineRule="auto"/>
              <w:ind w:firstLine="0" w:firstLineChars="0"/>
              <w:jc w:val="center"/>
              <w:rPr>
                <w:rFonts w:hint="eastAsia" w:ascii="仿宋_GB2312" w:hAnsi="宋体"/>
                <w:sz w:val="20"/>
                <w:szCs w:val="20"/>
              </w:rPr>
            </w:pPr>
            <w:r>
              <w:rPr>
                <w:rFonts w:hint="eastAsia" w:ascii="仿宋_GB2312" w:hAnsi="宋体"/>
                <w:sz w:val="20"/>
                <w:szCs w:val="20"/>
              </w:rPr>
              <w:t>绿洲防护生态安全保障体系</w:t>
            </w:r>
          </w:p>
        </w:tc>
        <w:tc>
          <w:tcPr>
            <w:tcW w:w="1203" w:type="pct"/>
            <w:gridSpan w:val="2"/>
            <w:tcBorders>
              <w:top w:val="single" w:color="auto" w:sz="4" w:space="0"/>
              <w:left w:val="nil"/>
              <w:bottom w:val="single" w:color="auto" w:sz="4" w:space="0"/>
              <w:right w:val="single" w:color="auto" w:sz="4" w:space="0"/>
            </w:tcBorders>
            <w:shd w:val="clear" w:color="auto" w:fill="auto"/>
            <w:vAlign w:val="center"/>
          </w:tcPr>
          <w:p w14:paraId="003F6FBA">
            <w:pPr>
              <w:spacing w:line="240" w:lineRule="auto"/>
              <w:ind w:firstLine="0" w:firstLineChars="0"/>
              <w:jc w:val="center"/>
              <w:rPr>
                <w:rFonts w:hint="eastAsia" w:ascii="仿宋_GB2312" w:hAnsi="宋体"/>
                <w:sz w:val="20"/>
                <w:szCs w:val="20"/>
              </w:rPr>
            </w:pPr>
            <w:r>
              <w:rPr>
                <w:rFonts w:hint="eastAsia" w:ascii="仿宋_GB2312" w:hAnsi="宋体"/>
                <w:sz w:val="20"/>
                <w:szCs w:val="20"/>
              </w:rPr>
              <w:t>重点区域（流域）和重要行业水土保持综合治理体系</w:t>
            </w:r>
          </w:p>
        </w:tc>
      </w:tr>
      <w:tr w14:paraId="208BA47B">
        <w:tblPrEx>
          <w:tblCellMar>
            <w:top w:w="0" w:type="dxa"/>
            <w:left w:w="108" w:type="dxa"/>
            <w:bottom w:w="0" w:type="dxa"/>
            <w:right w:w="108" w:type="dxa"/>
          </w:tblCellMar>
        </w:tblPrEx>
        <w:trPr>
          <w:trHeight w:val="800" w:hRule="atLeast"/>
        </w:trPr>
        <w:tc>
          <w:tcPr>
            <w:tcW w:w="1203" w:type="pct"/>
            <w:vMerge w:val="continue"/>
            <w:tcBorders>
              <w:top w:val="single" w:color="auto" w:sz="4" w:space="0"/>
              <w:left w:val="single" w:color="auto" w:sz="4" w:space="0"/>
              <w:bottom w:val="single" w:color="auto" w:sz="4" w:space="0"/>
              <w:right w:val="single" w:color="auto" w:sz="4" w:space="0"/>
            </w:tcBorders>
            <w:vAlign w:val="center"/>
          </w:tcPr>
          <w:p w14:paraId="5748018E">
            <w:pPr>
              <w:spacing w:line="240" w:lineRule="auto"/>
              <w:ind w:firstLine="0" w:firstLineChars="0"/>
              <w:rPr>
                <w:rFonts w:hint="eastAsia" w:ascii="仿宋_GB2312" w:hAnsi="宋体"/>
                <w:sz w:val="20"/>
                <w:szCs w:val="20"/>
              </w:rPr>
            </w:pPr>
          </w:p>
        </w:tc>
        <w:tc>
          <w:tcPr>
            <w:tcW w:w="602" w:type="pct"/>
            <w:vMerge w:val="continue"/>
            <w:tcBorders>
              <w:top w:val="single" w:color="auto" w:sz="4" w:space="0"/>
              <w:left w:val="single" w:color="auto" w:sz="4" w:space="0"/>
              <w:bottom w:val="single" w:color="auto" w:sz="4" w:space="0"/>
              <w:right w:val="single" w:color="auto" w:sz="4" w:space="0"/>
            </w:tcBorders>
            <w:vAlign w:val="center"/>
          </w:tcPr>
          <w:p w14:paraId="007097D4">
            <w:pPr>
              <w:spacing w:line="240" w:lineRule="auto"/>
              <w:ind w:firstLine="0" w:firstLineChars="0"/>
              <w:rPr>
                <w:rFonts w:hint="eastAsia" w:ascii="仿宋_GB2312" w:hAnsi="宋体"/>
                <w:sz w:val="20"/>
                <w:szCs w:val="20"/>
              </w:rPr>
            </w:pPr>
          </w:p>
        </w:tc>
        <w:tc>
          <w:tcPr>
            <w:tcW w:w="602" w:type="pct"/>
            <w:tcBorders>
              <w:top w:val="nil"/>
              <w:left w:val="nil"/>
              <w:bottom w:val="single" w:color="auto" w:sz="4" w:space="0"/>
              <w:right w:val="single" w:color="auto" w:sz="4" w:space="0"/>
            </w:tcBorders>
            <w:shd w:val="clear" w:color="auto" w:fill="auto"/>
            <w:vAlign w:val="center"/>
          </w:tcPr>
          <w:p w14:paraId="7A7D616D">
            <w:pPr>
              <w:spacing w:line="240" w:lineRule="auto"/>
              <w:ind w:firstLine="0" w:firstLineChars="0"/>
              <w:jc w:val="center"/>
              <w:rPr>
                <w:rFonts w:hint="eastAsia" w:ascii="仿宋_GB2312" w:hAnsi="宋体"/>
                <w:sz w:val="20"/>
                <w:szCs w:val="20"/>
              </w:rPr>
            </w:pPr>
            <w:r>
              <w:rPr>
                <w:rFonts w:hint="eastAsia" w:ascii="仿宋_GB2312" w:hAnsi="宋体"/>
                <w:sz w:val="20"/>
                <w:szCs w:val="20"/>
              </w:rPr>
              <w:t>侵蚀沟综合治理工程（条）</w:t>
            </w:r>
          </w:p>
        </w:tc>
        <w:tc>
          <w:tcPr>
            <w:tcW w:w="602" w:type="pct"/>
            <w:tcBorders>
              <w:top w:val="nil"/>
              <w:left w:val="nil"/>
              <w:bottom w:val="single" w:color="auto" w:sz="4" w:space="0"/>
              <w:right w:val="single" w:color="auto" w:sz="4" w:space="0"/>
            </w:tcBorders>
            <w:shd w:val="clear" w:color="auto" w:fill="auto"/>
            <w:vAlign w:val="center"/>
          </w:tcPr>
          <w:p w14:paraId="370F8265">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荒漠化治理工程（km</w:t>
            </w:r>
            <w:r>
              <w:rPr>
                <w:rFonts w:hint="eastAsia" w:ascii="仿宋_GB2312" w:hAnsi="宋体"/>
                <w:sz w:val="20"/>
                <w:szCs w:val="20"/>
                <w:vertAlign w:val="superscript"/>
              </w:rPr>
              <w:t>2</w:t>
            </w:r>
            <w:r>
              <w:rPr>
                <w:rFonts w:hint="eastAsia" w:ascii="仿宋_GB2312" w:hAnsi="宋体"/>
                <w:sz w:val="20"/>
                <w:szCs w:val="20"/>
              </w:rPr>
              <w:t>）</w:t>
            </w:r>
          </w:p>
        </w:tc>
        <w:tc>
          <w:tcPr>
            <w:tcW w:w="789" w:type="pct"/>
            <w:tcBorders>
              <w:top w:val="nil"/>
              <w:left w:val="nil"/>
              <w:bottom w:val="single" w:color="auto" w:sz="4" w:space="0"/>
              <w:right w:val="single" w:color="auto" w:sz="4" w:space="0"/>
            </w:tcBorders>
            <w:shd w:val="clear" w:color="auto" w:fill="auto"/>
            <w:vAlign w:val="center"/>
          </w:tcPr>
          <w:p w14:paraId="690A1C01">
            <w:pPr>
              <w:spacing w:line="240" w:lineRule="auto"/>
              <w:ind w:firstLine="0" w:firstLineChars="0"/>
              <w:jc w:val="center"/>
              <w:rPr>
                <w:rFonts w:hint="eastAsia" w:ascii="仿宋_GB2312" w:hAnsi="宋体"/>
                <w:sz w:val="20"/>
                <w:szCs w:val="20"/>
              </w:rPr>
            </w:pPr>
            <w:r>
              <w:rPr>
                <w:rFonts w:hint="eastAsia" w:ascii="仿宋_GB2312" w:hAnsi="宋体"/>
                <w:sz w:val="20"/>
                <w:szCs w:val="20"/>
              </w:rPr>
              <w:t>城郊型清洁小流域建设（km</w:t>
            </w:r>
            <w:r>
              <w:rPr>
                <w:rFonts w:hint="eastAsia" w:ascii="仿宋_GB2312" w:hAnsi="宋体"/>
                <w:sz w:val="20"/>
                <w:szCs w:val="20"/>
                <w:vertAlign w:val="superscript"/>
              </w:rPr>
              <w:t>2</w:t>
            </w:r>
            <w:r>
              <w:rPr>
                <w:rFonts w:hint="eastAsia" w:ascii="仿宋_GB2312" w:hAnsi="宋体"/>
                <w:sz w:val="20"/>
                <w:szCs w:val="20"/>
              </w:rPr>
              <w:t>）</w:t>
            </w:r>
          </w:p>
        </w:tc>
        <w:tc>
          <w:tcPr>
            <w:tcW w:w="602" w:type="pct"/>
            <w:tcBorders>
              <w:top w:val="nil"/>
              <w:left w:val="nil"/>
              <w:bottom w:val="single" w:color="auto" w:sz="4" w:space="0"/>
              <w:right w:val="single" w:color="auto" w:sz="4" w:space="0"/>
            </w:tcBorders>
            <w:shd w:val="clear" w:color="auto" w:fill="auto"/>
            <w:vAlign w:val="center"/>
          </w:tcPr>
          <w:p w14:paraId="43E13EDC">
            <w:pPr>
              <w:spacing w:line="240" w:lineRule="auto"/>
              <w:ind w:firstLine="0" w:firstLineChars="0"/>
              <w:jc w:val="center"/>
              <w:rPr>
                <w:rFonts w:hint="eastAsia" w:ascii="仿宋_GB2312" w:hAnsi="宋体"/>
                <w:sz w:val="20"/>
                <w:szCs w:val="20"/>
              </w:rPr>
            </w:pPr>
            <w:r>
              <w:rPr>
                <w:rFonts w:hint="eastAsia" w:ascii="仿宋_GB2312" w:hAnsi="宋体"/>
                <w:sz w:val="20"/>
                <w:szCs w:val="20"/>
              </w:rPr>
              <w:t>生态修复（km</w:t>
            </w:r>
            <w:r>
              <w:rPr>
                <w:rFonts w:hint="eastAsia" w:ascii="仿宋_GB2312" w:hAnsi="宋体"/>
                <w:sz w:val="20"/>
                <w:szCs w:val="20"/>
                <w:vertAlign w:val="superscript"/>
              </w:rPr>
              <w:t>2</w:t>
            </w:r>
            <w:r>
              <w:rPr>
                <w:rFonts w:hint="eastAsia" w:ascii="仿宋_GB2312" w:hAnsi="宋体"/>
                <w:sz w:val="20"/>
                <w:szCs w:val="20"/>
              </w:rPr>
              <w:t>）</w:t>
            </w:r>
          </w:p>
        </w:tc>
        <w:tc>
          <w:tcPr>
            <w:tcW w:w="602" w:type="pct"/>
            <w:tcBorders>
              <w:top w:val="nil"/>
              <w:left w:val="nil"/>
              <w:bottom w:val="single" w:color="auto" w:sz="4" w:space="0"/>
              <w:right w:val="single" w:color="auto" w:sz="4" w:space="0"/>
            </w:tcBorders>
            <w:shd w:val="clear" w:color="auto" w:fill="auto"/>
            <w:vAlign w:val="center"/>
          </w:tcPr>
          <w:p w14:paraId="3335585D">
            <w:pPr>
              <w:spacing w:line="240" w:lineRule="auto"/>
              <w:ind w:firstLine="0" w:firstLineChars="0"/>
              <w:jc w:val="center"/>
              <w:rPr>
                <w:rFonts w:hint="eastAsia" w:ascii="仿宋_GB2312" w:hAnsi="宋体"/>
                <w:sz w:val="20"/>
                <w:szCs w:val="20"/>
              </w:rPr>
            </w:pPr>
            <w:r>
              <w:rPr>
                <w:rFonts w:hint="eastAsia" w:ascii="仿宋_GB2312" w:hAnsi="宋体"/>
                <w:sz w:val="20"/>
                <w:szCs w:val="20"/>
              </w:rPr>
              <w:t>土地整治工程（km</w:t>
            </w:r>
            <w:r>
              <w:rPr>
                <w:rFonts w:hint="eastAsia" w:ascii="仿宋_GB2312" w:hAnsi="宋体"/>
                <w:sz w:val="20"/>
                <w:szCs w:val="20"/>
                <w:vertAlign w:val="superscript"/>
              </w:rPr>
              <w:t>2</w:t>
            </w:r>
            <w:r>
              <w:rPr>
                <w:rFonts w:hint="eastAsia" w:ascii="仿宋_GB2312" w:hAnsi="宋体"/>
                <w:sz w:val="20"/>
                <w:szCs w:val="20"/>
              </w:rPr>
              <w:t>）</w:t>
            </w:r>
          </w:p>
        </w:tc>
      </w:tr>
      <w:tr w14:paraId="7CC55AC4">
        <w:tblPrEx>
          <w:tblCellMar>
            <w:top w:w="0" w:type="dxa"/>
            <w:left w:w="108" w:type="dxa"/>
            <w:bottom w:w="0" w:type="dxa"/>
            <w:right w:w="108" w:type="dxa"/>
          </w:tblCellMar>
        </w:tblPrEx>
        <w:trPr>
          <w:trHeight w:val="280" w:hRule="atLeast"/>
        </w:trPr>
        <w:tc>
          <w:tcPr>
            <w:tcW w:w="1203" w:type="pct"/>
            <w:vMerge w:val="restart"/>
            <w:tcBorders>
              <w:top w:val="nil"/>
              <w:left w:val="single" w:color="auto" w:sz="4" w:space="0"/>
              <w:bottom w:val="single" w:color="auto" w:sz="4" w:space="0"/>
              <w:right w:val="single" w:color="auto" w:sz="4" w:space="0"/>
            </w:tcBorders>
            <w:shd w:val="clear" w:color="auto" w:fill="auto"/>
            <w:vAlign w:val="center"/>
          </w:tcPr>
          <w:p w14:paraId="2831BB1B">
            <w:pPr>
              <w:spacing w:line="240" w:lineRule="auto"/>
              <w:ind w:firstLine="0" w:firstLineChars="0"/>
              <w:jc w:val="center"/>
              <w:rPr>
                <w:rFonts w:hint="eastAsia" w:ascii="仿宋_GB2312" w:hAnsi="宋体"/>
                <w:sz w:val="20"/>
                <w:szCs w:val="20"/>
              </w:rPr>
            </w:pPr>
            <w:r>
              <w:rPr>
                <w:rFonts w:hint="eastAsia" w:ascii="仿宋_GB2312" w:hAnsi="宋体"/>
                <w:sz w:val="20"/>
                <w:szCs w:val="20"/>
              </w:rPr>
              <w:t>南部中山丘陵水源涵养生态保护区</w:t>
            </w:r>
          </w:p>
        </w:tc>
        <w:tc>
          <w:tcPr>
            <w:tcW w:w="602" w:type="pct"/>
            <w:tcBorders>
              <w:top w:val="nil"/>
              <w:left w:val="nil"/>
              <w:bottom w:val="single" w:color="auto" w:sz="4" w:space="0"/>
              <w:right w:val="single" w:color="auto" w:sz="4" w:space="0"/>
            </w:tcBorders>
            <w:shd w:val="clear" w:color="auto" w:fill="auto"/>
            <w:vAlign w:val="center"/>
          </w:tcPr>
          <w:p w14:paraId="16E3CC09">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2" w:type="pct"/>
            <w:tcBorders>
              <w:top w:val="nil"/>
              <w:left w:val="nil"/>
              <w:bottom w:val="single" w:color="auto" w:sz="4" w:space="0"/>
              <w:right w:val="single" w:color="auto" w:sz="4" w:space="0"/>
            </w:tcBorders>
            <w:shd w:val="clear" w:color="auto" w:fill="auto"/>
            <w:vAlign w:val="center"/>
          </w:tcPr>
          <w:p w14:paraId="3C1724D9">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5EED7FC8">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789" w:type="pct"/>
            <w:tcBorders>
              <w:top w:val="nil"/>
              <w:left w:val="nil"/>
              <w:bottom w:val="single" w:color="auto" w:sz="4" w:space="0"/>
              <w:right w:val="single" w:color="auto" w:sz="4" w:space="0"/>
            </w:tcBorders>
            <w:shd w:val="clear" w:color="auto" w:fill="auto"/>
            <w:vAlign w:val="center"/>
          </w:tcPr>
          <w:p w14:paraId="584C0B86">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7862F4C9">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602" w:type="pct"/>
            <w:tcBorders>
              <w:top w:val="nil"/>
              <w:left w:val="nil"/>
              <w:bottom w:val="single" w:color="auto" w:sz="4" w:space="0"/>
              <w:right w:val="single" w:color="auto" w:sz="4" w:space="0"/>
            </w:tcBorders>
            <w:shd w:val="clear" w:color="auto" w:fill="auto"/>
            <w:vAlign w:val="center"/>
          </w:tcPr>
          <w:p w14:paraId="0755AC7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279F1517">
        <w:tblPrEx>
          <w:tblCellMar>
            <w:top w:w="0" w:type="dxa"/>
            <w:left w:w="108" w:type="dxa"/>
            <w:bottom w:w="0" w:type="dxa"/>
            <w:right w:w="108" w:type="dxa"/>
          </w:tblCellMar>
        </w:tblPrEx>
        <w:trPr>
          <w:trHeight w:val="280" w:hRule="atLeast"/>
        </w:trPr>
        <w:tc>
          <w:tcPr>
            <w:tcW w:w="1203" w:type="pct"/>
            <w:vMerge w:val="continue"/>
            <w:tcBorders>
              <w:top w:val="nil"/>
              <w:left w:val="single" w:color="auto" w:sz="4" w:space="0"/>
              <w:bottom w:val="single" w:color="auto" w:sz="4" w:space="0"/>
              <w:right w:val="single" w:color="auto" w:sz="4" w:space="0"/>
            </w:tcBorders>
            <w:vAlign w:val="center"/>
          </w:tcPr>
          <w:p w14:paraId="3A380ABD">
            <w:pPr>
              <w:spacing w:line="240" w:lineRule="auto"/>
              <w:ind w:firstLine="0" w:firstLineChars="0"/>
              <w:rPr>
                <w:rFonts w:hint="eastAsia" w:ascii="仿宋_GB2312" w:hAnsi="宋体"/>
                <w:sz w:val="20"/>
                <w:szCs w:val="20"/>
              </w:rPr>
            </w:pPr>
          </w:p>
        </w:tc>
        <w:tc>
          <w:tcPr>
            <w:tcW w:w="602" w:type="pct"/>
            <w:tcBorders>
              <w:top w:val="nil"/>
              <w:left w:val="nil"/>
              <w:bottom w:val="single" w:color="auto" w:sz="4" w:space="0"/>
              <w:right w:val="single" w:color="auto" w:sz="4" w:space="0"/>
            </w:tcBorders>
            <w:shd w:val="clear" w:color="auto" w:fill="auto"/>
            <w:vAlign w:val="center"/>
          </w:tcPr>
          <w:p w14:paraId="1300C01E">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2" w:type="pct"/>
            <w:tcBorders>
              <w:top w:val="nil"/>
              <w:left w:val="nil"/>
              <w:bottom w:val="single" w:color="auto" w:sz="4" w:space="0"/>
              <w:right w:val="single" w:color="auto" w:sz="4" w:space="0"/>
            </w:tcBorders>
            <w:shd w:val="clear" w:color="auto" w:fill="auto"/>
            <w:vAlign w:val="center"/>
          </w:tcPr>
          <w:p w14:paraId="1ED6EF01">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369BC45E">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789" w:type="pct"/>
            <w:tcBorders>
              <w:top w:val="nil"/>
              <w:left w:val="nil"/>
              <w:bottom w:val="single" w:color="auto" w:sz="4" w:space="0"/>
              <w:right w:val="single" w:color="auto" w:sz="4" w:space="0"/>
            </w:tcBorders>
            <w:shd w:val="clear" w:color="auto" w:fill="auto"/>
            <w:vAlign w:val="center"/>
          </w:tcPr>
          <w:p w14:paraId="10C91D2C">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0E70DE5B">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c>
          <w:tcPr>
            <w:tcW w:w="602" w:type="pct"/>
            <w:tcBorders>
              <w:top w:val="nil"/>
              <w:left w:val="nil"/>
              <w:bottom w:val="single" w:color="auto" w:sz="4" w:space="0"/>
              <w:right w:val="single" w:color="auto" w:sz="4" w:space="0"/>
            </w:tcBorders>
            <w:shd w:val="clear" w:color="auto" w:fill="auto"/>
            <w:vAlign w:val="center"/>
          </w:tcPr>
          <w:p w14:paraId="1B0EF378">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19205633">
        <w:tblPrEx>
          <w:tblCellMar>
            <w:top w:w="0" w:type="dxa"/>
            <w:left w:w="108" w:type="dxa"/>
            <w:bottom w:w="0" w:type="dxa"/>
            <w:right w:w="108" w:type="dxa"/>
          </w:tblCellMar>
        </w:tblPrEx>
        <w:trPr>
          <w:trHeight w:val="420" w:hRule="atLeast"/>
        </w:trPr>
        <w:tc>
          <w:tcPr>
            <w:tcW w:w="1203" w:type="pct"/>
            <w:vMerge w:val="restart"/>
            <w:tcBorders>
              <w:top w:val="nil"/>
              <w:left w:val="single" w:color="auto" w:sz="4" w:space="0"/>
              <w:bottom w:val="single" w:color="auto" w:sz="4" w:space="0"/>
              <w:right w:val="single" w:color="auto" w:sz="4" w:space="0"/>
            </w:tcBorders>
            <w:shd w:val="clear" w:color="auto" w:fill="auto"/>
            <w:vAlign w:val="center"/>
          </w:tcPr>
          <w:p w14:paraId="1CF8ECAC">
            <w:pPr>
              <w:spacing w:line="240" w:lineRule="auto"/>
              <w:ind w:firstLine="0" w:firstLineChars="0"/>
              <w:jc w:val="center"/>
              <w:rPr>
                <w:rFonts w:hint="eastAsia" w:ascii="仿宋_GB2312" w:hAnsi="宋体"/>
                <w:sz w:val="20"/>
                <w:szCs w:val="20"/>
              </w:rPr>
            </w:pPr>
            <w:r>
              <w:rPr>
                <w:rFonts w:hint="eastAsia" w:ascii="仿宋_GB2312" w:hAnsi="宋体"/>
                <w:sz w:val="20"/>
                <w:szCs w:val="20"/>
              </w:rPr>
              <w:t>南部低山丘陵土壤保持区</w:t>
            </w:r>
          </w:p>
        </w:tc>
        <w:tc>
          <w:tcPr>
            <w:tcW w:w="602" w:type="pct"/>
            <w:tcBorders>
              <w:top w:val="nil"/>
              <w:left w:val="nil"/>
              <w:bottom w:val="single" w:color="auto" w:sz="4" w:space="0"/>
              <w:right w:val="single" w:color="auto" w:sz="4" w:space="0"/>
            </w:tcBorders>
            <w:shd w:val="clear" w:color="auto" w:fill="auto"/>
            <w:vAlign w:val="center"/>
          </w:tcPr>
          <w:p w14:paraId="149C49BF">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2" w:type="pct"/>
            <w:tcBorders>
              <w:top w:val="nil"/>
              <w:left w:val="nil"/>
              <w:bottom w:val="single" w:color="auto" w:sz="4" w:space="0"/>
              <w:right w:val="single" w:color="auto" w:sz="4" w:space="0"/>
            </w:tcBorders>
            <w:shd w:val="clear" w:color="auto" w:fill="auto"/>
            <w:vAlign w:val="center"/>
          </w:tcPr>
          <w:p w14:paraId="4AC5CDE6">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602" w:type="pct"/>
            <w:tcBorders>
              <w:top w:val="nil"/>
              <w:left w:val="nil"/>
              <w:bottom w:val="single" w:color="auto" w:sz="4" w:space="0"/>
              <w:right w:val="single" w:color="auto" w:sz="4" w:space="0"/>
            </w:tcBorders>
            <w:shd w:val="clear" w:color="auto" w:fill="auto"/>
            <w:vAlign w:val="center"/>
          </w:tcPr>
          <w:p w14:paraId="2178BC29">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789" w:type="pct"/>
            <w:tcBorders>
              <w:top w:val="nil"/>
              <w:left w:val="nil"/>
              <w:bottom w:val="single" w:color="auto" w:sz="4" w:space="0"/>
              <w:right w:val="single" w:color="auto" w:sz="4" w:space="0"/>
            </w:tcBorders>
            <w:shd w:val="clear" w:color="auto" w:fill="auto"/>
            <w:vAlign w:val="center"/>
          </w:tcPr>
          <w:p w14:paraId="2FD72EF0">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602" w:type="pct"/>
            <w:tcBorders>
              <w:top w:val="nil"/>
              <w:left w:val="nil"/>
              <w:bottom w:val="single" w:color="auto" w:sz="4" w:space="0"/>
              <w:right w:val="single" w:color="auto" w:sz="4" w:space="0"/>
            </w:tcBorders>
            <w:shd w:val="clear" w:color="auto" w:fill="auto"/>
            <w:vAlign w:val="center"/>
          </w:tcPr>
          <w:p w14:paraId="6D306FF2">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602" w:type="pct"/>
            <w:tcBorders>
              <w:top w:val="nil"/>
              <w:left w:val="nil"/>
              <w:bottom w:val="single" w:color="auto" w:sz="4" w:space="0"/>
              <w:right w:val="single" w:color="auto" w:sz="4" w:space="0"/>
            </w:tcBorders>
            <w:shd w:val="clear" w:color="auto" w:fill="auto"/>
            <w:vAlign w:val="center"/>
          </w:tcPr>
          <w:p w14:paraId="7643910B">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r>
      <w:tr w14:paraId="23271E3A">
        <w:tblPrEx>
          <w:tblCellMar>
            <w:top w:w="0" w:type="dxa"/>
            <w:left w:w="108" w:type="dxa"/>
            <w:bottom w:w="0" w:type="dxa"/>
            <w:right w:w="108" w:type="dxa"/>
          </w:tblCellMar>
        </w:tblPrEx>
        <w:trPr>
          <w:trHeight w:val="280" w:hRule="atLeast"/>
        </w:trPr>
        <w:tc>
          <w:tcPr>
            <w:tcW w:w="1203" w:type="pct"/>
            <w:vMerge w:val="continue"/>
            <w:tcBorders>
              <w:top w:val="nil"/>
              <w:left w:val="single" w:color="auto" w:sz="4" w:space="0"/>
              <w:bottom w:val="single" w:color="auto" w:sz="4" w:space="0"/>
              <w:right w:val="single" w:color="auto" w:sz="4" w:space="0"/>
            </w:tcBorders>
            <w:vAlign w:val="center"/>
          </w:tcPr>
          <w:p w14:paraId="0897981B">
            <w:pPr>
              <w:spacing w:line="240" w:lineRule="auto"/>
              <w:ind w:firstLine="0" w:firstLineChars="0"/>
              <w:rPr>
                <w:rFonts w:hint="eastAsia" w:ascii="仿宋_GB2312" w:hAnsi="宋体"/>
                <w:sz w:val="20"/>
                <w:szCs w:val="20"/>
              </w:rPr>
            </w:pPr>
          </w:p>
        </w:tc>
        <w:tc>
          <w:tcPr>
            <w:tcW w:w="602" w:type="pct"/>
            <w:tcBorders>
              <w:top w:val="nil"/>
              <w:left w:val="nil"/>
              <w:bottom w:val="single" w:color="auto" w:sz="4" w:space="0"/>
              <w:right w:val="single" w:color="auto" w:sz="4" w:space="0"/>
            </w:tcBorders>
            <w:shd w:val="clear" w:color="auto" w:fill="auto"/>
            <w:vAlign w:val="center"/>
          </w:tcPr>
          <w:p w14:paraId="3AB2F26A">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2" w:type="pct"/>
            <w:tcBorders>
              <w:top w:val="nil"/>
              <w:left w:val="nil"/>
              <w:bottom w:val="single" w:color="auto" w:sz="4" w:space="0"/>
              <w:right w:val="single" w:color="auto" w:sz="4" w:space="0"/>
            </w:tcBorders>
            <w:shd w:val="clear" w:color="auto" w:fill="auto"/>
            <w:vAlign w:val="center"/>
          </w:tcPr>
          <w:p w14:paraId="7E0AA598">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602" w:type="pct"/>
            <w:tcBorders>
              <w:top w:val="nil"/>
              <w:left w:val="nil"/>
              <w:bottom w:val="single" w:color="auto" w:sz="4" w:space="0"/>
              <w:right w:val="single" w:color="auto" w:sz="4" w:space="0"/>
            </w:tcBorders>
            <w:shd w:val="clear" w:color="auto" w:fill="auto"/>
            <w:vAlign w:val="center"/>
          </w:tcPr>
          <w:p w14:paraId="797FB74B">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789" w:type="pct"/>
            <w:tcBorders>
              <w:top w:val="nil"/>
              <w:left w:val="nil"/>
              <w:bottom w:val="single" w:color="auto" w:sz="4" w:space="0"/>
              <w:right w:val="single" w:color="auto" w:sz="4" w:space="0"/>
            </w:tcBorders>
            <w:shd w:val="clear" w:color="auto" w:fill="auto"/>
            <w:vAlign w:val="center"/>
          </w:tcPr>
          <w:p w14:paraId="33A7BAD9">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602" w:type="pct"/>
            <w:tcBorders>
              <w:top w:val="nil"/>
              <w:left w:val="nil"/>
              <w:bottom w:val="single" w:color="auto" w:sz="4" w:space="0"/>
              <w:right w:val="single" w:color="auto" w:sz="4" w:space="0"/>
            </w:tcBorders>
            <w:shd w:val="clear" w:color="auto" w:fill="auto"/>
            <w:vAlign w:val="center"/>
          </w:tcPr>
          <w:p w14:paraId="44B7E163">
            <w:pPr>
              <w:spacing w:line="240" w:lineRule="auto"/>
              <w:ind w:firstLine="0" w:firstLineChars="0"/>
              <w:jc w:val="center"/>
              <w:rPr>
                <w:rFonts w:hint="eastAsia" w:ascii="仿宋_GB2312" w:hAnsi="宋体"/>
                <w:sz w:val="20"/>
                <w:szCs w:val="20"/>
              </w:rPr>
            </w:pPr>
            <w:r>
              <w:rPr>
                <w:rFonts w:hint="eastAsia" w:ascii="仿宋_GB2312" w:hAnsi="宋体"/>
                <w:sz w:val="20"/>
                <w:szCs w:val="20"/>
              </w:rPr>
              <w:t>16</w:t>
            </w:r>
          </w:p>
        </w:tc>
        <w:tc>
          <w:tcPr>
            <w:tcW w:w="602" w:type="pct"/>
            <w:tcBorders>
              <w:top w:val="nil"/>
              <w:left w:val="nil"/>
              <w:bottom w:val="single" w:color="auto" w:sz="4" w:space="0"/>
              <w:right w:val="single" w:color="auto" w:sz="4" w:space="0"/>
            </w:tcBorders>
            <w:shd w:val="clear" w:color="auto" w:fill="auto"/>
            <w:vAlign w:val="center"/>
          </w:tcPr>
          <w:p w14:paraId="5D4E628A">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r>
      <w:tr w14:paraId="4FFF06DE">
        <w:tblPrEx>
          <w:tblCellMar>
            <w:top w:w="0" w:type="dxa"/>
            <w:left w:w="108" w:type="dxa"/>
            <w:bottom w:w="0" w:type="dxa"/>
            <w:right w:w="108" w:type="dxa"/>
          </w:tblCellMar>
        </w:tblPrEx>
        <w:trPr>
          <w:trHeight w:val="280" w:hRule="atLeast"/>
        </w:trPr>
        <w:tc>
          <w:tcPr>
            <w:tcW w:w="1203" w:type="pct"/>
            <w:vMerge w:val="restart"/>
            <w:tcBorders>
              <w:top w:val="nil"/>
              <w:left w:val="single" w:color="auto" w:sz="4" w:space="0"/>
              <w:bottom w:val="single" w:color="auto" w:sz="4" w:space="0"/>
              <w:right w:val="single" w:color="auto" w:sz="4" w:space="0"/>
            </w:tcBorders>
            <w:shd w:val="clear" w:color="auto" w:fill="auto"/>
            <w:vAlign w:val="center"/>
          </w:tcPr>
          <w:p w14:paraId="2EBF6599">
            <w:pPr>
              <w:spacing w:line="240" w:lineRule="auto"/>
              <w:ind w:firstLine="0" w:firstLineChars="0"/>
              <w:jc w:val="center"/>
              <w:rPr>
                <w:rFonts w:hint="eastAsia" w:ascii="仿宋_GB2312" w:hAnsi="宋体"/>
                <w:sz w:val="20"/>
                <w:szCs w:val="20"/>
              </w:rPr>
            </w:pPr>
            <w:r>
              <w:rPr>
                <w:rFonts w:hint="eastAsia" w:ascii="仿宋_GB2312" w:hAnsi="宋体"/>
                <w:sz w:val="20"/>
                <w:szCs w:val="20"/>
              </w:rPr>
              <w:t>中部绿洲人居环境农田防护区</w:t>
            </w:r>
          </w:p>
        </w:tc>
        <w:tc>
          <w:tcPr>
            <w:tcW w:w="602" w:type="pct"/>
            <w:tcBorders>
              <w:top w:val="nil"/>
              <w:left w:val="nil"/>
              <w:bottom w:val="single" w:color="auto" w:sz="4" w:space="0"/>
              <w:right w:val="single" w:color="auto" w:sz="4" w:space="0"/>
            </w:tcBorders>
            <w:shd w:val="clear" w:color="auto" w:fill="auto"/>
            <w:vAlign w:val="center"/>
          </w:tcPr>
          <w:p w14:paraId="7FA95FD7">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2" w:type="pct"/>
            <w:tcBorders>
              <w:top w:val="nil"/>
              <w:left w:val="nil"/>
              <w:bottom w:val="single" w:color="auto" w:sz="4" w:space="0"/>
              <w:right w:val="single" w:color="auto" w:sz="4" w:space="0"/>
            </w:tcBorders>
            <w:shd w:val="clear" w:color="auto" w:fill="auto"/>
            <w:vAlign w:val="center"/>
          </w:tcPr>
          <w:p w14:paraId="1FCEC354">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5A2829AF">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789" w:type="pct"/>
            <w:tcBorders>
              <w:top w:val="nil"/>
              <w:left w:val="nil"/>
              <w:bottom w:val="single" w:color="auto" w:sz="4" w:space="0"/>
              <w:right w:val="single" w:color="auto" w:sz="4" w:space="0"/>
            </w:tcBorders>
            <w:shd w:val="clear" w:color="auto" w:fill="auto"/>
            <w:vAlign w:val="center"/>
          </w:tcPr>
          <w:p w14:paraId="51D3F2F1">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602" w:type="pct"/>
            <w:tcBorders>
              <w:top w:val="nil"/>
              <w:left w:val="nil"/>
              <w:bottom w:val="single" w:color="auto" w:sz="4" w:space="0"/>
              <w:right w:val="single" w:color="auto" w:sz="4" w:space="0"/>
            </w:tcBorders>
            <w:shd w:val="clear" w:color="auto" w:fill="auto"/>
            <w:vAlign w:val="center"/>
          </w:tcPr>
          <w:p w14:paraId="4B1BF59F">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602" w:type="pct"/>
            <w:tcBorders>
              <w:top w:val="nil"/>
              <w:left w:val="nil"/>
              <w:bottom w:val="single" w:color="auto" w:sz="4" w:space="0"/>
              <w:right w:val="single" w:color="auto" w:sz="4" w:space="0"/>
            </w:tcBorders>
            <w:shd w:val="clear" w:color="auto" w:fill="auto"/>
            <w:vAlign w:val="center"/>
          </w:tcPr>
          <w:p w14:paraId="0AAAA816">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r>
      <w:tr w14:paraId="498F6861">
        <w:tblPrEx>
          <w:tblCellMar>
            <w:top w:w="0" w:type="dxa"/>
            <w:left w:w="108" w:type="dxa"/>
            <w:bottom w:w="0" w:type="dxa"/>
            <w:right w:w="108" w:type="dxa"/>
          </w:tblCellMar>
        </w:tblPrEx>
        <w:trPr>
          <w:trHeight w:val="280" w:hRule="atLeast"/>
        </w:trPr>
        <w:tc>
          <w:tcPr>
            <w:tcW w:w="1203" w:type="pct"/>
            <w:vMerge w:val="continue"/>
            <w:tcBorders>
              <w:top w:val="nil"/>
              <w:left w:val="single" w:color="auto" w:sz="4" w:space="0"/>
              <w:bottom w:val="single" w:color="auto" w:sz="4" w:space="0"/>
              <w:right w:val="single" w:color="auto" w:sz="4" w:space="0"/>
            </w:tcBorders>
            <w:vAlign w:val="center"/>
          </w:tcPr>
          <w:p w14:paraId="05B7594E">
            <w:pPr>
              <w:spacing w:line="240" w:lineRule="auto"/>
              <w:ind w:firstLine="0" w:firstLineChars="0"/>
              <w:rPr>
                <w:rFonts w:hint="eastAsia" w:ascii="仿宋_GB2312" w:hAnsi="宋体"/>
                <w:sz w:val="20"/>
                <w:szCs w:val="20"/>
              </w:rPr>
            </w:pPr>
          </w:p>
        </w:tc>
        <w:tc>
          <w:tcPr>
            <w:tcW w:w="602" w:type="pct"/>
            <w:tcBorders>
              <w:top w:val="nil"/>
              <w:left w:val="nil"/>
              <w:bottom w:val="single" w:color="auto" w:sz="4" w:space="0"/>
              <w:right w:val="single" w:color="auto" w:sz="4" w:space="0"/>
            </w:tcBorders>
            <w:shd w:val="clear" w:color="auto" w:fill="auto"/>
            <w:vAlign w:val="center"/>
          </w:tcPr>
          <w:p w14:paraId="65E9B2F7">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2" w:type="pct"/>
            <w:tcBorders>
              <w:top w:val="nil"/>
              <w:left w:val="nil"/>
              <w:bottom w:val="single" w:color="auto" w:sz="4" w:space="0"/>
              <w:right w:val="single" w:color="auto" w:sz="4" w:space="0"/>
            </w:tcBorders>
            <w:shd w:val="clear" w:color="auto" w:fill="auto"/>
            <w:vAlign w:val="center"/>
          </w:tcPr>
          <w:p w14:paraId="51839F52">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4183F4B7">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789" w:type="pct"/>
            <w:tcBorders>
              <w:top w:val="nil"/>
              <w:left w:val="nil"/>
              <w:bottom w:val="single" w:color="auto" w:sz="4" w:space="0"/>
              <w:right w:val="single" w:color="auto" w:sz="4" w:space="0"/>
            </w:tcBorders>
            <w:shd w:val="clear" w:color="auto" w:fill="auto"/>
            <w:vAlign w:val="center"/>
          </w:tcPr>
          <w:p w14:paraId="7E4FE7D8">
            <w:pPr>
              <w:spacing w:line="240" w:lineRule="auto"/>
              <w:ind w:firstLine="0" w:firstLineChars="0"/>
              <w:jc w:val="center"/>
              <w:rPr>
                <w:rFonts w:hint="eastAsia" w:ascii="仿宋_GB2312" w:hAnsi="宋体"/>
                <w:sz w:val="20"/>
                <w:szCs w:val="20"/>
              </w:rPr>
            </w:pPr>
            <w:r>
              <w:rPr>
                <w:rFonts w:hint="eastAsia" w:ascii="仿宋_GB2312" w:hAnsi="宋体"/>
                <w:sz w:val="20"/>
                <w:szCs w:val="20"/>
              </w:rPr>
              <w:t>11</w:t>
            </w:r>
          </w:p>
        </w:tc>
        <w:tc>
          <w:tcPr>
            <w:tcW w:w="602" w:type="pct"/>
            <w:tcBorders>
              <w:top w:val="nil"/>
              <w:left w:val="nil"/>
              <w:bottom w:val="single" w:color="auto" w:sz="4" w:space="0"/>
              <w:right w:val="single" w:color="auto" w:sz="4" w:space="0"/>
            </w:tcBorders>
            <w:shd w:val="clear" w:color="auto" w:fill="auto"/>
            <w:vAlign w:val="center"/>
          </w:tcPr>
          <w:p w14:paraId="5A7E41BA">
            <w:pPr>
              <w:spacing w:line="240" w:lineRule="auto"/>
              <w:ind w:firstLine="0" w:firstLineChars="0"/>
              <w:jc w:val="center"/>
              <w:rPr>
                <w:rFonts w:hint="eastAsia" w:ascii="仿宋_GB2312" w:hAnsi="宋体"/>
                <w:sz w:val="20"/>
                <w:szCs w:val="20"/>
              </w:rPr>
            </w:pPr>
            <w:r>
              <w:rPr>
                <w:rFonts w:hint="eastAsia" w:ascii="仿宋_GB2312" w:hAnsi="宋体"/>
                <w:sz w:val="20"/>
                <w:szCs w:val="20"/>
              </w:rPr>
              <w:t>8</w:t>
            </w:r>
          </w:p>
        </w:tc>
        <w:tc>
          <w:tcPr>
            <w:tcW w:w="602" w:type="pct"/>
            <w:tcBorders>
              <w:top w:val="nil"/>
              <w:left w:val="nil"/>
              <w:bottom w:val="single" w:color="auto" w:sz="4" w:space="0"/>
              <w:right w:val="single" w:color="auto" w:sz="4" w:space="0"/>
            </w:tcBorders>
            <w:shd w:val="clear" w:color="auto" w:fill="auto"/>
            <w:vAlign w:val="center"/>
          </w:tcPr>
          <w:p w14:paraId="38AC6AF1">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r>
      <w:tr w14:paraId="7516B834">
        <w:tblPrEx>
          <w:tblCellMar>
            <w:top w:w="0" w:type="dxa"/>
            <w:left w:w="108" w:type="dxa"/>
            <w:bottom w:w="0" w:type="dxa"/>
            <w:right w:w="108" w:type="dxa"/>
          </w:tblCellMar>
        </w:tblPrEx>
        <w:trPr>
          <w:trHeight w:val="280" w:hRule="atLeast"/>
        </w:trPr>
        <w:tc>
          <w:tcPr>
            <w:tcW w:w="1203" w:type="pct"/>
            <w:vMerge w:val="restart"/>
            <w:tcBorders>
              <w:top w:val="nil"/>
              <w:left w:val="single" w:color="auto" w:sz="4" w:space="0"/>
              <w:bottom w:val="single" w:color="auto" w:sz="4" w:space="0"/>
              <w:right w:val="single" w:color="auto" w:sz="4" w:space="0"/>
            </w:tcBorders>
            <w:shd w:val="clear" w:color="auto" w:fill="auto"/>
            <w:vAlign w:val="center"/>
          </w:tcPr>
          <w:p w14:paraId="1DA4405C">
            <w:pPr>
              <w:spacing w:line="240" w:lineRule="auto"/>
              <w:ind w:firstLine="0" w:firstLineChars="0"/>
              <w:jc w:val="center"/>
              <w:rPr>
                <w:rFonts w:hint="eastAsia" w:ascii="仿宋_GB2312" w:hAnsi="宋体"/>
                <w:sz w:val="20"/>
                <w:szCs w:val="20"/>
              </w:rPr>
            </w:pPr>
            <w:r>
              <w:rPr>
                <w:rFonts w:hint="eastAsia" w:ascii="仿宋_GB2312" w:hAnsi="宋体"/>
                <w:sz w:val="20"/>
                <w:szCs w:val="20"/>
              </w:rPr>
              <w:t>北部荒漠生态维护防风治沙区</w:t>
            </w:r>
          </w:p>
        </w:tc>
        <w:tc>
          <w:tcPr>
            <w:tcW w:w="602" w:type="pct"/>
            <w:tcBorders>
              <w:top w:val="nil"/>
              <w:left w:val="nil"/>
              <w:bottom w:val="single" w:color="auto" w:sz="4" w:space="0"/>
              <w:right w:val="single" w:color="auto" w:sz="4" w:space="0"/>
            </w:tcBorders>
            <w:shd w:val="clear" w:color="auto" w:fill="auto"/>
            <w:vAlign w:val="center"/>
          </w:tcPr>
          <w:p w14:paraId="4145CB36">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2" w:type="pct"/>
            <w:tcBorders>
              <w:top w:val="nil"/>
              <w:left w:val="nil"/>
              <w:bottom w:val="single" w:color="auto" w:sz="4" w:space="0"/>
              <w:right w:val="single" w:color="auto" w:sz="4" w:space="0"/>
            </w:tcBorders>
            <w:shd w:val="clear" w:color="auto" w:fill="auto"/>
            <w:vAlign w:val="center"/>
          </w:tcPr>
          <w:p w14:paraId="2D919C87">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462EAC94">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789" w:type="pct"/>
            <w:tcBorders>
              <w:top w:val="nil"/>
              <w:left w:val="nil"/>
              <w:bottom w:val="single" w:color="auto" w:sz="4" w:space="0"/>
              <w:right w:val="single" w:color="auto" w:sz="4" w:space="0"/>
            </w:tcBorders>
            <w:shd w:val="clear" w:color="auto" w:fill="auto"/>
            <w:vAlign w:val="center"/>
          </w:tcPr>
          <w:p w14:paraId="079F72D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0B04BFF4">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602" w:type="pct"/>
            <w:tcBorders>
              <w:top w:val="nil"/>
              <w:left w:val="nil"/>
              <w:bottom w:val="single" w:color="auto" w:sz="4" w:space="0"/>
              <w:right w:val="single" w:color="auto" w:sz="4" w:space="0"/>
            </w:tcBorders>
            <w:shd w:val="clear" w:color="auto" w:fill="auto"/>
            <w:vAlign w:val="center"/>
          </w:tcPr>
          <w:p w14:paraId="5044A910">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750F42D6">
        <w:tblPrEx>
          <w:tblCellMar>
            <w:top w:w="0" w:type="dxa"/>
            <w:left w:w="108" w:type="dxa"/>
            <w:bottom w:w="0" w:type="dxa"/>
            <w:right w:w="108" w:type="dxa"/>
          </w:tblCellMar>
        </w:tblPrEx>
        <w:trPr>
          <w:trHeight w:val="280" w:hRule="atLeast"/>
        </w:trPr>
        <w:tc>
          <w:tcPr>
            <w:tcW w:w="1203" w:type="pct"/>
            <w:vMerge w:val="continue"/>
            <w:tcBorders>
              <w:top w:val="nil"/>
              <w:left w:val="single" w:color="auto" w:sz="4" w:space="0"/>
              <w:bottom w:val="single" w:color="auto" w:sz="4" w:space="0"/>
              <w:right w:val="single" w:color="auto" w:sz="4" w:space="0"/>
            </w:tcBorders>
            <w:vAlign w:val="center"/>
          </w:tcPr>
          <w:p w14:paraId="03A5AA97">
            <w:pPr>
              <w:spacing w:line="240" w:lineRule="auto"/>
              <w:ind w:firstLine="0" w:firstLineChars="0"/>
              <w:rPr>
                <w:rFonts w:hint="eastAsia" w:ascii="仿宋_GB2312" w:hAnsi="宋体"/>
                <w:sz w:val="20"/>
                <w:szCs w:val="20"/>
              </w:rPr>
            </w:pPr>
          </w:p>
        </w:tc>
        <w:tc>
          <w:tcPr>
            <w:tcW w:w="602" w:type="pct"/>
            <w:tcBorders>
              <w:top w:val="nil"/>
              <w:left w:val="nil"/>
              <w:bottom w:val="single" w:color="auto" w:sz="4" w:space="0"/>
              <w:right w:val="single" w:color="auto" w:sz="4" w:space="0"/>
            </w:tcBorders>
            <w:shd w:val="clear" w:color="auto" w:fill="auto"/>
            <w:vAlign w:val="center"/>
          </w:tcPr>
          <w:p w14:paraId="058E1489">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2" w:type="pct"/>
            <w:tcBorders>
              <w:top w:val="nil"/>
              <w:left w:val="nil"/>
              <w:bottom w:val="single" w:color="auto" w:sz="4" w:space="0"/>
              <w:right w:val="single" w:color="auto" w:sz="4" w:space="0"/>
            </w:tcBorders>
            <w:shd w:val="clear" w:color="auto" w:fill="auto"/>
            <w:vAlign w:val="center"/>
          </w:tcPr>
          <w:p w14:paraId="36B68FA8">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14B1E93D">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789" w:type="pct"/>
            <w:tcBorders>
              <w:top w:val="nil"/>
              <w:left w:val="nil"/>
              <w:bottom w:val="single" w:color="auto" w:sz="4" w:space="0"/>
              <w:right w:val="single" w:color="auto" w:sz="4" w:space="0"/>
            </w:tcBorders>
            <w:shd w:val="clear" w:color="auto" w:fill="auto"/>
            <w:vAlign w:val="center"/>
          </w:tcPr>
          <w:p w14:paraId="084D8E66">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602" w:type="pct"/>
            <w:tcBorders>
              <w:top w:val="nil"/>
              <w:left w:val="nil"/>
              <w:bottom w:val="single" w:color="auto" w:sz="4" w:space="0"/>
              <w:right w:val="single" w:color="auto" w:sz="4" w:space="0"/>
            </w:tcBorders>
            <w:shd w:val="clear" w:color="auto" w:fill="auto"/>
            <w:vAlign w:val="center"/>
          </w:tcPr>
          <w:p w14:paraId="225C8C3D">
            <w:pPr>
              <w:spacing w:line="240" w:lineRule="auto"/>
              <w:ind w:firstLine="0" w:firstLineChars="0"/>
              <w:jc w:val="center"/>
              <w:rPr>
                <w:rFonts w:hint="eastAsia" w:ascii="仿宋_GB2312" w:hAnsi="宋体"/>
                <w:sz w:val="20"/>
                <w:szCs w:val="20"/>
              </w:rPr>
            </w:pPr>
            <w:r>
              <w:rPr>
                <w:rFonts w:hint="eastAsia" w:ascii="仿宋_GB2312" w:hAnsi="宋体"/>
                <w:sz w:val="20"/>
                <w:szCs w:val="20"/>
              </w:rPr>
              <w:t>13</w:t>
            </w:r>
          </w:p>
        </w:tc>
        <w:tc>
          <w:tcPr>
            <w:tcW w:w="602" w:type="pct"/>
            <w:tcBorders>
              <w:top w:val="nil"/>
              <w:left w:val="nil"/>
              <w:bottom w:val="single" w:color="auto" w:sz="4" w:space="0"/>
              <w:right w:val="single" w:color="auto" w:sz="4" w:space="0"/>
            </w:tcBorders>
            <w:shd w:val="clear" w:color="auto" w:fill="auto"/>
            <w:vAlign w:val="center"/>
          </w:tcPr>
          <w:p w14:paraId="537CC7F1">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220B8926">
        <w:tblPrEx>
          <w:tblCellMar>
            <w:top w:w="0" w:type="dxa"/>
            <w:left w:w="108" w:type="dxa"/>
            <w:bottom w:w="0" w:type="dxa"/>
            <w:right w:w="108" w:type="dxa"/>
          </w:tblCellMar>
        </w:tblPrEx>
        <w:trPr>
          <w:trHeight w:val="280" w:hRule="atLeast"/>
        </w:trPr>
        <w:tc>
          <w:tcPr>
            <w:tcW w:w="180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5840739">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602" w:type="pct"/>
            <w:tcBorders>
              <w:top w:val="nil"/>
              <w:left w:val="nil"/>
              <w:bottom w:val="single" w:color="auto" w:sz="4" w:space="0"/>
              <w:right w:val="single" w:color="auto" w:sz="4" w:space="0"/>
            </w:tcBorders>
            <w:shd w:val="clear" w:color="auto" w:fill="auto"/>
            <w:vAlign w:val="center"/>
          </w:tcPr>
          <w:p w14:paraId="1515FCBD">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602" w:type="pct"/>
            <w:tcBorders>
              <w:top w:val="nil"/>
              <w:left w:val="nil"/>
              <w:bottom w:val="single" w:color="auto" w:sz="4" w:space="0"/>
              <w:right w:val="single" w:color="auto" w:sz="4" w:space="0"/>
            </w:tcBorders>
            <w:shd w:val="clear" w:color="auto" w:fill="auto"/>
            <w:vAlign w:val="center"/>
          </w:tcPr>
          <w:p w14:paraId="078D88C6">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789" w:type="pct"/>
            <w:tcBorders>
              <w:top w:val="nil"/>
              <w:left w:val="nil"/>
              <w:bottom w:val="single" w:color="auto" w:sz="4" w:space="0"/>
              <w:right w:val="single" w:color="auto" w:sz="4" w:space="0"/>
            </w:tcBorders>
            <w:shd w:val="clear" w:color="auto" w:fill="auto"/>
            <w:vAlign w:val="center"/>
          </w:tcPr>
          <w:p w14:paraId="5BC4CA8D">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602" w:type="pct"/>
            <w:tcBorders>
              <w:top w:val="nil"/>
              <w:left w:val="nil"/>
              <w:bottom w:val="single" w:color="auto" w:sz="4" w:space="0"/>
              <w:right w:val="single" w:color="auto" w:sz="4" w:space="0"/>
            </w:tcBorders>
            <w:shd w:val="clear" w:color="auto" w:fill="auto"/>
            <w:vAlign w:val="center"/>
          </w:tcPr>
          <w:p w14:paraId="279B6D06">
            <w:pPr>
              <w:spacing w:line="240" w:lineRule="auto"/>
              <w:ind w:firstLine="0" w:firstLineChars="0"/>
              <w:jc w:val="center"/>
              <w:rPr>
                <w:rFonts w:hint="eastAsia" w:ascii="仿宋_GB2312" w:hAnsi="宋体"/>
                <w:sz w:val="20"/>
                <w:szCs w:val="20"/>
              </w:rPr>
            </w:pPr>
            <w:r>
              <w:rPr>
                <w:rFonts w:hint="eastAsia" w:ascii="仿宋_GB2312" w:hAnsi="宋体"/>
                <w:sz w:val="20"/>
                <w:szCs w:val="20"/>
              </w:rPr>
              <w:t>12</w:t>
            </w:r>
          </w:p>
        </w:tc>
        <w:tc>
          <w:tcPr>
            <w:tcW w:w="602" w:type="pct"/>
            <w:tcBorders>
              <w:top w:val="nil"/>
              <w:left w:val="nil"/>
              <w:bottom w:val="single" w:color="auto" w:sz="4" w:space="0"/>
              <w:right w:val="single" w:color="auto" w:sz="4" w:space="0"/>
            </w:tcBorders>
            <w:shd w:val="clear" w:color="auto" w:fill="auto"/>
            <w:vAlign w:val="center"/>
          </w:tcPr>
          <w:p w14:paraId="10B244F1">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r>
      <w:tr w14:paraId="75CD66BF">
        <w:tblPrEx>
          <w:tblCellMar>
            <w:top w:w="0" w:type="dxa"/>
            <w:left w:w="108" w:type="dxa"/>
            <w:bottom w:w="0" w:type="dxa"/>
            <w:right w:w="108" w:type="dxa"/>
          </w:tblCellMar>
        </w:tblPrEx>
        <w:trPr>
          <w:trHeight w:val="280" w:hRule="atLeast"/>
        </w:trPr>
        <w:tc>
          <w:tcPr>
            <w:tcW w:w="180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F99481A">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602" w:type="pct"/>
            <w:tcBorders>
              <w:top w:val="nil"/>
              <w:left w:val="nil"/>
              <w:bottom w:val="single" w:color="auto" w:sz="4" w:space="0"/>
              <w:right w:val="single" w:color="auto" w:sz="4" w:space="0"/>
            </w:tcBorders>
            <w:shd w:val="clear" w:color="auto" w:fill="auto"/>
            <w:vAlign w:val="center"/>
          </w:tcPr>
          <w:p w14:paraId="266FEA5C">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602" w:type="pct"/>
            <w:tcBorders>
              <w:top w:val="nil"/>
              <w:left w:val="nil"/>
              <w:bottom w:val="single" w:color="auto" w:sz="4" w:space="0"/>
              <w:right w:val="single" w:color="auto" w:sz="4" w:space="0"/>
            </w:tcBorders>
            <w:shd w:val="clear" w:color="auto" w:fill="auto"/>
            <w:vAlign w:val="center"/>
          </w:tcPr>
          <w:p w14:paraId="2E7E87E4">
            <w:pPr>
              <w:spacing w:line="240" w:lineRule="auto"/>
              <w:ind w:firstLine="0" w:firstLineChars="0"/>
              <w:jc w:val="center"/>
              <w:rPr>
                <w:rFonts w:hint="eastAsia" w:ascii="仿宋_GB2312" w:hAnsi="宋体"/>
                <w:sz w:val="20"/>
                <w:szCs w:val="20"/>
              </w:rPr>
            </w:pPr>
            <w:r>
              <w:rPr>
                <w:rFonts w:hint="eastAsia" w:ascii="仿宋_GB2312" w:hAnsi="宋体"/>
                <w:sz w:val="20"/>
                <w:szCs w:val="20"/>
              </w:rPr>
              <w:t>8</w:t>
            </w:r>
          </w:p>
        </w:tc>
        <w:tc>
          <w:tcPr>
            <w:tcW w:w="789" w:type="pct"/>
            <w:tcBorders>
              <w:top w:val="nil"/>
              <w:left w:val="nil"/>
              <w:bottom w:val="single" w:color="auto" w:sz="4" w:space="0"/>
              <w:right w:val="single" w:color="auto" w:sz="4" w:space="0"/>
            </w:tcBorders>
            <w:shd w:val="clear" w:color="auto" w:fill="auto"/>
            <w:vAlign w:val="center"/>
          </w:tcPr>
          <w:p w14:paraId="472FFFB5">
            <w:pPr>
              <w:spacing w:line="240" w:lineRule="auto"/>
              <w:ind w:firstLine="0" w:firstLineChars="0"/>
              <w:jc w:val="center"/>
              <w:rPr>
                <w:rFonts w:hint="eastAsia" w:ascii="仿宋_GB2312" w:hAnsi="宋体"/>
                <w:sz w:val="20"/>
                <w:szCs w:val="20"/>
              </w:rPr>
            </w:pPr>
            <w:r>
              <w:rPr>
                <w:rFonts w:hint="eastAsia" w:ascii="仿宋_GB2312" w:hAnsi="宋体"/>
                <w:sz w:val="20"/>
                <w:szCs w:val="20"/>
              </w:rPr>
              <w:t>17</w:t>
            </w:r>
          </w:p>
        </w:tc>
        <w:tc>
          <w:tcPr>
            <w:tcW w:w="602" w:type="pct"/>
            <w:tcBorders>
              <w:top w:val="nil"/>
              <w:left w:val="nil"/>
              <w:bottom w:val="single" w:color="auto" w:sz="4" w:space="0"/>
              <w:right w:val="single" w:color="auto" w:sz="4" w:space="0"/>
            </w:tcBorders>
            <w:shd w:val="clear" w:color="auto" w:fill="auto"/>
            <w:vAlign w:val="center"/>
          </w:tcPr>
          <w:p w14:paraId="1771A058">
            <w:pPr>
              <w:spacing w:line="240" w:lineRule="auto"/>
              <w:ind w:firstLine="0" w:firstLineChars="0"/>
              <w:jc w:val="center"/>
              <w:rPr>
                <w:rFonts w:hint="eastAsia" w:ascii="仿宋_GB2312" w:hAnsi="宋体"/>
                <w:sz w:val="20"/>
                <w:szCs w:val="20"/>
              </w:rPr>
            </w:pPr>
            <w:r>
              <w:rPr>
                <w:rFonts w:hint="eastAsia" w:ascii="仿宋_GB2312" w:hAnsi="宋体"/>
                <w:sz w:val="20"/>
                <w:szCs w:val="20"/>
              </w:rPr>
              <w:t>47</w:t>
            </w:r>
          </w:p>
        </w:tc>
        <w:tc>
          <w:tcPr>
            <w:tcW w:w="602" w:type="pct"/>
            <w:tcBorders>
              <w:top w:val="nil"/>
              <w:left w:val="nil"/>
              <w:bottom w:val="single" w:color="auto" w:sz="4" w:space="0"/>
              <w:right w:val="single" w:color="auto" w:sz="4" w:space="0"/>
            </w:tcBorders>
            <w:shd w:val="clear" w:color="auto" w:fill="auto"/>
            <w:vAlign w:val="center"/>
          </w:tcPr>
          <w:p w14:paraId="7D20FE6C">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r>
      <w:tr w14:paraId="5E82FDB9">
        <w:tblPrEx>
          <w:tblCellMar>
            <w:top w:w="0" w:type="dxa"/>
            <w:left w:w="108" w:type="dxa"/>
            <w:bottom w:w="0" w:type="dxa"/>
            <w:right w:w="108" w:type="dxa"/>
          </w:tblCellMar>
        </w:tblPrEx>
        <w:trPr>
          <w:trHeight w:val="280" w:hRule="atLeast"/>
        </w:trPr>
        <w:tc>
          <w:tcPr>
            <w:tcW w:w="180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EBB4C8">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602" w:type="pct"/>
            <w:tcBorders>
              <w:top w:val="nil"/>
              <w:left w:val="nil"/>
              <w:bottom w:val="single" w:color="auto" w:sz="4" w:space="0"/>
              <w:right w:val="single" w:color="auto" w:sz="4" w:space="0"/>
            </w:tcBorders>
            <w:shd w:val="clear" w:color="auto" w:fill="auto"/>
            <w:vAlign w:val="center"/>
          </w:tcPr>
          <w:p w14:paraId="64833F2F">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602" w:type="pct"/>
            <w:tcBorders>
              <w:top w:val="nil"/>
              <w:left w:val="nil"/>
              <w:bottom w:val="single" w:color="auto" w:sz="4" w:space="0"/>
              <w:right w:val="single" w:color="auto" w:sz="4" w:space="0"/>
            </w:tcBorders>
            <w:shd w:val="clear" w:color="auto" w:fill="auto"/>
            <w:vAlign w:val="center"/>
          </w:tcPr>
          <w:p w14:paraId="1A1BE8CF">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c>
          <w:tcPr>
            <w:tcW w:w="789" w:type="pct"/>
            <w:tcBorders>
              <w:top w:val="nil"/>
              <w:left w:val="nil"/>
              <w:bottom w:val="single" w:color="auto" w:sz="4" w:space="0"/>
              <w:right w:val="single" w:color="auto" w:sz="4" w:space="0"/>
            </w:tcBorders>
            <w:shd w:val="clear" w:color="auto" w:fill="auto"/>
            <w:vAlign w:val="center"/>
          </w:tcPr>
          <w:p w14:paraId="3BBF14E8">
            <w:pPr>
              <w:spacing w:line="240" w:lineRule="auto"/>
              <w:ind w:firstLine="0" w:firstLineChars="0"/>
              <w:jc w:val="center"/>
              <w:rPr>
                <w:rFonts w:hint="eastAsia" w:ascii="仿宋_GB2312" w:hAnsi="宋体"/>
                <w:sz w:val="20"/>
                <w:szCs w:val="20"/>
              </w:rPr>
            </w:pPr>
            <w:r>
              <w:rPr>
                <w:rFonts w:hint="eastAsia" w:ascii="仿宋_GB2312" w:hAnsi="宋体"/>
                <w:sz w:val="20"/>
                <w:szCs w:val="20"/>
              </w:rPr>
              <w:t>20</w:t>
            </w:r>
          </w:p>
        </w:tc>
        <w:tc>
          <w:tcPr>
            <w:tcW w:w="602" w:type="pct"/>
            <w:tcBorders>
              <w:top w:val="nil"/>
              <w:left w:val="nil"/>
              <w:bottom w:val="single" w:color="auto" w:sz="4" w:space="0"/>
              <w:right w:val="single" w:color="auto" w:sz="4" w:space="0"/>
            </w:tcBorders>
            <w:shd w:val="clear" w:color="auto" w:fill="auto"/>
            <w:vAlign w:val="center"/>
          </w:tcPr>
          <w:p w14:paraId="2C91DB9A">
            <w:pPr>
              <w:spacing w:line="240" w:lineRule="auto"/>
              <w:ind w:firstLine="0" w:firstLineChars="0"/>
              <w:jc w:val="center"/>
              <w:rPr>
                <w:rFonts w:hint="eastAsia" w:ascii="仿宋_GB2312" w:hAnsi="宋体"/>
                <w:sz w:val="20"/>
                <w:szCs w:val="20"/>
              </w:rPr>
            </w:pPr>
            <w:r>
              <w:rPr>
                <w:rFonts w:hint="eastAsia" w:ascii="仿宋_GB2312" w:hAnsi="宋体"/>
                <w:sz w:val="20"/>
                <w:szCs w:val="20"/>
              </w:rPr>
              <w:t>59</w:t>
            </w:r>
          </w:p>
        </w:tc>
        <w:tc>
          <w:tcPr>
            <w:tcW w:w="602" w:type="pct"/>
            <w:tcBorders>
              <w:top w:val="nil"/>
              <w:left w:val="nil"/>
              <w:bottom w:val="single" w:color="auto" w:sz="4" w:space="0"/>
              <w:right w:val="single" w:color="auto" w:sz="4" w:space="0"/>
            </w:tcBorders>
            <w:shd w:val="clear" w:color="auto" w:fill="auto"/>
            <w:vAlign w:val="center"/>
          </w:tcPr>
          <w:p w14:paraId="72A27C2F">
            <w:pPr>
              <w:spacing w:line="240" w:lineRule="auto"/>
              <w:ind w:firstLine="0" w:firstLineChars="0"/>
              <w:jc w:val="center"/>
              <w:rPr>
                <w:rFonts w:hint="eastAsia" w:ascii="仿宋_GB2312" w:hAnsi="宋体"/>
                <w:sz w:val="20"/>
                <w:szCs w:val="20"/>
              </w:rPr>
            </w:pPr>
            <w:r>
              <w:rPr>
                <w:rFonts w:hint="eastAsia" w:ascii="仿宋_GB2312" w:hAnsi="宋体"/>
                <w:sz w:val="20"/>
                <w:szCs w:val="20"/>
              </w:rPr>
              <w:t>14</w:t>
            </w:r>
          </w:p>
        </w:tc>
      </w:tr>
    </w:tbl>
    <w:p w14:paraId="0E8497A2">
      <w:pPr>
        <w:pStyle w:val="5"/>
        <w:rPr>
          <w:rFonts w:eastAsia="仿宋_GB2312"/>
        </w:rPr>
      </w:pPr>
      <w:r>
        <w:rPr>
          <w:rFonts w:eastAsia="仿宋_GB2312"/>
        </w:rPr>
        <w:t>6.3.2林草措施用水分析计算</w:t>
      </w:r>
    </w:p>
    <w:p w14:paraId="660BF6C4">
      <w:pPr>
        <w:adjustRightInd w:val="0"/>
        <w:snapToGrid w:val="0"/>
        <w:ind w:firstLine="480"/>
        <w:jc w:val="both"/>
        <w:rPr>
          <w:rFonts w:cs="Times New Roman"/>
        </w:rPr>
      </w:pPr>
      <w:r>
        <w:rPr>
          <w:rFonts w:cs="Times New Roman"/>
        </w:rPr>
        <w:t>阜康市地处干旱地区，水资源匮乏，用水紧张，地表水主要来源于天山融雪，为了节约和高效利用水资源，本规划林草措施用水量参考《新疆维吾尔自治区地方标准农业灌溉定额》（DB65/3611-2014），其中林地的灌溉定额为440m</w:t>
      </w:r>
      <w:r>
        <w:rPr>
          <w:rFonts w:cs="Times New Roman"/>
          <w:vertAlign w:val="superscript"/>
        </w:rPr>
        <w:t>3</w:t>
      </w:r>
      <w:r>
        <w:rPr>
          <w:rFonts w:cs="Times New Roman"/>
        </w:rPr>
        <w:t>/亩，</w:t>
      </w:r>
      <w:r>
        <w:rPr>
          <w:rFonts w:hint="eastAsia" w:cs="Times New Roman"/>
        </w:rPr>
        <w:t>本次规划结合阜康市实际情况，将林地灌溉按实际用水量，</w:t>
      </w:r>
      <w:r>
        <w:rPr>
          <w:rFonts w:cs="Times New Roman"/>
        </w:rPr>
        <w:t>将林地灌溉定额调整为</w:t>
      </w:r>
      <w:r>
        <w:rPr>
          <w:rFonts w:hint="eastAsia" w:cs="Times New Roman"/>
        </w:rPr>
        <w:t>22</w:t>
      </w:r>
      <w:r>
        <w:rPr>
          <w:rFonts w:cs="Times New Roman"/>
        </w:rPr>
        <w:t>0m</w:t>
      </w:r>
      <w:r>
        <w:rPr>
          <w:rFonts w:cs="Times New Roman"/>
          <w:vertAlign w:val="superscript"/>
        </w:rPr>
        <w:t>3</w:t>
      </w:r>
      <w:r>
        <w:rPr>
          <w:rFonts w:cs="Times New Roman"/>
        </w:rPr>
        <w:t>/亩。由表6-5可见，本次规划近期和远期林草措施面积分别为</w:t>
      </w:r>
      <w:r>
        <w:rPr>
          <w:rFonts w:hint="eastAsia" w:cs="Times New Roman"/>
        </w:rPr>
        <w:t>6</w:t>
      </w:r>
      <w:r>
        <w:rPr>
          <w:rFonts w:cs="Times New Roman"/>
        </w:rPr>
        <w:t>和</w:t>
      </w:r>
      <w:r>
        <w:rPr>
          <w:rFonts w:hint="eastAsia" w:cs="Times New Roman"/>
        </w:rPr>
        <w:t>29</w:t>
      </w:r>
      <w:r>
        <w:rPr>
          <w:rFonts w:cs="Times New Roman"/>
        </w:rPr>
        <w:t>km</w:t>
      </w:r>
      <w:r>
        <w:rPr>
          <w:rFonts w:cs="Times New Roman"/>
          <w:vertAlign w:val="superscript"/>
        </w:rPr>
        <w:t>2</w:t>
      </w:r>
      <w:r>
        <w:rPr>
          <w:rFonts w:cs="Times New Roman"/>
        </w:rPr>
        <w:t>，灌溉用水量分别为</w:t>
      </w:r>
      <w:r>
        <w:rPr>
          <w:rFonts w:hint="eastAsia" w:cs="Times New Roman"/>
        </w:rPr>
        <w:t>198</w:t>
      </w:r>
      <w:r>
        <w:rPr>
          <w:rFonts w:cs="Times New Roman"/>
        </w:rPr>
        <w:t>万m</w:t>
      </w:r>
      <w:r>
        <w:rPr>
          <w:rFonts w:cs="Times New Roman"/>
          <w:vertAlign w:val="superscript"/>
        </w:rPr>
        <w:t>3</w:t>
      </w:r>
      <w:r>
        <w:rPr>
          <w:rFonts w:cs="Times New Roman"/>
        </w:rPr>
        <w:t>和</w:t>
      </w:r>
      <w:r>
        <w:rPr>
          <w:rFonts w:hint="eastAsia" w:cs="Times New Roman"/>
        </w:rPr>
        <w:t>957</w:t>
      </w:r>
      <w:r>
        <w:rPr>
          <w:rFonts w:cs="Times New Roman"/>
        </w:rPr>
        <w:t>万m</w:t>
      </w:r>
      <w:r>
        <w:rPr>
          <w:rFonts w:cs="Times New Roman"/>
          <w:vertAlign w:val="superscript"/>
        </w:rPr>
        <w:t>3</w:t>
      </w:r>
      <w:r>
        <w:rPr>
          <w:rFonts w:cs="Times New Roman"/>
        </w:rPr>
        <w:t>。</w:t>
      </w:r>
    </w:p>
    <w:p w14:paraId="100FBBF8">
      <w:pPr>
        <w:adjustRightInd w:val="0"/>
        <w:snapToGrid w:val="0"/>
        <w:ind w:firstLine="480"/>
        <w:jc w:val="both"/>
        <w:rPr>
          <w:rFonts w:cs="Times New Roman"/>
        </w:rPr>
      </w:pPr>
      <w:r>
        <w:rPr>
          <w:rFonts w:cs="Times New Roman"/>
        </w:rPr>
        <w:t>阜康市实施最严格水资源管理制度要求制定的“三条红线”，阜康市2025年地表水供水计划</w:t>
      </w:r>
      <w:r>
        <w:rPr>
          <w:rFonts w:hint="eastAsia" w:cs="Times New Roman"/>
        </w:rPr>
        <w:t>14535</w:t>
      </w:r>
      <w:r>
        <w:rPr>
          <w:rFonts w:cs="Times New Roman"/>
        </w:rPr>
        <w:t>万m</w:t>
      </w:r>
      <w:r>
        <w:rPr>
          <w:rFonts w:cs="Times New Roman"/>
          <w:vertAlign w:val="superscript"/>
        </w:rPr>
        <w:t>3</w:t>
      </w:r>
      <w:r>
        <w:rPr>
          <w:rFonts w:cs="Times New Roman"/>
        </w:rPr>
        <w:t>，地下水</w:t>
      </w:r>
      <w:r>
        <w:rPr>
          <w:rFonts w:hint="eastAsia" w:cs="Times New Roman"/>
        </w:rPr>
        <w:t>7027</w:t>
      </w:r>
      <w:r>
        <w:rPr>
          <w:rFonts w:cs="Times New Roman"/>
        </w:rPr>
        <w:t>万m</w:t>
      </w:r>
      <w:r>
        <w:rPr>
          <w:rFonts w:cs="Times New Roman"/>
          <w:vertAlign w:val="superscript"/>
        </w:rPr>
        <w:t>3</w:t>
      </w:r>
      <w:r>
        <w:rPr>
          <w:rFonts w:cs="Times New Roman"/>
        </w:rPr>
        <w:t>，其他水源供水</w:t>
      </w:r>
      <w:r>
        <w:rPr>
          <w:rFonts w:hint="eastAsia" w:cs="Times New Roman"/>
        </w:rPr>
        <w:t>532</w:t>
      </w:r>
      <w:r>
        <w:rPr>
          <w:rFonts w:cs="Times New Roman"/>
        </w:rPr>
        <w:t>万m</w:t>
      </w:r>
      <w:r>
        <w:rPr>
          <w:rFonts w:cs="Times New Roman"/>
          <w:vertAlign w:val="superscript"/>
        </w:rPr>
        <w:t>3</w:t>
      </w:r>
      <w:r>
        <w:rPr>
          <w:rFonts w:cs="Times New Roman"/>
        </w:rPr>
        <w:t>，用水总量要求控制在</w:t>
      </w:r>
      <w:r>
        <w:rPr>
          <w:rFonts w:hint="eastAsia" w:cs="Times New Roman"/>
        </w:rPr>
        <w:t>22094</w:t>
      </w:r>
      <w:r>
        <w:rPr>
          <w:rFonts w:cs="Times New Roman"/>
        </w:rPr>
        <w:t>万m</w:t>
      </w:r>
      <w:r>
        <w:rPr>
          <w:rFonts w:cs="Times New Roman"/>
          <w:vertAlign w:val="superscript"/>
        </w:rPr>
        <w:t>3</w:t>
      </w:r>
      <w:r>
        <w:rPr>
          <w:rFonts w:cs="Times New Roman"/>
        </w:rPr>
        <w:t>；2030年地表水供水计划</w:t>
      </w:r>
      <w:r>
        <w:rPr>
          <w:rFonts w:hint="eastAsia" w:cs="Times New Roman"/>
        </w:rPr>
        <w:t>14667</w:t>
      </w:r>
      <w:r>
        <w:rPr>
          <w:rFonts w:cs="Times New Roman"/>
        </w:rPr>
        <w:t>万m</w:t>
      </w:r>
      <w:r>
        <w:rPr>
          <w:rFonts w:cs="Times New Roman"/>
          <w:vertAlign w:val="superscript"/>
        </w:rPr>
        <w:t>3</w:t>
      </w:r>
      <w:r>
        <w:rPr>
          <w:rFonts w:cs="Times New Roman"/>
        </w:rPr>
        <w:t>，地下水</w:t>
      </w:r>
      <w:r>
        <w:rPr>
          <w:rFonts w:hint="eastAsia" w:cs="Times New Roman"/>
        </w:rPr>
        <w:t>5511</w:t>
      </w:r>
      <w:r>
        <w:rPr>
          <w:rFonts w:cs="Times New Roman"/>
        </w:rPr>
        <w:t>万m</w:t>
      </w:r>
      <w:r>
        <w:rPr>
          <w:rFonts w:cs="Times New Roman"/>
          <w:vertAlign w:val="superscript"/>
        </w:rPr>
        <w:t>3</w:t>
      </w:r>
      <w:r>
        <w:rPr>
          <w:rFonts w:cs="Times New Roman"/>
        </w:rPr>
        <w:t>，其他水源供水</w:t>
      </w:r>
      <w:r>
        <w:rPr>
          <w:rFonts w:hint="eastAsia" w:cs="Times New Roman"/>
        </w:rPr>
        <w:t>536</w:t>
      </w:r>
      <w:r>
        <w:rPr>
          <w:rFonts w:cs="Times New Roman"/>
        </w:rPr>
        <w:t>万m</w:t>
      </w:r>
      <w:r>
        <w:rPr>
          <w:rFonts w:cs="Times New Roman"/>
          <w:vertAlign w:val="superscript"/>
        </w:rPr>
        <w:t>3</w:t>
      </w:r>
      <w:r>
        <w:rPr>
          <w:rFonts w:cs="Times New Roman"/>
        </w:rPr>
        <w:t>，用水总量要求控制在</w:t>
      </w:r>
      <w:r>
        <w:rPr>
          <w:rFonts w:hint="eastAsia" w:cs="Times New Roman"/>
        </w:rPr>
        <w:t>20714</w:t>
      </w:r>
      <w:r>
        <w:rPr>
          <w:rFonts w:cs="Times New Roman"/>
        </w:rPr>
        <w:t>万m</w:t>
      </w:r>
      <w:r>
        <w:rPr>
          <w:rFonts w:cs="Times New Roman"/>
          <w:vertAlign w:val="superscript"/>
        </w:rPr>
        <w:t>3</w:t>
      </w:r>
      <w:r>
        <w:rPr>
          <w:rFonts w:cs="Times New Roman"/>
        </w:rPr>
        <w:t>。计算结果表明，本次规划近期和远期林草措施用水量仅占用水总量的</w:t>
      </w:r>
      <w:r>
        <w:rPr>
          <w:rFonts w:hint="eastAsia" w:cs="Times New Roman"/>
        </w:rPr>
        <w:t>0.9</w:t>
      </w:r>
      <w:r>
        <w:rPr>
          <w:rFonts w:cs="Times New Roman"/>
        </w:rPr>
        <w:t>%和</w:t>
      </w:r>
      <w:r>
        <w:rPr>
          <w:rFonts w:hint="eastAsia" w:cs="Times New Roman"/>
        </w:rPr>
        <w:t>4.62</w:t>
      </w:r>
      <w:r>
        <w:rPr>
          <w:rFonts w:cs="Times New Roman"/>
        </w:rPr>
        <w:t>%，所占比较相对较小，在优先满足城乡居民生活用水的基础上，可以满足生态和环境用水需求。</w:t>
      </w:r>
    </w:p>
    <w:p w14:paraId="54E1FC93">
      <w:pPr>
        <w:adjustRightInd w:val="0"/>
        <w:snapToGrid w:val="0"/>
        <w:ind w:firstLine="0" w:firstLineChars="0"/>
        <w:jc w:val="center"/>
        <w:rPr>
          <w:rFonts w:cs="Times New Roman"/>
          <w:b/>
          <w:bCs/>
        </w:rPr>
      </w:pPr>
      <w:r>
        <w:rPr>
          <w:rFonts w:cs="Times New Roman"/>
          <w:b/>
          <w:bCs/>
        </w:rPr>
        <w:t>表6</w:t>
      </w:r>
      <w:r>
        <w:rPr>
          <w:rFonts w:hint="eastAsia" w:cs="Times New Roman"/>
          <w:b/>
          <w:bCs/>
        </w:rPr>
        <w:t xml:space="preserve">.4-1   </w:t>
      </w:r>
      <w:r>
        <w:rPr>
          <w:rFonts w:cs="Times New Roman"/>
          <w:b/>
          <w:bCs/>
        </w:rPr>
        <w:t>规划林草措施灌溉用水量计算分析表</w:t>
      </w:r>
    </w:p>
    <w:tbl>
      <w:tblPr>
        <w:tblStyle w:val="48"/>
        <w:tblW w:w="5000" w:type="pct"/>
        <w:tblInd w:w="0" w:type="dxa"/>
        <w:tblLayout w:type="autofit"/>
        <w:tblCellMar>
          <w:top w:w="0" w:type="dxa"/>
          <w:left w:w="108" w:type="dxa"/>
          <w:bottom w:w="0" w:type="dxa"/>
          <w:right w:w="108" w:type="dxa"/>
        </w:tblCellMar>
      </w:tblPr>
      <w:tblGrid>
        <w:gridCol w:w="1705"/>
        <w:gridCol w:w="1706"/>
        <w:gridCol w:w="1706"/>
        <w:gridCol w:w="1706"/>
        <w:gridCol w:w="1706"/>
      </w:tblGrid>
      <w:tr w14:paraId="05813A73">
        <w:tblPrEx>
          <w:tblCellMar>
            <w:top w:w="0" w:type="dxa"/>
            <w:left w:w="108" w:type="dxa"/>
            <w:bottom w:w="0" w:type="dxa"/>
            <w:right w:w="108" w:type="dxa"/>
          </w:tblCellMar>
        </w:tblPrEx>
        <w:trPr>
          <w:trHeight w:val="567" w:hRule="atLeast"/>
        </w:trPr>
        <w:tc>
          <w:tcPr>
            <w:tcW w:w="100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B06A490">
            <w:pPr>
              <w:spacing w:line="240" w:lineRule="auto"/>
              <w:ind w:firstLine="180" w:firstLineChars="100"/>
              <w:rPr>
                <w:rFonts w:hint="eastAsia" w:ascii="宋体" w:hAnsi="宋体" w:eastAsia="宋体"/>
                <w:sz w:val="18"/>
                <w:szCs w:val="18"/>
              </w:rPr>
            </w:pPr>
            <w:r>
              <w:rPr>
                <w:rFonts w:hint="eastAsia" w:ascii="宋体" w:hAnsi="宋体" w:eastAsia="宋体"/>
                <w:sz w:val="18"/>
                <w:szCs w:val="18"/>
              </w:rPr>
              <w:t>规划区</w:t>
            </w:r>
          </w:p>
        </w:tc>
        <w:tc>
          <w:tcPr>
            <w:tcW w:w="1000" w:type="pct"/>
            <w:tcBorders>
              <w:top w:val="single" w:color="000000" w:sz="8" w:space="0"/>
              <w:left w:val="nil"/>
              <w:bottom w:val="single" w:color="000000" w:sz="8" w:space="0"/>
              <w:right w:val="single" w:color="000000" w:sz="8" w:space="0"/>
            </w:tcBorders>
            <w:shd w:val="clear" w:color="auto" w:fill="auto"/>
            <w:vAlign w:val="center"/>
          </w:tcPr>
          <w:p w14:paraId="08E3EF0C">
            <w:pPr>
              <w:spacing w:line="240" w:lineRule="auto"/>
              <w:ind w:firstLine="0" w:firstLineChars="0"/>
              <w:rPr>
                <w:rFonts w:hint="eastAsia" w:ascii="宋体" w:hAnsi="宋体" w:eastAsia="宋体"/>
                <w:sz w:val="18"/>
                <w:szCs w:val="18"/>
              </w:rPr>
            </w:pPr>
            <w:r>
              <w:rPr>
                <w:rFonts w:hint="eastAsia" w:ascii="宋体" w:hAnsi="宋体" w:eastAsia="宋体"/>
                <w:sz w:val="18"/>
                <w:szCs w:val="18"/>
              </w:rPr>
              <w:t>时间</w:t>
            </w:r>
          </w:p>
        </w:tc>
        <w:tc>
          <w:tcPr>
            <w:tcW w:w="1000" w:type="pct"/>
            <w:tcBorders>
              <w:top w:val="single" w:color="000000" w:sz="8" w:space="0"/>
              <w:left w:val="nil"/>
              <w:bottom w:val="single" w:color="000000" w:sz="8" w:space="0"/>
              <w:right w:val="single" w:color="000000" w:sz="8" w:space="0"/>
            </w:tcBorders>
            <w:shd w:val="clear" w:color="auto" w:fill="auto"/>
            <w:vAlign w:val="center"/>
          </w:tcPr>
          <w:p w14:paraId="2B5664D2">
            <w:pPr>
              <w:spacing w:line="240" w:lineRule="auto"/>
              <w:ind w:firstLine="0" w:firstLineChars="0"/>
              <w:rPr>
                <w:rFonts w:hint="eastAsia" w:ascii="宋体" w:hAnsi="宋体" w:eastAsia="宋体"/>
                <w:sz w:val="18"/>
                <w:szCs w:val="18"/>
              </w:rPr>
            </w:pPr>
            <w:r>
              <w:rPr>
                <w:rFonts w:hint="eastAsia" w:ascii="宋体" w:hAnsi="宋体" w:eastAsia="宋体"/>
                <w:sz w:val="18"/>
                <w:szCs w:val="18"/>
              </w:rPr>
              <w:t>林草面积（</w:t>
            </w:r>
            <w:r>
              <w:rPr>
                <w:rFonts w:eastAsia="宋体" w:cs="Times New Roman"/>
                <w:sz w:val="18"/>
                <w:szCs w:val="18"/>
              </w:rPr>
              <w:t>km</w:t>
            </w:r>
            <w:r>
              <w:rPr>
                <w:rFonts w:eastAsia="宋体" w:cs="Times New Roman"/>
                <w:sz w:val="12"/>
                <w:szCs w:val="12"/>
              </w:rPr>
              <w:t>2</w:t>
            </w:r>
            <w:r>
              <w:rPr>
                <w:rFonts w:hint="eastAsia" w:ascii="宋体" w:hAnsi="宋体" w:eastAsia="宋体"/>
                <w:sz w:val="18"/>
                <w:szCs w:val="18"/>
              </w:rPr>
              <w:t>）</w:t>
            </w:r>
          </w:p>
        </w:tc>
        <w:tc>
          <w:tcPr>
            <w:tcW w:w="1000" w:type="pct"/>
            <w:tcBorders>
              <w:top w:val="single" w:color="000000" w:sz="8" w:space="0"/>
              <w:left w:val="nil"/>
              <w:bottom w:val="single" w:color="000000" w:sz="8" w:space="0"/>
              <w:right w:val="single" w:color="000000" w:sz="8" w:space="0"/>
            </w:tcBorders>
            <w:shd w:val="clear" w:color="auto" w:fill="auto"/>
            <w:vAlign w:val="center"/>
          </w:tcPr>
          <w:p w14:paraId="2C668E61">
            <w:pPr>
              <w:spacing w:line="240" w:lineRule="auto"/>
              <w:ind w:firstLine="0" w:firstLineChars="0"/>
              <w:rPr>
                <w:rFonts w:hint="eastAsia" w:ascii="宋体" w:hAnsi="宋体" w:eastAsia="宋体"/>
                <w:sz w:val="18"/>
                <w:szCs w:val="18"/>
              </w:rPr>
            </w:pPr>
            <w:r>
              <w:rPr>
                <w:rFonts w:hint="eastAsia" w:ascii="宋体" w:hAnsi="宋体" w:eastAsia="宋体"/>
                <w:sz w:val="18"/>
                <w:szCs w:val="18"/>
              </w:rPr>
              <w:t>造林滴灌用水定额（</w:t>
            </w:r>
            <w:r>
              <w:rPr>
                <w:rFonts w:eastAsia="宋体" w:cs="Times New Roman"/>
                <w:sz w:val="18"/>
                <w:szCs w:val="18"/>
              </w:rPr>
              <w:t>m</w:t>
            </w:r>
            <w:r>
              <w:rPr>
                <w:rFonts w:eastAsia="宋体" w:cs="Times New Roman"/>
                <w:sz w:val="12"/>
                <w:szCs w:val="12"/>
              </w:rPr>
              <w:t>3</w:t>
            </w:r>
            <w:r>
              <w:rPr>
                <w:rFonts w:eastAsia="宋体" w:cs="Times New Roman"/>
                <w:sz w:val="18"/>
                <w:szCs w:val="18"/>
              </w:rPr>
              <w:t>/</w:t>
            </w:r>
            <w:r>
              <w:rPr>
                <w:rFonts w:hint="eastAsia" w:ascii="宋体" w:hAnsi="宋体" w:eastAsia="宋体"/>
                <w:sz w:val="18"/>
                <w:szCs w:val="18"/>
              </w:rPr>
              <w:t>亩）</w:t>
            </w:r>
          </w:p>
        </w:tc>
        <w:tc>
          <w:tcPr>
            <w:tcW w:w="1000" w:type="pct"/>
            <w:tcBorders>
              <w:top w:val="single" w:color="000000" w:sz="8" w:space="0"/>
              <w:left w:val="nil"/>
              <w:bottom w:val="single" w:color="000000" w:sz="8" w:space="0"/>
              <w:right w:val="single" w:color="000000" w:sz="8" w:space="0"/>
            </w:tcBorders>
            <w:shd w:val="clear" w:color="auto" w:fill="auto"/>
            <w:vAlign w:val="center"/>
          </w:tcPr>
          <w:p w14:paraId="7570DAA7">
            <w:pPr>
              <w:spacing w:line="240" w:lineRule="auto"/>
              <w:ind w:firstLine="0" w:firstLineChars="0"/>
              <w:rPr>
                <w:rFonts w:hint="eastAsia" w:ascii="宋体" w:hAnsi="宋体" w:eastAsia="宋体"/>
                <w:sz w:val="18"/>
                <w:szCs w:val="18"/>
              </w:rPr>
            </w:pPr>
            <w:r>
              <w:rPr>
                <w:rFonts w:hint="eastAsia" w:ascii="宋体" w:hAnsi="宋体" w:eastAsia="宋体"/>
                <w:sz w:val="18"/>
                <w:szCs w:val="18"/>
              </w:rPr>
              <w:t>灌溉水量（万</w:t>
            </w:r>
            <w:r>
              <w:rPr>
                <w:rFonts w:eastAsia="宋体" w:cs="Times New Roman"/>
                <w:sz w:val="18"/>
                <w:szCs w:val="18"/>
              </w:rPr>
              <w:t>m</w:t>
            </w:r>
            <w:r>
              <w:rPr>
                <w:rFonts w:eastAsia="宋体" w:cs="Times New Roman"/>
                <w:sz w:val="12"/>
                <w:szCs w:val="12"/>
              </w:rPr>
              <w:t>3</w:t>
            </w:r>
            <w:r>
              <w:rPr>
                <w:rFonts w:hint="eastAsia" w:ascii="宋体" w:hAnsi="宋体" w:eastAsia="宋体"/>
                <w:sz w:val="18"/>
                <w:szCs w:val="18"/>
              </w:rPr>
              <w:t>）</w:t>
            </w:r>
          </w:p>
        </w:tc>
      </w:tr>
      <w:tr w14:paraId="0C358945">
        <w:tblPrEx>
          <w:tblCellMar>
            <w:top w:w="0" w:type="dxa"/>
            <w:left w:w="108" w:type="dxa"/>
            <w:bottom w:w="0" w:type="dxa"/>
            <w:right w:w="108" w:type="dxa"/>
          </w:tblCellMar>
        </w:tblPrEx>
        <w:trPr>
          <w:trHeight w:val="290" w:hRule="atLeast"/>
        </w:trPr>
        <w:tc>
          <w:tcPr>
            <w:tcW w:w="1000" w:type="pct"/>
            <w:vMerge w:val="restart"/>
            <w:tcBorders>
              <w:top w:val="nil"/>
              <w:left w:val="single" w:color="000000" w:sz="8" w:space="0"/>
              <w:bottom w:val="single" w:color="000000" w:sz="8" w:space="0"/>
              <w:right w:val="single" w:color="000000" w:sz="8" w:space="0"/>
            </w:tcBorders>
            <w:shd w:val="clear" w:color="auto" w:fill="auto"/>
            <w:vAlign w:val="center"/>
          </w:tcPr>
          <w:p w14:paraId="49ABF1F8">
            <w:pPr>
              <w:spacing w:line="240" w:lineRule="auto"/>
              <w:ind w:firstLine="180" w:firstLineChars="100"/>
              <w:rPr>
                <w:rFonts w:hint="eastAsia" w:ascii="宋体" w:hAnsi="宋体" w:eastAsia="宋体"/>
                <w:sz w:val="18"/>
                <w:szCs w:val="18"/>
              </w:rPr>
            </w:pPr>
            <w:r>
              <w:rPr>
                <w:rFonts w:hint="eastAsia" w:ascii="宋体" w:hAnsi="宋体" w:eastAsia="宋体"/>
                <w:sz w:val="18"/>
                <w:szCs w:val="18"/>
              </w:rPr>
              <w:t>阜康市</w:t>
            </w:r>
          </w:p>
        </w:tc>
        <w:tc>
          <w:tcPr>
            <w:tcW w:w="1000" w:type="pct"/>
            <w:tcBorders>
              <w:top w:val="nil"/>
              <w:left w:val="nil"/>
              <w:bottom w:val="single" w:color="000000" w:sz="8" w:space="0"/>
              <w:right w:val="single" w:color="000000" w:sz="8" w:space="0"/>
            </w:tcBorders>
            <w:shd w:val="clear" w:color="auto" w:fill="auto"/>
            <w:vAlign w:val="center"/>
          </w:tcPr>
          <w:p w14:paraId="646E86AA">
            <w:pPr>
              <w:spacing w:line="240" w:lineRule="auto"/>
              <w:ind w:firstLine="0" w:firstLineChars="0"/>
              <w:rPr>
                <w:rFonts w:hint="eastAsia" w:ascii="宋体" w:hAnsi="宋体" w:eastAsia="宋体"/>
                <w:sz w:val="18"/>
                <w:szCs w:val="18"/>
              </w:rPr>
            </w:pPr>
            <w:r>
              <w:rPr>
                <w:rFonts w:hint="eastAsia" w:ascii="宋体" w:hAnsi="宋体" w:eastAsia="宋体"/>
                <w:sz w:val="18"/>
                <w:szCs w:val="18"/>
              </w:rPr>
              <w:t>近期</w:t>
            </w:r>
          </w:p>
        </w:tc>
        <w:tc>
          <w:tcPr>
            <w:tcW w:w="1000" w:type="pct"/>
            <w:tcBorders>
              <w:top w:val="nil"/>
              <w:left w:val="nil"/>
              <w:bottom w:val="single" w:color="000000" w:sz="8" w:space="0"/>
              <w:right w:val="single" w:color="000000" w:sz="8" w:space="0"/>
            </w:tcBorders>
            <w:shd w:val="clear" w:color="auto" w:fill="auto"/>
            <w:vAlign w:val="center"/>
          </w:tcPr>
          <w:p w14:paraId="7F312436">
            <w:pPr>
              <w:spacing w:line="240" w:lineRule="auto"/>
              <w:ind w:firstLine="0" w:firstLineChars="0"/>
              <w:jc w:val="center"/>
              <w:rPr>
                <w:rFonts w:eastAsia="宋体" w:cs="Times New Roman"/>
                <w:sz w:val="20"/>
                <w:szCs w:val="20"/>
              </w:rPr>
            </w:pPr>
            <w:r>
              <w:rPr>
                <w:rFonts w:eastAsia="宋体" w:cs="Times New Roman"/>
                <w:sz w:val="20"/>
                <w:szCs w:val="20"/>
              </w:rPr>
              <w:t>6</w:t>
            </w:r>
          </w:p>
        </w:tc>
        <w:tc>
          <w:tcPr>
            <w:tcW w:w="1000" w:type="pct"/>
            <w:tcBorders>
              <w:top w:val="nil"/>
              <w:left w:val="nil"/>
              <w:bottom w:val="single" w:color="000000" w:sz="8" w:space="0"/>
              <w:right w:val="single" w:color="000000" w:sz="8" w:space="0"/>
            </w:tcBorders>
            <w:shd w:val="clear" w:color="auto" w:fill="auto"/>
            <w:vAlign w:val="center"/>
          </w:tcPr>
          <w:p w14:paraId="1B472082">
            <w:pPr>
              <w:spacing w:line="240" w:lineRule="auto"/>
              <w:ind w:firstLine="0" w:firstLineChars="0"/>
              <w:jc w:val="center"/>
              <w:rPr>
                <w:rFonts w:eastAsia="宋体" w:cs="Times New Roman"/>
                <w:sz w:val="18"/>
                <w:szCs w:val="18"/>
              </w:rPr>
            </w:pPr>
            <w:r>
              <w:rPr>
                <w:rFonts w:eastAsia="宋体" w:cs="Times New Roman"/>
                <w:sz w:val="18"/>
                <w:szCs w:val="18"/>
              </w:rPr>
              <w:t>220</w:t>
            </w:r>
          </w:p>
        </w:tc>
        <w:tc>
          <w:tcPr>
            <w:tcW w:w="1000" w:type="pct"/>
            <w:tcBorders>
              <w:top w:val="nil"/>
              <w:left w:val="nil"/>
              <w:bottom w:val="single" w:color="000000" w:sz="8" w:space="0"/>
              <w:right w:val="single" w:color="000000" w:sz="8" w:space="0"/>
            </w:tcBorders>
            <w:shd w:val="clear" w:color="auto" w:fill="auto"/>
            <w:vAlign w:val="center"/>
          </w:tcPr>
          <w:p w14:paraId="12B6DC7E">
            <w:pPr>
              <w:spacing w:line="240" w:lineRule="auto"/>
              <w:ind w:firstLine="0" w:firstLineChars="0"/>
              <w:jc w:val="center"/>
              <w:rPr>
                <w:rFonts w:eastAsia="宋体" w:cs="Times New Roman"/>
                <w:sz w:val="20"/>
                <w:szCs w:val="20"/>
              </w:rPr>
            </w:pPr>
            <w:r>
              <w:rPr>
                <w:rFonts w:eastAsia="宋体" w:cs="Times New Roman"/>
                <w:sz w:val="20"/>
                <w:szCs w:val="20"/>
              </w:rPr>
              <w:t>198</w:t>
            </w:r>
          </w:p>
        </w:tc>
      </w:tr>
      <w:tr w14:paraId="6DFCF805">
        <w:tblPrEx>
          <w:tblCellMar>
            <w:top w:w="0" w:type="dxa"/>
            <w:left w:w="108" w:type="dxa"/>
            <w:bottom w:w="0" w:type="dxa"/>
            <w:right w:w="108" w:type="dxa"/>
          </w:tblCellMar>
        </w:tblPrEx>
        <w:trPr>
          <w:trHeight w:val="290" w:hRule="atLeast"/>
        </w:trPr>
        <w:tc>
          <w:tcPr>
            <w:tcW w:w="1000" w:type="pct"/>
            <w:vMerge w:val="continue"/>
            <w:tcBorders>
              <w:top w:val="nil"/>
              <w:left w:val="single" w:color="000000" w:sz="8" w:space="0"/>
              <w:bottom w:val="single" w:color="000000" w:sz="8" w:space="0"/>
              <w:right w:val="single" w:color="000000" w:sz="8" w:space="0"/>
            </w:tcBorders>
            <w:vAlign w:val="center"/>
          </w:tcPr>
          <w:p w14:paraId="7CDFD815">
            <w:pPr>
              <w:spacing w:line="240" w:lineRule="auto"/>
              <w:ind w:firstLine="0" w:firstLineChars="0"/>
              <w:rPr>
                <w:rFonts w:hint="eastAsia" w:ascii="宋体" w:hAnsi="宋体" w:eastAsia="宋体"/>
                <w:sz w:val="18"/>
                <w:szCs w:val="18"/>
              </w:rPr>
            </w:pPr>
          </w:p>
        </w:tc>
        <w:tc>
          <w:tcPr>
            <w:tcW w:w="1000" w:type="pct"/>
            <w:tcBorders>
              <w:top w:val="nil"/>
              <w:left w:val="nil"/>
              <w:bottom w:val="single" w:color="000000" w:sz="8" w:space="0"/>
              <w:right w:val="single" w:color="000000" w:sz="8" w:space="0"/>
            </w:tcBorders>
            <w:shd w:val="clear" w:color="auto" w:fill="auto"/>
            <w:vAlign w:val="center"/>
          </w:tcPr>
          <w:p w14:paraId="32718A6D">
            <w:pPr>
              <w:spacing w:line="240" w:lineRule="auto"/>
              <w:ind w:firstLine="0" w:firstLineChars="0"/>
              <w:rPr>
                <w:rFonts w:hint="eastAsia" w:ascii="宋体" w:hAnsi="宋体" w:eastAsia="宋体"/>
                <w:sz w:val="18"/>
                <w:szCs w:val="18"/>
              </w:rPr>
            </w:pPr>
            <w:r>
              <w:rPr>
                <w:rFonts w:hint="eastAsia" w:ascii="宋体" w:hAnsi="宋体" w:eastAsia="宋体"/>
                <w:sz w:val="18"/>
                <w:szCs w:val="18"/>
              </w:rPr>
              <w:t>远期</w:t>
            </w:r>
          </w:p>
        </w:tc>
        <w:tc>
          <w:tcPr>
            <w:tcW w:w="1000" w:type="pct"/>
            <w:tcBorders>
              <w:top w:val="nil"/>
              <w:left w:val="nil"/>
              <w:bottom w:val="single" w:color="000000" w:sz="8" w:space="0"/>
              <w:right w:val="single" w:color="000000" w:sz="8" w:space="0"/>
            </w:tcBorders>
            <w:shd w:val="clear" w:color="auto" w:fill="auto"/>
            <w:vAlign w:val="center"/>
          </w:tcPr>
          <w:p w14:paraId="48D8478C">
            <w:pPr>
              <w:spacing w:line="240" w:lineRule="auto"/>
              <w:ind w:firstLine="0" w:firstLineChars="0"/>
              <w:jc w:val="center"/>
              <w:rPr>
                <w:rFonts w:eastAsia="宋体" w:cs="Times New Roman"/>
                <w:sz w:val="20"/>
                <w:szCs w:val="20"/>
              </w:rPr>
            </w:pPr>
            <w:r>
              <w:rPr>
                <w:rFonts w:eastAsia="宋体" w:cs="Times New Roman"/>
                <w:sz w:val="20"/>
                <w:szCs w:val="20"/>
              </w:rPr>
              <w:t>29</w:t>
            </w:r>
          </w:p>
        </w:tc>
        <w:tc>
          <w:tcPr>
            <w:tcW w:w="1000" w:type="pct"/>
            <w:tcBorders>
              <w:top w:val="nil"/>
              <w:left w:val="nil"/>
              <w:bottom w:val="single" w:color="000000" w:sz="8" w:space="0"/>
              <w:right w:val="single" w:color="000000" w:sz="8" w:space="0"/>
            </w:tcBorders>
            <w:shd w:val="clear" w:color="auto" w:fill="auto"/>
            <w:vAlign w:val="center"/>
          </w:tcPr>
          <w:p w14:paraId="2C3D986F">
            <w:pPr>
              <w:spacing w:line="240" w:lineRule="auto"/>
              <w:ind w:firstLine="0" w:firstLineChars="0"/>
              <w:jc w:val="center"/>
              <w:rPr>
                <w:rFonts w:eastAsia="宋体" w:cs="Times New Roman"/>
                <w:sz w:val="18"/>
                <w:szCs w:val="18"/>
              </w:rPr>
            </w:pPr>
            <w:r>
              <w:rPr>
                <w:rFonts w:eastAsia="宋体" w:cs="Times New Roman"/>
                <w:sz w:val="18"/>
                <w:szCs w:val="18"/>
              </w:rPr>
              <w:t>220</w:t>
            </w:r>
          </w:p>
        </w:tc>
        <w:tc>
          <w:tcPr>
            <w:tcW w:w="1000" w:type="pct"/>
            <w:tcBorders>
              <w:top w:val="nil"/>
              <w:left w:val="nil"/>
              <w:bottom w:val="single" w:color="000000" w:sz="8" w:space="0"/>
              <w:right w:val="single" w:color="000000" w:sz="8" w:space="0"/>
            </w:tcBorders>
            <w:shd w:val="clear" w:color="auto" w:fill="auto"/>
            <w:vAlign w:val="center"/>
          </w:tcPr>
          <w:p w14:paraId="520D943E">
            <w:pPr>
              <w:spacing w:line="240" w:lineRule="auto"/>
              <w:ind w:firstLine="0" w:firstLineChars="0"/>
              <w:jc w:val="center"/>
              <w:rPr>
                <w:rFonts w:eastAsia="宋体" w:cs="Times New Roman"/>
                <w:sz w:val="20"/>
                <w:szCs w:val="20"/>
              </w:rPr>
            </w:pPr>
            <w:r>
              <w:rPr>
                <w:rFonts w:eastAsia="宋体" w:cs="Times New Roman"/>
                <w:sz w:val="20"/>
                <w:szCs w:val="20"/>
              </w:rPr>
              <w:t>957</w:t>
            </w:r>
          </w:p>
        </w:tc>
      </w:tr>
    </w:tbl>
    <w:p w14:paraId="2539C364">
      <w:pPr>
        <w:spacing w:line="240" w:lineRule="auto"/>
        <w:ind w:firstLine="0" w:firstLineChars="0"/>
        <w:rPr>
          <w:rFonts w:cs="Times New Roman"/>
          <w:sz w:val="21"/>
          <w:szCs w:val="21"/>
        </w:rPr>
      </w:pPr>
    </w:p>
    <w:p w14:paraId="3F8FE41A">
      <w:pPr>
        <w:adjustRightInd w:val="0"/>
        <w:snapToGrid w:val="0"/>
        <w:ind w:firstLine="600" w:firstLineChars="250"/>
        <w:rPr>
          <w:rFonts w:cs="Times New Roman"/>
        </w:rPr>
        <w:sectPr>
          <w:pgSz w:w="11907" w:h="16840"/>
          <w:pgMar w:top="1440" w:right="1797" w:bottom="1440" w:left="1797" w:header="851" w:footer="992" w:gutter="0"/>
          <w:cols w:space="720" w:num="1"/>
          <w:docGrid w:linePitch="312" w:charSpace="0"/>
        </w:sectPr>
      </w:pPr>
    </w:p>
    <w:p w14:paraId="0C00F045">
      <w:pPr>
        <w:pStyle w:val="2"/>
        <w:spacing w:before="120" w:after="120"/>
        <w:rPr>
          <w:rFonts w:eastAsia="仿宋_GB2312" w:cs="Times New Roman"/>
          <w:color w:val="auto"/>
        </w:rPr>
      </w:pPr>
      <w:bookmarkStart w:id="116" w:name="_Toc401267044"/>
      <w:bookmarkEnd w:id="116"/>
      <w:bookmarkStart w:id="117" w:name="_Toc401299144"/>
      <w:bookmarkEnd w:id="117"/>
      <w:bookmarkStart w:id="118" w:name="_Toc150724289"/>
      <w:r>
        <w:rPr>
          <w:rFonts w:eastAsia="仿宋_GB2312" w:cs="Times New Roman"/>
          <w:color w:val="auto"/>
        </w:rPr>
        <w:t>7 监测规划</w:t>
      </w:r>
      <w:bookmarkEnd w:id="118"/>
    </w:p>
    <w:p w14:paraId="1B0E49FB">
      <w:pPr>
        <w:adjustRightInd w:val="0"/>
        <w:snapToGrid w:val="0"/>
        <w:ind w:firstLine="480"/>
        <w:jc w:val="both"/>
        <w:rPr>
          <w:rFonts w:cs="Times New Roman"/>
        </w:rPr>
      </w:pPr>
      <w:bookmarkStart w:id="119" w:name="_Toc467577318"/>
      <w:r>
        <w:rPr>
          <w:rFonts w:cs="Times New Roman"/>
        </w:rPr>
        <w:t>水土保持监测是水土流失预防监督工作的基础和评价手段。按照《新疆维吾尔自治区水土保持规划（2018～2030年），监测要求规划布局科学化、制度标准体系化、监测机构规范化、站点建设标准化、数据采集自动化、数据处理智能化、动态监测常态化、经费保障稳定化、成果管理制度化、支撑服务高效化。建立和完善阜康市水土保持监测网络，搞好水土流失动态监测预报。</w:t>
      </w:r>
    </w:p>
    <w:p w14:paraId="0E38DD88">
      <w:pPr>
        <w:pStyle w:val="44"/>
        <w:spacing w:before="120" w:after="120"/>
        <w:rPr>
          <w:rFonts w:eastAsia="仿宋_GB2312" w:cs="Times New Roman"/>
        </w:rPr>
      </w:pPr>
      <w:bookmarkStart w:id="120" w:name="_Toc150724290"/>
      <w:r>
        <w:rPr>
          <w:rFonts w:eastAsia="仿宋_GB2312" w:cs="Times New Roman"/>
        </w:rPr>
        <w:t>7.1 监测目标</w:t>
      </w:r>
      <w:bookmarkEnd w:id="120"/>
    </w:p>
    <w:p w14:paraId="3697587D">
      <w:pPr>
        <w:adjustRightInd w:val="0"/>
        <w:snapToGrid w:val="0"/>
        <w:ind w:firstLine="480"/>
        <w:jc w:val="both"/>
        <w:rPr>
          <w:rFonts w:cs="Times New Roman"/>
        </w:rPr>
      </w:pPr>
      <w:r>
        <w:rPr>
          <w:rFonts w:cs="Times New Roman"/>
        </w:rPr>
        <w:t>按照水土保持事业发展的总体布局，围绕向社会提供准确、及时、有效的水土保持基础信息和为阜康市生态文明建设及国民经济发展决策提供依据的目标，建成完善的覆盖整个阜康市的水土保持监测网络，以及水土保持监测数据库和信息管理系统，健全水土保持监测工作管理制度，研究制定阜康市的水土保持监测体系和预测预报模型，形成高效便捷的信息采集、管理、发布和服务体系，实现对全州水土流失及其防治的动态监测和定期公告。</w:t>
      </w:r>
    </w:p>
    <w:p w14:paraId="672A8215">
      <w:pPr>
        <w:pStyle w:val="44"/>
        <w:spacing w:before="120" w:after="120"/>
        <w:rPr>
          <w:rFonts w:eastAsia="仿宋_GB2312" w:cs="Times New Roman"/>
        </w:rPr>
      </w:pPr>
      <w:bookmarkStart w:id="121" w:name="_Toc150724291"/>
      <w:r>
        <w:rPr>
          <w:rFonts w:eastAsia="仿宋_GB2312" w:cs="Times New Roman"/>
        </w:rPr>
        <w:t>7.2 监测站网建设总体布局</w:t>
      </w:r>
      <w:bookmarkEnd w:id="121"/>
    </w:p>
    <w:p w14:paraId="64CD5531">
      <w:pPr>
        <w:adjustRightInd w:val="0"/>
        <w:snapToGrid w:val="0"/>
        <w:ind w:firstLine="480"/>
        <w:jc w:val="both"/>
        <w:rPr>
          <w:rFonts w:cs="Times New Roman"/>
        </w:rPr>
      </w:pPr>
      <w:r>
        <w:rPr>
          <w:rFonts w:cs="Times New Roman"/>
        </w:rPr>
        <w:t>水土保持监测站网是水土保持监测工作的基础，涉及水土保持监测的战略发展全局和长远利益。水土保持监测站是监测行业的管理中枢，监测点是监测站网的核心，是水土保持监测站网的数据采集终端，承担着第一手资料的采集、整（汇）编等任务。监测站点布设的科学合理，直接关系到水土流失规律及趋势的分析和预测。水土保持监测站网建设要在整体性、系统性和实用性的前提下，按照规范化、现代化的要求，充分依托现有站点，建成布局合理、功能完备的监测站网，为信息采集、传输、存储、处理、服务为一体的水土保持监测工作奠定坚实基础。为科学评价水土流失状况及其防治情况，有针对性制定水土保持政策、方针提供第一手数据资料。</w:t>
      </w:r>
    </w:p>
    <w:p w14:paraId="344A126B">
      <w:pPr>
        <w:pStyle w:val="5"/>
        <w:rPr>
          <w:rFonts w:eastAsia="仿宋_GB2312"/>
        </w:rPr>
      </w:pPr>
      <w:r>
        <w:rPr>
          <w:rFonts w:eastAsia="仿宋_GB2312"/>
        </w:rPr>
        <w:t>7.2.1 水土保持监测站布设现状</w:t>
      </w:r>
    </w:p>
    <w:p w14:paraId="54BB1B30">
      <w:pPr>
        <w:ind w:firstLine="480"/>
        <w:rPr>
          <w:rFonts w:hint="eastAsia" w:ascii="仿宋_GB2312" w:hAnsi="MicrosoftYaHei"/>
          <w:szCs w:val="30"/>
        </w:rPr>
      </w:pPr>
      <w:r>
        <w:rPr>
          <w:rFonts w:cs="Times New Roman"/>
        </w:rPr>
        <w:t>根据</w:t>
      </w:r>
      <w:r>
        <w:rPr>
          <w:rFonts w:hint="eastAsia" w:cs="Times New Roman"/>
          <w:lang w:eastAsia="zh-CN"/>
        </w:rPr>
        <w:t>新疆维吾尔自治区</w:t>
      </w:r>
      <w:r>
        <w:rPr>
          <w:rFonts w:cs="Times New Roman"/>
        </w:rPr>
        <w:t>水土保持监测规划，新疆水土保持生态环境监测总站管理全疆水土保持监测工作，隶属于自治区水利厅；地（州）监测分站，隶属地（州）水行政主管部门；小流域控制站、坡面径流小区观测场、风蚀观测场、风水复合侵蚀观测场等监测点隶属于所属辖区内阜康市级水行政主管部门或流域管理机构；水文站依托点隶属于自治区水文局；昌吉州现已建昌吉州监测分站1处，隶属于昌吉州水利局，阜康市范围内现建设一处国家级水土流失监测站点</w:t>
      </w:r>
      <w:r>
        <w:rPr>
          <w:rFonts w:hint="eastAsia" w:cs="Times New Roman"/>
        </w:rPr>
        <w:t>，</w:t>
      </w:r>
      <w:r>
        <w:rPr>
          <w:rFonts w:hint="eastAsia" w:ascii="仿宋_GB2312"/>
        </w:rPr>
        <w:t>三工河水土保持监测点现状已建设径流场监测小区6座，监测房一座，监测设备1套，围栏等。</w:t>
      </w:r>
    </w:p>
    <w:p w14:paraId="654905F7">
      <w:pPr>
        <w:adjustRightInd w:val="0"/>
        <w:snapToGrid w:val="0"/>
        <w:ind w:firstLine="480"/>
        <w:jc w:val="both"/>
        <w:rPr>
          <w:rFonts w:cs="Times New Roman"/>
        </w:rPr>
      </w:pPr>
      <w:r>
        <w:rPr>
          <w:rFonts w:cs="Times New Roman"/>
        </w:rPr>
        <w:t>现阶段水土保持监测事业还未纳入同级政府财政预算，没有固定的经费来源，难以保证监测工作的开展，制约了对水土流失动态快速反应的能力和机制。监测设备不足，没有固定的监测设备难以满足监测工作的正常开展。阜康市无监测站点，现有的监测布局不满足阜康市监测需求。</w:t>
      </w:r>
    </w:p>
    <w:p w14:paraId="3D76C832">
      <w:pPr>
        <w:pStyle w:val="5"/>
        <w:rPr>
          <w:rFonts w:eastAsia="仿宋_GB2312"/>
        </w:rPr>
      </w:pPr>
      <w:r>
        <w:rPr>
          <w:rFonts w:eastAsia="仿宋_GB2312"/>
        </w:rPr>
        <w:t>7.2.2 各级水土保持监测点布设现状</w:t>
      </w:r>
    </w:p>
    <w:bookmarkEnd w:id="119"/>
    <w:p w14:paraId="10EAFC7C">
      <w:pPr>
        <w:pStyle w:val="370"/>
        <w:ind w:firstLine="480"/>
        <w:rPr>
          <w:rFonts w:eastAsia="仿宋_GB2312"/>
          <w:lang w:eastAsia="zh-TW"/>
        </w:rPr>
      </w:pPr>
      <w:r>
        <w:rPr>
          <w:rFonts w:eastAsia="仿宋_GB2312"/>
        </w:rPr>
        <w:t>1、</w:t>
      </w:r>
      <w:r>
        <w:rPr>
          <w:rFonts w:eastAsia="仿宋_GB2312"/>
          <w:lang w:eastAsia="zh-TW"/>
        </w:rPr>
        <w:t>国家级水土保持监测点</w:t>
      </w:r>
    </w:p>
    <w:p w14:paraId="21E4DE1E">
      <w:pPr>
        <w:pStyle w:val="376"/>
        <w:adjustRightInd w:val="0"/>
        <w:ind w:firstLine="480"/>
        <w:rPr>
          <w:color w:val="auto"/>
        </w:rPr>
      </w:pPr>
      <w:r>
        <w:rPr>
          <w:color w:val="auto"/>
        </w:rPr>
        <w:t>国家重要监测点是《全国水土保持监测规划》中重点建设的监测点，用以控制全国二级水土保持区划单元为主，布设在省域范围内，用于全国大尺度上的水土流失监测预报及生态环境状况的评价。</w:t>
      </w:r>
    </w:p>
    <w:p w14:paraId="0D46F71B">
      <w:pPr>
        <w:ind w:firstLine="480"/>
        <w:rPr>
          <w:rFonts w:hint="eastAsia" w:ascii="仿宋_GB2312" w:hAnsi="MicrosoftYaHei"/>
          <w:szCs w:val="30"/>
        </w:rPr>
      </w:pPr>
      <w:r>
        <w:rPr>
          <w:rFonts w:cs="Times New Roman"/>
        </w:rPr>
        <w:t>国家水土保持一般监测点是《全国水土保持监测规划》中规划并建设的，用以控制全国三级土壤侵蚀类型区为尺度范围的监测点，主要布设在土壤侵蚀严重的阜康市（市、区），为提高全国水土保持监测网络整体监测预报精度与水平，依托现有监测点标准改建或新建的监测点，阜康市范围内现建设一处国家级水土流失监测站点</w:t>
      </w:r>
      <w:r>
        <w:rPr>
          <w:rFonts w:hint="eastAsia" w:cs="Times New Roman"/>
        </w:rPr>
        <w:t>，</w:t>
      </w:r>
      <w:r>
        <w:rPr>
          <w:rFonts w:hint="eastAsia" w:ascii="仿宋_GB2312"/>
        </w:rPr>
        <w:t>三工河水土保持监测点已建设径流场监测小区6座，监测房一座，监测设备1套，围栏等。</w:t>
      </w:r>
    </w:p>
    <w:p w14:paraId="34954A17">
      <w:pPr>
        <w:pStyle w:val="370"/>
        <w:ind w:firstLine="480"/>
        <w:rPr>
          <w:rFonts w:eastAsia="仿宋_GB2312"/>
        </w:rPr>
      </w:pPr>
      <w:bookmarkStart w:id="122" w:name="_Toc330563748"/>
      <w:r>
        <w:rPr>
          <w:rFonts w:eastAsia="仿宋_GB2312"/>
        </w:rPr>
        <w:t>2、自治区级水土保持监测点</w:t>
      </w:r>
      <w:bookmarkEnd w:id="122"/>
    </w:p>
    <w:p w14:paraId="5E482C2B">
      <w:pPr>
        <w:pStyle w:val="376"/>
        <w:adjustRightInd w:val="0"/>
        <w:ind w:firstLine="480"/>
        <w:rPr>
          <w:color w:val="auto"/>
        </w:rPr>
      </w:pPr>
      <w:r>
        <w:rPr>
          <w:color w:val="auto"/>
        </w:rPr>
        <w:t>自治区监测点是为提高监测预报水平，促进水土保持信息化建设，基于自动化观测、信息化处理的高水平、高标准的监测站点，代表自治区水土保持监测技术最高水平。</w:t>
      </w:r>
    </w:p>
    <w:p w14:paraId="11D36955">
      <w:pPr>
        <w:pStyle w:val="376"/>
        <w:adjustRightInd w:val="0"/>
        <w:ind w:firstLine="480"/>
        <w:rPr>
          <w:color w:val="auto"/>
          <w:lang w:eastAsia="zh-CN"/>
        </w:rPr>
      </w:pPr>
      <w:r>
        <w:rPr>
          <w:color w:val="auto"/>
        </w:rPr>
        <w:t>自治区监测点根据行政区划原则和区域侵蚀代表性原则，依据自治区已建国家水土保持一般监测点的分布和充分考虑行政管理要求新建的监测点组成，用于自治区大尺度水土保持监测预报和生态环境状况的评价</w:t>
      </w:r>
      <w:bookmarkStart w:id="123" w:name="_Toc467577327"/>
      <w:bookmarkStart w:id="124" w:name="_Toc475322070"/>
      <w:r>
        <w:rPr>
          <w:color w:val="auto"/>
          <w:lang w:eastAsia="zh-CN"/>
        </w:rPr>
        <w:t>，阜康市</w:t>
      </w:r>
      <w:r>
        <w:rPr>
          <w:color w:val="auto"/>
        </w:rPr>
        <w:t>内无</w:t>
      </w:r>
      <w:r>
        <w:rPr>
          <w:color w:val="auto"/>
          <w:lang w:eastAsia="zh-CN"/>
        </w:rPr>
        <w:t>自治区级</w:t>
      </w:r>
      <w:r>
        <w:rPr>
          <w:color w:val="auto"/>
        </w:rPr>
        <w:t>水土保持监测点。</w:t>
      </w:r>
    </w:p>
    <w:p w14:paraId="767C9115">
      <w:pPr>
        <w:pStyle w:val="5"/>
        <w:rPr>
          <w:rFonts w:eastAsia="仿宋_GB2312"/>
        </w:rPr>
      </w:pPr>
      <w:r>
        <w:rPr>
          <w:rFonts w:eastAsia="仿宋_GB2312"/>
        </w:rPr>
        <w:t>7.2.3 水土保持监测点规划</w:t>
      </w:r>
    </w:p>
    <w:bookmarkEnd w:id="123"/>
    <w:bookmarkEnd w:id="124"/>
    <w:p w14:paraId="23D6BD1B">
      <w:pPr>
        <w:adjustRightInd w:val="0"/>
        <w:snapToGrid w:val="0"/>
        <w:ind w:firstLine="480"/>
        <w:jc w:val="both"/>
        <w:rPr>
          <w:rFonts w:cs="Times New Roman"/>
        </w:rPr>
      </w:pPr>
      <w:r>
        <w:rPr>
          <w:rFonts w:cs="Times New Roman"/>
        </w:rPr>
        <w:t>1、水土保持监测点布设原则</w:t>
      </w:r>
    </w:p>
    <w:p w14:paraId="00216CA2">
      <w:pPr>
        <w:pStyle w:val="376"/>
        <w:adjustRightInd w:val="0"/>
        <w:ind w:firstLine="480"/>
        <w:rPr>
          <w:color w:val="auto"/>
          <w:sz w:val="18"/>
        </w:rPr>
      </w:pPr>
      <w:r>
        <w:rPr>
          <w:color w:val="auto"/>
        </w:rPr>
        <w:t>水土保持监测站网是为了解和掌握水土流失状况、防治效果及其变化趋势，按照一定原则设立的水土保持监测点构成的数据采集系统。水土保持监测点按照主要侵蚀营力的不同，分为水力侵蚀、风力侵蚀、风水复合侵蚀、重力侵蚀和混合侵蚀监测点等。</w:t>
      </w:r>
    </w:p>
    <w:p w14:paraId="1D5142B1">
      <w:pPr>
        <w:pStyle w:val="376"/>
        <w:adjustRightInd w:val="0"/>
        <w:ind w:firstLine="480"/>
        <w:rPr>
          <w:color w:val="auto"/>
        </w:rPr>
      </w:pPr>
      <w:r>
        <w:rPr>
          <w:color w:val="auto"/>
        </w:rPr>
        <w:t>考虑到水土保持监测工作的特点，并结合现阶段阜康市水土保持监测</w:t>
      </w:r>
      <w:r>
        <w:rPr>
          <w:color w:val="auto"/>
          <w:lang w:eastAsia="zh-CN"/>
        </w:rPr>
        <w:t>现状</w:t>
      </w:r>
      <w:r>
        <w:rPr>
          <w:color w:val="auto"/>
        </w:rPr>
        <w:t>，监测点布设原则如下：</w:t>
      </w:r>
    </w:p>
    <w:p w14:paraId="517850D9">
      <w:pPr>
        <w:pStyle w:val="376"/>
        <w:adjustRightInd w:val="0"/>
        <w:ind w:firstLine="480"/>
        <w:rPr>
          <w:color w:val="auto"/>
        </w:rPr>
      </w:pPr>
      <w:r>
        <w:rPr>
          <w:color w:val="auto"/>
        </w:rPr>
        <w:t>（1）行政区划的原则。监测点要有明确的行政归属，能够代表该行政区域主要的水土流失特征。</w:t>
      </w:r>
    </w:p>
    <w:p w14:paraId="0FC2872D">
      <w:pPr>
        <w:pStyle w:val="376"/>
        <w:adjustRightInd w:val="0"/>
        <w:ind w:firstLine="480"/>
        <w:rPr>
          <w:color w:val="auto"/>
        </w:rPr>
      </w:pPr>
      <w:r>
        <w:rPr>
          <w:color w:val="auto"/>
        </w:rPr>
        <w:t>（2）区域代表性原则。监测点要能够代表不同区域的水土流失状况和主要特征，能够反映出区域内地貌类型、土壤类型、植被类型、气候类型等影响水土流失因素的典型特征；并且以代表区域监测点为中心，辐射至整个区域的水土流失特点、危害及发展趋势、水土流失治理措施效果等的监测。</w:t>
      </w:r>
    </w:p>
    <w:p w14:paraId="34C883DE">
      <w:pPr>
        <w:pStyle w:val="376"/>
        <w:adjustRightInd w:val="0"/>
        <w:ind w:firstLine="480"/>
        <w:rPr>
          <w:color w:val="auto"/>
        </w:rPr>
      </w:pPr>
      <w:r>
        <w:rPr>
          <w:color w:val="auto"/>
        </w:rPr>
        <w:t>（3）分区布设的原则。依据本规划划定的阜康市一级区划单元，分别布设典型监测点，作为该区域水土流失状况的代表。监测点在开展一般性常规监测的同时，针对区划单元发挥的生态维护、水土保持、防风固沙等水土保持基础功能开展相应的监测任务。</w:t>
      </w:r>
    </w:p>
    <w:p w14:paraId="0B77B02C">
      <w:pPr>
        <w:pStyle w:val="376"/>
        <w:adjustRightInd w:val="0"/>
        <w:ind w:firstLine="480"/>
        <w:rPr>
          <w:color w:val="auto"/>
        </w:rPr>
      </w:pPr>
      <w:r>
        <w:rPr>
          <w:color w:val="auto"/>
        </w:rPr>
        <w:t>（4）密度适中的原则。监测点主要布设在与人类经济社会活动密切相关区域，在水土流失重点预防区、水土流失重点治理区及生态脆弱区和生态敏感区适当加密。在沙漠区、高山区和人为活动少的区域降低布设密度。</w:t>
      </w:r>
    </w:p>
    <w:p w14:paraId="09AE3745">
      <w:pPr>
        <w:pStyle w:val="376"/>
        <w:adjustRightInd w:val="0"/>
        <w:ind w:firstLine="480"/>
        <w:rPr>
          <w:color w:val="auto"/>
        </w:rPr>
      </w:pPr>
      <w:r>
        <w:rPr>
          <w:color w:val="auto"/>
        </w:rPr>
        <w:t>（5）利用现有监测站点的原则。充分利用已有的水土流失监测点，择优利用大专院校、科研院所已有的相关科研设施，在满足共同要求的典型区域布设监测点，注重与水文站网及林业、环保等部门监测点的结合，并充分依托水文站网，实现优势互补，资源共享，避免重复投资和重复建设。</w:t>
      </w:r>
    </w:p>
    <w:p w14:paraId="7B8AF6C7">
      <w:pPr>
        <w:pStyle w:val="376"/>
        <w:adjustRightInd w:val="0"/>
        <w:ind w:firstLine="480"/>
        <w:rPr>
          <w:color w:val="auto"/>
        </w:rPr>
      </w:pPr>
      <w:r>
        <w:rPr>
          <w:color w:val="auto"/>
        </w:rPr>
        <w:t>（6）分层布设的原则。按照国家水土保持重要监测点、自治区水土保持重要监测点、自治区水土保持一般监测点、资源集中开发和生态敏感区域遥感监测点、土壤侵蚀野外调查单元顺序，分层布设，逐渐补充加密，建成功能明确、脉络清晰、密度适中、内容全面的监测网络。</w:t>
      </w:r>
    </w:p>
    <w:p w14:paraId="1D2A30A6">
      <w:pPr>
        <w:adjustRightInd w:val="0"/>
        <w:snapToGrid w:val="0"/>
        <w:ind w:firstLine="480"/>
        <w:jc w:val="both"/>
        <w:rPr>
          <w:rFonts w:cs="Times New Roman"/>
        </w:rPr>
      </w:pPr>
      <w:r>
        <w:rPr>
          <w:rFonts w:cs="Times New Roman"/>
        </w:rPr>
        <w:t>（7）方便运行管理原则。监测点布设应考虑交通、通讯、生活条件等。</w:t>
      </w:r>
    </w:p>
    <w:p w14:paraId="7699099F">
      <w:pPr>
        <w:adjustRightInd w:val="0"/>
        <w:snapToGrid w:val="0"/>
        <w:ind w:firstLine="480"/>
        <w:jc w:val="both"/>
        <w:rPr>
          <w:rFonts w:cs="Times New Roman"/>
        </w:rPr>
      </w:pPr>
      <w:r>
        <w:rPr>
          <w:rFonts w:cs="Times New Roman"/>
        </w:rPr>
        <w:t>2、阜康市水土保持监测点规划</w:t>
      </w:r>
    </w:p>
    <w:p w14:paraId="6813173D">
      <w:pPr>
        <w:pStyle w:val="329"/>
        <w:adjustRightInd w:val="0"/>
        <w:snapToGrid w:val="0"/>
        <w:ind w:firstLine="480"/>
        <w:jc w:val="left"/>
        <w:rPr>
          <w:b w:val="0"/>
        </w:rPr>
      </w:pPr>
      <w:r>
        <w:rPr>
          <w:b w:val="0"/>
        </w:rPr>
        <w:t>根据自治区水土保持规划，遵循水土保持监测点布设原则，本规划</w:t>
      </w:r>
      <w:r>
        <w:rPr>
          <w:rFonts w:hint="eastAsia"/>
          <w:b w:val="0"/>
        </w:rPr>
        <w:t>不需新建监测站点</w:t>
      </w:r>
      <w:r>
        <w:rPr>
          <w:b w:val="0"/>
        </w:rPr>
        <w:t>。</w:t>
      </w:r>
    </w:p>
    <w:p w14:paraId="142D2642">
      <w:pPr>
        <w:pStyle w:val="44"/>
        <w:spacing w:before="120" w:after="120"/>
        <w:rPr>
          <w:rFonts w:eastAsia="仿宋_GB2312" w:cs="Times New Roman"/>
        </w:rPr>
      </w:pPr>
      <w:bookmarkStart w:id="125" w:name="_Toc150724292"/>
      <w:r>
        <w:rPr>
          <w:rFonts w:eastAsia="仿宋_GB2312" w:cs="Times New Roman"/>
        </w:rPr>
        <w:t>7.3 水土保持监测内容</w:t>
      </w:r>
      <w:bookmarkEnd w:id="125"/>
    </w:p>
    <w:p w14:paraId="23216215">
      <w:pPr>
        <w:adjustRightInd w:val="0"/>
        <w:snapToGrid w:val="0"/>
        <w:ind w:firstLine="600" w:firstLineChars="250"/>
        <w:rPr>
          <w:rFonts w:cs="Times New Roman"/>
        </w:rPr>
      </w:pPr>
      <w:r>
        <w:rPr>
          <w:rFonts w:cs="Times New Roman"/>
        </w:rPr>
        <w:t>水土保持监测内容包括水土保持调查，水土流失重点防治区监测、水土流失定位观测、水土保持重点工程效益监测和生产建设项目水土保持监测等。</w:t>
      </w:r>
    </w:p>
    <w:p w14:paraId="52BC8AA2">
      <w:pPr>
        <w:pStyle w:val="5"/>
        <w:rPr>
          <w:rFonts w:eastAsia="仿宋_GB2312"/>
        </w:rPr>
      </w:pPr>
      <w:r>
        <w:rPr>
          <w:rFonts w:eastAsia="仿宋_GB2312"/>
        </w:rPr>
        <w:t>7.3.1 水土保持调查</w:t>
      </w:r>
    </w:p>
    <w:p w14:paraId="261F3BE0">
      <w:pPr>
        <w:pStyle w:val="329"/>
        <w:adjustRightInd w:val="0"/>
        <w:snapToGrid w:val="0"/>
        <w:ind w:firstLine="480"/>
        <w:jc w:val="left"/>
        <w:rPr>
          <w:b w:val="0"/>
        </w:rPr>
      </w:pPr>
      <w:r>
        <w:rPr>
          <w:b w:val="0"/>
        </w:rPr>
        <w:t>水土保持调查包括水土保持普查和专项调查。水土保持普查综合采用遥感、野外调查、统计分析和模型计算等多种手段和方法，分析评价阜康市水土流失类型、分布、面积和强度，掌握水土保持措施的类型、分布、数量和水土流失防治效益等，水土保持普查可根据国家水土保持普查要求开展。</w:t>
      </w:r>
    </w:p>
    <w:p w14:paraId="1748BDBE">
      <w:pPr>
        <w:pStyle w:val="5"/>
        <w:rPr>
          <w:rFonts w:eastAsia="仿宋_GB2312"/>
        </w:rPr>
      </w:pPr>
      <w:r>
        <w:rPr>
          <w:rFonts w:eastAsia="仿宋_GB2312"/>
        </w:rPr>
        <w:t>7.3.2 水土流失重点防治区监测</w:t>
      </w:r>
    </w:p>
    <w:p w14:paraId="5CA3F2CB">
      <w:pPr>
        <w:pStyle w:val="329"/>
        <w:adjustRightInd w:val="0"/>
        <w:snapToGrid w:val="0"/>
        <w:ind w:firstLine="480"/>
        <w:jc w:val="left"/>
        <w:rPr>
          <w:b w:val="0"/>
        </w:rPr>
      </w:pPr>
      <w:r>
        <w:rPr>
          <w:b w:val="0"/>
        </w:rPr>
        <w:t>主要是采用遥感、地面观测和抽样调查相结合的方法，对水土流失重点预防区和重点治理区进行监测，综合评价区域植被、土壤、土地利用、水土流失类型、分布、面积、强度、治理措施动态变化及其效益等。也可根据水土保持区功能特点，开展相应的指标监测。</w:t>
      </w:r>
    </w:p>
    <w:p w14:paraId="18A64E9C">
      <w:pPr>
        <w:pStyle w:val="5"/>
        <w:rPr>
          <w:rFonts w:eastAsia="仿宋_GB2312"/>
        </w:rPr>
      </w:pPr>
      <w:r>
        <w:rPr>
          <w:rFonts w:eastAsia="仿宋_GB2312"/>
        </w:rPr>
        <w:t>7.3.3 水土流失定位观测</w:t>
      </w:r>
    </w:p>
    <w:p w14:paraId="3F2269A0">
      <w:pPr>
        <w:pStyle w:val="329"/>
        <w:adjustRightInd w:val="0"/>
        <w:snapToGrid w:val="0"/>
        <w:ind w:firstLine="480"/>
        <w:jc w:val="left"/>
        <w:rPr>
          <w:b w:val="0"/>
        </w:rPr>
      </w:pPr>
      <w:r>
        <w:rPr>
          <w:b w:val="0"/>
        </w:rPr>
        <w:t>水土流失定位观测主要包括对小流域控制站以及风沙观测场等监测站点监测指标的定位监测，监测内容包括水土流失影响因子、土壤流失量等指标，为阜康市水土流失预测预报、水土保持措施效益分析提供基础数据。</w:t>
      </w:r>
    </w:p>
    <w:p w14:paraId="263AE662">
      <w:pPr>
        <w:pStyle w:val="5"/>
        <w:rPr>
          <w:rFonts w:eastAsia="仿宋_GB2312"/>
        </w:rPr>
      </w:pPr>
      <w:r>
        <w:rPr>
          <w:rFonts w:eastAsia="仿宋_GB2312"/>
        </w:rPr>
        <w:t>7.3.4 水土保持重点工程效益监测</w:t>
      </w:r>
    </w:p>
    <w:p w14:paraId="3CA50D7A">
      <w:pPr>
        <w:pStyle w:val="329"/>
        <w:adjustRightInd w:val="0"/>
        <w:snapToGrid w:val="0"/>
        <w:ind w:firstLine="480"/>
        <w:jc w:val="left"/>
        <w:rPr>
          <w:b w:val="0"/>
        </w:rPr>
      </w:pPr>
      <w:r>
        <w:rPr>
          <w:b w:val="0"/>
        </w:rPr>
        <w:t>采用定位观测和典型调查相结合的方法，定期或不定期对阜康市水土保持重点工程的实施情况进行监测，分析评价工程建设取得的社会效益、经济效益和生态效益，为制定生态建设宏观战略、调整总体部署提供支撑。监测内容包括项目区基本情况、水土流失状况、水土保持措施类别、数量、质量及其效益等。</w:t>
      </w:r>
    </w:p>
    <w:p w14:paraId="2302CCED">
      <w:pPr>
        <w:pStyle w:val="5"/>
        <w:rPr>
          <w:rFonts w:eastAsia="仿宋_GB2312"/>
        </w:rPr>
      </w:pPr>
      <w:r>
        <w:rPr>
          <w:rFonts w:eastAsia="仿宋_GB2312"/>
        </w:rPr>
        <w:t>7.3.5 生产建设项目水土保持监测</w:t>
      </w:r>
    </w:p>
    <w:p w14:paraId="3D7C5E24">
      <w:pPr>
        <w:pStyle w:val="329"/>
        <w:adjustRightInd w:val="0"/>
        <w:snapToGrid w:val="0"/>
        <w:ind w:firstLine="480"/>
        <w:jc w:val="left"/>
        <w:rPr>
          <w:b w:val="0"/>
        </w:rPr>
      </w:pPr>
      <w:r>
        <w:rPr>
          <w:b w:val="0"/>
        </w:rPr>
        <w:t>主要监测生产建设项目扰动地表状况、水土流失状况、水土流失危害、水土保持措施及其防治效果等，全面反映项目建设引起的区域生态环境破坏程度及其危害，为制定和调整区域经济社会发展战略提供依据。</w:t>
      </w:r>
    </w:p>
    <w:p w14:paraId="67344DD6">
      <w:pPr>
        <w:pStyle w:val="44"/>
        <w:spacing w:before="120" w:after="120"/>
        <w:rPr>
          <w:rFonts w:eastAsia="仿宋_GB2312" w:cs="Times New Roman"/>
        </w:rPr>
      </w:pPr>
      <w:bookmarkStart w:id="126" w:name="_Toc150724293"/>
      <w:bookmarkStart w:id="127" w:name="_Toc34820184"/>
      <w:r>
        <w:rPr>
          <w:rFonts w:eastAsia="仿宋_GB2312" w:cs="Times New Roman"/>
        </w:rPr>
        <w:t>7.4 重点监测项目</w:t>
      </w:r>
      <w:bookmarkEnd w:id="126"/>
      <w:bookmarkEnd w:id="127"/>
    </w:p>
    <w:p w14:paraId="5C9B04E0">
      <w:pPr>
        <w:pStyle w:val="5"/>
        <w:rPr>
          <w:rFonts w:eastAsia="仿宋_GB2312"/>
        </w:rPr>
      </w:pPr>
      <w:bookmarkStart w:id="128" w:name="_Toc9199"/>
      <w:bookmarkStart w:id="129" w:name="_Toc475322072"/>
      <w:r>
        <w:rPr>
          <w:rFonts w:eastAsia="仿宋_GB2312"/>
        </w:rPr>
        <w:t>7.4.1 水土流失定期调查项目</w:t>
      </w:r>
    </w:p>
    <w:p w14:paraId="4216E210">
      <w:pPr>
        <w:adjustRightInd w:val="0"/>
        <w:snapToGrid w:val="0"/>
        <w:ind w:firstLine="480"/>
        <w:rPr>
          <w:rFonts w:cs="Times New Roman"/>
        </w:rPr>
      </w:pPr>
      <w:r>
        <w:rPr>
          <w:rFonts w:cs="Times New Roman"/>
        </w:rPr>
        <w:t>调查任务主要包括：查清阜康市土壤侵蚀现状，掌握土壤侵蚀分布、面积和强度；查清阜康市水土保持措施现状，掌握各类水土保持措施的数量和分布；提供水土保持基础数据等。阜康市水土保持普查可根据新疆维吾尔自治区及</w:t>
      </w:r>
      <w:r>
        <w:rPr>
          <w:rFonts w:hint="eastAsia" w:cs="Times New Roman"/>
        </w:rPr>
        <w:t>昌吉州</w:t>
      </w:r>
      <w:r>
        <w:rPr>
          <w:rFonts w:cs="Times New Roman"/>
        </w:rPr>
        <w:t>水土保持普查要求开展相应工作。</w:t>
      </w:r>
    </w:p>
    <w:p w14:paraId="02EB4DBE">
      <w:pPr>
        <w:pStyle w:val="5"/>
        <w:rPr>
          <w:rFonts w:eastAsia="仿宋_GB2312"/>
        </w:rPr>
      </w:pPr>
      <w:r>
        <w:rPr>
          <w:rFonts w:eastAsia="仿宋_GB2312"/>
        </w:rPr>
        <w:t>7.4.2 重点防治区水土保持监测</w:t>
      </w:r>
      <w:bookmarkEnd w:id="128"/>
      <w:bookmarkEnd w:id="129"/>
    </w:p>
    <w:p w14:paraId="181221E8">
      <w:pPr>
        <w:adjustRightInd w:val="0"/>
        <w:snapToGrid w:val="0"/>
        <w:ind w:firstLine="480"/>
        <w:rPr>
          <w:rFonts w:cs="Times New Roman"/>
          <w:sz w:val="28"/>
          <w:szCs w:val="28"/>
        </w:rPr>
      </w:pPr>
      <w:r>
        <w:rPr>
          <w:rFonts w:cs="Times New Roman"/>
        </w:rPr>
        <w:t>根据上级监测工作的统一安排，将水土流失重点防治区的监测作为水土保持监测的一项重要日常性任务落实。针对天山国家级水土流失重点预防区和涉及昌吉州的自治区级水土流失重点治理区，开展国家级和省级重点治理区监测，掌握区域水土流失变化情况，评价水土流失综合治理效益。</w:t>
      </w:r>
    </w:p>
    <w:p w14:paraId="0AAB7763">
      <w:pPr>
        <w:pStyle w:val="5"/>
        <w:rPr>
          <w:rFonts w:eastAsia="仿宋_GB2312"/>
        </w:rPr>
      </w:pPr>
      <w:bookmarkStart w:id="130" w:name="_Toc475322073"/>
      <w:bookmarkStart w:id="131" w:name="_Toc11734"/>
      <w:r>
        <w:rPr>
          <w:rFonts w:eastAsia="仿宋_GB2312"/>
        </w:rPr>
        <w:t>7.4.3 水土保持重点工程监测</w:t>
      </w:r>
      <w:bookmarkEnd w:id="130"/>
      <w:bookmarkEnd w:id="131"/>
    </w:p>
    <w:p w14:paraId="6F0FBA9F">
      <w:pPr>
        <w:adjustRightInd w:val="0"/>
        <w:snapToGrid w:val="0"/>
        <w:ind w:firstLine="480"/>
        <w:rPr>
          <w:rFonts w:cs="Times New Roman"/>
        </w:rPr>
      </w:pPr>
      <w:r>
        <w:rPr>
          <w:rFonts w:cs="Times New Roman"/>
        </w:rPr>
        <w:t>（1）中小流域监测应包括以下项目：</w:t>
      </w:r>
    </w:p>
    <w:p w14:paraId="497765AA">
      <w:pPr>
        <w:adjustRightInd w:val="0"/>
        <w:snapToGrid w:val="0"/>
        <w:ind w:firstLine="480"/>
        <w:rPr>
          <w:rFonts w:cs="Times New Roman"/>
        </w:rPr>
      </w:pPr>
      <w:r>
        <w:rPr>
          <w:rFonts w:cs="Times New Roman"/>
        </w:rPr>
        <w:t>1）不同侵蚀类型的面积、强度、流失量和潜在危险度。</w:t>
      </w:r>
    </w:p>
    <w:p w14:paraId="04840700">
      <w:pPr>
        <w:adjustRightInd w:val="0"/>
        <w:snapToGrid w:val="0"/>
        <w:ind w:firstLine="480"/>
        <w:rPr>
          <w:rFonts w:cs="Times New Roman"/>
        </w:rPr>
      </w:pPr>
      <w:r>
        <w:rPr>
          <w:rFonts w:cs="Times New Roman"/>
        </w:rPr>
        <w:t>2）水土流失危害监测包括土地生产力下降，水库、湖泊和河床渠淤积量。</w:t>
      </w:r>
    </w:p>
    <w:p w14:paraId="580D2F1D">
      <w:pPr>
        <w:adjustRightInd w:val="0"/>
        <w:snapToGrid w:val="0"/>
        <w:ind w:firstLine="480"/>
        <w:rPr>
          <w:rFonts w:cs="Times New Roman"/>
        </w:rPr>
      </w:pPr>
      <w:r>
        <w:rPr>
          <w:rFonts w:cs="Times New Roman"/>
        </w:rPr>
        <w:t>3）水土保持措施数量、质量及效果监测包括防治措施和防治效果两方面。</w:t>
      </w:r>
    </w:p>
    <w:p w14:paraId="0CD55A82">
      <w:pPr>
        <w:adjustRightInd w:val="0"/>
        <w:snapToGrid w:val="0"/>
        <w:ind w:firstLine="480"/>
        <w:rPr>
          <w:rFonts w:cs="Times New Roman"/>
        </w:rPr>
      </w:pPr>
      <w:r>
        <w:rPr>
          <w:rFonts w:hint="eastAsia" w:ascii="宋体" w:hAnsi="宋体" w:eastAsia="宋体"/>
        </w:rPr>
        <w:t>①</w:t>
      </w:r>
      <w:r>
        <w:rPr>
          <w:rFonts w:cs="Times New Roman"/>
        </w:rPr>
        <w:t>防治措施包括水土保持林、经果林、种草、封山育林（草）、梯田、沟坝地的面积、治沟工程和坡面工程的数量及质量。</w:t>
      </w:r>
    </w:p>
    <w:p w14:paraId="6FFDE113">
      <w:pPr>
        <w:adjustRightInd w:val="0"/>
        <w:snapToGrid w:val="0"/>
        <w:ind w:firstLine="480"/>
        <w:rPr>
          <w:rFonts w:cs="Times New Roman"/>
        </w:rPr>
      </w:pPr>
      <w:r>
        <w:rPr>
          <w:rFonts w:hint="eastAsia" w:ascii="宋体" w:hAnsi="宋体" w:eastAsia="宋体"/>
        </w:rPr>
        <w:t>②</w:t>
      </w:r>
      <w:r>
        <w:rPr>
          <w:rFonts w:cs="Times New Roman"/>
        </w:rPr>
        <w:t>防治效果包括水保土、减沙、植被类型与覆盖度变化、增加经济收益、增产粮食等。</w:t>
      </w:r>
    </w:p>
    <w:p w14:paraId="79B08A6A">
      <w:pPr>
        <w:adjustRightInd w:val="0"/>
        <w:snapToGrid w:val="0"/>
        <w:ind w:firstLine="480"/>
        <w:rPr>
          <w:rFonts w:cs="Times New Roman"/>
        </w:rPr>
      </w:pPr>
      <w:r>
        <w:rPr>
          <w:rFonts w:cs="Times New Roman"/>
        </w:rPr>
        <w:t>4）小流域监测增加项目包括小流域特征值、气象、土地利用、主要灾害和水土流失及其防治。</w:t>
      </w:r>
    </w:p>
    <w:p w14:paraId="04BAEFBC">
      <w:pPr>
        <w:adjustRightInd w:val="0"/>
        <w:snapToGrid w:val="0"/>
        <w:ind w:firstLine="480"/>
        <w:rPr>
          <w:rFonts w:cs="Times New Roman"/>
        </w:rPr>
      </w:pPr>
      <w:r>
        <w:rPr>
          <w:rFonts w:hint="eastAsia" w:ascii="宋体" w:hAnsi="宋体" w:eastAsia="宋体"/>
        </w:rPr>
        <w:t>①</w:t>
      </w:r>
      <w:r>
        <w:rPr>
          <w:rFonts w:cs="Times New Roman"/>
        </w:rPr>
        <w:t>小流域特征值包括流域长度、宽度、面积，地理位置，海拔高度，地貌类型，土地及耕地的地面坡度组成。</w:t>
      </w:r>
    </w:p>
    <w:p w14:paraId="128BB014">
      <w:pPr>
        <w:adjustRightInd w:val="0"/>
        <w:snapToGrid w:val="0"/>
        <w:ind w:firstLine="480"/>
        <w:rPr>
          <w:rFonts w:cs="Times New Roman"/>
        </w:rPr>
      </w:pPr>
      <w:r>
        <w:rPr>
          <w:rFonts w:hint="eastAsia" w:ascii="宋体" w:hAnsi="宋体" w:eastAsia="宋体"/>
        </w:rPr>
        <w:t>②</w:t>
      </w:r>
      <w:r>
        <w:rPr>
          <w:rFonts w:cs="Times New Roman"/>
        </w:rPr>
        <w:t>气象包括年降水量及其年内分布、雨强，年均气温、积温和无霜期。</w:t>
      </w:r>
    </w:p>
    <w:p w14:paraId="13EEAC43">
      <w:pPr>
        <w:adjustRightInd w:val="0"/>
        <w:snapToGrid w:val="0"/>
        <w:ind w:firstLine="480"/>
        <w:rPr>
          <w:rFonts w:cs="Times New Roman"/>
        </w:rPr>
      </w:pPr>
      <w:r>
        <w:rPr>
          <w:rFonts w:hint="eastAsia" w:ascii="宋体" w:hAnsi="宋体" w:eastAsia="宋体"/>
        </w:rPr>
        <w:t>③</w:t>
      </w:r>
      <w:r>
        <w:rPr>
          <w:rFonts w:cs="Times New Roman"/>
        </w:rPr>
        <w:t>土地利用包括土地利用类型及结构、植被类型及覆盖度。</w:t>
      </w:r>
    </w:p>
    <w:p w14:paraId="46533445">
      <w:pPr>
        <w:adjustRightInd w:val="0"/>
        <w:snapToGrid w:val="0"/>
        <w:ind w:firstLine="480"/>
        <w:rPr>
          <w:rFonts w:cs="Times New Roman"/>
        </w:rPr>
      </w:pPr>
      <w:r>
        <w:rPr>
          <w:rFonts w:hint="eastAsia" w:ascii="宋体" w:hAnsi="宋体" w:eastAsia="宋体"/>
        </w:rPr>
        <w:t>④</w:t>
      </w:r>
      <w:r>
        <w:rPr>
          <w:rFonts w:cs="Times New Roman"/>
        </w:rPr>
        <w:t>水土流失及其防治包括土壤的类型、厚度、质地及理化性状，水土流失的面积、强度与分布，防治措施类型与数量。</w:t>
      </w:r>
    </w:p>
    <w:p w14:paraId="0109222C">
      <w:pPr>
        <w:adjustRightInd w:val="0"/>
        <w:snapToGrid w:val="0"/>
        <w:ind w:firstLine="480"/>
        <w:rPr>
          <w:rFonts w:cs="Times New Roman"/>
        </w:rPr>
      </w:pPr>
      <w:r>
        <w:rPr>
          <w:rFonts w:hint="eastAsia" w:ascii="宋体" w:hAnsi="宋体" w:eastAsia="宋体"/>
        </w:rPr>
        <w:t>⑤</w:t>
      </w:r>
      <w:r>
        <w:rPr>
          <w:rFonts w:cs="Times New Roman"/>
        </w:rPr>
        <w:t>社会经济主要包括人口、劳动力、经济结构和经济收入。</w:t>
      </w:r>
    </w:p>
    <w:p w14:paraId="5670A310">
      <w:pPr>
        <w:adjustRightInd w:val="0"/>
        <w:snapToGrid w:val="0"/>
        <w:ind w:firstLine="480"/>
        <w:rPr>
          <w:rFonts w:cs="Times New Roman"/>
        </w:rPr>
      </w:pPr>
      <w:r>
        <w:rPr>
          <w:rFonts w:hint="eastAsia" w:ascii="宋体" w:hAnsi="宋体" w:eastAsia="宋体"/>
        </w:rPr>
        <w:t>⑥</w:t>
      </w:r>
      <w:r>
        <w:rPr>
          <w:rFonts w:cs="Times New Roman"/>
        </w:rPr>
        <w:t>改良土壤包括治理前后土壤质地、厚度和养分。</w:t>
      </w:r>
    </w:p>
    <w:p w14:paraId="3A2C75AE">
      <w:pPr>
        <w:pStyle w:val="329"/>
        <w:adjustRightInd w:val="0"/>
        <w:snapToGrid w:val="0"/>
        <w:ind w:firstLine="480"/>
        <w:jc w:val="left"/>
        <w:rPr>
          <w:b w:val="0"/>
        </w:rPr>
      </w:pPr>
      <w:r>
        <w:rPr>
          <w:b w:val="0"/>
        </w:rPr>
        <w:t>（2）小流域监测应采用地面观测方法，同时通过询问、收集资料和抽样调查等获取有关资料。中小流域采用遥感监测、地面观测和抽样调查等方法。</w:t>
      </w:r>
    </w:p>
    <w:p w14:paraId="56AB637C">
      <w:pPr>
        <w:pStyle w:val="5"/>
        <w:rPr>
          <w:rFonts w:eastAsia="仿宋_GB2312"/>
        </w:rPr>
      </w:pPr>
      <w:r>
        <w:rPr>
          <w:rFonts w:eastAsia="仿宋_GB2312"/>
        </w:rPr>
        <w:t>7.4.4生产建设项目水土保持监测</w:t>
      </w:r>
    </w:p>
    <w:p w14:paraId="08146CA2">
      <w:pPr>
        <w:adjustRightInd w:val="0"/>
        <w:snapToGrid w:val="0"/>
        <w:ind w:firstLine="480"/>
        <w:rPr>
          <w:rFonts w:cs="Times New Roman"/>
        </w:rPr>
      </w:pPr>
      <w:r>
        <w:rPr>
          <w:rFonts w:cs="Times New Roman"/>
        </w:rPr>
        <w:t>为了全面反映各区域因大规模建设引起的区域生态环境破坏程度及其危害，根据阜康市内的生产建设项目分布特点，选择大中型生产建设项目集中连片，资源开发和基本建设活动较集中和频繁、扰动地表和破坏植被面积较大、水土流失危害和后果严重的生产建设项目集中区，开展水土流失监测。主要监测内容包括生产建设项目扰动土地情况、土地利用情况、水土流失状况、水土保持措成及其效果等。主要采用遏感监测与野外调查相结合的方法，并辅助生产建设项目集中区主要河流的水文站进行监测。通过对监测结果统计分析，综合评价生产建设项目集中区的水土流失状况、生态环境状况和水土保持效果。生产建设项目集中区的遥感调查和典型项目实地调查每年进行一项。</w:t>
      </w:r>
    </w:p>
    <w:p w14:paraId="12983B80">
      <w:pPr>
        <w:pStyle w:val="44"/>
        <w:spacing w:before="120" w:after="120"/>
        <w:rPr>
          <w:rFonts w:eastAsia="仿宋_GB2312" w:cs="Times New Roman"/>
        </w:rPr>
      </w:pPr>
      <w:bookmarkStart w:id="132" w:name="_Toc150724294"/>
      <w:r>
        <w:rPr>
          <w:rFonts w:eastAsia="仿宋_GB2312" w:cs="Times New Roman"/>
        </w:rPr>
        <w:t>7.5 监测运行保障措施</w:t>
      </w:r>
      <w:bookmarkEnd w:id="132"/>
    </w:p>
    <w:p w14:paraId="752F5D43">
      <w:pPr>
        <w:adjustRightInd w:val="0"/>
        <w:snapToGrid w:val="0"/>
        <w:ind w:firstLine="480"/>
        <w:rPr>
          <w:rFonts w:cs="Times New Roman"/>
        </w:rPr>
      </w:pPr>
      <w:r>
        <w:rPr>
          <w:rFonts w:cs="Times New Roman"/>
        </w:rPr>
        <w:t>1、组织保障</w:t>
      </w:r>
    </w:p>
    <w:p w14:paraId="3519C349">
      <w:pPr>
        <w:adjustRightInd w:val="0"/>
        <w:snapToGrid w:val="0"/>
        <w:ind w:firstLine="480"/>
        <w:rPr>
          <w:rFonts w:cs="Times New Roman"/>
        </w:rPr>
      </w:pPr>
      <w:r>
        <w:rPr>
          <w:rFonts w:cs="Times New Roman"/>
        </w:rPr>
        <w:t>新疆维吾尔自治区实施《中华人民共和国水土保持法》办法(2013年7月31日颁布，同年10月1日实施)第十五条规定“阜康市级以上人民政府水行政主管部门应当建立健全水土保持监测网络体系，科学设置水土保持监测点，开展水土流失动态监测，每年发布水土保持公告。”自治区《关于加快水利改革发展的意见》(新党发 [2011]21号)要求“完善区、地、阜康市三级水土保持监测网络，加强机构和队伍建设”。</w:t>
      </w:r>
    </w:p>
    <w:p w14:paraId="38658962">
      <w:pPr>
        <w:adjustRightInd w:val="0"/>
        <w:snapToGrid w:val="0"/>
        <w:ind w:firstLine="480"/>
        <w:rPr>
          <w:rFonts w:cs="Times New Roman"/>
        </w:rPr>
      </w:pPr>
      <w:r>
        <w:rPr>
          <w:rFonts w:cs="Times New Roman"/>
        </w:rPr>
        <w:t>水土保持监测工作是法律赋予水行政主管部门的重要职责，是水土保持的基础性工作，关系到水土保持事业自身的发展。各级水行政主管部门要从落实科学发展观的高度，从促进水土保持信息化、现代化的高度认识水土保持监测工作的重要性；要采取有效措施，建立健全监测机构，配备技术人才，完善基础设施，保证监测工作的正常开展；要切实加强组织领导，建立健全目标责任制，定期公告水土流失状况和水土保持防治成效。</w:t>
      </w:r>
    </w:p>
    <w:p w14:paraId="2A54417B">
      <w:pPr>
        <w:adjustRightInd w:val="0"/>
        <w:snapToGrid w:val="0"/>
        <w:ind w:firstLine="480"/>
        <w:rPr>
          <w:rFonts w:cs="Times New Roman"/>
        </w:rPr>
      </w:pPr>
      <w:r>
        <w:rPr>
          <w:rFonts w:cs="Times New Roman"/>
        </w:rPr>
        <w:t>2、资金筹措</w:t>
      </w:r>
    </w:p>
    <w:p w14:paraId="7D60CD18">
      <w:pPr>
        <w:adjustRightInd w:val="0"/>
        <w:snapToGrid w:val="0"/>
        <w:ind w:firstLine="480"/>
        <w:rPr>
          <w:rFonts w:cs="Times New Roman"/>
        </w:rPr>
      </w:pPr>
      <w:r>
        <w:rPr>
          <w:rFonts w:cs="Times New Roman"/>
        </w:rPr>
        <w:t>水土保持监测是一项社会公益事业，为保证本监测规划目标的顺利实施，确保阜康市水土保持监测事业的可持续发展，必须按照水土保持法律法规相关要求，加大对水土保持监测工作的投入。本规划资金筹措方案为：</w:t>
      </w:r>
    </w:p>
    <w:p w14:paraId="05A90184">
      <w:pPr>
        <w:adjustRightInd w:val="0"/>
        <w:snapToGrid w:val="0"/>
        <w:ind w:firstLine="480"/>
        <w:rPr>
          <w:rFonts w:cs="Times New Roman"/>
        </w:rPr>
      </w:pPr>
      <w:r>
        <w:rPr>
          <w:rFonts w:cs="Times New Roman"/>
        </w:rPr>
        <w:t>1）基础设施建设及维护费用:水土保持监测基础建设费建议由国家投入为主，阜康市自筹为辅。自筹资金主要从征收的水土保持补偿费、建立的生态补偿机制等项目中划出一定比例用于水土保持监测基础设施建设及后期监测站点的维护。</w:t>
      </w:r>
    </w:p>
    <w:p w14:paraId="3FABD8BB">
      <w:pPr>
        <w:adjustRightInd w:val="0"/>
        <w:snapToGrid w:val="0"/>
        <w:ind w:firstLine="480"/>
        <w:rPr>
          <w:rFonts w:cs="Times New Roman"/>
        </w:rPr>
      </w:pPr>
      <w:r>
        <w:rPr>
          <w:rFonts w:cs="Times New Roman"/>
        </w:rPr>
        <w:t>2）监测运行费：对于各监测站点的运行费则应按水土保持法的要求一方面从国家监测站网经费中列支，另一方面需纳入阜康市的财政预算中，解决水土保持监测入员费用、设施设备运行管理和维护费，以此来实现阜康市水土保持监测工作的可持续发展。</w:t>
      </w:r>
    </w:p>
    <w:p w14:paraId="0B87DE90">
      <w:pPr>
        <w:pStyle w:val="2"/>
        <w:spacing w:before="120" w:after="120"/>
        <w:rPr>
          <w:rFonts w:eastAsia="仿宋_GB2312" w:cs="Times New Roman"/>
          <w:color w:val="auto"/>
        </w:rPr>
        <w:sectPr>
          <w:pgSz w:w="11907" w:h="16840"/>
          <w:pgMar w:top="1440" w:right="1797" w:bottom="1440" w:left="1797" w:header="850" w:footer="992" w:gutter="0"/>
          <w:cols w:space="720" w:num="1"/>
          <w:docGrid w:linePitch="326" w:charSpace="0"/>
        </w:sectPr>
      </w:pPr>
    </w:p>
    <w:p w14:paraId="0BB658CF">
      <w:pPr>
        <w:pStyle w:val="2"/>
        <w:spacing w:before="120" w:after="120"/>
        <w:rPr>
          <w:rFonts w:eastAsia="仿宋_GB2312" w:cs="Times New Roman"/>
          <w:color w:val="auto"/>
        </w:rPr>
      </w:pPr>
      <w:bookmarkStart w:id="133" w:name="_Toc150724295"/>
      <w:r>
        <w:rPr>
          <w:rFonts w:eastAsia="仿宋_GB2312" w:cs="Times New Roman"/>
          <w:color w:val="auto"/>
        </w:rPr>
        <w:t>8 综合监管规划</w:t>
      </w:r>
      <w:bookmarkEnd w:id="133"/>
    </w:p>
    <w:p w14:paraId="6D79A68F">
      <w:pPr>
        <w:pStyle w:val="3"/>
        <w:numPr>
          <w:ilvl w:val="0"/>
          <w:numId w:val="0"/>
        </w:numPr>
        <w:adjustRightInd w:val="0"/>
        <w:snapToGrid w:val="0"/>
        <w:spacing w:before="120" w:after="120"/>
        <w:rPr>
          <w:rFonts w:ascii="Times New Roman" w:hAnsi="Times New Roman" w:eastAsia="仿宋_GB2312" w:cs="Times New Roman"/>
          <w:sz w:val="28"/>
        </w:rPr>
      </w:pPr>
      <w:bookmarkStart w:id="134" w:name="_Toc20872"/>
      <w:bookmarkStart w:id="135" w:name="_Toc150724296"/>
      <w:bookmarkStart w:id="136" w:name="_Toc522560473"/>
      <w:r>
        <w:rPr>
          <w:rFonts w:ascii="Times New Roman" w:hAnsi="Times New Roman" w:eastAsia="仿宋_GB2312" w:cs="Times New Roman"/>
          <w:sz w:val="28"/>
        </w:rPr>
        <w:t>8.1 规划管理</w:t>
      </w:r>
      <w:bookmarkEnd w:id="134"/>
      <w:bookmarkEnd w:id="135"/>
      <w:bookmarkEnd w:id="136"/>
    </w:p>
    <w:p w14:paraId="6EF79FFA">
      <w:pPr>
        <w:pStyle w:val="376"/>
        <w:adjustRightInd w:val="0"/>
        <w:ind w:firstLine="480"/>
        <w:rPr>
          <w:color w:val="auto"/>
        </w:rPr>
      </w:pPr>
      <w:r>
        <w:rPr>
          <w:color w:val="auto"/>
        </w:rPr>
        <w:t>水土保持规划应由</w:t>
      </w:r>
      <w:r>
        <w:rPr>
          <w:color w:val="auto"/>
          <w:lang w:eastAsia="zh-CN"/>
        </w:rPr>
        <w:t>阜康市</w:t>
      </w:r>
      <w:r>
        <w:rPr>
          <w:color w:val="auto"/>
        </w:rPr>
        <w:t>的水行政主管部门会同</w:t>
      </w:r>
      <w:r>
        <w:rPr>
          <w:color w:val="auto"/>
          <w:shd w:val="clear" w:color="auto" w:fill="FFFFFF"/>
        </w:rPr>
        <w:t>阜康市</w:t>
      </w:r>
      <w:r>
        <w:rPr>
          <w:color w:val="auto"/>
        </w:rPr>
        <w:t>有关部门主持编制，报</w:t>
      </w:r>
      <w:r>
        <w:rPr>
          <w:color w:val="auto"/>
          <w:shd w:val="clear" w:color="auto" w:fill="FFFFFF"/>
        </w:rPr>
        <w:t>阜康市人民政府</w:t>
      </w:r>
      <w:r>
        <w:rPr>
          <w:color w:val="auto"/>
        </w:rPr>
        <w:t>或者其授权的部门批准后，由</w:t>
      </w:r>
      <w:r>
        <w:rPr>
          <w:color w:val="auto"/>
          <w:lang w:eastAsia="zh-CN"/>
        </w:rPr>
        <w:t>阜康市</w:t>
      </w:r>
      <w:r>
        <w:rPr>
          <w:color w:val="auto"/>
        </w:rPr>
        <w:t>的水行政主管部门组织实施。</w:t>
      </w:r>
    </w:p>
    <w:p w14:paraId="2CC1268B">
      <w:pPr>
        <w:pStyle w:val="376"/>
        <w:adjustRightInd w:val="0"/>
        <w:ind w:firstLine="480"/>
        <w:rPr>
          <w:color w:val="auto"/>
        </w:rPr>
      </w:pPr>
      <w:r>
        <w:rPr>
          <w:color w:val="auto"/>
        </w:rPr>
        <w:t>在涉及水土保持的相关专项规划中，应包含水土保持专门章节，提出水土流失预防和治理的对策和措施，规划报请审批前应当征求同级人民政府水行政主管部门的意见。</w:t>
      </w:r>
    </w:p>
    <w:p w14:paraId="08F06B8E">
      <w:pPr>
        <w:pStyle w:val="376"/>
        <w:adjustRightInd w:val="0"/>
        <w:ind w:firstLine="480"/>
        <w:rPr>
          <w:color w:val="auto"/>
          <w:sz w:val="28"/>
        </w:rPr>
      </w:pPr>
      <w:r>
        <w:rPr>
          <w:color w:val="auto"/>
        </w:rPr>
        <w:t>处于水土流失重点预防区和重点治理区的其它行业专项规划，以及可能引发严重水土流失问题的其它行业专项规划，建议规划编制单位在水土保持专门章节的基础上应同步组织开展水土保持专项规划报告或专章的编制工作，对规划实施可能造成的水土流失进行分析、预测和评价，提出水土流失预防和治理的对策和措施，除此之外，还应提出区域开发的水土保持限制性要求，以及规划草案的调整建议。在规划草案报请审批前征求本级人民政府水行政主管部门对水土流失预防保护规划报告书或专章的意见，在该专项规划报送规划审批机关时，一同报送水土流失预防保护规划报告书并附水行政主管部门的意见。</w:t>
      </w:r>
    </w:p>
    <w:p w14:paraId="0A5ADDE3">
      <w:pPr>
        <w:pStyle w:val="3"/>
        <w:numPr>
          <w:ilvl w:val="0"/>
          <w:numId w:val="0"/>
        </w:numPr>
        <w:adjustRightInd w:val="0"/>
        <w:snapToGrid w:val="0"/>
        <w:spacing w:before="120" w:after="120"/>
        <w:rPr>
          <w:rFonts w:ascii="Times New Roman" w:hAnsi="Times New Roman" w:eastAsia="仿宋_GB2312" w:cs="Times New Roman"/>
          <w:sz w:val="28"/>
        </w:rPr>
      </w:pPr>
      <w:bookmarkStart w:id="137" w:name="_Toc361223761"/>
      <w:bookmarkEnd w:id="137"/>
      <w:bookmarkStart w:id="138" w:name="_Toc522560474"/>
      <w:bookmarkStart w:id="139" w:name="_Toc21255"/>
      <w:bookmarkStart w:id="140" w:name="_Toc150724297"/>
      <w:r>
        <w:rPr>
          <w:rFonts w:ascii="Times New Roman" w:hAnsi="Times New Roman" w:eastAsia="仿宋_GB2312" w:cs="Times New Roman"/>
          <w:sz w:val="28"/>
        </w:rPr>
        <w:t>8.2 监督管理</w:t>
      </w:r>
      <w:bookmarkEnd w:id="138"/>
      <w:bookmarkEnd w:id="139"/>
      <w:bookmarkEnd w:id="140"/>
    </w:p>
    <w:p w14:paraId="5AFF02E3">
      <w:pPr>
        <w:pStyle w:val="376"/>
        <w:adjustRightInd w:val="0"/>
        <w:ind w:firstLine="480"/>
        <w:rPr>
          <w:color w:val="auto"/>
        </w:rPr>
      </w:pPr>
      <w:bookmarkStart w:id="141" w:name="_Toc361223762"/>
      <w:bookmarkEnd w:id="141"/>
      <w:r>
        <w:rPr>
          <w:color w:val="auto"/>
        </w:rPr>
        <w:t>以贯彻实施水土保持法为重点，加强水土保持监督管理、动态监测和能力建设，有效控制人为水土流失，实现动态实时监控，不断提高水土流失防治水平和效益，提升政府公共服务及社会管理能力。</w:t>
      </w:r>
    </w:p>
    <w:p w14:paraId="041EABDD">
      <w:pPr>
        <w:pStyle w:val="376"/>
        <w:adjustRightInd w:val="0"/>
        <w:ind w:firstLine="480"/>
        <w:rPr>
          <w:color w:val="auto"/>
        </w:rPr>
      </w:pPr>
      <w:r>
        <w:rPr>
          <w:color w:val="auto"/>
        </w:rPr>
        <w:t>建立完善配套的水土保持法规体系，健全执法机构，提高执法队伍素质，规范技术服务工作，全面落实水土保持“三同时”制度，落实管护责任，积极推进重点区域（流域）和重要行业的水土保持专项规划编制工作，加强水土保持后续设计管理要求，有效控制人为因素产生的水土流失。建立水土保持监测系统，并定期公告全州水土流失动态。</w:t>
      </w:r>
    </w:p>
    <w:p w14:paraId="27B3F841">
      <w:pPr>
        <w:pStyle w:val="5"/>
        <w:spacing w:before="100" w:after="100"/>
        <w:rPr>
          <w:rFonts w:eastAsia="仿宋_GB2312"/>
          <w:sz w:val="24"/>
        </w:rPr>
      </w:pPr>
      <w:bookmarkStart w:id="142" w:name="_Toc9416"/>
      <w:r>
        <w:rPr>
          <w:rFonts w:eastAsia="仿宋_GB2312"/>
          <w:sz w:val="24"/>
        </w:rPr>
        <w:t>8.2.1 监督管理内容</w:t>
      </w:r>
      <w:bookmarkEnd w:id="142"/>
    </w:p>
    <w:p w14:paraId="3E47AD94">
      <w:pPr>
        <w:pStyle w:val="376"/>
        <w:adjustRightInd w:val="0"/>
        <w:ind w:firstLine="476"/>
        <w:rPr>
          <w:color w:val="auto"/>
          <w:spacing w:val="-1"/>
          <w:lang w:eastAsia="zh-CN"/>
        </w:rPr>
      </w:pPr>
      <w:r>
        <w:rPr>
          <w:color w:val="auto"/>
          <w:spacing w:val="-1"/>
          <w:lang w:eastAsia="zh-CN"/>
        </w:rPr>
        <w:t xml:space="preserve">1、水土保持相关规划的监管 </w:t>
      </w:r>
    </w:p>
    <w:p w14:paraId="5EDAEA0B">
      <w:pPr>
        <w:pStyle w:val="376"/>
        <w:adjustRightInd w:val="0"/>
        <w:ind w:firstLine="476"/>
        <w:rPr>
          <w:color w:val="auto"/>
          <w:spacing w:val="-1"/>
          <w:lang w:eastAsia="zh-CN"/>
        </w:rPr>
      </w:pPr>
      <w:r>
        <w:rPr>
          <w:color w:val="auto"/>
          <w:spacing w:val="-1"/>
          <w:lang w:eastAsia="zh-CN"/>
        </w:rPr>
        <w:t>水土保持相关规划的监管主要包括如下内容：水土流失重点预防区和重点治理区划分与公告，水土流失状况定期调查与公告、水土保持规划编制和实施的跟踪与检查，基础设施建设、城镇建设、工业阜康市建设、公共服务设施建设、土地开发整理、农牧业生产、旅游开发等规划中有关水土流失防治对策措施和实施情况的监督。</w:t>
      </w:r>
    </w:p>
    <w:p w14:paraId="0F519BB0">
      <w:pPr>
        <w:pStyle w:val="376"/>
        <w:adjustRightInd w:val="0"/>
        <w:ind w:firstLine="476"/>
        <w:rPr>
          <w:color w:val="auto"/>
          <w:spacing w:val="-1"/>
          <w:lang w:eastAsia="zh-CN"/>
        </w:rPr>
      </w:pPr>
      <w:r>
        <w:rPr>
          <w:color w:val="auto"/>
          <w:spacing w:val="-1"/>
          <w:lang w:eastAsia="zh-CN"/>
        </w:rPr>
        <w:t>2、水土流失预防工作的监管</w:t>
      </w:r>
    </w:p>
    <w:p w14:paraId="48CE73CC">
      <w:pPr>
        <w:pStyle w:val="376"/>
        <w:adjustRightInd w:val="0"/>
        <w:ind w:firstLine="476"/>
        <w:rPr>
          <w:color w:val="auto"/>
          <w:spacing w:val="-1"/>
          <w:lang w:eastAsia="zh-CN"/>
        </w:rPr>
      </w:pPr>
      <w:r>
        <w:rPr>
          <w:color w:val="auto"/>
          <w:spacing w:val="-1"/>
          <w:lang w:eastAsia="zh-CN"/>
        </w:rPr>
        <w:t>加强对水土流失特定区域预防工作监管。对取土挖砂采石、破坏植物、沙壳、结皮等具有水土保持功能的原生地貌等各类禁止行为进行监控；对水土流失严重、生态脆弱地区以及水土流失重点防治区生产建设项目或活动等限制性行为进行监控；对生产建设项目水土保持方案编报审批、监督检查与设施验收工作情况进行监管。</w:t>
      </w:r>
    </w:p>
    <w:p w14:paraId="333D302D">
      <w:pPr>
        <w:pStyle w:val="376"/>
        <w:adjustRightInd w:val="0"/>
        <w:ind w:firstLine="480"/>
        <w:rPr>
          <w:color w:val="auto"/>
          <w:lang w:eastAsia="zh-CN"/>
        </w:rPr>
      </w:pPr>
      <w:r>
        <w:rPr>
          <w:color w:val="auto"/>
          <w:lang w:eastAsia="zh-CN"/>
        </w:rPr>
        <w:t>3、</w:t>
      </w:r>
      <w:r>
        <w:rPr>
          <w:color w:val="auto"/>
        </w:rPr>
        <w:t>水土流失治理情况的监管</w:t>
      </w:r>
    </w:p>
    <w:p w14:paraId="4D6E0ABC">
      <w:pPr>
        <w:pStyle w:val="376"/>
        <w:adjustRightInd w:val="0"/>
        <w:ind w:firstLine="480"/>
        <w:rPr>
          <w:color w:val="auto"/>
          <w:lang w:eastAsia="zh-CN"/>
        </w:rPr>
      </w:pPr>
      <w:r>
        <w:rPr>
          <w:color w:val="auto"/>
        </w:rPr>
        <w:t>对规划区的水土保持重点工程建设、运行管理情况的监管:对政府建设和实施生态效益补偿制度的监管；对损坏水土保持设施、地貌植被的生产建设项目或生产建设活动缴纳水土保持补偿费情况的监管:对政府鼓励单位和个人参与水土流失治理，并在资金、技术、税收等方面予以扶持情况的监管:对水力侵蚀区、重力侵蚀区、饮用水保护区等区域的生产建设活动和工程建设实施相应科学防治措施情况的监管。</w:t>
      </w:r>
    </w:p>
    <w:p w14:paraId="119EA6B7">
      <w:pPr>
        <w:pStyle w:val="376"/>
        <w:adjustRightInd w:val="0"/>
        <w:ind w:firstLine="480"/>
        <w:rPr>
          <w:color w:val="auto"/>
          <w:lang w:eastAsia="zh-CN"/>
        </w:rPr>
      </w:pPr>
      <w:r>
        <w:rPr>
          <w:color w:val="auto"/>
          <w:lang w:eastAsia="zh-CN"/>
        </w:rPr>
        <w:t>4、</w:t>
      </w:r>
      <w:r>
        <w:rPr>
          <w:color w:val="auto"/>
        </w:rPr>
        <w:t>水土保持监测情况的监管</w:t>
      </w:r>
    </w:p>
    <w:p w14:paraId="0E6E7AD9">
      <w:pPr>
        <w:pStyle w:val="376"/>
        <w:adjustRightInd w:val="0"/>
        <w:ind w:firstLine="480"/>
        <w:rPr>
          <w:color w:val="auto"/>
          <w:lang w:eastAsia="zh-CN"/>
        </w:rPr>
      </w:pPr>
      <w:r>
        <w:rPr>
          <w:color w:val="auto"/>
        </w:rPr>
        <w:t>对政府完善水土保持监测站点，并保障监测工作经费的监管:开展水土流失监测并定期进行公告情况的监管:对可能造成严重水土流失的大中型生产建设项目自行开展水土流失监测，并将监测结果定期上报当地水行政主管部门情况的监管:对水行政主管部门监督检查人员依法履行监督检查职责，对违法违规生产建设项目和生产建设活动进行查处情况的监管。</w:t>
      </w:r>
    </w:p>
    <w:p w14:paraId="3F6B8B6F">
      <w:pPr>
        <w:pStyle w:val="376"/>
        <w:adjustRightInd w:val="0"/>
        <w:ind w:firstLine="480"/>
        <w:rPr>
          <w:color w:val="auto"/>
          <w:lang w:eastAsia="zh-CN"/>
        </w:rPr>
      </w:pPr>
      <w:r>
        <w:rPr>
          <w:color w:val="auto"/>
          <w:lang w:eastAsia="zh-CN"/>
        </w:rPr>
        <w:t>5、</w:t>
      </w:r>
      <w:r>
        <w:rPr>
          <w:color w:val="auto"/>
        </w:rPr>
        <w:t>人为新增水土流失严重的区域的监管</w:t>
      </w:r>
    </w:p>
    <w:p w14:paraId="1BD0E86F">
      <w:pPr>
        <w:pStyle w:val="376"/>
        <w:adjustRightInd w:val="0"/>
        <w:ind w:firstLine="480"/>
        <w:rPr>
          <w:color w:val="auto"/>
          <w:lang w:eastAsia="zh-CN"/>
        </w:rPr>
      </w:pPr>
      <w:r>
        <w:rPr>
          <w:color w:val="auto"/>
        </w:rPr>
        <w:t>对大中型生产建设项目，在施工高峰期等定期开展水土保持监督检查，促使建设单位和施工单位高度重视水土流失问题，规范施工，取土、采石、弃土、弃渣等选址要充分考虑水土保持因素，并依法办理相关的手续，严禁乱采乱弃的现象发生，严格控制生产范围，对即将或已废弃的区域，要求生产建设单位采取复耕或复绿措施，保护生态环境。</w:t>
      </w:r>
    </w:p>
    <w:p w14:paraId="3871AC43">
      <w:pPr>
        <w:pStyle w:val="376"/>
        <w:adjustRightInd w:val="0"/>
        <w:ind w:firstLine="480"/>
        <w:rPr>
          <w:color w:val="auto"/>
          <w:lang w:eastAsia="zh-CN"/>
        </w:rPr>
      </w:pPr>
      <w:r>
        <w:rPr>
          <w:color w:val="auto"/>
          <w:lang w:eastAsia="zh-CN"/>
        </w:rPr>
        <w:t>6、</w:t>
      </w:r>
      <w:r>
        <w:rPr>
          <w:color w:val="auto"/>
        </w:rPr>
        <w:t>生产建设项目水土保持方案审批及水保设施验收制度</w:t>
      </w:r>
    </w:p>
    <w:p w14:paraId="7BEA5A2E">
      <w:pPr>
        <w:pStyle w:val="376"/>
        <w:adjustRightInd w:val="0"/>
        <w:ind w:firstLine="480"/>
        <w:rPr>
          <w:color w:val="auto"/>
          <w:lang w:eastAsia="zh-CN"/>
        </w:rPr>
      </w:pPr>
      <w:r>
        <w:rPr>
          <w:color w:val="auto"/>
        </w:rPr>
        <w:t>严格执行生产建设项目水土保持设施与主体工程“同时设计、同时施工、同时投产使用”的“三同时”制度，</w:t>
      </w:r>
      <w:r>
        <w:rPr>
          <w:rFonts w:hint="eastAsia"/>
          <w:color w:val="auto"/>
          <w:lang w:eastAsia="zh-CN"/>
        </w:rPr>
        <w:t>水土</w:t>
      </w:r>
      <w:r>
        <w:rPr>
          <w:color w:val="auto"/>
        </w:rPr>
        <w:t>保持建设内容和措施，应纳入建设项目可研、初设和投资预算，落实建设资金。加强部门联动，落实水土保持方案前置审批和水土保持设施验收制度，由规划区等部门发文明确，所有建设项目在未取得水行政主管部门对项目水土保持方案批准文件的情况下，不予办理项目开工手续。由住建、交通部门发文明确，规划区内所有建设项目在水土保持设施未经其水行政主管部门验收或验收不合格的情况下，主体工程不予组织验收。</w:t>
      </w:r>
    </w:p>
    <w:p w14:paraId="6892A0BA">
      <w:pPr>
        <w:pStyle w:val="376"/>
        <w:adjustRightInd w:val="0"/>
        <w:ind w:firstLine="480"/>
        <w:rPr>
          <w:color w:val="auto"/>
          <w:lang w:eastAsia="zh-CN"/>
        </w:rPr>
      </w:pPr>
      <w:r>
        <w:rPr>
          <w:color w:val="auto"/>
          <w:lang w:eastAsia="zh-CN"/>
        </w:rPr>
        <w:t>7、</w:t>
      </w:r>
      <w:r>
        <w:rPr>
          <w:color w:val="auto"/>
        </w:rPr>
        <w:t>违法行为查处和纠纷调解</w:t>
      </w:r>
    </w:p>
    <w:p w14:paraId="5C2CEFE3">
      <w:pPr>
        <w:pStyle w:val="376"/>
        <w:adjustRightInd w:val="0"/>
        <w:ind w:firstLine="480"/>
        <w:rPr>
          <w:color w:val="auto"/>
          <w:lang w:eastAsia="zh-CN"/>
        </w:rPr>
      </w:pPr>
      <w:r>
        <w:rPr>
          <w:color w:val="auto"/>
        </w:rPr>
        <w:t>依据《水土保持法》规定和要求，重点对“未批先建”、“未批先变”、“未实施防治措施”、“未开展监测”、 “未投先验"和“未缴纳补偿费”的违法违规行为进行校实工，对认定存在违法违规行为的项目，分别依法依规采取限期整改、责任迫究，行政处罚、信用惩成、挂牌督办等方式进行集中整治，督促其依法依规开展水土保持工作。</w:t>
      </w:r>
    </w:p>
    <w:p w14:paraId="42FBBC05">
      <w:pPr>
        <w:pStyle w:val="376"/>
        <w:adjustRightInd w:val="0"/>
        <w:ind w:firstLine="480"/>
        <w:rPr>
          <w:color w:val="auto"/>
          <w:lang w:eastAsia="zh-CN"/>
        </w:rPr>
      </w:pPr>
      <w:r>
        <w:rPr>
          <w:color w:val="auto"/>
          <w:lang w:eastAsia="zh-CN"/>
        </w:rPr>
        <w:t>8、</w:t>
      </w:r>
      <w:r>
        <w:rPr>
          <w:color w:val="auto"/>
        </w:rPr>
        <w:t>水土保持补偿费征收工作</w:t>
      </w:r>
    </w:p>
    <w:p w14:paraId="4E68DC83">
      <w:pPr>
        <w:pStyle w:val="376"/>
        <w:adjustRightInd w:val="0"/>
        <w:ind w:firstLine="480"/>
        <w:rPr>
          <w:color w:val="auto"/>
          <w:spacing w:val="-1"/>
          <w:lang w:eastAsia="zh-CN"/>
        </w:rPr>
      </w:pPr>
      <w:r>
        <w:rPr>
          <w:color w:val="auto"/>
          <w:lang w:eastAsia="zh-CN"/>
        </w:rPr>
        <w:t>严格</w:t>
      </w:r>
      <w:r>
        <w:rPr>
          <w:color w:val="auto"/>
        </w:rPr>
        <w:t>按照《关于我区水土保持补偿费政策通知的规定》</w:t>
      </w:r>
      <w:r>
        <w:rPr>
          <w:color w:val="auto"/>
          <w:lang w:eastAsia="zh-CN"/>
        </w:rPr>
        <w:t>（</w:t>
      </w:r>
      <w:r>
        <w:rPr>
          <w:color w:val="auto"/>
        </w:rPr>
        <w:t>新发改规[2021]12号，2021年9月26日</w:t>
      </w:r>
      <w:r>
        <w:rPr>
          <w:color w:val="auto"/>
          <w:lang w:eastAsia="zh-CN"/>
        </w:rPr>
        <w:t>）</w:t>
      </w:r>
      <w:r>
        <w:rPr>
          <w:color w:val="auto"/>
        </w:rPr>
        <w:t>，进行水土保持补偿费的征收工作。</w:t>
      </w:r>
    </w:p>
    <w:p w14:paraId="27E07F7C">
      <w:pPr>
        <w:pStyle w:val="5"/>
        <w:spacing w:before="100" w:after="100"/>
        <w:rPr>
          <w:rFonts w:eastAsia="仿宋_GB2312"/>
          <w:sz w:val="24"/>
        </w:rPr>
      </w:pPr>
      <w:bookmarkStart w:id="143" w:name="_Toc57"/>
      <w:r>
        <w:rPr>
          <w:rFonts w:eastAsia="仿宋_GB2312"/>
          <w:sz w:val="24"/>
        </w:rPr>
        <w:t>8.2.2 监管制度建设</w:t>
      </w:r>
      <w:bookmarkEnd w:id="143"/>
    </w:p>
    <w:p w14:paraId="6A876F1E">
      <w:pPr>
        <w:pStyle w:val="376"/>
        <w:adjustRightInd w:val="0"/>
        <w:ind w:firstLine="476"/>
        <w:rPr>
          <w:color w:val="auto"/>
          <w:spacing w:val="-1"/>
          <w:lang w:eastAsia="zh-CN"/>
        </w:rPr>
      </w:pPr>
      <w:r>
        <w:rPr>
          <w:color w:val="auto"/>
          <w:spacing w:val="-1"/>
          <w:lang w:eastAsia="zh-CN"/>
        </w:rPr>
        <w:t>1、水土保持相关规划管理制度</w:t>
      </w:r>
    </w:p>
    <w:p w14:paraId="68BEBF24">
      <w:pPr>
        <w:pStyle w:val="376"/>
        <w:adjustRightInd w:val="0"/>
        <w:ind w:firstLine="476"/>
        <w:rPr>
          <w:color w:val="auto"/>
          <w:spacing w:val="-1"/>
          <w:lang w:eastAsia="zh-CN"/>
        </w:rPr>
      </w:pPr>
      <w:r>
        <w:rPr>
          <w:color w:val="auto"/>
          <w:spacing w:val="-1"/>
          <w:lang w:eastAsia="zh-CN"/>
        </w:rPr>
        <w:t>制定水土流失重点预防区和重点治理区管理制度及复核调整制度；建立规划编制、实施和跟踪督查制度；研究建立水土保持生态红线管控指标体系及相应管理制度；建立水土保持相关规划征求意见制度和社会监督制度。</w:t>
      </w:r>
    </w:p>
    <w:p w14:paraId="78B7C1D5">
      <w:pPr>
        <w:pStyle w:val="376"/>
        <w:adjustRightInd w:val="0"/>
        <w:ind w:firstLine="476"/>
        <w:rPr>
          <w:color w:val="auto"/>
          <w:spacing w:val="-1"/>
          <w:lang w:eastAsia="zh-CN"/>
        </w:rPr>
      </w:pPr>
      <w:r>
        <w:rPr>
          <w:color w:val="auto"/>
          <w:spacing w:val="-1"/>
          <w:lang w:eastAsia="zh-CN"/>
        </w:rPr>
        <w:t>2、水土流失预防工作的监管制度</w:t>
      </w:r>
    </w:p>
    <w:p w14:paraId="3C940EF3">
      <w:pPr>
        <w:pStyle w:val="376"/>
        <w:adjustRightInd w:val="0"/>
        <w:ind w:firstLine="476"/>
        <w:rPr>
          <w:color w:val="auto"/>
          <w:spacing w:val="-1"/>
          <w:lang w:eastAsia="zh-CN"/>
        </w:rPr>
      </w:pPr>
      <w:r>
        <w:rPr>
          <w:color w:val="auto"/>
          <w:spacing w:val="-1"/>
          <w:lang w:eastAsia="zh-CN"/>
        </w:rPr>
        <w:t>阜康市水行政主管部门会同昌吉州其他相关部门开展崩塌滑坡危险区和泥石流易发区的划定和公告；制定禁止取土、挖砂、采石、非法开垦等行为的监控制度；研究制定生产建设项目或活动的禁止和限制条件。</w:t>
      </w:r>
    </w:p>
    <w:p w14:paraId="170E62D0">
      <w:pPr>
        <w:pStyle w:val="376"/>
        <w:adjustRightInd w:val="0"/>
        <w:ind w:firstLine="476"/>
        <w:rPr>
          <w:color w:val="auto"/>
          <w:spacing w:val="-1"/>
          <w:lang w:eastAsia="zh-CN"/>
        </w:rPr>
      </w:pPr>
      <w:r>
        <w:rPr>
          <w:color w:val="auto"/>
          <w:spacing w:val="-1"/>
          <w:lang w:eastAsia="zh-CN"/>
        </w:rPr>
        <w:t>3、水土保持重点工程建设管理制度</w:t>
      </w:r>
    </w:p>
    <w:p w14:paraId="1DF17392">
      <w:pPr>
        <w:pStyle w:val="376"/>
        <w:adjustRightInd w:val="0"/>
        <w:ind w:firstLine="476"/>
        <w:rPr>
          <w:color w:val="auto"/>
          <w:spacing w:val="-1"/>
          <w:lang w:eastAsia="zh-CN"/>
        </w:rPr>
      </w:pPr>
      <w:r>
        <w:rPr>
          <w:color w:val="auto"/>
          <w:spacing w:val="-1"/>
          <w:lang w:eastAsia="zh-CN"/>
        </w:rPr>
        <w:t>完善水土保持重点工程建设投入机制与管理制度；完善工程建设招投标、监理、公众参与、职工自建等制度；建立完善水土保持重点工程建设、管理情况的跟踪检查和监测评价制度；建立和完善水土保持措施管护制度。</w:t>
      </w:r>
    </w:p>
    <w:p w14:paraId="52EB6FBF">
      <w:pPr>
        <w:pStyle w:val="376"/>
        <w:adjustRightInd w:val="0"/>
        <w:ind w:firstLine="476"/>
        <w:rPr>
          <w:color w:val="auto"/>
          <w:spacing w:val="-1"/>
          <w:lang w:eastAsia="zh-CN"/>
        </w:rPr>
      </w:pPr>
      <w:r>
        <w:rPr>
          <w:color w:val="auto"/>
          <w:spacing w:val="-1"/>
          <w:lang w:eastAsia="zh-CN"/>
        </w:rPr>
        <w:t>4、生产建设项目监管制度</w:t>
      </w:r>
    </w:p>
    <w:p w14:paraId="2D2AC5B5">
      <w:pPr>
        <w:pStyle w:val="376"/>
        <w:adjustRightInd w:val="0"/>
        <w:ind w:firstLine="476"/>
        <w:rPr>
          <w:color w:val="auto"/>
          <w:spacing w:val="-1"/>
          <w:lang w:eastAsia="zh-CN"/>
        </w:rPr>
      </w:pPr>
      <w:r>
        <w:rPr>
          <w:color w:val="auto"/>
          <w:spacing w:val="-1"/>
          <w:lang w:eastAsia="zh-CN"/>
        </w:rPr>
        <w:t>制定水土保持监察、督导、检查及处理等管理制度；完善水土保持方案管理办法，制定分类管理名录，健全水土保持方案编制、审批、设施验收等制度；建立水土流失危害索赔制度。</w:t>
      </w:r>
    </w:p>
    <w:p w14:paraId="5CEF89FE">
      <w:pPr>
        <w:pStyle w:val="376"/>
        <w:adjustRightInd w:val="0"/>
        <w:ind w:firstLine="476"/>
        <w:rPr>
          <w:color w:val="auto"/>
          <w:spacing w:val="-1"/>
          <w:lang w:eastAsia="zh-CN"/>
        </w:rPr>
      </w:pPr>
      <w:r>
        <w:rPr>
          <w:color w:val="auto"/>
          <w:spacing w:val="-1"/>
          <w:lang w:eastAsia="zh-CN"/>
        </w:rPr>
        <w:t>5、水土保持监测评价制度</w:t>
      </w:r>
    </w:p>
    <w:p w14:paraId="6C8DBBEC">
      <w:pPr>
        <w:pStyle w:val="376"/>
        <w:adjustRightInd w:val="0"/>
        <w:ind w:firstLine="476"/>
        <w:rPr>
          <w:color w:val="auto"/>
          <w:spacing w:val="-1"/>
          <w:lang w:eastAsia="zh-CN"/>
        </w:rPr>
      </w:pPr>
      <w:r>
        <w:rPr>
          <w:color w:val="auto"/>
          <w:spacing w:val="-1"/>
          <w:lang w:eastAsia="zh-CN"/>
        </w:rPr>
        <w:t>落实水土保持监测机构政府公益性质及其职责的确定，完善水土流失动态监测及公告制度、生产建设项目水土流失监测结果定期上报制度；制定水土保持监测评价制度。</w:t>
      </w:r>
    </w:p>
    <w:p w14:paraId="146F4718">
      <w:pPr>
        <w:pStyle w:val="376"/>
        <w:adjustRightInd w:val="0"/>
        <w:ind w:firstLine="476"/>
        <w:rPr>
          <w:color w:val="auto"/>
          <w:spacing w:val="-1"/>
          <w:lang w:eastAsia="zh-CN"/>
        </w:rPr>
      </w:pPr>
      <w:r>
        <w:rPr>
          <w:color w:val="auto"/>
          <w:spacing w:val="-1"/>
          <w:lang w:eastAsia="zh-CN"/>
        </w:rPr>
        <w:t>6、水土保持目标责任制和考核奖惩制度</w:t>
      </w:r>
    </w:p>
    <w:p w14:paraId="0C072F06">
      <w:pPr>
        <w:pStyle w:val="376"/>
        <w:adjustRightInd w:val="0"/>
        <w:ind w:firstLine="476"/>
        <w:rPr>
          <w:color w:val="auto"/>
          <w:spacing w:val="-1"/>
          <w:lang w:eastAsia="zh-CN"/>
        </w:rPr>
      </w:pPr>
      <w:r>
        <w:rPr>
          <w:color w:val="auto"/>
          <w:spacing w:val="-1"/>
          <w:lang w:eastAsia="zh-CN"/>
        </w:rPr>
        <w:t>开展水土保持目标责任制和考核奖惩制度调研，从水土保持规划实施、水土保持投入及防治任务完成、生产建设项目水土保持监管等方面，提出考核指标与办法以及奖惩制度实施意见。</w:t>
      </w:r>
    </w:p>
    <w:p w14:paraId="0AA3C1B7">
      <w:pPr>
        <w:pStyle w:val="376"/>
        <w:adjustRightInd w:val="0"/>
        <w:ind w:firstLine="476"/>
        <w:rPr>
          <w:color w:val="auto"/>
          <w:spacing w:val="-1"/>
          <w:lang w:eastAsia="zh-CN"/>
        </w:rPr>
      </w:pPr>
      <w:r>
        <w:rPr>
          <w:color w:val="auto"/>
          <w:spacing w:val="-1"/>
          <w:lang w:eastAsia="zh-CN"/>
        </w:rPr>
        <w:t xml:space="preserve">7、水土保持生态补偿及水土保持补偿制度 </w:t>
      </w:r>
    </w:p>
    <w:p w14:paraId="474B365D">
      <w:pPr>
        <w:pStyle w:val="376"/>
        <w:adjustRightInd w:val="0"/>
        <w:ind w:firstLine="476"/>
        <w:rPr>
          <w:color w:val="auto"/>
          <w:spacing w:val="-1"/>
          <w:lang w:eastAsia="zh-CN"/>
        </w:rPr>
      </w:pPr>
      <w:r>
        <w:rPr>
          <w:color w:val="auto"/>
          <w:spacing w:val="-1"/>
          <w:lang w:eastAsia="zh-CN"/>
        </w:rPr>
        <w:t>开展水土保持生态补偿制度调研，建立和完善生产建设项目水土保持补偿费征收和使用管理办法。</w:t>
      </w:r>
    </w:p>
    <w:p w14:paraId="2B71600F">
      <w:pPr>
        <w:pStyle w:val="3"/>
        <w:numPr>
          <w:ilvl w:val="0"/>
          <w:numId w:val="0"/>
        </w:numPr>
        <w:adjustRightInd w:val="0"/>
        <w:snapToGrid w:val="0"/>
        <w:spacing w:before="120" w:after="120"/>
        <w:rPr>
          <w:rFonts w:ascii="Times New Roman" w:hAnsi="Times New Roman" w:eastAsia="仿宋_GB2312" w:cs="Times New Roman"/>
          <w:sz w:val="28"/>
        </w:rPr>
      </w:pPr>
      <w:bookmarkStart w:id="144" w:name="_Toc361223765"/>
      <w:bookmarkEnd w:id="144"/>
      <w:bookmarkStart w:id="145" w:name="_Toc361223763"/>
      <w:bookmarkEnd w:id="145"/>
      <w:bookmarkStart w:id="146" w:name="_Toc16757"/>
      <w:bookmarkStart w:id="147" w:name="_Toc150724298"/>
      <w:r>
        <w:rPr>
          <w:rFonts w:ascii="Times New Roman" w:hAnsi="Times New Roman" w:eastAsia="仿宋_GB2312" w:cs="Times New Roman"/>
          <w:sz w:val="28"/>
        </w:rPr>
        <w:t>8.3 能力建设</w:t>
      </w:r>
      <w:bookmarkEnd w:id="146"/>
      <w:bookmarkEnd w:id="147"/>
    </w:p>
    <w:p w14:paraId="377EE3DC">
      <w:pPr>
        <w:pStyle w:val="5"/>
        <w:spacing w:before="100" w:after="100"/>
        <w:rPr>
          <w:rFonts w:eastAsia="仿宋_GB2312"/>
          <w:sz w:val="24"/>
        </w:rPr>
      </w:pPr>
      <w:bookmarkStart w:id="148" w:name="_Toc361223768"/>
      <w:bookmarkEnd w:id="148"/>
      <w:bookmarkStart w:id="149" w:name="_Toc361223766"/>
      <w:bookmarkEnd w:id="149"/>
      <w:bookmarkStart w:id="150" w:name="_Toc29190"/>
      <w:bookmarkStart w:id="151" w:name="_Toc492658765"/>
      <w:bookmarkStart w:id="152" w:name="_Toc522560476"/>
      <w:r>
        <w:rPr>
          <w:rFonts w:eastAsia="仿宋_GB2312"/>
          <w:sz w:val="24"/>
        </w:rPr>
        <w:t>8.3.1 监管能力建设</w:t>
      </w:r>
      <w:bookmarkEnd w:id="150"/>
    </w:p>
    <w:p w14:paraId="19F8428B">
      <w:pPr>
        <w:pStyle w:val="376"/>
        <w:adjustRightInd w:val="0"/>
        <w:ind w:firstLine="480"/>
        <w:rPr>
          <w:color w:val="auto"/>
          <w:lang w:val="en-US" w:eastAsia="zh-CN"/>
        </w:rPr>
      </w:pPr>
      <w:r>
        <w:rPr>
          <w:color w:val="auto"/>
          <w:lang w:eastAsia="zh-CN"/>
        </w:rPr>
        <w:t>阜康市内未设置</w:t>
      </w:r>
      <w:r>
        <w:rPr>
          <w:color w:val="auto"/>
          <w:lang w:val="en-US" w:eastAsia="zh-CN"/>
        </w:rPr>
        <w:t>水土保持科，也无专职人员，不但缺少从事水土保持工作的专职技术人员，而且具体工作人员都是一人身兼数职，导致水土保持日常管理工作不规范，造成“头痛医头、脚痛医脚”的被动工作局面。随着水资源管理“三条红线”落实力度的不断加大，阜康市水政及水政监察人员工作量成倍增加，没有过多的精力用在水保监督管理上，导致水保监管工作落后。</w:t>
      </w:r>
    </w:p>
    <w:p w14:paraId="641D9D3E">
      <w:pPr>
        <w:pStyle w:val="376"/>
        <w:adjustRightInd w:val="0"/>
        <w:ind w:firstLine="476"/>
        <w:rPr>
          <w:color w:val="auto"/>
          <w:lang w:eastAsia="zh-CN"/>
        </w:rPr>
      </w:pPr>
      <w:r>
        <w:rPr>
          <w:color w:val="auto"/>
          <w:spacing w:val="-1"/>
          <w:lang w:eastAsia="zh-CN"/>
        </w:rPr>
        <w:t>在完善监管制度和落实机构监管任务的基础上，建立昌吉州各级水土保持监督管理机构，配套完善调查取证等执法装备，加强人员配置和队伍建设、强化培训和考核，制定监管能力标准化建设方案。以全过程监管为核心，加强政务公开、增加监管透明度，提高实时即时监控和处置能力，有效管控生产建设项目水土保持的设计、施工、监测、监理、验收、评估等</w:t>
      </w:r>
      <w:r>
        <w:rPr>
          <w:color w:val="auto"/>
          <w:lang w:eastAsia="zh-CN"/>
        </w:rPr>
        <w:t>市场行为。</w:t>
      </w:r>
    </w:p>
    <w:p w14:paraId="5F26500D">
      <w:pPr>
        <w:pStyle w:val="5"/>
        <w:spacing w:before="100" w:after="100"/>
        <w:rPr>
          <w:rFonts w:eastAsia="仿宋_GB2312"/>
          <w:sz w:val="24"/>
        </w:rPr>
      </w:pPr>
      <w:bookmarkStart w:id="153" w:name="_Toc30393"/>
      <w:r>
        <w:rPr>
          <w:rFonts w:eastAsia="仿宋_GB2312"/>
          <w:sz w:val="24"/>
        </w:rPr>
        <w:t>8.3.2 监测能力建设</w:t>
      </w:r>
      <w:bookmarkEnd w:id="153"/>
    </w:p>
    <w:p w14:paraId="5BD9FE94">
      <w:pPr>
        <w:pStyle w:val="376"/>
        <w:adjustRightInd w:val="0"/>
        <w:ind w:firstLine="456"/>
        <w:rPr>
          <w:color w:val="auto"/>
          <w:spacing w:val="-6"/>
          <w:lang w:eastAsia="zh-CN"/>
        </w:rPr>
      </w:pPr>
      <w:r>
        <w:rPr>
          <w:color w:val="auto"/>
          <w:spacing w:val="-6"/>
          <w:lang w:eastAsia="zh-CN"/>
        </w:rPr>
        <w:t>完善水土保持监测机构，加强监测队伍建设，开展监测站点标准化建设，加大水土保持监测技术人员的培训，从设施、设备、人员、经费等方 面完善水土保持监测网络体系。加强监测设施设备的日常管理、维护和及更新，提高监测设施的自动化和信息化、智能化水平。</w:t>
      </w:r>
    </w:p>
    <w:p w14:paraId="55085745">
      <w:pPr>
        <w:pStyle w:val="5"/>
        <w:spacing w:before="100" w:after="100"/>
        <w:rPr>
          <w:rFonts w:eastAsia="仿宋_GB2312"/>
          <w:b w:val="0"/>
          <w:bCs/>
          <w:spacing w:val="-63"/>
        </w:rPr>
      </w:pPr>
      <w:bookmarkStart w:id="154" w:name="_Toc28529"/>
      <w:r>
        <w:rPr>
          <w:rFonts w:eastAsia="仿宋_GB2312"/>
          <w:sz w:val="24"/>
        </w:rPr>
        <w:t>8.3.3 宣传教育能力建设</w:t>
      </w:r>
      <w:bookmarkEnd w:id="154"/>
    </w:p>
    <w:p w14:paraId="3C08D44C">
      <w:pPr>
        <w:pStyle w:val="376"/>
        <w:adjustRightInd w:val="0"/>
        <w:ind w:firstLine="456"/>
        <w:rPr>
          <w:color w:val="auto"/>
          <w:lang w:eastAsia="zh-CN"/>
        </w:rPr>
      </w:pPr>
      <w:r>
        <w:rPr>
          <w:color w:val="auto"/>
          <w:spacing w:val="-6"/>
          <w:lang w:eastAsia="zh-CN"/>
        </w:rPr>
        <w:t>强化水土保持宣传，建设和完善宣传教育平台，充分利用网络新技术，</w:t>
      </w:r>
      <w:r>
        <w:rPr>
          <w:color w:val="auto"/>
          <w:spacing w:val="-1"/>
          <w:lang w:eastAsia="zh-CN"/>
        </w:rPr>
        <w:t>向社会公众方便迅捷提供水土保持信息。加强水土保持人才培训，提高水</w:t>
      </w:r>
      <w:r>
        <w:rPr>
          <w:color w:val="auto"/>
          <w:spacing w:val="-92"/>
          <w:lang w:eastAsia="zh-CN"/>
        </w:rPr>
        <w:t xml:space="preserve"> </w:t>
      </w:r>
      <w:r>
        <w:rPr>
          <w:color w:val="auto"/>
          <w:lang w:eastAsia="zh-CN"/>
        </w:rPr>
        <w:t>土保持人员业务素质，增强广大人民群众水土保持意识。</w:t>
      </w:r>
    </w:p>
    <w:p w14:paraId="39C54678">
      <w:pPr>
        <w:pStyle w:val="3"/>
        <w:numPr>
          <w:ilvl w:val="0"/>
          <w:numId w:val="0"/>
        </w:numPr>
        <w:adjustRightInd w:val="0"/>
        <w:snapToGrid w:val="0"/>
        <w:spacing w:before="120" w:after="120"/>
        <w:rPr>
          <w:rFonts w:ascii="Times New Roman" w:hAnsi="Times New Roman" w:eastAsia="仿宋_GB2312" w:cs="Times New Roman"/>
          <w:sz w:val="28"/>
        </w:rPr>
      </w:pPr>
      <w:bookmarkStart w:id="155" w:name="_Toc150724299"/>
      <w:bookmarkStart w:id="156" w:name="_Toc30120"/>
      <w:r>
        <w:rPr>
          <w:rFonts w:ascii="Times New Roman" w:hAnsi="Times New Roman" w:eastAsia="仿宋_GB2312" w:cs="Times New Roman"/>
          <w:sz w:val="28"/>
        </w:rPr>
        <w:t>8.4 科技支撑</w:t>
      </w:r>
      <w:bookmarkEnd w:id="151"/>
      <w:bookmarkEnd w:id="152"/>
      <w:bookmarkEnd w:id="155"/>
      <w:bookmarkEnd w:id="156"/>
    </w:p>
    <w:p w14:paraId="602D41C8">
      <w:pPr>
        <w:pStyle w:val="5"/>
        <w:spacing w:before="100" w:after="100"/>
        <w:rPr>
          <w:rFonts w:eastAsia="仿宋_GB2312"/>
          <w:sz w:val="24"/>
        </w:rPr>
      </w:pPr>
      <w:bookmarkStart w:id="157" w:name="_Toc361223769"/>
      <w:bookmarkEnd w:id="157"/>
      <w:bookmarkStart w:id="158" w:name="_Toc16975"/>
      <w:r>
        <w:rPr>
          <w:rFonts w:eastAsia="仿宋_GB2312"/>
          <w:sz w:val="24"/>
        </w:rPr>
        <w:t>8.4.1 基础研究和技术研发</w:t>
      </w:r>
      <w:bookmarkEnd w:id="158"/>
    </w:p>
    <w:p w14:paraId="44EB586E">
      <w:pPr>
        <w:pStyle w:val="376"/>
        <w:adjustRightInd w:val="0"/>
        <w:ind w:firstLine="476"/>
        <w:rPr>
          <w:color w:val="auto"/>
          <w:spacing w:val="-1"/>
          <w:lang w:eastAsia="zh-CN"/>
        </w:rPr>
      </w:pPr>
      <w:bookmarkStart w:id="159" w:name="_Toc361223770"/>
      <w:bookmarkEnd w:id="159"/>
      <w:r>
        <w:rPr>
          <w:color w:val="auto"/>
          <w:spacing w:val="-1"/>
          <w:lang w:eastAsia="zh-CN"/>
        </w:rPr>
        <w:t>阜康市应建立水土保持科技研究平台和国内外协作网络，提高信息与技术服务。加强实验基础设施和条件平台建设，结合国家生态环境建设重大战略需求，依托自治区和昌吉州科研机构、高等院校建设自治区重点实验室、实验站，组织实施重大自主创新项目，推动项目、基地、人才的有机结合，提高研究水平。同时，要重 视科学数据、文献资源共享服务网络、科技图书、资料及监测网络建设，搭建科技成果公共服务平台，完善科技人才激励机制；增强创新能力，注重人才培养。</w:t>
      </w:r>
    </w:p>
    <w:p w14:paraId="707126D2">
      <w:pPr>
        <w:pStyle w:val="5"/>
        <w:spacing w:before="100" w:after="100"/>
        <w:rPr>
          <w:rFonts w:eastAsia="仿宋_GB2312"/>
          <w:sz w:val="24"/>
        </w:rPr>
      </w:pPr>
      <w:bookmarkStart w:id="160" w:name="_Toc10214"/>
      <w:r>
        <w:rPr>
          <w:rFonts w:eastAsia="仿宋_GB2312"/>
          <w:sz w:val="24"/>
        </w:rPr>
        <w:t>8.4.2 技术推广</w:t>
      </w:r>
      <w:bookmarkEnd w:id="160"/>
    </w:p>
    <w:p w14:paraId="3FEB4AB0">
      <w:pPr>
        <w:pStyle w:val="376"/>
        <w:adjustRightInd w:val="0"/>
        <w:ind w:firstLine="480"/>
        <w:rPr>
          <w:color w:val="auto"/>
        </w:rPr>
      </w:pPr>
      <w:r>
        <w:rPr>
          <w:color w:val="auto"/>
        </w:rPr>
        <w:t>技术推广围绕生态修复、经济开发、治理效益、监测监督、新技术应用和管理等主要环节开展，主要有以下三方面的内容。</w:t>
      </w:r>
    </w:p>
    <w:p w14:paraId="409D1A47">
      <w:pPr>
        <w:pStyle w:val="376"/>
        <w:adjustRightInd w:val="0"/>
        <w:ind w:firstLine="480"/>
        <w:rPr>
          <w:color w:val="auto"/>
        </w:rPr>
      </w:pPr>
      <w:r>
        <w:rPr>
          <w:color w:val="auto"/>
        </w:rPr>
        <w:t>管理技术：主要包括项目准备与实施期中的计划管理、财务管理和物资管理。</w:t>
      </w:r>
    </w:p>
    <w:p w14:paraId="6605F58D">
      <w:pPr>
        <w:pStyle w:val="376"/>
        <w:adjustRightInd w:val="0"/>
        <w:ind w:firstLine="480"/>
        <w:rPr>
          <w:color w:val="auto"/>
        </w:rPr>
      </w:pPr>
      <w:r>
        <w:rPr>
          <w:color w:val="auto"/>
        </w:rPr>
        <w:t>治理实施技术：主要包括项目区的水土流失治理总体规划、设计和实施，单项治理措施的具体规划、设计与实施，新技术的开发与引进。</w:t>
      </w:r>
    </w:p>
    <w:p w14:paraId="0DAA014F">
      <w:pPr>
        <w:pStyle w:val="376"/>
        <w:adjustRightInd w:val="0"/>
        <w:ind w:firstLine="480"/>
        <w:rPr>
          <w:color w:val="auto"/>
        </w:rPr>
      </w:pPr>
      <w:r>
        <w:rPr>
          <w:color w:val="auto"/>
        </w:rPr>
        <w:t>监测技术：主要包括生态监测技术、水土流失资料收集与监测、水土保持经济效益统计分析方法、治理成果验收等技术。</w:t>
      </w:r>
      <w:bookmarkStart w:id="161" w:name="_Toc392496417"/>
      <w:bookmarkEnd w:id="161"/>
      <w:bookmarkStart w:id="162" w:name="_Toc453169932"/>
      <w:bookmarkStart w:id="163" w:name="_Toc480881577"/>
    </w:p>
    <w:bookmarkEnd w:id="162"/>
    <w:bookmarkEnd w:id="163"/>
    <w:p w14:paraId="4E00FA6E">
      <w:pPr>
        <w:pStyle w:val="5"/>
        <w:spacing w:before="100" w:after="100"/>
        <w:rPr>
          <w:rFonts w:eastAsia="仿宋_GB2312"/>
          <w:sz w:val="24"/>
        </w:rPr>
      </w:pPr>
      <w:bookmarkStart w:id="164" w:name="_Toc361223771"/>
      <w:bookmarkEnd w:id="164"/>
      <w:bookmarkStart w:id="165" w:name="_Toc6185"/>
      <w:r>
        <w:rPr>
          <w:rFonts w:eastAsia="仿宋_GB2312"/>
          <w:sz w:val="24"/>
        </w:rPr>
        <w:t>8.4.3 科普教育</w:t>
      </w:r>
      <w:bookmarkEnd w:id="165"/>
    </w:p>
    <w:p w14:paraId="169439C9">
      <w:pPr>
        <w:pStyle w:val="376"/>
        <w:adjustRightInd w:val="0"/>
        <w:ind w:firstLine="480"/>
        <w:rPr>
          <w:color w:val="auto"/>
        </w:rPr>
      </w:pPr>
      <w:bookmarkStart w:id="166" w:name="_Toc361223773"/>
      <w:bookmarkEnd w:id="166"/>
      <w:bookmarkStart w:id="167" w:name="_Toc492658766"/>
      <w:bookmarkStart w:id="168" w:name="_Toc522560477"/>
      <w:r>
        <w:rPr>
          <w:color w:val="auto"/>
        </w:rPr>
        <w:t>水土保持科普、宣传和教育是水土保持新技术推广实施的重要前期工作，需因地制宜、因人施教、内容灵活、力求实效。以国家水土保持科技示范阜康市和中小学水土保持教育社会实践基地为依托，以水土保持生态文明工程为抓手，以新《水土保持法》颁布实施和水利部深化全国水土保持国策宣传教育行动为契机，紧密结合“树立一批水土保持生态文明典型，推出一批水土保持宣传教育力作，搭建一批水土保持宣传教育平台，打造一批水土保持形象宣传阵地，建立一支水土保持宣传教育队伍”的要求，开展一系列水土保持科普、宣传和教育活动。重点做好以下几项工作，一是完善宣传平台建设，重视广播、电视、报纸、期刊等传统信息传播方式，加强信息化时代网络和移动终端等新媒体宣传平台建设；二是利用世界水日、中国水周、水保法修订纪念日、新疆水土保持条例颁布纪念日等节点，制定水土保持宣传方案，开展水土保持国策宣传教育活动，做好宣传选题选材，提升宣传效果；三是研究制定不同受众的水土保持科普教育读本，为普及水土保持科学知识、推进水土保持中小学教育提供图文并茂、形象生动的水保科普知识宣传教育材料；四是实现水土保持科普教育全面展开，在推动水土保持科普教育进党校的基础上，同时进学校进课堂、进机关、进社区、进农村；五是面向基层科研和业务单位定期开展技术骨干科技培训，提高基层一线技术人员的业务水平和宣传意识，强化日常业务宣传，向社会公众方便迅捷地提供水土保持信息和技术服务。</w:t>
      </w:r>
    </w:p>
    <w:p w14:paraId="4F79961B">
      <w:pPr>
        <w:pStyle w:val="3"/>
        <w:numPr>
          <w:ilvl w:val="0"/>
          <w:numId w:val="0"/>
        </w:numPr>
        <w:adjustRightInd w:val="0"/>
        <w:snapToGrid w:val="0"/>
        <w:spacing w:before="120" w:after="120"/>
        <w:rPr>
          <w:rFonts w:ascii="Times New Roman" w:hAnsi="Times New Roman" w:eastAsia="仿宋_GB2312" w:cs="Times New Roman"/>
          <w:sz w:val="28"/>
        </w:rPr>
      </w:pPr>
      <w:bookmarkStart w:id="169" w:name="_Toc6456"/>
      <w:bookmarkStart w:id="170" w:name="_Toc150724300"/>
      <w:r>
        <w:rPr>
          <w:rFonts w:ascii="Times New Roman" w:hAnsi="Times New Roman" w:eastAsia="仿宋_GB2312" w:cs="Times New Roman"/>
          <w:sz w:val="28"/>
        </w:rPr>
        <w:t>8.5 基础设施与管理能力建设</w:t>
      </w:r>
      <w:bookmarkEnd w:id="167"/>
      <w:bookmarkEnd w:id="168"/>
      <w:bookmarkEnd w:id="169"/>
      <w:bookmarkEnd w:id="170"/>
    </w:p>
    <w:p w14:paraId="06806B98">
      <w:pPr>
        <w:pStyle w:val="5"/>
        <w:spacing w:before="100" w:after="100"/>
        <w:rPr>
          <w:rFonts w:eastAsia="仿宋_GB2312"/>
          <w:sz w:val="24"/>
        </w:rPr>
      </w:pPr>
      <w:bookmarkStart w:id="171" w:name="_Toc361223774"/>
      <w:bookmarkEnd w:id="171"/>
      <w:bookmarkStart w:id="172" w:name="_Toc16824"/>
      <w:r>
        <w:rPr>
          <w:rFonts w:eastAsia="仿宋_GB2312"/>
          <w:sz w:val="24"/>
        </w:rPr>
        <w:t>8.5.1 监督管理能力建设</w:t>
      </w:r>
      <w:bookmarkEnd w:id="172"/>
    </w:p>
    <w:p w14:paraId="07AC5B46">
      <w:pPr>
        <w:pStyle w:val="376"/>
        <w:adjustRightInd w:val="0"/>
        <w:ind w:firstLine="476"/>
        <w:rPr>
          <w:color w:val="auto"/>
        </w:rPr>
      </w:pPr>
      <w:r>
        <w:rPr>
          <w:color w:val="auto"/>
          <w:spacing w:val="-1"/>
          <w:lang w:eastAsia="zh-CN"/>
        </w:rPr>
        <w:t>建议阜康市安排3~5名人员参加自治区、州级的水土保持培训，组织具有水土保持专业知识的人员建立水土保持监管部门，</w:t>
      </w:r>
      <w:r>
        <w:rPr>
          <w:color w:val="auto"/>
        </w:rPr>
        <w:t>加强水土保持监督管理机构设置和监督管理人员配置，保障工作经费。建立和健全水土保持监督管理制度体系，实现水土保持监督管理全程化、制度化</w:t>
      </w:r>
      <w:r>
        <w:rPr>
          <w:color w:val="auto"/>
          <w:lang w:eastAsia="zh-CN"/>
        </w:rPr>
        <w:t xml:space="preserve"> </w:t>
      </w:r>
      <w:r>
        <w:rPr>
          <w:color w:val="auto"/>
        </w:rPr>
        <w:t>，促进生产建设项目水土保持方案申报率、实施率和验收率的“三达标”。开展水土保持监督管理规范化建设，实现方案审批、监督检查、设施验收、规费征收和案件查处的“五规范”。及时组织监督管理人员和专家分期、分批参加培训和考核，实现水土保持监督管理人员持证上岗。</w:t>
      </w:r>
    </w:p>
    <w:p w14:paraId="7A36309E">
      <w:pPr>
        <w:pStyle w:val="5"/>
        <w:spacing w:before="100" w:after="100"/>
        <w:rPr>
          <w:rFonts w:eastAsia="仿宋_GB2312"/>
          <w:sz w:val="24"/>
        </w:rPr>
      </w:pPr>
      <w:bookmarkStart w:id="173" w:name="_Toc361223775"/>
      <w:bookmarkEnd w:id="173"/>
      <w:bookmarkStart w:id="174" w:name="_Toc8611"/>
      <w:r>
        <w:rPr>
          <w:rFonts w:eastAsia="仿宋_GB2312"/>
          <w:sz w:val="24"/>
        </w:rPr>
        <w:t>8.5.2 监测站点标准化建设</w:t>
      </w:r>
      <w:bookmarkEnd w:id="174"/>
    </w:p>
    <w:p w14:paraId="0BF41357">
      <w:pPr>
        <w:pStyle w:val="376"/>
        <w:adjustRightInd w:val="0"/>
        <w:ind w:firstLine="480"/>
        <w:rPr>
          <w:color w:val="auto"/>
          <w:lang w:eastAsia="zh-CN"/>
        </w:rPr>
      </w:pPr>
      <w:bookmarkStart w:id="175" w:name="_Toc361223776"/>
      <w:bookmarkEnd w:id="175"/>
      <w:bookmarkStart w:id="176" w:name="_Toc522560478"/>
      <w:bookmarkStart w:id="177" w:name="_Toc492658767"/>
      <w:r>
        <w:rPr>
          <w:color w:val="auto"/>
          <w:lang w:eastAsia="zh-CN"/>
        </w:rPr>
        <w:t>到2030年，建立健全监测管理制度，建立完善的技术标准体系，建成覆盖昌吉州的水土保持监测网络，建成完善的水土保持数据库和信息管理系统。形成高</w:t>
      </w:r>
      <w:r>
        <w:rPr>
          <w:color w:val="auto"/>
          <w:spacing w:val="-111"/>
          <w:lang w:eastAsia="zh-CN"/>
        </w:rPr>
        <w:t xml:space="preserve"> </w:t>
      </w:r>
      <w:r>
        <w:rPr>
          <w:color w:val="auto"/>
          <w:lang w:eastAsia="zh-CN"/>
        </w:rPr>
        <w:t>效便捷的信息采集、管理、发布和信息服务体系，实现对全国水土流失及其综合</w:t>
      </w:r>
      <w:r>
        <w:rPr>
          <w:color w:val="auto"/>
          <w:spacing w:val="-111"/>
          <w:lang w:eastAsia="zh-CN"/>
        </w:rPr>
        <w:t xml:space="preserve"> </w:t>
      </w:r>
      <w:r>
        <w:rPr>
          <w:color w:val="auto"/>
          <w:lang w:eastAsia="zh-CN"/>
        </w:rPr>
        <w:t>防治的动态监测、预报和定期公告。其主要任务包括以下5个方面。</w:t>
      </w:r>
    </w:p>
    <w:p w14:paraId="2D96A07C">
      <w:pPr>
        <w:pStyle w:val="376"/>
        <w:adjustRightInd w:val="0"/>
        <w:ind w:firstLine="476"/>
        <w:rPr>
          <w:color w:val="auto"/>
          <w:spacing w:val="-1"/>
          <w:lang w:eastAsia="zh-CN"/>
        </w:rPr>
      </w:pPr>
      <w:r>
        <w:rPr>
          <w:color w:val="auto"/>
          <w:spacing w:val="-1"/>
          <w:lang w:eastAsia="zh-CN"/>
        </w:rPr>
        <w:t>1、建设水土保持监测网络和信息系统</w:t>
      </w:r>
    </w:p>
    <w:p w14:paraId="06979183">
      <w:pPr>
        <w:pStyle w:val="376"/>
        <w:adjustRightInd w:val="0"/>
        <w:ind w:firstLine="476"/>
        <w:rPr>
          <w:color w:val="auto"/>
          <w:spacing w:val="-1"/>
          <w:lang w:eastAsia="zh-CN"/>
        </w:rPr>
      </w:pPr>
      <w:r>
        <w:rPr>
          <w:color w:val="auto"/>
          <w:spacing w:val="-1"/>
          <w:lang w:eastAsia="zh-CN"/>
        </w:rPr>
        <w:t>建成由阜康市的水土保持监测网络。监测点应充分利用现有水土保持试验站（点）和基层水文监测站，按照流域和水土流失类型区划统一规划，合理布设。开发和完善水土保持管理信息系统。提高水土流失预测预报、水土保持规划设计、水土保持生态建设决策的信息化水平。</w:t>
      </w:r>
    </w:p>
    <w:p w14:paraId="7FB6079B">
      <w:pPr>
        <w:pStyle w:val="376"/>
        <w:adjustRightInd w:val="0"/>
        <w:ind w:firstLine="476"/>
        <w:rPr>
          <w:color w:val="auto"/>
          <w:spacing w:val="-1"/>
          <w:lang w:eastAsia="zh-CN"/>
        </w:rPr>
      </w:pPr>
      <w:r>
        <w:rPr>
          <w:color w:val="auto"/>
          <w:spacing w:val="-1"/>
          <w:lang w:eastAsia="zh-CN"/>
        </w:rPr>
        <w:t>完善阜康市监测的机构人员编制，保障监测经费投入，加强监测设施设备的日常管理、维护和及时更新，保证设施设备具有先进的性能，并处于良好的使用状态，保障全区水土保持信息系统的正常运行。</w:t>
      </w:r>
    </w:p>
    <w:p w14:paraId="054ECE48">
      <w:pPr>
        <w:pStyle w:val="376"/>
        <w:adjustRightInd w:val="0"/>
        <w:ind w:firstLine="476"/>
        <w:rPr>
          <w:color w:val="auto"/>
          <w:spacing w:val="-1"/>
          <w:lang w:eastAsia="zh-CN"/>
        </w:rPr>
      </w:pPr>
      <w:r>
        <w:rPr>
          <w:color w:val="auto"/>
          <w:spacing w:val="-1"/>
          <w:lang w:eastAsia="zh-CN"/>
        </w:rPr>
        <w:t xml:space="preserve">2、健全监测工作管理制度 </w:t>
      </w:r>
    </w:p>
    <w:p w14:paraId="3B4C5522">
      <w:pPr>
        <w:pStyle w:val="376"/>
        <w:adjustRightInd w:val="0"/>
        <w:ind w:firstLine="476"/>
        <w:rPr>
          <w:color w:val="auto"/>
          <w:spacing w:val="-1"/>
          <w:lang w:eastAsia="zh-CN"/>
        </w:rPr>
      </w:pPr>
      <w:r>
        <w:rPr>
          <w:color w:val="auto"/>
          <w:spacing w:val="-1"/>
          <w:lang w:eastAsia="zh-CN"/>
        </w:rPr>
        <w:t>建立行之有效的管理体制和运行机制，保证水土保持监测网络的高效运作、数据交换的安全畅通和监测工作的协调一致。建立健全监测工作年报制度，监测工作总结报告制度，监测网络管理制度，开发建设项目监测报 告制度，监测成果认证制度，监测资质申报和考核制度，监测成果定期公告制度 等。</w:t>
      </w:r>
    </w:p>
    <w:p w14:paraId="7A6ABCEF">
      <w:pPr>
        <w:pStyle w:val="376"/>
        <w:adjustRightInd w:val="0"/>
        <w:ind w:firstLine="476"/>
        <w:rPr>
          <w:color w:val="auto"/>
          <w:spacing w:val="-1"/>
          <w:lang w:eastAsia="zh-CN"/>
        </w:rPr>
      </w:pPr>
      <w:r>
        <w:rPr>
          <w:color w:val="auto"/>
          <w:spacing w:val="-1"/>
          <w:lang w:eastAsia="zh-CN"/>
        </w:rPr>
        <w:t xml:space="preserve">3、完善监测技术标准体系 </w:t>
      </w:r>
    </w:p>
    <w:p w14:paraId="6BDF16E1">
      <w:pPr>
        <w:pStyle w:val="376"/>
        <w:adjustRightInd w:val="0"/>
        <w:ind w:firstLine="476"/>
        <w:rPr>
          <w:color w:val="auto"/>
          <w:spacing w:val="-1"/>
          <w:lang w:eastAsia="zh-CN"/>
        </w:rPr>
      </w:pPr>
      <w:r>
        <w:rPr>
          <w:color w:val="auto"/>
          <w:spacing w:val="-1"/>
          <w:lang w:eastAsia="zh-CN"/>
        </w:rPr>
        <w:t>在总结实践经验．借鉴和吸收先进技术的基础上，逐步完善水土保持监测技术标准体系，制定和完善水土保持监测设施设备、监测站网建设、水土流失动态 监测与预测预报、开发建设项目水土保持监测和信息管理等方面的技术标准，实 现监测预报技术的规范化。数据采集应明确不同空间尺度的监测指标及其获取方 法、记录方式和数据更新周期等，信息管理重点是控制监测成果质量，整（汇） 编监测数据和规范信息管理技术等。</w:t>
      </w:r>
    </w:p>
    <w:p w14:paraId="687DB1E4">
      <w:pPr>
        <w:pStyle w:val="376"/>
        <w:adjustRightInd w:val="0"/>
        <w:ind w:firstLine="476"/>
        <w:rPr>
          <w:color w:val="auto"/>
          <w:spacing w:val="-1"/>
          <w:lang w:eastAsia="zh-CN"/>
        </w:rPr>
      </w:pPr>
      <w:r>
        <w:rPr>
          <w:color w:val="auto"/>
          <w:spacing w:val="-1"/>
          <w:lang w:eastAsia="zh-CN"/>
        </w:rPr>
        <w:t>4、完善水土保持数据库</w:t>
      </w:r>
    </w:p>
    <w:p w14:paraId="391E7748">
      <w:pPr>
        <w:pStyle w:val="376"/>
        <w:adjustRightInd w:val="0"/>
        <w:ind w:firstLine="476"/>
        <w:rPr>
          <w:color w:val="auto"/>
          <w:spacing w:val="-1"/>
          <w:lang w:eastAsia="zh-CN"/>
        </w:rPr>
      </w:pPr>
      <w:r>
        <w:rPr>
          <w:color w:val="auto"/>
          <w:spacing w:val="-1"/>
          <w:lang w:eastAsia="zh-CN"/>
        </w:rPr>
        <w:t>进一步丰富和完善水土流失试验观测数据库、区域水土流失数据库、水土流失动态数据库、开发建设项目水土保持管理数据库等，为水土保持管理、决 策、预报和公告奠定数据基础。到2020年，基本形成集信息采集、入库、处理和发布于一体的快速便捷的网络化数据库。在此基础上。争取到2030年建成水土流失预测预报、水土保持规划设计、水土保持生态建设决策支持等系统必需的 知识库、模型库、参数库和基础数据库。</w:t>
      </w:r>
    </w:p>
    <w:p w14:paraId="60D2DDDF">
      <w:pPr>
        <w:pStyle w:val="376"/>
        <w:adjustRightInd w:val="0"/>
        <w:ind w:firstLine="476"/>
        <w:rPr>
          <w:color w:val="auto"/>
          <w:spacing w:val="-1"/>
          <w:lang w:eastAsia="zh-CN"/>
        </w:rPr>
      </w:pPr>
      <w:r>
        <w:rPr>
          <w:color w:val="auto"/>
          <w:spacing w:val="-1"/>
          <w:lang w:eastAsia="zh-CN"/>
        </w:rPr>
        <w:t>5、建立健全水土流失预测预报模型</w:t>
      </w:r>
    </w:p>
    <w:p w14:paraId="14969040">
      <w:pPr>
        <w:pStyle w:val="376"/>
        <w:adjustRightInd w:val="0"/>
        <w:ind w:firstLine="476"/>
        <w:rPr>
          <w:color w:val="auto"/>
          <w:spacing w:val="-1"/>
          <w:lang w:eastAsia="zh-CN"/>
        </w:rPr>
      </w:pPr>
      <w:r>
        <w:rPr>
          <w:color w:val="auto"/>
          <w:spacing w:val="-1"/>
          <w:lang w:eastAsia="zh-CN"/>
        </w:rPr>
        <w:t>在大量试验观测的基础上，借鉴国外经验，集成国内成果，建立不同尺度的、适应自治区的水土流失预测模型，满足预测水土流失趋势、指导水土保持规划、 开展技术措施配置和进行水土保持决策等方面的需要。</w:t>
      </w:r>
    </w:p>
    <w:p w14:paraId="6F28B1BA">
      <w:pPr>
        <w:pStyle w:val="3"/>
        <w:numPr>
          <w:ilvl w:val="0"/>
          <w:numId w:val="0"/>
        </w:numPr>
        <w:adjustRightInd w:val="0"/>
        <w:snapToGrid w:val="0"/>
        <w:spacing w:before="120" w:after="120"/>
        <w:rPr>
          <w:rFonts w:ascii="Times New Roman" w:hAnsi="Times New Roman" w:eastAsia="仿宋_GB2312" w:cs="Times New Roman"/>
          <w:sz w:val="28"/>
        </w:rPr>
      </w:pPr>
      <w:bookmarkStart w:id="178" w:name="_Toc8271"/>
      <w:bookmarkStart w:id="179" w:name="_Toc150724301"/>
      <w:r>
        <w:rPr>
          <w:rFonts w:ascii="Times New Roman" w:hAnsi="Times New Roman" w:eastAsia="仿宋_GB2312" w:cs="Times New Roman"/>
          <w:sz w:val="28"/>
        </w:rPr>
        <w:t>8.6 信息化规划</w:t>
      </w:r>
      <w:bookmarkEnd w:id="176"/>
      <w:bookmarkEnd w:id="177"/>
      <w:bookmarkEnd w:id="178"/>
      <w:bookmarkEnd w:id="179"/>
    </w:p>
    <w:p w14:paraId="07371B8B">
      <w:pPr>
        <w:pStyle w:val="5"/>
        <w:spacing w:before="100" w:after="100"/>
        <w:rPr>
          <w:rFonts w:eastAsia="仿宋_GB2312"/>
          <w:sz w:val="24"/>
        </w:rPr>
      </w:pPr>
      <w:bookmarkStart w:id="180" w:name="_Toc2287"/>
      <w:r>
        <w:rPr>
          <w:rFonts w:eastAsia="仿宋_GB2312"/>
          <w:sz w:val="24"/>
        </w:rPr>
        <w:t>8.6.1存在问题</w:t>
      </w:r>
      <w:bookmarkEnd w:id="180"/>
    </w:p>
    <w:p w14:paraId="6828576B">
      <w:pPr>
        <w:pStyle w:val="376"/>
        <w:adjustRightInd w:val="0"/>
        <w:ind w:firstLine="480"/>
        <w:rPr>
          <w:color w:val="auto"/>
        </w:rPr>
      </w:pPr>
      <w:r>
        <w:rPr>
          <w:color w:val="auto"/>
        </w:rPr>
        <w:t>目前按照《全国水土保持信息化规划（2013-2020年）》和《新疆维吾尔自治区水土保持信息化规划（2018-2025年）》的部署和要求，需要稳步开展</w:t>
      </w:r>
      <w:r>
        <w:rPr>
          <w:color w:val="auto"/>
          <w:lang w:eastAsia="zh-CN"/>
        </w:rPr>
        <w:t>阜康市</w:t>
      </w:r>
      <w:r>
        <w:rPr>
          <w:color w:val="auto"/>
        </w:rPr>
        <w:t>水土保持各项信息化建设工作，按照水利部“强监管”、“补短板”的要求，</w:t>
      </w:r>
      <w:r>
        <w:rPr>
          <w:color w:val="auto"/>
          <w:lang w:eastAsia="zh-CN"/>
        </w:rPr>
        <w:t>阜康市</w:t>
      </w:r>
      <w:r>
        <w:rPr>
          <w:color w:val="auto"/>
        </w:rPr>
        <w:t>需要利用“大数据”等高科技手段，提升监管能力，在水土保持信息化平台建设、系统整合应用、数据管理分析与应用等方面，还不能满足水土保持生态文明建设的要求。</w:t>
      </w:r>
    </w:p>
    <w:p w14:paraId="6EAE9F5A">
      <w:pPr>
        <w:pStyle w:val="376"/>
        <w:adjustRightInd w:val="0"/>
        <w:ind w:firstLine="476"/>
        <w:rPr>
          <w:color w:val="auto"/>
          <w:spacing w:val="-1"/>
          <w:lang w:eastAsia="zh-CN"/>
        </w:rPr>
      </w:pPr>
      <w:r>
        <w:rPr>
          <w:color w:val="auto"/>
          <w:spacing w:val="-1"/>
          <w:lang w:eastAsia="zh-CN"/>
        </w:rPr>
        <w:t>1、信息资源管理和更新方法传统</w:t>
      </w:r>
    </w:p>
    <w:p w14:paraId="3C2426B9">
      <w:pPr>
        <w:pStyle w:val="376"/>
        <w:adjustRightInd w:val="0"/>
        <w:ind w:firstLine="476"/>
        <w:rPr>
          <w:color w:val="auto"/>
          <w:spacing w:val="-1"/>
          <w:lang w:eastAsia="zh-CN"/>
        </w:rPr>
      </w:pPr>
      <w:r>
        <w:rPr>
          <w:color w:val="auto"/>
          <w:spacing w:val="-1"/>
          <w:lang w:eastAsia="zh-CN"/>
        </w:rPr>
        <w:t>一是信息资源组织和管理多以文件形式分散存放；二是缺少以业务流、数据流为手段的数据采集和更新模式；三是信息资源对重大工作与应急响应的支持有限。</w:t>
      </w:r>
    </w:p>
    <w:p w14:paraId="51EE57C1">
      <w:pPr>
        <w:pStyle w:val="376"/>
        <w:adjustRightInd w:val="0"/>
        <w:ind w:firstLine="476"/>
        <w:rPr>
          <w:color w:val="auto"/>
          <w:spacing w:val="-1"/>
          <w:lang w:eastAsia="zh-CN"/>
        </w:rPr>
      </w:pPr>
      <w:r>
        <w:rPr>
          <w:color w:val="auto"/>
          <w:spacing w:val="-1"/>
          <w:lang w:eastAsia="zh-CN"/>
        </w:rPr>
        <w:t>2、缺少信息管理和分析软件体系</w:t>
      </w:r>
    </w:p>
    <w:p w14:paraId="3FA96B11">
      <w:pPr>
        <w:pStyle w:val="376"/>
        <w:adjustRightInd w:val="0"/>
        <w:ind w:firstLine="476"/>
        <w:rPr>
          <w:color w:val="auto"/>
          <w:spacing w:val="-1"/>
          <w:lang w:eastAsia="zh-CN"/>
        </w:rPr>
      </w:pPr>
      <w:r>
        <w:rPr>
          <w:color w:val="auto"/>
          <w:spacing w:val="-1"/>
          <w:lang w:eastAsia="zh-CN"/>
        </w:rPr>
        <w:t>一是缺少水土保持业务流信息管理系统；二是缺少模型化、软件化、定量化的业务分析评价。</w:t>
      </w:r>
    </w:p>
    <w:p w14:paraId="617D50DA">
      <w:pPr>
        <w:pStyle w:val="376"/>
        <w:adjustRightInd w:val="0"/>
        <w:ind w:firstLine="476"/>
        <w:rPr>
          <w:color w:val="auto"/>
          <w:spacing w:val="-1"/>
        </w:rPr>
      </w:pPr>
      <w:r>
        <w:rPr>
          <w:color w:val="auto"/>
          <w:spacing w:val="-1"/>
        </w:rPr>
        <w:t>3、水土保持信息共享能力不足</w:t>
      </w:r>
    </w:p>
    <w:p w14:paraId="1F93A7B2">
      <w:pPr>
        <w:pStyle w:val="376"/>
        <w:adjustRightInd w:val="0"/>
        <w:ind w:firstLine="476"/>
        <w:rPr>
          <w:color w:val="auto"/>
          <w:spacing w:val="-1"/>
          <w:lang w:eastAsia="zh-CN"/>
        </w:rPr>
      </w:pPr>
      <w:r>
        <w:rPr>
          <w:color w:val="auto"/>
          <w:spacing w:val="-1"/>
          <w:lang w:eastAsia="zh-CN"/>
        </w:rPr>
        <w:t>一是缺少与决策层的纵向信息共享；二是缺少与其他单位的横向信息共享。</w:t>
      </w:r>
    </w:p>
    <w:p w14:paraId="7E950BBC">
      <w:pPr>
        <w:pStyle w:val="376"/>
        <w:adjustRightInd w:val="0"/>
        <w:ind w:firstLine="476"/>
        <w:rPr>
          <w:color w:val="auto"/>
          <w:spacing w:val="-1"/>
          <w:lang w:eastAsia="zh-CN"/>
        </w:rPr>
      </w:pPr>
      <w:r>
        <w:rPr>
          <w:color w:val="auto"/>
          <w:spacing w:val="-1"/>
          <w:lang w:eastAsia="zh-CN"/>
        </w:rPr>
        <w:t>4、水土保持信息服务能力薄弱</w:t>
      </w:r>
    </w:p>
    <w:p w14:paraId="36F034B7">
      <w:pPr>
        <w:pStyle w:val="376"/>
        <w:adjustRightInd w:val="0"/>
        <w:ind w:firstLine="476"/>
        <w:rPr>
          <w:color w:val="auto"/>
          <w:spacing w:val="-1"/>
          <w:lang w:eastAsia="zh-CN"/>
        </w:rPr>
      </w:pPr>
      <w:r>
        <w:rPr>
          <w:color w:val="auto"/>
          <w:spacing w:val="-1"/>
          <w:lang w:eastAsia="zh-CN"/>
        </w:rPr>
        <w:t>一是缺少面向领导决策层的信息服务和推送能力；二是通过昌吉州水利局、新疆水利厅和各流域机构网站向社会公众提供水土保持新闻信息，业务信息量不丰富，信息渠道不集中。</w:t>
      </w:r>
    </w:p>
    <w:p w14:paraId="38232F6A">
      <w:pPr>
        <w:pStyle w:val="376"/>
        <w:adjustRightInd w:val="0"/>
        <w:ind w:firstLine="476"/>
        <w:rPr>
          <w:color w:val="auto"/>
          <w:spacing w:val="-1"/>
          <w:lang w:eastAsia="zh-CN"/>
        </w:rPr>
      </w:pPr>
      <w:r>
        <w:rPr>
          <w:color w:val="auto"/>
          <w:spacing w:val="-1"/>
          <w:lang w:eastAsia="zh-CN"/>
        </w:rPr>
        <w:t>5、信息化发展的保障条件不足</w:t>
      </w:r>
    </w:p>
    <w:p w14:paraId="38DED4AB">
      <w:pPr>
        <w:pStyle w:val="376"/>
        <w:adjustRightInd w:val="0"/>
        <w:ind w:firstLine="476"/>
        <w:rPr>
          <w:color w:val="auto"/>
          <w:spacing w:val="-1"/>
          <w:lang w:eastAsia="zh-CN"/>
        </w:rPr>
      </w:pPr>
      <w:r>
        <w:rPr>
          <w:color w:val="auto"/>
          <w:spacing w:val="-1"/>
          <w:lang w:eastAsia="zh-CN"/>
        </w:rPr>
        <w:t>一是水土保持信息化建设组织机构不健全；二是水土保持信息化作业软硬件环境陈旧；三是缺少水土保持信息化专业人才；四是水土保持信息化的相关管理制度和标准规范没有建立。</w:t>
      </w:r>
    </w:p>
    <w:p w14:paraId="579171D2">
      <w:pPr>
        <w:pStyle w:val="5"/>
        <w:spacing w:before="100" w:after="100"/>
        <w:rPr>
          <w:rFonts w:eastAsia="仿宋_GB2312"/>
          <w:sz w:val="24"/>
        </w:rPr>
      </w:pPr>
      <w:bookmarkStart w:id="181" w:name="_Toc8535"/>
      <w:r>
        <w:rPr>
          <w:rFonts w:eastAsia="仿宋_GB2312"/>
          <w:sz w:val="24"/>
        </w:rPr>
        <w:t>8.6.2 水土保持信息化需求</w:t>
      </w:r>
      <w:bookmarkEnd w:id="181"/>
    </w:p>
    <w:p w14:paraId="01C86CFE">
      <w:pPr>
        <w:pStyle w:val="376"/>
        <w:adjustRightInd w:val="0"/>
        <w:ind w:firstLine="480"/>
        <w:rPr>
          <w:color w:val="auto"/>
        </w:rPr>
      </w:pPr>
      <w:r>
        <w:rPr>
          <w:color w:val="auto"/>
        </w:rPr>
        <w:t>为落实国家、自治区、昌吉州相关规划，加快</w:t>
      </w:r>
      <w:r>
        <w:rPr>
          <w:color w:val="auto"/>
          <w:lang w:eastAsia="zh-CN"/>
        </w:rPr>
        <w:t>阜康市</w:t>
      </w:r>
      <w:r>
        <w:rPr>
          <w:color w:val="auto"/>
        </w:rPr>
        <w:t>水土保持信息化的发展，结合国家</w:t>
      </w:r>
      <w:r>
        <w:rPr>
          <w:color w:val="auto"/>
          <w:lang w:eastAsia="zh-CN"/>
        </w:rPr>
        <w:t>、</w:t>
      </w:r>
      <w:r>
        <w:rPr>
          <w:color w:val="auto"/>
        </w:rPr>
        <w:t>自治区和昌吉州水土保持信息化建设现状，针对</w:t>
      </w:r>
      <w:r>
        <w:rPr>
          <w:color w:val="auto"/>
          <w:lang w:eastAsia="zh-CN"/>
        </w:rPr>
        <w:t>阜康市</w:t>
      </w:r>
      <w:r>
        <w:rPr>
          <w:color w:val="auto"/>
        </w:rPr>
        <w:t>水土保持信息化存在的主要问题，</w:t>
      </w:r>
      <w:r>
        <w:rPr>
          <w:color w:val="auto"/>
          <w:lang w:eastAsia="zh-CN"/>
        </w:rPr>
        <w:t>阜康市</w:t>
      </w:r>
      <w:r>
        <w:rPr>
          <w:color w:val="auto"/>
        </w:rPr>
        <w:t>水土保持信息化发展需求主要包括以下五个方面。</w:t>
      </w:r>
    </w:p>
    <w:p w14:paraId="010A0EBD">
      <w:pPr>
        <w:pStyle w:val="376"/>
        <w:adjustRightInd w:val="0"/>
        <w:ind w:firstLine="476"/>
        <w:rPr>
          <w:color w:val="auto"/>
          <w:spacing w:val="-1"/>
          <w:lang w:eastAsia="zh-CN"/>
        </w:rPr>
      </w:pPr>
      <w:r>
        <w:rPr>
          <w:color w:val="auto"/>
          <w:spacing w:val="-1"/>
          <w:lang w:eastAsia="zh-CN"/>
        </w:rPr>
        <w:t>1、提高水土保持预防监督监管频率与信息化手段</w:t>
      </w:r>
    </w:p>
    <w:p w14:paraId="79E4208E">
      <w:pPr>
        <w:pStyle w:val="376"/>
        <w:adjustRightInd w:val="0"/>
        <w:ind w:firstLine="476"/>
        <w:rPr>
          <w:color w:val="auto"/>
          <w:spacing w:val="-1"/>
          <w:lang w:eastAsia="zh-CN"/>
        </w:rPr>
      </w:pPr>
      <w:r>
        <w:rPr>
          <w:color w:val="auto"/>
          <w:spacing w:val="-1"/>
          <w:lang w:eastAsia="zh-CN"/>
        </w:rPr>
        <w:t>（1）需要利用高分遥感、无人机遥测等技术手段发现违法生产建设项目，提高水土保持方案申报率。</w:t>
      </w:r>
    </w:p>
    <w:p w14:paraId="3FC1EBC1">
      <w:pPr>
        <w:pStyle w:val="376"/>
        <w:adjustRightInd w:val="0"/>
        <w:ind w:firstLine="476"/>
        <w:rPr>
          <w:color w:val="auto"/>
          <w:spacing w:val="-1"/>
          <w:lang w:eastAsia="zh-CN"/>
        </w:rPr>
      </w:pPr>
      <w:r>
        <w:rPr>
          <w:color w:val="auto"/>
          <w:spacing w:val="-1"/>
          <w:lang w:eastAsia="zh-CN"/>
        </w:rPr>
        <w:t>（2）需要通过互联网信息技术、GIS、数字制图技术，精细化管理生产建设项目水土保持方案。</w:t>
      </w:r>
    </w:p>
    <w:p w14:paraId="0D7E21CF">
      <w:pPr>
        <w:pStyle w:val="376"/>
        <w:adjustRightInd w:val="0"/>
        <w:ind w:firstLine="476"/>
        <w:rPr>
          <w:color w:val="auto"/>
          <w:spacing w:val="-1"/>
          <w:lang w:eastAsia="zh-CN"/>
        </w:rPr>
      </w:pPr>
      <w:r>
        <w:rPr>
          <w:color w:val="auto"/>
          <w:spacing w:val="-1"/>
          <w:lang w:eastAsia="zh-CN"/>
        </w:rPr>
        <w:t>（3）利用移动办公、GPS技术，支撑生产建设项目的监督检查。</w:t>
      </w:r>
    </w:p>
    <w:p w14:paraId="3AE3BBBF">
      <w:pPr>
        <w:pStyle w:val="376"/>
        <w:adjustRightInd w:val="0"/>
        <w:ind w:firstLine="476"/>
        <w:rPr>
          <w:color w:val="auto"/>
          <w:spacing w:val="-1"/>
          <w:lang w:eastAsia="zh-CN"/>
        </w:rPr>
      </w:pPr>
      <w:r>
        <w:rPr>
          <w:color w:val="auto"/>
          <w:spacing w:val="-1"/>
          <w:lang w:eastAsia="zh-CN"/>
        </w:rPr>
        <w:t>2、加强水土保持综合治理图斑精细化管理</w:t>
      </w:r>
    </w:p>
    <w:p w14:paraId="4DA6550B">
      <w:pPr>
        <w:pStyle w:val="376"/>
        <w:adjustRightInd w:val="0"/>
        <w:ind w:firstLine="476"/>
        <w:rPr>
          <w:color w:val="auto"/>
          <w:spacing w:val="-1"/>
          <w:lang w:eastAsia="zh-CN"/>
        </w:rPr>
      </w:pPr>
      <w:r>
        <w:rPr>
          <w:color w:val="auto"/>
          <w:spacing w:val="-1"/>
          <w:lang w:eastAsia="zh-CN"/>
        </w:rPr>
        <w:t>（1）需要通过互联网信息技术、GIS、数字制图技术，精细化管理综合治理项目。</w:t>
      </w:r>
    </w:p>
    <w:p w14:paraId="01196BDB">
      <w:pPr>
        <w:pStyle w:val="376"/>
        <w:adjustRightInd w:val="0"/>
        <w:ind w:firstLine="476"/>
        <w:rPr>
          <w:color w:val="auto"/>
          <w:spacing w:val="-1"/>
          <w:lang w:eastAsia="zh-CN"/>
        </w:rPr>
      </w:pPr>
      <w:r>
        <w:rPr>
          <w:color w:val="auto"/>
          <w:spacing w:val="-1"/>
          <w:lang w:eastAsia="zh-CN"/>
        </w:rPr>
        <w:t>（2）利用高分遥感、移动办公、GPS技术，支撑综合治理项目检查和验收。</w:t>
      </w:r>
    </w:p>
    <w:p w14:paraId="474B5067">
      <w:pPr>
        <w:pStyle w:val="376"/>
        <w:adjustRightInd w:val="0"/>
        <w:ind w:firstLine="476"/>
        <w:rPr>
          <w:color w:val="auto"/>
          <w:spacing w:val="-1"/>
          <w:lang w:eastAsia="zh-CN"/>
        </w:rPr>
      </w:pPr>
      <w:r>
        <w:rPr>
          <w:color w:val="auto"/>
          <w:spacing w:val="-1"/>
          <w:lang w:eastAsia="zh-CN"/>
        </w:rPr>
        <w:t>（3）利用数学建模、数据挖掘和空间分析等技术，实现综合治理项目设计辅助。</w:t>
      </w:r>
    </w:p>
    <w:p w14:paraId="2F5860D4">
      <w:pPr>
        <w:pStyle w:val="376"/>
        <w:adjustRightInd w:val="0"/>
        <w:ind w:firstLine="476"/>
        <w:rPr>
          <w:color w:val="auto"/>
          <w:spacing w:val="-1"/>
          <w:lang w:eastAsia="zh-CN"/>
        </w:rPr>
      </w:pPr>
      <w:r>
        <w:rPr>
          <w:color w:val="auto"/>
          <w:spacing w:val="-1"/>
          <w:lang w:eastAsia="zh-CN"/>
        </w:rPr>
        <w:t>3、提升水土保持监测数据采集自动化与监测评价能力</w:t>
      </w:r>
    </w:p>
    <w:p w14:paraId="6C87690C">
      <w:pPr>
        <w:pStyle w:val="376"/>
        <w:adjustRightInd w:val="0"/>
        <w:ind w:firstLine="476"/>
        <w:rPr>
          <w:color w:val="auto"/>
          <w:spacing w:val="-1"/>
          <w:lang w:eastAsia="zh-CN"/>
        </w:rPr>
      </w:pPr>
      <w:r>
        <w:rPr>
          <w:color w:val="auto"/>
          <w:spacing w:val="-1"/>
          <w:lang w:eastAsia="zh-CN"/>
        </w:rPr>
        <w:t>（1）利用有/无线、电子技术，提升水土流失监测点监测自动化、网络化能力。实现监测数据“监测点-阜康市（市）-地（州、市）-流域机构-自治区”的数据采集、逐级上报和管理模式。</w:t>
      </w:r>
    </w:p>
    <w:p w14:paraId="21D5EEDE">
      <w:pPr>
        <w:pStyle w:val="376"/>
        <w:adjustRightInd w:val="0"/>
        <w:ind w:firstLine="476"/>
        <w:rPr>
          <w:color w:val="auto"/>
          <w:spacing w:val="-1"/>
          <w:lang w:eastAsia="zh-CN"/>
        </w:rPr>
      </w:pPr>
      <w:r>
        <w:rPr>
          <w:color w:val="auto"/>
          <w:spacing w:val="-1"/>
          <w:lang w:eastAsia="zh-CN"/>
        </w:rPr>
        <w:t>（2）利用航天遥感、图像分析技术，定量监测、分析评价区域水土流失情况，开展水土流失消长分析。</w:t>
      </w:r>
    </w:p>
    <w:p w14:paraId="273977B8">
      <w:pPr>
        <w:pStyle w:val="376"/>
        <w:adjustRightInd w:val="0"/>
        <w:ind w:firstLine="476"/>
        <w:rPr>
          <w:color w:val="auto"/>
          <w:spacing w:val="-1"/>
          <w:lang w:eastAsia="zh-CN"/>
        </w:rPr>
      </w:pPr>
      <w:r>
        <w:rPr>
          <w:color w:val="auto"/>
          <w:spacing w:val="-1"/>
          <w:lang w:eastAsia="zh-CN"/>
        </w:rPr>
        <w:t>（3）利用互联网信息技术，监测生产建设项目水土流失情况。</w:t>
      </w:r>
    </w:p>
    <w:p w14:paraId="62B282BE">
      <w:pPr>
        <w:pStyle w:val="376"/>
        <w:adjustRightInd w:val="0"/>
        <w:ind w:firstLine="476"/>
        <w:rPr>
          <w:color w:val="auto"/>
          <w:spacing w:val="-1"/>
          <w:lang w:eastAsia="zh-CN"/>
        </w:rPr>
      </w:pPr>
      <w:r>
        <w:rPr>
          <w:color w:val="auto"/>
          <w:spacing w:val="-1"/>
          <w:lang w:eastAsia="zh-CN"/>
        </w:rPr>
        <w:t>4、加强水土保持业务应用整合</w:t>
      </w:r>
    </w:p>
    <w:p w14:paraId="754E9600">
      <w:pPr>
        <w:pStyle w:val="376"/>
        <w:adjustRightInd w:val="0"/>
        <w:ind w:firstLine="476"/>
        <w:rPr>
          <w:color w:val="auto"/>
          <w:spacing w:val="-1"/>
          <w:lang w:eastAsia="zh-CN"/>
        </w:rPr>
      </w:pPr>
      <w:r>
        <w:rPr>
          <w:color w:val="auto"/>
          <w:spacing w:val="-1"/>
          <w:lang w:eastAsia="zh-CN"/>
        </w:rPr>
        <w:t>（1）水土保持各业务信息与国家级、流域级、自治区系统和数据库进行信息共享。</w:t>
      </w:r>
    </w:p>
    <w:p w14:paraId="62DD7C2D">
      <w:pPr>
        <w:pStyle w:val="376"/>
        <w:adjustRightInd w:val="0"/>
        <w:ind w:firstLine="476"/>
        <w:rPr>
          <w:color w:val="auto"/>
          <w:spacing w:val="-1"/>
          <w:lang w:eastAsia="zh-CN"/>
        </w:rPr>
      </w:pPr>
      <w:r>
        <w:rPr>
          <w:color w:val="auto"/>
          <w:spacing w:val="-1"/>
          <w:lang w:eastAsia="zh-CN"/>
        </w:rPr>
        <w:t>（2）依托水利局网络，传输水土保持数据。新建涉密内网，管理涉及国际流域的水土保持数据、部分电子政务数据传输等；依托升级的外网传输其它非涉密水土保持数据。</w:t>
      </w:r>
    </w:p>
    <w:p w14:paraId="65F1C60D">
      <w:pPr>
        <w:pStyle w:val="376"/>
        <w:adjustRightInd w:val="0"/>
        <w:ind w:firstLine="476"/>
        <w:rPr>
          <w:color w:val="auto"/>
          <w:spacing w:val="-1"/>
          <w:lang w:eastAsia="zh-CN"/>
        </w:rPr>
      </w:pPr>
      <w:r>
        <w:rPr>
          <w:color w:val="auto"/>
          <w:spacing w:val="-1"/>
          <w:lang w:eastAsia="zh-CN"/>
        </w:rPr>
        <w:t>（3）依托新疆水利云平台存储水土保持数据。</w:t>
      </w:r>
    </w:p>
    <w:p w14:paraId="0747DCA8">
      <w:pPr>
        <w:pStyle w:val="376"/>
        <w:adjustRightInd w:val="0"/>
        <w:ind w:firstLine="476"/>
        <w:rPr>
          <w:color w:val="auto"/>
          <w:spacing w:val="-1"/>
          <w:lang w:eastAsia="zh-CN"/>
        </w:rPr>
      </w:pPr>
      <w:r>
        <w:rPr>
          <w:color w:val="auto"/>
          <w:spacing w:val="-1"/>
          <w:lang w:eastAsia="zh-CN"/>
        </w:rPr>
        <w:t>（4）依托新疆水利数据中心，实现水土保持业务信息与水利其它部门共享。</w:t>
      </w:r>
    </w:p>
    <w:p w14:paraId="6AE8DD24">
      <w:pPr>
        <w:pStyle w:val="376"/>
        <w:adjustRightInd w:val="0"/>
        <w:ind w:firstLine="476"/>
        <w:rPr>
          <w:color w:val="auto"/>
          <w:spacing w:val="-1"/>
          <w:lang w:eastAsia="zh-CN"/>
        </w:rPr>
      </w:pPr>
      <w:r>
        <w:rPr>
          <w:color w:val="auto"/>
          <w:spacing w:val="-1"/>
          <w:lang w:eastAsia="zh-CN"/>
        </w:rPr>
        <w:t>（5）依托水利一张图，实现水土保持空间可视化管理。</w:t>
      </w:r>
    </w:p>
    <w:p w14:paraId="02788C31">
      <w:pPr>
        <w:pStyle w:val="376"/>
        <w:adjustRightInd w:val="0"/>
        <w:ind w:firstLine="476"/>
        <w:rPr>
          <w:color w:val="auto"/>
          <w:spacing w:val="-1"/>
          <w:lang w:eastAsia="zh-CN"/>
        </w:rPr>
      </w:pPr>
      <w:r>
        <w:rPr>
          <w:color w:val="auto"/>
          <w:spacing w:val="-1"/>
          <w:lang w:eastAsia="zh-CN"/>
        </w:rPr>
        <w:t>（6）与水利局统一门户应用有机集成，并制定水土保持数据资源、应用服务和建设管理类规范。</w:t>
      </w:r>
    </w:p>
    <w:p w14:paraId="65A6ECAB">
      <w:pPr>
        <w:pStyle w:val="376"/>
        <w:adjustRightInd w:val="0"/>
        <w:ind w:firstLine="476"/>
        <w:rPr>
          <w:color w:val="auto"/>
          <w:spacing w:val="-1"/>
          <w:lang w:eastAsia="zh-CN"/>
        </w:rPr>
      </w:pPr>
      <w:r>
        <w:rPr>
          <w:color w:val="auto"/>
          <w:spacing w:val="-1"/>
          <w:lang w:eastAsia="zh-CN"/>
        </w:rPr>
        <w:t>5、夯实水土保持公众信息服务能力</w:t>
      </w:r>
    </w:p>
    <w:p w14:paraId="4FD25728">
      <w:pPr>
        <w:pStyle w:val="376"/>
        <w:adjustRightInd w:val="0"/>
        <w:ind w:firstLine="476"/>
        <w:rPr>
          <w:color w:val="auto"/>
          <w:spacing w:val="-1"/>
          <w:lang w:eastAsia="zh-CN"/>
        </w:rPr>
      </w:pPr>
      <w:r>
        <w:rPr>
          <w:color w:val="auto"/>
          <w:spacing w:val="-1"/>
          <w:lang w:eastAsia="zh-CN"/>
        </w:rPr>
        <w:t>（1）需要通过网络向社会公开水土保持机构权限、工作职责、办事程序、办事依据、办事标准、办事时限以及办理结果，需要建立与公众工作交流渠道，解答各类水土保持工作的咨询。</w:t>
      </w:r>
    </w:p>
    <w:p w14:paraId="53666DC0">
      <w:pPr>
        <w:pStyle w:val="376"/>
        <w:adjustRightInd w:val="0"/>
        <w:ind w:firstLine="476"/>
        <w:rPr>
          <w:color w:val="auto"/>
          <w:spacing w:val="-1"/>
          <w:lang w:eastAsia="zh-CN"/>
        </w:rPr>
      </w:pPr>
      <w:r>
        <w:rPr>
          <w:color w:val="auto"/>
          <w:spacing w:val="-1"/>
          <w:lang w:eastAsia="zh-CN"/>
        </w:rPr>
        <w:t>（2）需要定期公告区域水土流失及其防治情况及建设项目水土保持方案实施情况、水土流失监测情况和水土保持监督检查结果信息。</w:t>
      </w:r>
    </w:p>
    <w:p w14:paraId="1B8D3EE3">
      <w:pPr>
        <w:pStyle w:val="376"/>
        <w:adjustRightInd w:val="0"/>
        <w:ind w:firstLine="476"/>
        <w:rPr>
          <w:color w:val="auto"/>
          <w:spacing w:val="-1"/>
          <w:lang w:eastAsia="zh-CN"/>
        </w:rPr>
      </w:pPr>
      <w:r>
        <w:rPr>
          <w:color w:val="auto"/>
          <w:spacing w:val="-1"/>
          <w:lang w:eastAsia="zh-CN"/>
        </w:rPr>
        <w:t>（3）需要公告水土流失重点预防区和重点治理区、崩塌滑坡危险区和泥石流易发区禁止开垦的陡坡地的范围、图形及说明数据；需要发布水土流失灾害预报。</w:t>
      </w:r>
    </w:p>
    <w:p w14:paraId="14B23FAB">
      <w:pPr>
        <w:pStyle w:val="376"/>
        <w:adjustRightInd w:val="0"/>
        <w:ind w:firstLine="476"/>
        <w:rPr>
          <w:color w:val="auto"/>
          <w:spacing w:val="-1"/>
          <w:lang w:eastAsia="zh-CN"/>
        </w:rPr>
      </w:pPr>
      <w:r>
        <w:rPr>
          <w:color w:val="auto"/>
          <w:spacing w:val="-1"/>
          <w:lang w:eastAsia="zh-CN"/>
        </w:rPr>
        <w:t>（4）需要通过网络发布水土保持工作中做出突出成绩的单位和个人表彰信息；发布先进典型事迹；曝光与通报消极落实水土保持制度的单位。</w:t>
      </w:r>
    </w:p>
    <w:p w14:paraId="15413540">
      <w:pPr>
        <w:pStyle w:val="376"/>
        <w:adjustRightInd w:val="0"/>
        <w:ind w:firstLine="476"/>
        <w:rPr>
          <w:color w:val="auto"/>
          <w:spacing w:val="-1"/>
          <w:lang w:eastAsia="zh-CN"/>
        </w:rPr>
      </w:pPr>
      <w:r>
        <w:rPr>
          <w:color w:val="auto"/>
          <w:spacing w:val="-1"/>
          <w:lang w:eastAsia="zh-CN"/>
        </w:rPr>
        <w:t>（5）需要发布水土流失重大新闻事件，包括领导视察、全国水土保持工作动态和科技前沿等。</w:t>
      </w:r>
    </w:p>
    <w:p w14:paraId="01A49F96">
      <w:pPr>
        <w:pStyle w:val="376"/>
        <w:adjustRightInd w:val="0"/>
        <w:ind w:firstLine="476"/>
        <w:rPr>
          <w:color w:val="auto"/>
          <w:spacing w:val="-1"/>
          <w:lang w:eastAsia="zh-CN"/>
        </w:rPr>
      </w:pPr>
      <w:r>
        <w:rPr>
          <w:color w:val="auto"/>
          <w:spacing w:val="-1"/>
          <w:lang w:eastAsia="zh-CN"/>
        </w:rPr>
        <w:t>（6）需要通过网络建立监督举报渠道，鼓励公众举报各类水土保持违法行为。</w:t>
      </w:r>
    </w:p>
    <w:p w14:paraId="238AEDF9">
      <w:pPr>
        <w:pStyle w:val="5"/>
        <w:spacing w:before="100" w:after="100"/>
        <w:rPr>
          <w:rFonts w:eastAsia="仿宋_GB2312"/>
          <w:sz w:val="24"/>
        </w:rPr>
      </w:pPr>
      <w:bookmarkStart w:id="182" w:name="_Toc8372"/>
      <w:r>
        <w:rPr>
          <w:rFonts w:eastAsia="仿宋_GB2312"/>
          <w:sz w:val="24"/>
        </w:rPr>
        <w:t>8.6.3 规划目标</w:t>
      </w:r>
      <w:bookmarkEnd w:id="182"/>
    </w:p>
    <w:p w14:paraId="23D830F1">
      <w:pPr>
        <w:pStyle w:val="376"/>
        <w:adjustRightInd w:val="0"/>
        <w:ind w:firstLine="480"/>
        <w:rPr>
          <w:color w:val="auto"/>
        </w:rPr>
      </w:pPr>
      <w:r>
        <w:rPr>
          <w:color w:val="auto"/>
        </w:rPr>
        <w:t>水土保持信息化规划的总体目标是：按照全国和自治区水土保持信息化建设的总体要求，</w:t>
      </w:r>
      <w:r>
        <w:rPr>
          <w:color w:val="auto"/>
          <w:lang w:eastAsia="zh-CN"/>
        </w:rPr>
        <w:t>以昌吉州水利信息化综合平台为依托，</w:t>
      </w:r>
      <w:r>
        <w:rPr>
          <w:color w:val="auto"/>
        </w:rPr>
        <w:t>在现有水土保持工作基础上，完成阜康市水土保持监督管理系统、综合治理系统、动态监测系统和数据发布系统的建设，建成自治区、州（市、地）、阜康市三级水土保持数据中心，搭建上下贯通、完善高效的水土保持信息化基础平台，实现水土保持信息技术在水行政主管部门的全面应用，全面提升昌吉州水土保持决策、监督、管理和服务水平。</w:t>
      </w:r>
    </w:p>
    <w:p w14:paraId="37DA5778">
      <w:pPr>
        <w:pStyle w:val="376"/>
        <w:adjustRightInd w:val="0"/>
        <w:ind w:firstLine="476"/>
        <w:rPr>
          <w:color w:val="auto"/>
          <w:spacing w:val="-1"/>
          <w:lang w:eastAsia="zh-CN"/>
        </w:rPr>
      </w:pPr>
      <w:r>
        <w:rPr>
          <w:color w:val="auto"/>
          <w:spacing w:val="-1"/>
          <w:lang w:eastAsia="zh-CN"/>
        </w:rPr>
        <w:t>1、近期目标</w:t>
      </w:r>
    </w:p>
    <w:p w14:paraId="4E5A647B">
      <w:pPr>
        <w:pStyle w:val="376"/>
        <w:adjustRightInd w:val="0"/>
        <w:ind w:firstLine="480"/>
        <w:rPr>
          <w:color w:val="auto"/>
        </w:rPr>
      </w:pPr>
      <w:r>
        <w:rPr>
          <w:color w:val="auto"/>
        </w:rPr>
        <w:t>到2025年，以新疆水利信息平台为基础，构建水土保持行业信息化发展体系框架，推进“天地一体化”动态监控建设，实现综合治理项目“图斑精细化”管理和生产建设项目水土保持“天地一体化”监管。在自治区、州（市、地）、</w:t>
      </w:r>
      <w:r>
        <w:rPr>
          <w:color w:val="auto"/>
          <w:lang w:eastAsia="zh-CN"/>
        </w:rPr>
        <w:t>阜康市</w:t>
      </w:r>
      <w:r>
        <w:rPr>
          <w:color w:val="auto"/>
        </w:rPr>
        <w:t>三级水行政主管部门初步建成监督管理、综合治理、监测评价、数据发布等核心业务的信息化基础平台。</w:t>
      </w:r>
    </w:p>
    <w:p w14:paraId="7CCDA895">
      <w:pPr>
        <w:pStyle w:val="376"/>
        <w:adjustRightInd w:val="0"/>
        <w:ind w:firstLine="480"/>
        <w:rPr>
          <w:color w:val="auto"/>
        </w:rPr>
      </w:pPr>
      <w:r>
        <w:rPr>
          <w:color w:val="auto"/>
        </w:rPr>
        <w:t>持续开展水土保持技术培训，培养一支适应水土保持信息化发展需要的管理和技术人才队伍。</w:t>
      </w:r>
    </w:p>
    <w:p w14:paraId="78C95D87">
      <w:pPr>
        <w:pStyle w:val="376"/>
        <w:adjustRightInd w:val="0"/>
        <w:ind w:firstLine="480"/>
        <w:rPr>
          <w:color w:val="auto"/>
        </w:rPr>
      </w:pPr>
      <w:r>
        <w:rPr>
          <w:color w:val="auto"/>
        </w:rPr>
        <w:t>熟练掌握和使用全国水土保持监督管理系统的方案审批、验收、查询、统计和信息移动采集等功能，并管理社会单位信用等级评价信息；在综合治理管理系统中，初步实现水土保持重点工程以“图斑-小流域-项目区-阜康市-省-流域-国家”为主线的精细化管理；在监测评价管理系统中，实现监测点数据的实时采集、及时存储、分类汇总、数据归档、本地封存、逐级审核上报，以及监测点网络化、实时化管理；利用数据发布系统，面向社会单位和公众发布水土保持公报信息。</w:t>
      </w:r>
    </w:p>
    <w:p w14:paraId="6015F88E">
      <w:pPr>
        <w:pStyle w:val="376"/>
        <w:adjustRightInd w:val="0"/>
        <w:ind w:firstLine="476"/>
        <w:rPr>
          <w:color w:val="auto"/>
          <w:spacing w:val="-1"/>
          <w:lang w:eastAsia="zh-CN"/>
        </w:rPr>
      </w:pPr>
      <w:r>
        <w:rPr>
          <w:color w:val="auto"/>
          <w:spacing w:val="-1"/>
          <w:lang w:eastAsia="zh-CN"/>
        </w:rPr>
        <w:t>2、远期目标</w:t>
      </w:r>
    </w:p>
    <w:p w14:paraId="45ED4ACF">
      <w:pPr>
        <w:pStyle w:val="376"/>
        <w:adjustRightInd w:val="0"/>
        <w:ind w:firstLine="480"/>
        <w:rPr>
          <w:color w:val="auto"/>
        </w:rPr>
      </w:pPr>
      <w:r>
        <w:rPr>
          <w:color w:val="auto"/>
        </w:rPr>
        <w:t>到2030年，全面推进新疆水土保持信息化建设和发展，建成上下贯通、完善高效的水土保持信息化基础平台；建成昌吉州水土保持数据中心；建立衔接自治区、州（市、地）、阜康市三级的水土保持数据采集、传输、交换和发布体系。</w:t>
      </w:r>
    </w:p>
    <w:p w14:paraId="3B5BBE44">
      <w:pPr>
        <w:pStyle w:val="376"/>
        <w:adjustRightInd w:val="0"/>
        <w:ind w:firstLine="480"/>
        <w:rPr>
          <w:color w:val="auto"/>
        </w:rPr>
      </w:pPr>
      <w:r>
        <w:rPr>
          <w:color w:val="auto"/>
        </w:rPr>
        <w:t>信息化技术人员素质不断提高，在水土保持专业人员，能够熟练掌握和使用全国水土保持监督管理系统、综合治理系统、动态监测系统、数据发布系统的查询、统计、信息采集、分类汇总、数据归档、逐级审核上报等功能以及水土保持重点工程图斑上图的精细化管理等。</w:t>
      </w:r>
    </w:p>
    <w:p w14:paraId="499F1317">
      <w:pPr>
        <w:pStyle w:val="376"/>
        <w:adjustRightInd w:val="0"/>
        <w:ind w:firstLine="480"/>
        <w:rPr>
          <w:color w:val="auto"/>
        </w:rPr>
      </w:pPr>
      <w:r>
        <w:rPr>
          <w:color w:val="auto"/>
        </w:rPr>
        <w:t>实现信息资源的充分共享和利用，有效发挥水土保持数据平台快捷有效的作用，顺利实现在水行政主管部门监督管理、综合治理、监测评价等核心业务的信息化应用，水土保持行政许可项目基本实现在线处理等。为相关行业和社会公众提供高效、便捷的土壤侵蚀、侵蚀沟道、水土保持措施等信息服务。</w:t>
      </w:r>
    </w:p>
    <w:p w14:paraId="76AC31C5">
      <w:pPr>
        <w:pStyle w:val="5"/>
        <w:spacing w:before="100" w:after="100"/>
        <w:rPr>
          <w:rFonts w:eastAsia="仿宋_GB2312"/>
          <w:sz w:val="24"/>
        </w:rPr>
      </w:pPr>
      <w:bookmarkStart w:id="183" w:name="_Toc19087"/>
      <w:r>
        <w:rPr>
          <w:rFonts w:eastAsia="仿宋_GB2312"/>
          <w:sz w:val="24"/>
        </w:rPr>
        <w:t>8.6.4 规划布局</w:t>
      </w:r>
      <w:bookmarkEnd w:id="183"/>
    </w:p>
    <w:p w14:paraId="46FE394B">
      <w:pPr>
        <w:pStyle w:val="376"/>
        <w:adjustRightInd w:val="0"/>
        <w:ind w:firstLine="480"/>
        <w:rPr>
          <w:color w:val="auto"/>
        </w:rPr>
      </w:pPr>
      <w:r>
        <w:rPr>
          <w:color w:val="auto"/>
        </w:rPr>
        <w:t>根据《全国水土保持信息化规划（2013-2020年）》和《新疆维吾尔自治区水土保持信息化规划（2018-2025年）》，建立</w:t>
      </w:r>
      <w:r>
        <w:rPr>
          <w:color w:val="auto"/>
          <w:lang w:eastAsia="zh-CN"/>
        </w:rPr>
        <w:t>阜康市</w:t>
      </w:r>
      <w:r>
        <w:rPr>
          <w:color w:val="auto"/>
        </w:rPr>
        <w:t>水土保持平台和水土保持数据中心，建成衔接自治区、州（市、地）、</w:t>
      </w:r>
      <w:r>
        <w:rPr>
          <w:color w:val="auto"/>
          <w:lang w:eastAsia="zh-CN"/>
        </w:rPr>
        <w:t>阜康市</w:t>
      </w:r>
      <w:r>
        <w:rPr>
          <w:color w:val="auto"/>
        </w:rPr>
        <w:t>三级水土保持监督管理系统、综合治理系统、动态监测系统和数据发布系统，形成上下贯通、横向联通的水土保持信息化基础平台，实现“一级部署、三级应用”体系，并与水利部、黄委的水土保持信息系统和数据库对接；实现水土保持信息技术在水行政主管部门的全面应用，全面提升阜康市水土保持监督、管理和服务水平。昌吉州水土保持信息化规划主要包括水土保持基础信息平台建设、水土保持预防监督管理系统建设、水土保持综合治理管理系统建设、水土保持动态监测管理系统建设和水土保持信息数据发布系统建设5大重点项目。</w:t>
      </w:r>
    </w:p>
    <w:p w14:paraId="21E8CD49">
      <w:pPr>
        <w:pStyle w:val="376"/>
        <w:adjustRightInd w:val="0"/>
        <w:ind w:firstLine="476"/>
        <w:rPr>
          <w:color w:val="auto"/>
          <w:spacing w:val="-1"/>
          <w:lang w:eastAsia="zh-CN"/>
        </w:rPr>
      </w:pPr>
      <w:r>
        <w:rPr>
          <w:color w:val="auto"/>
          <w:spacing w:val="-1"/>
          <w:lang w:eastAsia="zh-CN"/>
        </w:rPr>
        <w:t xml:space="preserve">1、水土保持基础信息平台建设 </w:t>
      </w:r>
    </w:p>
    <w:p w14:paraId="7B183797">
      <w:pPr>
        <w:pStyle w:val="376"/>
        <w:adjustRightInd w:val="0"/>
        <w:ind w:firstLine="476"/>
        <w:rPr>
          <w:color w:val="auto"/>
          <w:spacing w:val="-1"/>
          <w:lang w:eastAsia="zh-CN"/>
        </w:rPr>
      </w:pPr>
      <w:r>
        <w:rPr>
          <w:color w:val="auto"/>
          <w:spacing w:val="-1"/>
          <w:lang w:eastAsia="zh-CN"/>
        </w:rPr>
        <w:t>数据采集设施设备。计算机设备、三维激光扫描仪、无人机、定位设备、数据处理基础软件。</w:t>
      </w:r>
    </w:p>
    <w:p w14:paraId="6B19A665">
      <w:pPr>
        <w:pStyle w:val="376"/>
        <w:adjustRightInd w:val="0"/>
        <w:ind w:firstLine="476"/>
        <w:rPr>
          <w:color w:val="auto"/>
          <w:spacing w:val="-1"/>
          <w:lang w:eastAsia="zh-CN"/>
        </w:rPr>
      </w:pPr>
      <w:r>
        <w:rPr>
          <w:color w:val="auto"/>
          <w:spacing w:val="-1"/>
          <w:lang w:eastAsia="zh-CN"/>
        </w:rPr>
        <w:t>水土保持数据库建设。小流域基础数据库、监测评价数据库、综合治理数据库、监督检查数据库、水土流失普查数据库、综合信息数据库、水土保持元数据库。</w:t>
      </w:r>
    </w:p>
    <w:p w14:paraId="52116B59">
      <w:pPr>
        <w:pStyle w:val="376"/>
        <w:adjustRightInd w:val="0"/>
        <w:ind w:firstLine="476"/>
        <w:rPr>
          <w:color w:val="auto"/>
          <w:spacing w:val="-1"/>
          <w:lang w:eastAsia="zh-CN"/>
        </w:rPr>
      </w:pPr>
      <w:r>
        <w:rPr>
          <w:color w:val="auto"/>
          <w:spacing w:val="-1"/>
          <w:lang w:eastAsia="zh-CN"/>
        </w:rPr>
        <w:t xml:space="preserve">2、水土保持预防监督管理系统 </w:t>
      </w:r>
    </w:p>
    <w:p w14:paraId="01501C83">
      <w:pPr>
        <w:pStyle w:val="376"/>
        <w:adjustRightInd w:val="0"/>
        <w:ind w:firstLine="476"/>
        <w:rPr>
          <w:color w:val="auto"/>
          <w:spacing w:val="-1"/>
          <w:lang w:eastAsia="zh-CN"/>
        </w:rPr>
      </w:pPr>
      <w:r>
        <w:rPr>
          <w:color w:val="auto"/>
          <w:spacing w:val="-1"/>
          <w:lang w:eastAsia="zh-CN"/>
        </w:rPr>
        <w:t>规划建设生产建设项目水土保持方案管理系统、生产建设项目动态监管系统、监督评价。主要为自治区、州（市、地）、阜康市三级水行政主管部门，提供水土保持方案编制、技术审查、监理监测、验收评估等息管理信息化支撑。自治区、州（市、地）、阜康市三级水行政主管部门可以及时交换、查询、统计和下载系统中的资料。州（市、地）有关资料可以通过系统交换到水利厅和相关水行政主管部门。各地水行政主管部门有关资料可以通过系统报送到水利厅和州（市、地）水行政主管部门。水土保持方案编制、技术审查、监理监测、验收评估等技术服务单位可以按照用户权限使用该系统。</w:t>
      </w:r>
    </w:p>
    <w:p w14:paraId="796285A2">
      <w:pPr>
        <w:adjustRightInd w:val="0"/>
        <w:snapToGrid w:val="0"/>
        <w:ind w:firstLine="480"/>
        <w:jc w:val="center"/>
        <w:rPr>
          <w:rFonts w:cs="Times New Roman"/>
        </w:rPr>
      </w:pPr>
      <w:r>
        <w:rPr>
          <w:rFonts w:cs="Times New Roman"/>
        </w:rPr>
        <w:drawing>
          <wp:inline distT="0" distB="0" distL="114300" distR="114300">
            <wp:extent cx="3943350" cy="4314825"/>
            <wp:effectExtent l="0" t="0" r="0" b="952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15"/>
                    <a:stretch>
                      <a:fillRect/>
                    </a:stretch>
                  </pic:blipFill>
                  <pic:spPr>
                    <a:xfrm>
                      <a:off x="0" y="0"/>
                      <a:ext cx="3943350" cy="4314825"/>
                    </a:xfrm>
                    <a:prstGeom prst="rect">
                      <a:avLst/>
                    </a:prstGeom>
                    <a:noFill/>
                    <a:ln>
                      <a:noFill/>
                    </a:ln>
                  </pic:spPr>
                </pic:pic>
              </a:graphicData>
            </a:graphic>
          </wp:inline>
        </w:drawing>
      </w:r>
    </w:p>
    <w:p w14:paraId="53AD92F6">
      <w:pPr>
        <w:tabs>
          <w:tab w:val="left" w:pos="2940"/>
        </w:tabs>
        <w:adjustRightInd w:val="0"/>
        <w:snapToGrid w:val="0"/>
        <w:ind w:firstLine="408"/>
        <w:jc w:val="center"/>
        <w:rPr>
          <w:rFonts w:cs="Times New Roman"/>
          <w:spacing w:val="-3"/>
          <w:sz w:val="21"/>
          <w:szCs w:val="21"/>
        </w:rPr>
      </w:pPr>
      <w:r>
        <w:rPr>
          <w:rFonts w:cs="Times New Roman"/>
          <w:spacing w:val="-3"/>
          <w:sz w:val="21"/>
          <w:szCs w:val="21"/>
        </w:rPr>
        <w:t>图8-1  水土保持监督管理系统物理部署结构</w:t>
      </w:r>
    </w:p>
    <w:p w14:paraId="44EBB72A">
      <w:pPr>
        <w:pStyle w:val="376"/>
        <w:adjustRightInd w:val="0"/>
        <w:ind w:firstLine="476"/>
        <w:rPr>
          <w:color w:val="auto"/>
          <w:spacing w:val="-1"/>
          <w:lang w:eastAsia="zh-CN"/>
        </w:rPr>
      </w:pPr>
      <w:r>
        <w:rPr>
          <w:color w:val="auto"/>
          <w:spacing w:val="-1"/>
          <w:lang w:eastAsia="zh-CN"/>
        </w:rPr>
        <w:t>3、水土保持综合治理管理系统</w:t>
      </w:r>
    </w:p>
    <w:p w14:paraId="21DEB142">
      <w:pPr>
        <w:pStyle w:val="376"/>
        <w:adjustRightInd w:val="0"/>
        <w:ind w:firstLine="476"/>
        <w:rPr>
          <w:color w:val="auto"/>
          <w:spacing w:val="-1"/>
          <w:lang w:eastAsia="zh-CN"/>
        </w:rPr>
      </w:pPr>
      <w:r>
        <w:rPr>
          <w:color w:val="auto"/>
          <w:spacing w:val="-1"/>
          <w:lang w:eastAsia="zh-CN"/>
        </w:rPr>
        <w:t>规划建设综合治理项目管理系统、综合治理“图斑”管理系统和“图斑精细化”监管系统及相关子系统和数据整编工作。主要为自治区、州（市、地）、阜康市三级水行政主管部门开展国家水土保持重点工程建设管理提供支撑和服务，通过系统可以实现项目规划、实施方案、年度计划、实施进度、资金管理、检查验收、统计报送等信息的分发、上报、查询、统计和下载等。为项目建设单位、设计单位服务，提供建设单位管理服务及图斑上图、校核、设计服务。在项目规划和实施方案阶段，可以实现项目区、规划治理措施的上图。在项目施工阶段，可以实现治理措施以地块为单元的图斑化管理。在项目检查验收阶段，可以实现规划治理措施与实施地块的有效关联等。</w:t>
      </w:r>
    </w:p>
    <w:p w14:paraId="7742F323">
      <w:pPr>
        <w:pStyle w:val="376"/>
        <w:adjustRightInd w:val="0"/>
        <w:ind w:firstLine="476"/>
        <w:rPr>
          <w:color w:val="auto"/>
          <w:spacing w:val="-1"/>
          <w:lang w:eastAsia="zh-CN"/>
        </w:rPr>
      </w:pPr>
      <w:r>
        <w:rPr>
          <w:color w:val="auto"/>
          <w:spacing w:val="-1"/>
          <w:lang w:eastAsia="zh-CN"/>
        </w:rPr>
        <w:t>4、水土保持动态监测管理系统</w:t>
      </w:r>
    </w:p>
    <w:p w14:paraId="5E766E77">
      <w:pPr>
        <w:pStyle w:val="376"/>
        <w:adjustRightInd w:val="0"/>
        <w:ind w:firstLine="476"/>
        <w:rPr>
          <w:color w:val="auto"/>
          <w:spacing w:val="-1"/>
          <w:lang w:eastAsia="zh-CN"/>
        </w:rPr>
      </w:pPr>
      <w:r>
        <w:rPr>
          <w:color w:val="auto"/>
          <w:spacing w:val="-1"/>
          <w:lang w:eastAsia="zh-CN"/>
        </w:rPr>
        <w:t>规划建设定点监测数据采集与管理系统、区域监测数据管理系统和生产建设项目水土保持监测数据管理系统及相关子系统和数据整编工作。</w:t>
      </w:r>
    </w:p>
    <w:p w14:paraId="0078A2AD">
      <w:pPr>
        <w:pStyle w:val="376"/>
        <w:adjustRightInd w:val="0"/>
        <w:ind w:firstLine="476"/>
        <w:rPr>
          <w:color w:val="auto"/>
          <w:spacing w:val="-1"/>
          <w:lang w:eastAsia="zh-CN"/>
        </w:rPr>
      </w:pPr>
      <w:r>
        <w:rPr>
          <w:color w:val="auto"/>
          <w:spacing w:val="-1"/>
          <w:lang w:eastAsia="zh-CN"/>
        </w:rPr>
        <w:t>水土保持监测评价系统主要是为自治区、州（市、地）、阜康市三级水土保持监测机构和监测点提供支撑和服务。</w:t>
      </w:r>
    </w:p>
    <w:p w14:paraId="2F05795A">
      <w:pPr>
        <w:pStyle w:val="376"/>
        <w:adjustRightInd w:val="0"/>
        <w:ind w:firstLine="476"/>
        <w:rPr>
          <w:color w:val="auto"/>
          <w:spacing w:val="-1"/>
          <w:lang w:eastAsia="zh-CN"/>
        </w:rPr>
      </w:pPr>
      <w:r>
        <w:rPr>
          <w:color w:val="auto"/>
          <w:spacing w:val="-1"/>
          <w:lang w:eastAsia="zh-CN"/>
        </w:rPr>
        <w:t>各级监测机构可以通过系统实现全国水土保持情况普查、全国水土流失动态监测与公告项目、监测点定位观测等获取的水土流失因子、水土流失状况及其防治效果等数据的交换、汇总、分析和评价。</w:t>
      </w:r>
    </w:p>
    <w:p w14:paraId="000D3583">
      <w:pPr>
        <w:pStyle w:val="376"/>
        <w:adjustRightInd w:val="0"/>
        <w:ind w:firstLine="476"/>
        <w:rPr>
          <w:color w:val="auto"/>
          <w:spacing w:val="-1"/>
          <w:lang w:eastAsia="zh-CN"/>
        </w:rPr>
      </w:pPr>
      <w:r>
        <w:rPr>
          <w:color w:val="auto"/>
          <w:spacing w:val="-1"/>
          <w:lang w:eastAsia="zh-CN"/>
        </w:rPr>
        <w:t>及时发现生产建设项目对水土流失造成的影响，掌握全区、重点区域和特殊区域水土流失状况和变化情况，实现水土保持监管现代化。</w:t>
      </w:r>
    </w:p>
    <w:p w14:paraId="15CA89F8">
      <w:pPr>
        <w:adjustRightInd w:val="0"/>
        <w:snapToGrid w:val="0"/>
        <w:ind w:firstLine="480"/>
        <w:jc w:val="center"/>
        <w:rPr>
          <w:rFonts w:cs="Times New Roman"/>
        </w:rPr>
      </w:pPr>
      <w:r>
        <w:rPr>
          <w:rFonts w:cs="Times New Roman"/>
        </w:rPr>
        <w:drawing>
          <wp:inline distT="0" distB="0" distL="114300" distR="114300">
            <wp:extent cx="3895725" cy="4267200"/>
            <wp:effectExtent l="0" t="0" r="9525" b="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116"/>
                    <a:stretch>
                      <a:fillRect/>
                    </a:stretch>
                  </pic:blipFill>
                  <pic:spPr>
                    <a:xfrm>
                      <a:off x="0" y="0"/>
                      <a:ext cx="3895725" cy="4267200"/>
                    </a:xfrm>
                    <a:prstGeom prst="rect">
                      <a:avLst/>
                    </a:prstGeom>
                    <a:noFill/>
                    <a:ln>
                      <a:noFill/>
                    </a:ln>
                  </pic:spPr>
                </pic:pic>
              </a:graphicData>
            </a:graphic>
          </wp:inline>
        </w:drawing>
      </w:r>
    </w:p>
    <w:p w14:paraId="161BA0BD">
      <w:pPr>
        <w:tabs>
          <w:tab w:val="left" w:pos="2940"/>
        </w:tabs>
        <w:adjustRightInd w:val="0"/>
        <w:snapToGrid w:val="0"/>
        <w:ind w:firstLine="408"/>
        <w:jc w:val="center"/>
        <w:rPr>
          <w:rFonts w:cs="Times New Roman"/>
          <w:spacing w:val="-3"/>
          <w:sz w:val="21"/>
          <w:szCs w:val="21"/>
        </w:rPr>
      </w:pPr>
      <w:r>
        <w:rPr>
          <w:rFonts w:cs="Times New Roman"/>
          <w:spacing w:val="-3"/>
          <w:sz w:val="21"/>
          <w:szCs w:val="21"/>
        </w:rPr>
        <w:t>图8-3  水土保持动态监测系统物理部署结构图</w:t>
      </w:r>
    </w:p>
    <w:p w14:paraId="3CF22D89">
      <w:pPr>
        <w:pStyle w:val="376"/>
        <w:adjustRightInd w:val="0"/>
        <w:ind w:firstLine="476"/>
        <w:rPr>
          <w:color w:val="auto"/>
          <w:spacing w:val="-1"/>
          <w:lang w:eastAsia="zh-CN"/>
        </w:rPr>
      </w:pPr>
      <w:r>
        <w:rPr>
          <w:color w:val="auto"/>
          <w:spacing w:val="-1"/>
          <w:lang w:eastAsia="zh-CN"/>
        </w:rPr>
        <w:t>（五）水土保持信息数据发布系统</w:t>
      </w:r>
    </w:p>
    <w:p w14:paraId="31C9B99E">
      <w:pPr>
        <w:pStyle w:val="376"/>
        <w:adjustRightInd w:val="0"/>
        <w:ind w:firstLine="476"/>
        <w:rPr>
          <w:color w:val="auto"/>
          <w:spacing w:val="-1"/>
          <w:lang w:eastAsia="zh-CN"/>
        </w:rPr>
      </w:pPr>
      <w:r>
        <w:rPr>
          <w:color w:val="auto"/>
          <w:spacing w:val="-1"/>
          <w:lang w:eastAsia="zh-CN"/>
        </w:rPr>
        <w:t>规划建设信息共享应用组件、面向决策层的信息服务、面向社会公众的信息服务、水土保持公共交流平台4个服务系统，主要是通过水土保持信息平台，发布自治区、州（市、地）、阜康市三级水土保持公报信息，为社会能提供及时、翔实、可靠的水土保持信息，保障人民群众的知情权、参与权和监督权，提高水土保持社会公众服务能力。</w:t>
      </w:r>
    </w:p>
    <w:p w14:paraId="22E2AE14">
      <w:pPr>
        <w:pStyle w:val="376"/>
        <w:adjustRightInd w:val="0"/>
        <w:ind w:firstLine="476"/>
        <w:rPr>
          <w:color w:val="auto"/>
          <w:spacing w:val="-1"/>
          <w:lang w:eastAsia="zh-CN"/>
        </w:rPr>
      </w:pPr>
      <w:r>
        <w:rPr>
          <w:color w:val="auto"/>
          <w:spacing w:val="-1"/>
          <w:lang w:eastAsia="zh-CN"/>
        </w:rPr>
        <w:t>促进水土保持行政职能、办公方式和服务手段的转变，提高工作效率，为水行政审批、验收、监督检查、信用评级等信息公示提供窗口；为政府宏观决策和社会公共服务等提供科学数据和技术支撑，为国家生态文明建设和水土资源可持续利用服务。</w:t>
      </w:r>
    </w:p>
    <w:p w14:paraId="6D3CFA46">
      <w:pPr>
        <w:pStyle w:val="376"/>
        <w:adjustRightInd w:val="0"/>
        <w:ind w:firstLine="476"/>
        <w:rPr>
          <w:color w:val="auto"/>
          <w:spacing w:val="-1"/>
          <w:lang w:eastAsia="zh-CN"/>
        </w:rPr>
      </w:pPr>
      <w:r>
        <w:rPr>
          <w:color w:val="auto"/>
          <w:spacing w:val="-1"/>
          <w:lang w:eastAsia="zh-CN"/>
        </w:rPr>
        <w:t>实现向全州水利基础信息平台进行监测、监督、治理等信息推送，实现信息共享、纵向贯通、横向联通。通过水利基础信息平台向国土、林业、农业、气象、发改委等部门进行信息的二次推送。实现水土保持数据发布系统与水利厅公务网站的集成，用户通过登录水利厅公务网站访问水土保持平台。</w:t>
      </w:r>
    </w:p>
    <w:p w14:paraId="6E011DE1">
      <w:pPr>
        <w:pStyle w:val="2"/>
        <w:spacing w:before="120" w:after="120"/>
        <w:rPr>
          <w:rFonts w:eastAsia="仿宋_GB2312" w:cs="Times New Roman"/>
          <w:color w:val="auto"/>
        </w:rPr>
        <w:sectPr>
          <w:pgSz w:w="11907" w:h="16840"/>
          <w:pgMar w:top="1440" w:right="1797" w:bottom="1440" w:left="1797" w:header="850" w:footer="992" w:gutter="0"/>
          <w:cols w:space="720" w:num="1"/>
          <w:docGrid w:linePitch="326" w:charSpace="0"/>
        </w:sectPr>
      </w:pPr>
    </w:p>
    <w:p w14:paraId="3A9A5A78">
      <w:pPr>
        <w:pStyle w:val="2"/>
        <w:spacing w:before="120" w:after="120"/>
        <w:rPr>
          <w:rFonts w:eastAsia="仿宋_GB2312" w:cs="Times New Roman"/>
          <w:color w:val="auto"/>
        </w:rPr>
      </w:pPr>
      <w:bookmarkStart w:id="184" w:name="_Toc150724302"/>
      <w:r>
        <w:rPr>
          <w:rFonts w:eastAsia="仿宋_GB2312" w:cs="Times New Roman"/>
          <w:color w:val="auto"/>
        </w:rPr>
        <w:t>9 实施进度及投资匡算</w:t>
      </w:r>
      <w:bookmarkEnd w:id="184"/>
    </w:p>
    <w:p w14:paraId="4E8D86C2">
      <w:pPr>
        <w:pStyle w:val="44"/>
        <w:spacing w:before="120" w:after="120"/>
        <w:rPr>
          <w:rFonts w:eastAsia="仿宋_GB2312" w:cs="Times New Roman"/>
        </w:rPr>
      </w:pPr>
      <w:bookmarkStart w:id="185" w:name="_Toc150724303"/>
      <w:r>
        <w:rPr>
          <w:rFonts w:eastAsia="仿宋_GB2312" w:cs="Times New Roman"/>
        </w:rPr>
        <w:t>9.1 规划实施原则</w:t>
      </w:r>
      <w:bookmarkEnd w:id="185"/>
    </w:p>
    <w:p w14:paraId="2677A029">
      <w:pPr>
        <w:pStyle w:val="4"/>
        <w:adjustRightInd w:val="0"/>
        <w:snapToGrid w:val="0"/>
        <w:ind w:firstLine="480"/>
        <w:rPr>
          <w:sz w:val="24"/>
          <w:szCs w:val="24"/>
        </w:rPr>
      </w:pPr>
      <w:r>
        <w:rPr>
          <w:sz w:val="24"/>
          <w:szCs w:val="24"/>
        </w:rPr>
        <w:t>（1）规划水平年与国民经济和社会发展规划相一致，分为近期和远期水平，并以近期为重点。</w:t>
      </w:r>
    </w:p>
    <w:p w14:paraId="56481D02">
      <w:pPr>
        <w:pStyle w:val="4"/>
        <w:adjustRightInd w:val="0"/>
        <w:snapToGrid w:val="0"/>
        <w:ind w:firstLine="480"/>
        <w:rPr>
          <w:sz w:val="24"/>
          <w:szCs w:val="24"/>
        </w:rPr>
      </w:pPr>
      <w:r>
        <w:rPr>
          <w:sz w:val="24"/>
          <w:szCs w:val="24"/>
        </w:rPr>
        <w:t>（2）依据水土流失防治的难易程度，先易后难，容易治理的区域及项目列为近期项目，治理困难的区域列为远期项目。</w:t>
      </w:r>
    </w:p>
    <w:p w14:paraId="278DC6F2">
      <w:pPr>
        <w:pStyle w:val="4"/>
        <w:adjustRightInd w:val="0"/>
        <w:snapToGrid w:val="0"/>
        <w:ind w:firstLine="480"/>
        <w:rPr>
          <w:sz w:val="24"/>
          <w:szCs w:val="24"/>
        </w:rPr>
      </w:pPr>
      <w:r>
        <w:rPr>
          <w:sz w:val="24"/>
          <w:szCs w:val="24"/>
        </w:rPr>
        <w:t>（3）依据水土保持需求，亟需治理的区域列为近期项目。</w:t>
      </w:r>
    </w:p>
    <w:p w14:paraId="0515F700">
      <w:pPr>
        <w:pStyle w:val="4"/>
        <w:adjustRightInd w:val="0"/>
        <w:snapToGrid w:val="0"/>
        <w:ind w:firstLine="480"/>
        <w:rPr>
          <w:sz w:val="24"/>
          <w:szCs w:val="24"/>
        </w:rPr>
      </w:pPr>
      <w:r>
        <w:rPr>
          <w:sz w:val="24"/>
          <w:szCs w:val="24"/>
        </w:rPr>
        <w:t>（4）国家重点治理区，国务院、水利部、自治区已批复的重点规划，优先安排，列为近期项目，后续项目列为远期项目。</w:t>
      </w:r>
    </w:p>
    <w:p w14:paraId="36B1809C">
      <w:pPr>
        <w:pStyle w:val="4"/>
        <w:adjustRightInd w:val="0"/>
        <w:snapToGrid w:val="0"/>
        <w:ind w:firstLine="480"/>
        <w:rPr>
          <w:sz w:val="24"/>
          <w:szCs w:val="24"/>
        </w:rPr>
      </w:pPr>
      <w:r>
        <w:rPr>
          <w:sz w:val="24"/>
          <w:szCs w:val="24"/>
        </w:rPr>
        <w:t>（5）特殊重点项目及特殊灾害区域，列为近期项目。</w:t>
      </w:r>
    </w:p>
    <w:p w14:paraId="529FB0B2">
      <w:pPr>
        <w:pStyle w:val="4"/>
        <w:adjustRightInd w:val="0"/>
        <w:snapToGrid w:val="0"/>
        <w:ind w:firstLine="480"/>
      </w:pPr>
      <w:r>
        <w:rPr>
          <w:sz w:val="24"/>
          <w:szCs w:val="24"/>
        </w:rPr>
        <w:t>（6）对地方各级政府重视，群众积极参与水土流失治理的重点流域和区域应优先考虑，特别是从解决民生角度考虑，注重环境恶劣的贫困地区，列为近期项目。</w:t>
      </w:r>
    </w:p>
    <w:p w14:paraId="534A7634">
      <w:pPr>
        <w:pStyle w:val="44"/>
        <w:spacing w:before="120" w:after="120"/>
        <w:rPr>
          <w:rFonts w:eastAsia="仿宋_GB2312" w:cs="Times New Roman"/>
        </w:rPr>
      </w:pPr>
      <w:bookmarkStart w:id="186" w:name="_Toc150724304"/>
      <w:r>
        <w:rPr>
          <w:rFonts w:eastAsia="仿宋_GB2312" w:cs="Times New Roman"/>
        </w:rPr>
        <w:t>9.2 重点项目</w:t>
      </w:r>
      <w:bookmarkEnd w:id="186"/>
    </w:p>
    <w:p w14:paraId="6AA5850D">
      <w:pPr>
        <w:adjustRightInd w:val="0"/>
        <w:snapToGrid w:val="0"/>
        <w:ind w:firstLine="480"/>
        <w:jc w:val="both"/>
        <w:rPr>
          <w:rFonts w:cs="Times New Roman"/>
        </w:rPr>
      </w:pPr>
      <w:r>
        <w:rPr>
          <w:rFonts w:cs="Times New Roman"/>
        </w:rPr>
        <w:t>重点项目包括预防规划重点实施项目和治理规划重点实施项目，近期实施时间为202</w:t>
      </w:r>
      <w:r>
        <w:rPr>
          <w:rFonts w:hint="eastAsia" w:cs="Times New Roman"/>
        </w:rPr>
        <w:t>4</w:t>
      </w:r>
      <w:r>
        <w:rPr>
          <w:rFonts w:cs="Times New Roman"/>
        </w:rPr>
        <w:t>-2025年，远期实施时间为2026-2030年。</w:t>
      </w:r>
    </w:p>
    <w:p w14:paraId="6AEE2D98">
      <w:pPr>
        <w:pStyle w:val="5"/>
        <w:rPr>
          <w:rFonts w:eastAsia="仿宋_GB2312"/>
        </w:rPr>
      </w:pPr>
      <w:r>
        <w:rPr>
          <w:rFonts w:eastAsia="仿宋_GB2312"/>
        </w:rPr>
        <w:t>9.2.1 预防规划重点实施项目</w:t>
      </w:r>
    </w:p>
    <w:p w14:paraId="4E58134F">
      <w:pPr>
        <w:adjustRightInd w:val="0"/>
        <w:snapToGrid w:val="0"/>
        <w:ind w:firstLine="480"/>
        <w:jc w:val="both"/>
        <w:rPr>
          <w:rFonts w:cs="Times New Roman"/>
        </w:rPr>
      </w:pPr>
      <w:r>
        <w:rPr>
          <w:rFonts w:hint="eastAsia"/>
        </w:rPr>
        <w:t>重点项目主要分布于以下区域：环绿洲外围与沙漠边缘过渡带区域，主要河流源头区，主要河流沿岸天然次生林草区，重要饮用水水源地周边保护区，重要湿地周边区。预防保护以封禁封育为主要措施，结合实际情况，分期分批实施</w:t>
      </w:r>
      <w:r>
        <w:rPr>
          <w:rFonts w:cs="Times New Roman"/>
        </w:rPr>
        <w:t>。拟定重点预防项目详见表9.2-1。</w:t>
      </w:r>
    </w:p>
    <w:p w14:paraId="6E5D12DB">
      <w:pPr>
        <w:adjustRightInd w:val="0"/>
        <w:snapToGrid w:val="0"/>
        <w:ind w:firstLine="480"/>
        <w:jc w:val="both"/>
        <w:rPr>
          <w:rFonts w:cs="Times New Roman"/>
        </w:rPr>
      </w:pPr>
    </w:p>
    <w:p w14:paraId="11F5E7D1">
      <w:pPr>
        <w:adjustRightInd w:val="0"/>
        <w:snapToGrid w:val="0"/>
        <w:ind w:firstLine="480"/>
        <w:jc w:val="both"/>
        <w:rPr>
          <w:rFonts w:cs="Times New Roman"/>
        </w:rPr>
      </w:pPr>
    </w:p>
    <w:p w14:paraId="01615200">
      <w:pPr>
        <w:adjustRightInd w:val="0"/>
        <w:snapToGrid w:val="0"/>
        <w:ind w:firstLine="480"/>
        <w:jc w:val="both"/>
        <w:rPr>
          <w:rFonts w:cs="Times New Roman"/>
        </w:rPr>
      </w:pPr>
    </w:p>
    <w:p w14:paraId="6CC33431">
      <w:pPr>
        <w:adjustRightInd w:val="0"/>
        <w:snapToGrid w:val="0"/>
        <w:ind w:firstLine="480"/>
        <w:jc w:val="both"/>
        <w:rPr>
          <w:rFonts w:cs="Times New Roman"/>
        </w:rPr>
      </w:pPr>
    </w:p>
    <w:p w14:paraId="42B79033">
      <w:pPr>
        <w:adjustRightInd w:val="0"/>
        <w:snapToGrid w:val="0"/>
        <w:ind w:firstLine="480"/>
        <w:jc w:val="both"/>
        <w:rPr>
          <w:rFonts w:cs="Times New Roman"/>
        </w:rPr>
      </w:pPr>
    </w:p>
    <w:p w14:paraId="563D4076">
      <w:pPr>
        <w:adjustRightInd w:val="0"/>
        <w:snapToGrid w:val="0"/>
        <w:ind w:firstLine="480"/>
        <w:jc w:val="both"/>
        <w:rPr>
          <w:rFonts w:cs="Times New Roman"/>
        </w:rPr>
      </w:pPr>
    </w:p>
    <w:p w14:paraId="2F3ED177">
      <w:pPr>
        <w:adjustRightInd w:val="0"/>
        <w:snapToGrid w:val="0"/>
        <w:ind w:firstLine="480"/>
        <w:jc w:val="both"/>
        <w:rPr>
          <w:rFonts w:cs="Times New Roman"/>
        </w:rPr>
      </w:pPr>
    </w:p>
    <w:p w14:paraId="69A05DCA">
      <w:pPr>
        <w:adjustRightInd w:val="0"/>
        <w:snapToGrid w:val="0"/>
        <w:ind w:firstLine="480"/>
        <w:jc w:val="both"/>
        <w:rPr>
          <w:rFonts w:cs="Times New Roman"/>
        </w:rPr>
      </w:pPr>
    </w:p>
    <w:p w14:paraId="23E9978A">
      <w:pPr>
        <w:adjustRightInd w:val="0"/>
        <w:snapToGrid w:val="0"/>
        <w:ind w:firstLine="600" w:firstLineChars="250"/>
        <w:jc w:val="both"/>
        <w:rPr>
          <w:rFonts w:cs="Times New Roman"/>
          <w:b/>
        </w:rPr>
      </w:pPr>
      <w:r>
        <w:rPr>
          <w:rFonts w:cs="Times New Roman"/>
        </w:rPr>
        <w:t xml:space="preserve">表9.2-1               </w:t>
      </w:r>
      <w:r>
        <w:rPr>
          <w:rFonts w:cs="Times New Roman"/>
          <w:b/>
        </w:rPr>
        <w:t xml:space="preserve"> 预防规划重点项目</w:t>
      </w:r>
    </w:p>
    <w:tbl>
      <w:tblPr>
        <w:tblStyle w:val="48"/>
        <w:tblW w:w="5000" w:type="pct"/>
        <w:tblInd w:w="0" w:type="dxa"/>
        <w:tblLayout w:type="autofit"/>
        <w:tblCellMar>
          <w:top w:w="0" w:type="dxa"/>
          <w:left w:w="108" w:type="dxa"/>
          <w:bottom w:w="0" w:type="dxa"/>
          <w:right w:w="108" w:type="dxa"/>
        </w:tblCellMar>
      </w:tblPr>
      <w:tblGrid>
        <w:gridCol w:w="1527"/>
        <w:gridCol w:w="1842"/>
        <w:gridCol w:w="5160"/>
      </w:tblGrid>
      <w:tr w14:paraId="1785D432">
        <w:tblPrEx>
          <w:tblCellMar>
            <w:top w:w="0" w:type="dxa"/>
            <w:left w:w="108" w:type="dxa"/>
            <w:bottom w:w="0" w:type="dxa"/>
            <w:right w:w="108" w:type="dxa"/>
          </w:tblCellMar>
        </w:tblPrEx>
        <w:trPr>
          <w:trHeight w:val="280" w:hRule="atLeast"/>
        </w:trPr>
        <w:tc>
          <w:tcPr>
            <w:tcW w:w="895" w:type="pct"/>
            <w:tcBorders>
              <w:top w:val="single" w:color="auto" w:sz="4" w:space="0"/>
              <w:left w:val="single" w:color="auto" w:sz="4" w:space="0"/>
              <w:bottom w:val="single" w:color="auto" w:sz="4" w:space="0"/>
              <w:right w:val="single" w:color="auto" w:sz="4" w:space="0"/>
            </w:tcBorders>
            <w:shd w:val="clear" w:color="auto" w:fill="auto"/>
            <w:vAlign w:val="center"/>
          </w:tcPr>
          <w:p w14:paraId="2A74BA95">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水土保持分区</w:t>
            </w:r>
          </w:p>
        </w:tc>
        <w:tc>
          <w:tcPr>
            <w:tcW w:w="1080" w:type="pct"/>
            <w:tcBorders>
              <w:top w:val="single" w:color="auto" w:sz="4" w:space="0"/>
              <w:left w:val="nil"/>
              <w:bottom w:val="single" w:color="auto" w:sz="4" w:space="0"/>
              <w:right w:val="single" w:color="auto" w:sz="4" w:space="0"/>
            </w:tcBorders>
            <w:shd w:val="clear" w:color="auto" w:fill="auto"/>
            <w:vAlign w:val="center"/>
          </w:tcPr>
          <w:p w14:paraId="5B26AA50">
            <w:pPr>
              <w:spacing w:line="240" w:lineRule="auto"/>
              <w:ind w:firstLine="0" w:firstLineChars="0"/>
              <w:jc w:val="center"/>
              <w:rPr>
                <w:rFonts w:hint="eastAsia" w:ascii="仿宋_GB2312" w:hAnsi="宋体"/>
                <w:sz w:val="20"/>
                <w:szCs w:val="20"/>
              </w:rPr>
            </w:pPr>
            <w:r>
              <w:rPr>
                <w:rFonts w:hint="eastAsia" w:ascii="仿宋_GB2312" w:hAnsi="宋体"/>
                <w:sz w:val="20"/>
                <w:szCs w:val="20"/>
              </w:rPr>
              <w:t>项目类别</w:t>
            </w:r>
          </w:p>
        </w:tc>
        <w:tc>
          <w:tcPr>
            <w:tcW w:w="3025" w:type="pct"/>
            <w:tcBorders>
              <w:top w:val="single" w:color="auto" w:sz="4" w:space="0"/>
              <w:left w:val="nil"/>
              <w:bottom w:val="single" w:color="auto" w:sz="4" w:space="0"/>
              <w:right w:val="single" w:color="auto" w:sz="4" w:space="0"/>
            </w:tcBorders>
            <w:shd w:val="clear" w:color="auto" w:fill="auto"/>
            <w:vAlign w:val="center"/>
          </w:tcPr>
          <w:p w14:paraId="7560A423">
            <w:pPr>
              <w:spacing w:line="240" w:lineRule="auto"/>
              <w:ind w:firstLine="0" w:firstLineChars="0"/>
              <w:jc w:val="center"/>
              <w:rPr>
                <w:rFonts w:hint="eastAsia" w:ascii="仿宋_GB2312" w:hAnsi="宋体"/>
                <w:sz w:val="20"/>
                <w:szCs w:val="20"/>
              </w:rPr>
            </w:pPr>
            <w:r>
              <w:rPr>
                <w:rFonts w:hint="eastAsia" w:ascii="仿宋_GB2312" w:hAnsi="宋体"/>
                <w:sz w:val="20"/>
                <w:szCs w:val="20"/>
              </w:rPr>
              <w:t>建设内容</w:t>
            </w:r>
          </w:p>
        </w:tc>
      </w:tr>
      <w:tr w14:paraId="78005AD3">
        <w:tblPrEx>
          <w:tblCellMar>
            <w:top w:w="0" w:type="dxa"/>
            <w:left w:w="108" w:type="dxa"/>
            <w:bottom w:w="0" w:type="dxa"/>
            <w:right w:w="108" w:type="dxa"/>
          </w:tblCellMar>
        </w:tblPrEx>
        <w:trPr>
          <w:trHeight w:val="520" w:hRule="atLeast"/>
        </w:trPr>
        <w:tc>
          <w:tcPr>
            <w:tcW w:w="895" w:type="pct"/>
            <w:vMerge w:val="restart"/>
            <w:tcBorders>
              <w:top w:val="nil"/>
              <w:left w:val="single" w:color="auto" w:sz="4" w:space="0"/>
              <w:bottom w:val="single" w:color="auto" w:sz="4" w:space="0"/>
              <w:right w:val="single" w:color="auto" w:sz="4" w:space="0"/>
            </w:tcBorders>
            <w:shd w:val="clear" w:color="auto" w:fill="auto"/>
            <w:vAlign w:val="center"/>
          </w:tcPr>
          <w:p w14:paraId="042A30D9">
            <w:pPr>
              <w:spacing w:line="240" w:lineRule="auto"/>
              <w:ind w:firstLine="0" w:firstLineChars="0"/>
              <w:jc w:val="center"/>
              <w:rPr>
                <w:rFonts w:hint="eastAsia" w:ascii="仿宋_GB2312" w:hAnsi="宋体"/>
                <w:sz w:val="20"/>
                <w:szCs w:val="20"/>
              </w:rPr>
            </w:pPr>
            <w:r>
              <w:rPr>
                <w:rFonts w:hint="eastAsia" w:ascii="仿宋_GB2312" w:hAnsi="宋体"/>
                <w:sz w:val="20"/>
                <w:szCs w:val="20"/>
              </w:rPr>
              <w:t>南部中山丘陵水源涵养生态维护区</w:t>
            </w:r>
          </w:p>
        </w:tc>
        <w:tc>
          <w:tcPr>
            <w:tcW w:w="1080" w:type="pct"/>
            <w:tcBorders>
              <w:top w:val="nil"/>
              <w:left w:val="nil"/>
              <w:bottom w:val="single" w:color="auto" w:sz="4" w:space="0"/>
              <w:right w:val="single" w:color="auto" w:sz="4" w:space="0"/>
            </w:tcBorders>
            <w:shd w:val="clear" w:color="auto" w:fill="auto"/>
            <w:vAlign w:val="center"/>
          </w:tcPr>
          <w:p w14:paraId="61A0AE86">
            <w:pPr>
              <w:spacing w:line="240" w:lineRule="auto"/>
              <w:ind w:firstLine="0" w:firstLineChars="0"/>
              <w:jc w:val="center"/>
              <w:rPr>
                <w:rFonts w:hint="eastAsia" w:ascii="仿宋_GB2312" w:hAnsi="宋体"/>
                <w:sz w:val="20"/>
                <w:szCs w:val="20"/>
              </w:rPr>
            </w:pPr>
            <w:r>
              <w:rPr>
                <w:rFonts w:hint="eastAsia" w:ascii="仿宋_GB2312" w:hAnsi="宋体"/>
                <w:sz w:val="20"/>
                <w:szCs w:val="20"/>
              </w:rPr>
              <w:t>水源涵养区保护工程</w:t>
            </w:r>
          </w:p>
        </w:tc>
        <w:tc>
          <w:tcPr>
            <w:tcW w:w="3025" w:type="pct"/>
            <w:tcBorders>
              <w:top w:val="nil"/>
              <w:left w:val="nil"/>
              <w:bottom w:val="single" w:color="auto" w:sz="4" w:space="0"/>
              <w:right w:val="single" w:color="auto" w:sz="4" w:space="0"/>
            </w:tcBorders>
            <w:shd w:val="clear" w:color="auto" w:fill="auto"/>
            <w:vAlign w:val="center"/>
          </w:tcPr>
          <w:p w14:paraId="6C5445A2">
            <w:pPr>
              <w:spacing w:line="240" w:lineRule="auto"/>
              <w:ind w:firstLine="0" w:firstLineChars="0"/>
              <w:rPr>
                <w:rFonts w:hint="eastAsia" w:ascii="仿宋_GB2312" w:hAnsi="宋体"/>
                <w:sz w:val="20"/>
                <w:szCs w:val="20"/>
              </w:rPr>
            </w:pPr>
            <w:r>
              <w:rPr>
                <w:rFonts w:hint="eastAsia" w:ascii="仿宋_GB2312" w:hAnsi="宋体"/>
                <w:sz w:val="20"/>
                <w:szCs w:val="20"/>
              </w:rPr>
              <w:t>实行封禁措施，禁止人为开垦、砍伐植被和放牧等活动，减少人为活动干扰，发挥生态系统自我修复功能净化水源。</w:t>
            </w:r>
          </w:p>
        </w:tc>
      </w:tr>
      <w:tr w14:paraId="784F5EAB">
        <w:tblPrEx>
          <w:tblCellMar>
            <w:top w:w="0" w:type="dxa"/>
            <w:left w:w="108" w:type="dxa"/>
            <w:bottom w:w="0" w:type="dxa"/>
            <w:right w:w="108" w:type="dxa"/>
          </w:tblCellMar>
        </w:tblPrEx>
        <w:trPr>
          <w:trHeight w:val="520" w:hRule="atLeast"/>
        </w:trPr>
        <w:tc>
          <w:tcPr>
            <w:tcW w:w="895" w:type="pct"/>
            <w:vMerge w:val="continue"/>
            <w:tcBorders>
              <w:top w:val="nil"/>
              <w:left w:val="single" w:color="auto" w:sz="4" w:space="0"/>
              <w:bottom w:val="single" w:color="auto" w:sz="4" w:space="0"/>
              <w:right w:val="single" w:color="auto" w:sz="4" w:space="0"/>
            </w:tcBorders>
            <w:vAlign w:val="center"/>
          </w:tcPr>
          <w:p w14:paraId="40A93DF9">
            <w:pPr>
              <w:spacing w:line="240" w:lineRule="auto"/>
              <w:ind w:firstLine="0" w:firstLineChars="0"/>
              <w:rPr>
                <w:rFonts w:hint="eastAsia" w:ascii="仿宋_GB2312" w:hAnsi="宋体"/>
                <w:sz w:val="20"/>
                <w:szCs w:val="20"/>
              </w:rPr>
            </w:pPr>
          </w:p>
        </w:tc>
        <w:tc>
          <w:tcPr>
            <w:tcW w:w="1080" w:type="pct"/>
            <w:tcBorders>
              <w:top w:val="nil"/>
              <w:left w:val="nil"/>
              <w:bottom w:val="single" w:color="auto" w:sz="4" w:space="0"/>
              <w:right w:val="single" w:color="auto" w:sz="4" w:space="0"/>
            </w:tcBorders>
            <w:shd w:val="clear" w:color="auto" w:fill="auto"/>
            <w:vAlign w:val="center"/>
          </w:tcPr>
          <w:p w14:paraId="37BB53E5">
            <w:pPr>
              <w:spacing w:line="240" w:lineRule="auto"/>
              <w:ind w:firstLine="0" w:firstLineChars="0"/>
              <w:jc w:val="center"/>
              <w:rPr>
                <w:rFonts w:hint="eastAsia" w:ascii="仿宋_GB2312" w:hAnsi="宋体"/>
                <w:sz w:val="20"/>
                <w:szCs w:val="20"/>
              </w:rPr>
            </w:pPr>
            <w:r>
              <w:rPr>
                <w:rFonts w:hint="eastAsia" w:ascii="仿宋_GB2312" w:hAnsi="宋体"/>
                <w:sz w:val="20"/>
                <w:szCs w:val="20"/>
              </w:rPr>
              <w:t>饮用水源地保护工程</w:t>
            </w:r>
          </w:p>
        </w:tc>
        <w:tc>
          <w:tcPr>
            <w:tcW w:w="3025" w:type="pct"/>
            <w:tcBorders>
              <w:top w:val="nil"/>
              <w:left w:val="nil"/>
              <w:bottom w:val="single" w:color="auto" w:sz="4" w:space="0"/>
              <w:right w:val="single" w:color="auto" w:sz="4" w:space="0"/>
            </w:tcBorders>
            <w:shd w:val="clear" w:color="auto" w:fill="auto"/>
            <w:vAlign w:val="center"/>
          </w:tcPr>
          <w:p w14:paraId="288E5B40">
            <w:pPr>
              <w:spacing w:line="240" w:lineRule="auto"/>
              <w:ind w:firstLine="0" w:firstLineChars="0"/>
              <w:rPr>
                <w:rFonts w:hint="eastAsia" w:ascii="仿宋_GB2312" w:hAnsi="宋体"/>
                <w:sz w:val="20"/>
                <w:szCs w:val="20"/>
              </w:rPr>
            </w:pPr>
            <w:r>
              <w:rPr>
                <w:rFonts w:hint="eastAsia" w:ascii="仿宋_GB2312" w:hAnsi="宋体"/>
                <w:sz w:val="20"/>
                <w:szCs w:val="20"/>
              </w:rPr>
              <w:t>实施封禁措施，禁止人为开垦、砍伐植被和放牧等活动，减少人为活动干扰，发挥生态系统自我修复功能净化水源。</w:t>
            </w:r>
          </w:p>
        </w:tc>
      </w:tr>
      <w:tr w14:paraId="7FEDEBE6">
        <w:tblPrEx>
          <w:tblCellMar>
            <w:top w:w="0" w:type="dxa"/>
            <w:left w:w="108" w:type="dxa"/>
            <w:bottom w:w="0" w:type="dxa"/>
            <w:right w:w="108" w:type="dxa"/>
          </w:tblCellMar>
        </w:tblPrEx>
        <w:trPr>
          <w:trHeight w:val="520" w:hRule="atLeast"/>
        </w:trPr>
        <w:tc>
          <w:tcPr>
            <w:tcW w:w="895"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17EFBDB6">
            <w:pPr>
              <w:spacing w:line="240" w:lineRule="auto"/>
              <w:ind w:firstLine="0" w:firstLineChars="0"/>
              <w:jc w:val="center"/>
              <w:rPr>
                <w:rFonts w:hint="eastAsia" w:ascii="仿宋_GB2312" w:hAnsi="宋体"/>
                <w:sz w:val="20"/>
                <w:szCs w:val="20"/>
              </w:rPr>
            </w:pPr>
            <w:r>
              <w:rPr>
                <w:rFonts w:hint="eastAsia" w:ascii="仿宋_GB2312" w:hAnsi="宋体"/>
                <w:sz w:val="20"/>
                <w:szCs w:val="20"/>
              </w:rPr>
              <w:t>南部低山丘陵土壤保持区</w:t>
            </w:r>
          </w:p>
        </w:tc>
        <w:tc>
          <w:tcPr>
            <w:tcW w:w="1080" w:type="pct"/>
            <w:tcBorders>
              <w:top w:val="nil"/>
              <w:left w:val="single" w:color="auto" w:sz="4" w:space="0"/>
              <w:bottom w:val="single" w:color="auto" w:sz="4" w:space="0"/>
              <w:right w:val="single" w:color="auto" w:sz="4" w:space="0"/>
            </w:tcBorders>
            <w:shd w:val="clear" w:color="auto" w:fill="auto"/>
            <w:vAlign w:val="center"/>
          </w:tcPr>
          <w:p w14:paraId="634D9EB2">
            <w:pPr>
              <w:spacing w:line="240" w:lineRule="auto"/>
              <w:ind w:firstLine="0" w:firstLineChars="0"/>
              <w:jc w:val="center"/>
              <w:rPr>
                <w:rFonts w:hint="eastAsia" w:ascii="仿宋_GB2312" w:hAnsi="宋体"/>
                <w:sz w:val="20"/>
                <w:szCs w:val="20"/>
              </w:rPr>
            </w:pPr>
            <w:r>
              <w:rPr>
                <w:rFonts w:hint="eastAsia" w:ascii="仿宋_GB2312" w:hAnsi="宋体"/>
                <w:sz w:val="20"/>
                <w:szCs w:val="20"/>
              </w:rPr>
              <w:t>水源涵养区保护工程</w:t>
            </w:r>
          </w:p>
        </w:tc>
        <w:tc>
          <w:tcPr>
            <w:tcW w:w="3025" w:type="pct"/>
            <w:tcBorders>
              <w:top w:val="nil"/>
              <w:left w:val="nil"/>
              <w:bottom w:val="single" w:color="auto" w:sz="4" w:space="0"/>
              <w:right w:val="single" w:color="auto" w:sz="4" w:space="0"/>
            </w:tcBorders>
            <w:shd w:val="clear" w:color="auto" w:fill="auto"/>
            <w:vAlign w:val="center"/>
          </w:tcPr>
          <w:p w14:paraId="33CDF99E">
            <w:pPr>
              <w:spacing w:line="240" w:lineRule="auto"/>
              <w:ind w:firstLine="0" w:firstLineChars="0"/>
              <w:rPr>
                <w:rFonts w:hint="eastAsia" w:ascii="仿宋_GB2312" w:hAnsi="宋体"/>
                <w:sz w:val="20"/>
                <w:szCs w:val="20"/>
              </w:rPr>
            </w:pPr>
            <w:r>
              <w:rPr>
                <w:rFonts w:hint="eastAsia" w:ascii="仿宋_GB2312" w:hAnsi="宋体"/>
                <w:sz w:val="20"/>
                <w:szCs w:val="20"/>
              </w:rPr>
              <w:t>实行封禁措施，禁止人为开垦、砍伐植被和放牧等活动，减少人为活动干扰，发挥生态系统自我修复功能净化水源。</w:t>
            </w:r>
          </w:p>
        </w:tc>
      </w:tr>
      <w:tr w14:paraId="0B446136">
        <w:tblPrEx>
          <w:tblCellMar>
            <w:top w:w="0" w:type="dxa"/>
            <w:left w:w="108" w:type="dxa"/>
            <w:bottom w:w="0" w:type="dxa"/>
            <w:right w:w="108" w:type="dxa"/>
          </w:tblCellMar>
        </w:tblPrEx>
        <w:trPr>
          <w:trHeight w:val="1300" w:hRule="atLeast"/>
        </w:trPr>
        <w:tc>
          <w:tcPr>
            <w:tcW w:w="895" w:type="pct"/>
            <w:vMerge w:val="continue"/>
            <w:tcBorders>
              <w:top w:val="single" w:color="auto" w:sz="4" w:space="0"/>
              <w:left w:val="single" w:color="auto" w:sz="4" w:space="0"/>
              <w:bottom w:val="single" w:color="000000" w:sz="4" w:space="0"/>
              <w:right w:val="single" w:color="auto" w:sz="4" w:space="0"/>
            </w:tcBorders>
            <w:vAlign w:val="center"/>
          </w:tcPr>
          <w:p w14:paraId="657FDE06">
            <w:pPr>
              <w:spacing w:line="240" w:lineRule="auto"/>
              <w:ind w:firstLine="0" w:firstLineChars="0"/>
              <w:rPr>
                <w:rFonts w:hint="eastAsia" w:ascii="仿宋_GB2312" w:hAnsi="宋体"/>
                <w:sz w:val="20"/>
                <w:szCs w:val="20"/>
              </w:rPr>
            </w:pPr>
          </w:p>
        </w:tc>
        <w:tc>
          <w:tcPr>
            <w:tcW w:w="1080" w:type="pct"/>
            <w:tcBorders>
              <w:top w:val="nil"/>
              <w:left w:val="single" w:color="auto" w:sz="4" w:space="0"/>
              <w:bottom w:val="single" w:color="auto" w:sz="4" w:space="0"/>
              <w:right w:val="single" w:color="auto" w:sz="4" w:space="0"/>
            </w:tcBorders>
            <w:shd w:val="clear" w:color="auto" w:fill="auto"/>
            <w:vAlign w:val="center"/>
          </w:tcPr>
          <w:p w14:paraId="7575759A">
            <w:pPr>
              <w:spacing w:line="240" w:lineRule="auto"/>
              <w:ind w:firstLine="0" w:firstLineChars="0"/>
              <w:jc w:val="center"/>
              <w:rPr>
                <w:rFonts w:hint="eastAsia" w:ascii="仿宋_GB2312" w:hAnsi="宋体"/>
                <w:sz w:val="20"/>
                <w:szCs w:val="20"/>
              </w:rPr>
            </w:pPr>
            <w:r>
              <w:rPr>
                <w:rFonts w:hint="eastAsia" w:ascii="仿宋_GB2312" w:hAnsi="宋体"/>
                <w:sz w:val="20"/>
                <w:szCs w:val="20"/>
              </w:rPr>
              <w:t>饮用水源地保护</w:t>
            </w:r>
          </w:p>
        </w:tc>
        <w:tc>
          <w:tcPr>
            <w:tcW w:w="3025" w:type="pct"/>
            <w:tcBorders>
              <w:top w:val="nil"/>
              <w:left w:val="nil"/>
              <w:bottom w:val="single" w:color="auto" w:sz="4" w:space="0"/>
              <w:right w:val="single" w:color="auto" w:sz="4" w:space="0"/>
            </w:tcBorders>
            <w:shd w:val="clear" w:color="auto" w:fill="auto"/>
            <w:vAlign w:val="center"/>
          </w:tcPr>
          <w:p w14:paraId="362D8497">
            <w:pPr>
              <w:spacing w:line="240" w:lineRule="auto"/>
              <w:ind w:firstLine="0" w:firstLineChars="0"/>
              <w:rPr>
                <w:rFonts w:hint="eastAsia" w:ascii="仿宋_GB2312" w:hAnsi="宋体"/>
                <w:sz w:val="20"/>
                <w:szCs w:val="20"/>
              </w:rPr>
            </w:pPr>
            <w:r>
              <w:rPr>
                <w:rFonts w:hint="eastAsia" w:ascii="仿宋_GB2312" w:hAnsi="宋体"/>
                <w:sz w:val="20"/>
                <w:szCs w:val="20"/>
              </w:rPr>
              <w:t>对水源地防护区边界设置防护围栏，界碑，界桩，宣传警示牌等措施，禁止设置各类污水和工业废水排放口、禁止在河道或与其有水力联系的冲沟内倾倒或填埋各类影响水质的生产或生活垃圾、禁止在距离河道1km范围内建设排放重金属等一类污染物的冶炼或尾矿库项目、禁止在天然水体进行网箱养殖和将规模化畜禽养殖场粪便排入河道，维护饮用水水质安全。</w:t>
            </w:r>
          </w:p>
        </w:tc>
      </w:tr>
      <w:tr w14:paraId="11E4DD9A">
        <w:tblPrEx>
          <w:tblCellMar>
            <w:top w:w="0" w:type="dxa"/>
            <w:left w:w="108" w:type="dxa"/>
            <w:bottom w:w="0" w:type="dxa"/>
            <w:right w:w="108" w:type="dxa"/>
          </w:tblCellMar>
        </w:tblPrEx>
        <w:trPr>
          <w:trHeight w:val="780" w:hRule="atLeast"/>
        </w:trPr>
        <w:tc>
          <w:tcPr>
            <w:tcW w:w="89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9520B9D">
            <w:pPr>
              <w:spacing w:line="240" w:lineRule="auto"/>
              <w:ind w:firstLine="0" w:firstLineChars="0"/>
              <w:jc w:val="center"/>
              <w:rPr>
                <w:rFonts w:hint="eastAsia" w:ascii="仿宋_GB2312" w:hAnsi="宋体"/>
                <w:sz w:val="20"/>
                <w:szCs w:val="20"/>
              </w:rPr>
            </w:pPr>
            <w:r>
              <w:rPr>
                <w:rFonts w:hint="eastAsia" w:ascii="仿宋_GB2312" w:hAnsi="宋体"/>
                <w:sz w:val="20"/>
                <w:szCs w:val="20"/>
              </w:rPr>
              <w:t>北部荒漠生态维护防风治沙区</w:t>
            </w:r>
          </w:p>
        </w:tc>
        <w:tc>
          <w:tcPr>
            <w:tcW w:w="1080" w:type="pct"/>
            <w:tcBorders>
              <w:top w:val="nil"/>
              <w:left w:val="nil"/>
              <w:bottom w:val="single" w:color="auto" w:sz="4" w:space="0"/>
              <w:right w:val="single" w:color="auto" w:sz="4" w:space="0"/>
            </w:tcBorders>
            <w:shd w:val="clear" w:color="auto" w:fill="auto"/>
            <w:vAlign w:val="center"/>
          </w:tcPr>
          <w:p w14:paraId="3B946C50">
            <w:pPr>
              <w:spacing w:line="240" w:lineRule="auto"/>
              <w:ind w:firstLine="0" w:firstLineChars="0"/>
              <w:jc w:val="center"/>
              <w:rPr>
                <w:rFonts w:hint="eastAsia" w:ascii="仿宋_GB2312" w:hAnsi="宋体"/>
                <w:sz w:val="20"/>
                <w:szCs w:val="20"/>
              </w:rPr>
            </w:pPr>
            <w:r>
              <w:rPr>
                <w:rFonts w:hint="eastAsia" w:ascii="仿宋_GB2312" w:hAnsi="宋体"/>
                <w:sz w:val="20"/>
                <w:szCs w:val="20"/>
              </w:rPr>
              <w:t>国家沙化土地封禁保护</w:t>
            </w:r>
          </w:p>
        </w:tc>
        <w:tc>
          <w:tcPr>
            <w:tcW w:w="3025" w:type="pct"/>
            <w:tcBorders>
              <w:top w:val="nil"/>
              <w:left w:val="nil"/>
              <w:bottom w:val="single" w:color="auto" w:sz="4" w:space="0"/>
              <w:right w:val="single" w:color="auto" w:sz="4" w:space="0"/>
            </w:tcBorders>
            <w:shd w:val="clear" w:color="auto" w:fill="auto"/>
            <w:vAlign w:val="center"/>
          </w:tcPr>
          <w:p w14:paraId="480C1094">
            <w:pPr>
              <w:spacing w:line="240" w:lineRule="auto"/>
              <w:ind w:firstLine="0" w:firstLineChars="0"/>
              <w:rPr>
                <w:rFonts w:hint="eastAsia" w:ascii="仿宋_GB2312" w:hAnsi="宋体"/>
                <w:sz w:val="20"/>
                <w:szCs w:val="20"/>
              </w:rPr>
            </w:pPr>
            <w:r>
              <w:rPr>
                <w:rFonts w:hint="eastAsia" w:ascii="仿宋_GB2312" w:hAnsi="宋体"/>
                <w:sz w:val="20"/>
                <w:szCs w:val="20"/>
              </w:rPr>
              <w:t>绿洲与沙漠边缘过度区域，分布有大量荒漠及沙生植被，还分布了大量原始胡杨林、地貌主要以固定半固定沙包为主，对该区域实施封沙育林工程，减少人为对该区域植被的破坏，为植被自然恢复创造条件。</w:t>
            </w:r>
          </w:p>
        </w:tc>
      </w:tr>
      <w:tr w14:paraId="2A0AFEC3">
        <w:tblPrEx>
          <w:tblCellMar>
            <w:top w:w="0" w:type="dxa"/>
            <w:left w:w="108" w:type="dxa"/>
            <w:bottom w:w="0" w:type="dxa"/>
            <w:right w:w="108" w:type="dxa"/>
          </w:tblCellMar>
        </w:tblPrEx>
        <w:trPr>
          <w:trHeight w:val="280" w:hRule="atLeast"/>
        </w:trPr>
        <w:tc>
          <w:tcPr>
            <w:tcW w:w="895" w:type="pct"/>
            <w:vMerge w:val="continue"/>
            <w:tcBorders>
              <w:top w:val="single" w:color="auto" w:sz="4" w:space="0"/>
              <w:left w:val="single" w:color="auto" w:sz="4" w:space="0"/>
              <w:bottom w:val="single" w:color="auto" w:sz="4" w:space="0"/>
              <w:right w:val="single" w:color="auto" w:sz="4" w:space="0"/>
            </w:tcBorders>
            <w:vAlign w:val="center"/>
          </w:tcPr>
          <w:p w14:paraId="14161CA3">
            <w:pPr>
              <w:spacing w:line="240" w:lineRule="auto"/>
              <w:ind w:firstLine="0" w:firstLineChars="0"/>
              <w:rPr>
                <w:rFonts w:hint="eastAsia" w:ascii="仿宋_GB2312" w:hAnsi="宋体"/>
                <w:sz w:val="20"/>
                <w:szCs w:val="20"/>
              </w:rPr>
            </w:pPr>
          </w:p>
        </w:tc>
        <w:tc>
          <w:tcPr>
            <w:tcW w:w="1080" w:type="pct"/>
            <w:tcBorders>
              <w:top w:val="nil"/>
              <w:left w:val="nil"/>
              <w:bottom w:val="single" w:color="auto" w:sz="4" w:space="0"/>
              <w:right w:val="single" w:color="auto" w:sz="4" w:space="0"/>
            </w:tcBorders>
            <w:shd w:val="clear" w:color="auto" w:fill="auto"/>
            <w:vAlign w:val="center"/>
          </w:tcPr>
          <w:p w14:paraId="2F555BD4">
            <w:pPr>
              <w:spacing w:line="240" w:lineRule="auto"/>
              <w:ind w:firstLine="0" w:firstLineChars="0"/>
              <w:jc w:val="center"/>
              <w:rPr>
                <w:rFonts w:hint="eastAsia" w:ascii="仿宋_GB2312" w:hAnsi="宋体"/>
                <w:sz w:val="20"/>
                <w:szCs w:val="20"/>
              </w:rPr>
            </w:pPr>
            <w:r>
              <w:rPr>
                <w:rFonts w:hint="eastAsia" w:ascii="仿宋_GB2312" w:hAnsi="宋体"/>
                <w:sz w:val="20"/>
                <w:szCs w:val="20"/>
              </w:rPr>
              <w:t>退化草原封禁保护</w:t>
            </w:r>
          </w:p>
        </w:tc>
        <w:tc>
          <w:tcPr>
            <w:tcW w:w="3025" w:type="pct"/>
            <w:tcBorders>
              <w:top w:val="nil"/>
              <w:left w:val="nil"/>
              <w:bottom w:val="single" w:color="auto" w:sz="4" w:space="0"/>
              <w:right w:val="single" w:color="auto" w:sz="4" w:space="0"/>
            </w:tcBorders>
            <w:shd w:val="clear" w:color="auto" w:fill="auto"/>
            <w:vAlign w:val="center"/>
          </w:tcPr>
          <w:p w14:paraId="78B099D8">
            <w:pPr>
              <w:spacing w:line="240" w:lineRule="auto"/>
              <w:ind w:firstLine="0" w:firstLineChars="0"/>
              <w:rPr>
                <w:rFonts w:hint="eastAsia" w:ascii="仿宋_GB2312" w:hAnsi="宋体"/>
                <w:sz w:val="20"/>
                <w:szCs w:val="20"/>
              </w:rPr>
            </w:pPr>
            <w:r>
              <w:rPr>
                <w:rFonts w:hint="eastAsia" w:ascii="仿宋_GB2312" w:hAnsi="宋体"/>
                <w:sz w:val="20"/>
                <w:szCs w:val="20"/>
              </w:rPr>
              <w:t>对温性荒漠草原过度放牧导致严重退化牧草场进行封禁保护，禁止放牧。</w:t>
            </w:r>
          </w:p>
        </w:tc>
      </w:tr>
      <w:tr w14:paraId="1F185BF0">
        <w:tblPrEx>
          <w:tblCellMar>
            <w:top w:w="0" w:type="dxa"/>
            <w:left w:w="108" w:type="dxa"/>
            <w:bottom w:w="0" w:type="dxa"/>
            <w:right w:w="108" w:type="dxa"/>
          </w:tblCellMar>
        </w:tblPrEx>
        <w:trPr>
          <w:trHeight w:val="520" w:hRule="atLeast"/>
        </w:trPr>
        <w:tc>
          <w:tcPr>
            <w:tcW w:w="895" w:type="pct"/>
            <w:vMerge w:val="continue"/>
            <w:tcBorders>
              <w:top w:val="single" w:color="auto" w:sz="4" w:space="0"/>
              <w:left w:val="single" w:color="auto" w:sz="4" w:space="0"/>
              <w:bottom w:val="single" w:color="auto" w:sz="4" w:space="0"/>
              <w:right w:val="single" w:color="auto" w:sz="4" w:space="0"/>
            </w:tcBorders>
            <w:vAlign w:val="center"/>
          </w:tcPr>
          <w:p w14:paraId="02DC4C18">
            <w:pPr>
              <w:spacing w:line="240" w:lineRule="auto"/>
              <w:ind w:firstLine="0" w:firstLineChars="0"/>
              <w:rPr>
                <w:rFonts w:hint="eastAsia" w:ascii="仿宋_GB2312" w:hAnsi="宋体"/>
                <w:sz w:val="20"/>
                <w:szCs w:val="20"/>
              </w:rPr>
            </w:pPr>
          </w:p>
        </w:tc>
        <w:tc>
          <w:tcPr>
            <w:tcW w:w="1080" w:type="pct"/>
            <w:tcBorders>
              <w:top w:val="nil"/>
              <w:left w:val="nil"/>
              <w:bottom w:val="single" w:color="auto" w:sz="4" w:space="0"/>
              <w:right w:val="single" w:color="auto" w:sz="4" w:space="0"/>
            </w:tcBorders>
            <w:shd w:val="clear" w:color="auto" w:fill="auto"/>
            <w:vAlign w:val="center"/>
          </w:tcPr>
          <w:p w14:paraId="585FF29C">
            <w:pPr>
              <w:spacing w:line="240" w:lineRule="auto"/>
              <w:ind w:firstLine="0" w:firstLineChars="0"/>
              <w:jc w:val="center"/>
              <w:rPr>
                <w:rFonts w:hint="eastAsia" w:ascii="仿宋_GB2312" w:hAnsi="宋体"/>
                <w:sz w:val="20"/>
                <w:szCs w:val="20"/>
              </w:rPr>
            </w:pPr>
            <w:r>
              <w:rPr>
                <w:rFonts w:hint="eastAsia" w:ascii="仿宋_GB2312" w:hAnsi="宋体"/>
                <w:sz w:val="20"/>
                <w:szCs w:val="20"/>
              </w:rPr>
              <w:t>国家沙漠公园封禁保护</w:t>
            </w:r>
          </w:p>
        </w:tc>
        <w:tc>
          <w:tcPr>
            <w:tcW w:w="3025" w:type="pct"/>
            <w:tcBorders>
              <w:top w:val="nil"/>
              <w:left w:val="nil"/>
              <w:bottom w:val="single" w:color="auto" w:sz="4" w:space="0"/>
              <w:right w:val="single" w:color="auto" w:sz="4" w:space="0"/>
            </w:tcBorders>
            <w:shd w:val="clear" w:color="auto" w:fill="auto"/>
            <w:vAlign w:val="center"/>
          </w:tcPr>
          <w:p w14:paraId="73EB25DC">
            <w:pPr>
              <w:spacing w:line="240" w:lineRule="auto"/>
              <w:ind w:firstLine="0" w:firstLineChars="0"/>
              <w:rPr>
                <w:rFonts w:hint="eastAsia" w:ascii="仿宋_GB2312" w:hAnsi="宋体"/>
                <w:sz w:val="20"/>
                <w:szCs w:val="20"/>
              </w:rPr>
            </w:pPr>
            <w:r>
              <w:rPr>
                <w:rFonts w:hint="eastAsia" w:ascii="仿宋_GB2312" w:hAnsi="宋体"/>
                <w:sz w:val="20"/>
                <w:szCs w:val="20"/>
              </w:rPr>
              <w:t>对绿洲与沙漠边缘过度区域的国家沙漠公园进行封禁保护，禁止开垦农田，促进沙漠植被自我恢复。</w:t>
            </w:r>
          </w:p>
        </w:tc>
      </w:tr>
      <w:tr w14:paraId="7E464114">
        <w:tblPrEx>
          <w:tblCellMar>
            <w:top w:w="0" w:type="dxa"/>
            <w:left w:w="108" w:type="dxa"/>
            <w:bottom w:w="0" w:type="dxa"/>
            <w:right w:w="108" w:type="dxa"/>
          </w:tblCellMar>
        </w:tblPrEx>
        <w:trPr>
          <w:trHeight w:val="520" w:hRule="atLeast"/>
        </w:trPr>
        <w:tc>
          <w:tcPr>
            <w:tcW w:w="895" w:type="pct"/>
            <w:vMerge w:val="continue"/>
            <w:tcBorders>
              <w:top w:val="single" w:color="auto" w:sz="4" w:space="0"/>
              <w:left w:val="single" w:color="auto" w:sz="4" w:space="0"/>
              <w:bottom w:val="single" w:color="auto" w:sz="4" w:space="0"/>
              <w:right w:val="single" w:color="auto" w:sz="4" w:space="0"/>
            </w:tcBorders>
            <w:vAlign w:val="center"/>
          </w:tcPr>
          <w:p w14:paraId="048BD923">
            <w:pPr>
              <w:spacing w:line="240" w:lineRule="auto"/>
              <w:ind w:firstLine="0" w:firstLineChars="0"/>
              <w:rPr>
                <w:rFonts w:hint="eastAsia" w:ascii="仿宋_GB2312" w:hAnsi="宋体"/>
                <w:sz w:val="20"/>
                <w:szCs w:val="20"/>
              </w:rPr>
            </w:pPr>
          </w:p>
        </w:tc>
        <w:tc>
          <w:tcPr>
            <w:tcW w:w="1080" w:type="pct"/>
            <w:tcBorders>
              <w:top w:val="nil"/>
              <w:left w:val="nil"/>
              <w:bottom w:val="single" w:color="auto" w:sz="4" w:space="0"/>
              <w:right w:val="single" w:color="auto" w:sz="4" w:space="0"/>
            </w:tcBorders>
            <w:shd w:val="clear" w:color="auto" w:fill="auto"/>
            <w:vAlign w:val="center"/>
          </w:tcPr>
          <w:p w14:paraId="0415CA1E">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荒漠类草地自然保护区封禁保护工程</w:t>
            </w:r>
          </w:p>
        </w:tc>
        <w:tc>
          <w:tcPr>
            <w:tcW w:w="3025" w:type="pct"/>
            <w:tcBorders>
              <w:top w:val="nil"/>
              <w:left w:val="nil"/>
              <w:bottom w:val="single" w:color="auto" w:sz="4" w:space="0"/>
              <w:right w:val="single" w:color="auto" w:sz="4" w:space="0"/>
            </w:tcBorders>
            <w:shd w:val="clear" w:color="auto" w:fill="auto"/>
            <w:vAlign w:val="center"/>
          </w:tcPr>
          <w:p w14:paraId="52F78F6E">
            <w:pPr>
              <w:spacing w:line="240" w:lineRule="auto"/>
              <w:ind w:firstLine="0" w:firstLineChars="0"/>
              <w:rPr>
                <w:rFonts w:hint="eastAsia" w:ascii="仿宋_GB2312" w:hAnsi="宋体"/>
                <w:sz w:val="20"/>
                <w:szCs w:val="20"/>
              </w:rPr>
            </w:pPr>
            <w:r>
              <w:rPr>
                <w:rFonts w:hint="eastAsia" w:ascii="仿宋_GB2312" w:hAnsi="宋体"/>
                <w:sz w:val="20"/>
                <w:szCs w:val="20"/>
              </w:rPr>
              <w:t>对荒漠类草地自然保护区进行封育保护，禁止开荒，禁止放牧、保护和恢复荒漠草地植被。</w:t>
            </w:r>
          </w:p>
        </w:tc>
      </w:tr>
      <w:tr w14:paraId="7AAFFBF1">
        <w:tblPrEx>
          <w:tblCellMar>
            <w:top w:w="0" w:type="dxa"/>
            <w:left w:w="108" w:type="dxa"/>
            <w:bottom w:w="0" w:type="dxa"/>
            <w:right w:w="108" w:type="dxa"/>
          </w:tblCellMar>
        </w:tblPrEx>
        <w:trPr>
          <w:trHeight w:val="520" w:hRule="atLeast"/>
        </w:trPr>
        <w:tc>
          <w:tcPr>
            <w:tcW w:w="895" w:type="pct"/>
            <w:vMerge w:val="continue"/>
            <w:tcBorders>
              <w:top w:val="single" w:color="auto" w:sz="4" w:space="0"/>
              <w:left w:val="single" w:color="auto" w:sz="4" w:space="0"/>
              <w:bottom w:val="single" w:color="auto" w:sz="4" w:space="0"/>
              <w:right w:val="single" w:color="auto" w:sz="4" w:space="0"/>
            </w:tcBorders>
            <w:vAlign w:val="center"/>
          </w:tcPr>
          <w:p w14:paraId="683B9F77">
            <w:pPr>
              <w:spacing w:line="240" w:lineRule="auto"/>
              <w:ind w:firstLine="0" w:firstLineChars="0"/>
              <w:rPr>
                <w:rFonts w:hint="eastAsia" w:ascii="仿宋_GB2312" w:hAnsi="宋体"/>
                <w:sz w:val="20"/>
                <w:szCs w:val="20"/>
              </w:rPr>
            </w:pPr>
          </w:p>
        </w:tc>
        <w:tc>
          <w:tcPr>
            <w:tcW w:w="1080" w:type="pct"/>
            <w:tcBorders>
              <w:top w:val="nil"/>
              <w:left w:val="nil"/>
              <w:bottom w:val="single" w:color="auto" w:sz="4" w:space="0"/>
              <w:right w:val="single" w:color="auto" w:sz="4" w:space="0"/>
            </w:tcBorders>
            <w:shd w:val="clear" w:color="auto" w:fill="auto"/>
            <w:vAlign w:val="center"/>
          </w:tcPr>
          <w:p w14:paraId="5261742B">
            <w:pPr>
              <w:spacing w:line="240" w:lineRule="auto"/>
              <w:ind w:firstLine="0" w:firstLineChars="0"/>
              <w:jc w:val="center"/>
              <w:rPr>
                <w:rFonts w:hint="eastAsia" w:ascii="仿宋_GB2312" w:hAnsi="宋体"/>
                <w:sz w:val="20"/>
                <w:szCs w:val="20"/>
              </w:rPr>
            </w:pPr>
            <w:r>
              <w:rPr>
                <w:rFonts w:hint="eastAsia" w:ascii="仿宋_GB2312" w:hAnsi="宋体"/>
                <w:sz w:val="20"/>
                <w:szCs w:val="20"/>
              </w:rPr>
              <w:t>自然保护区及外围保护带封禁保护</w:t>
            </w:r>
          </w:p>
        </w:tc>
        <w:tc>
          <w:tcPr>
            <w:tcW w:w="3025" w:type="pct"/>
            <w:tcBorders>
              <w:top w:val="nil"/>
              <w:left w:val="nil"/>
              <w:bottom w:val="single" w:color="auto" w:sz="4" w:space="0"/>
              <w:right w:val="single" w:color="auto" w:sz="4" w:space="0"/>
            </w:tcBorders>
            <w:shd w:val="clear" w:color="auto" w:fill="auto"/>
            <w:vAlign w:val="center"/>
          </w:tcPr>
          <w:p w14:paraId="7FB26A96">
            <w:pPr>
              <w:spacing w:line="240" w:lineRule="auto"/>
              <w:ind w:firstLine="0" w:firstLineChars="0"/>
              <w:rPr>
                <w:rFonts w:hint="eastAsia" w:ascii="仿宋_GB2312" w:hAnsi="宋体"/>
                <w:sz w:val="20"/>
                <w:szCs w:val="20"/>
              </w:rPr>
            </w:pPr>
            <w:r>
              <w:rPr>
                <w:rFonts w:hint="eastAsia" w:ascii="仿宋_GB2312" w:hAnsi="宋体"/>
                <w:sz w:val="20"/>
                <w:szCs w:val="20"/>
              </w:rPr>
              <w:t>对野生动物自然保护区及其外围保护带进行封育保护，禁止开荒，禁止放牧，合理开发旅游资源，保护当地生态环境。</w:t>
            </w:r>
          </w:p>
        </w:tc>
      </w:tr>
      <w:tr w14:paraId="67378A6B">
        <w:tblPrEx>
          <w:tblCellMar>
            <w:top w:w="0" w:type="dxa"/>
            <w:left w:w="108" w:type="dxa"/>
            <w:bottom w:w="0" w:type="dxa"/>
            <w:right w:w="108" w:type="dxa"/>
          </w:tblCellMar>
        </w:tblPrEx>
        <w:trPr>
          <w:trHeight w:val="780" w:hRule="atLeast"/>
        </w:trPr>
        <w:tc>
          <w:tcPr>
            <w:tcW w:w="895" w:type="pct"/>
            <w:vMerge w:val="continue"/>
            <w:tcBorders>
              <w:top w:val="single" w:color="auto" w:sz="4" w:space="0"/>
              <w:left w:val="single" w:color="auto" w:sz="4" w:space="0"/>
              <w:bottom w:val="single" w:color="auto" w:sz="4" w:space="0"/>
              <w:right w:val="single" w:color="auto" w:sz="4" w:space="0"/>
            </w:tcBorders>
            <w:vAlign w:val="center"/>
          </w:tcPr>
          <w:p w14:paraId="4C614BB4">
            <w:pPr>
              <w:spacing w:line="240" w:lineRule="auto"/>
              <w:ind w:firstLine="0" w:firstLineChars="0"/>
              <w:rPr>
                <w:rFonts w:hint="eastAsia" w:ascii="仿宋_GB2312" w:hAnsi="宋体"/>
                <w:sz w:val="20"/>
                <w:szCs w:val="20"/>
              </w:rPr>
            </w:pPr>
          </w:p>
        </w:tc>
        <w:tc>
          <w:tcPr>
            <w:tcW w:w="1080" w:type="pct"/>
            <w:tcBorders>
              <w:top w:val="nil"/>
              <w:left w:val="nil"/>
              <w:bottom w:val="single" w:color="auto" w:sz="4" w:space="0"/>
              <w:right w:val="single" w:color="auto" w:sz="4" w:space="0"/>
            </w:tcBorders>
            <w:shd w:val="clear" w:color="auto" w:fill="auto"/>
            <w:vAlign w:val="center"/>
          </w:tcPr>
          <w:p w14:paraId="4BA21BAC">
            <w:pPr>
              <w:spacing w:line="240" w:lineRule="auto"/>
              <w:ind w:firstLine="0" w:firstLineChars="0"/>
              <w:jc w:val="center"/>
              <w:rPr>
                <w:rFonts w:hint="eastAsia" w:ascii="仿宋_GB2312" w:hAnsi="宋体"/>
                <w:sz w:val="20"/>
                <w:szCs w:val="20"/>
              </w:rPr>
            </w:pPr>
            <w:r>
              <w:rPr>
                <w:rFonts w:hint="eastAsia" w:ascii="仿宋_GB2312" w:hAnsi="宋体"/>
                <w:sz w:val="20"/>
                <w:szCs w:val="20"/>
              </w:rPr>
              <w:t>水源地保护</w:t>
            </w:r>
          </w:p>
        </w:tc>
        <w:tc>
          <w:tcPr>
            <w:tcW w:w="3025" w:type="pct"/>
            <w:tcBorders>
              <w:top w:val="nil"/>
              <w:left w:val="nil"/>
              <w:bottom w:val="single" w:color="auto" w:sz="4" w:space="0"/>
              <w:right w:val="single" w:color="auto" w:sz="4" w:space="0"/>
            </w:tcBorders>
            <w:shd w:val="clear" w:color="auto" w:fill="auto"/>
            <w:vAlign w:val="center"/>
          </w:tcPr>
          <w:p w14:paraId="250C62D0">
            <w:pPr>
              <w:spacing w:line="240" w:lineRule="auto"/>
              <w:ind w:firstLine="0" w:firstLineChars="0"/>
              <w:rPr>
                <w:rFonts w:hint="eastAsia" w:ascii="仿宋_GB2312" w:hAnsi="宋体"/>
                <w:sz w:val="20"/>
                <w:szCs w:val="20"/>
              </w:rPr>
            </w:pPr>
            <w:r>
              <w:rPr>
                <w:rFonts w:hint="eastAsia" w:ascii="仿宋_GB2312" w:hAnsi="宋体"/>
                <w:sz w:val="20"/>
                <w:szCs w:val="20"/>
              </w:rPr>
              <w:t>对该区域内的水源地设置防护围栏，界碑，界桩，宣传警示牌等措施，进行封禁保护，加强现有林草植被的封育保护，禁止一切与供水设施和保护水源无关的生产建设项目，保护水质不受污染。</w:t>
            </w:r>
          </w:p>
        </w:tc>
      </w:tr>
      <w:tr w14:paraId="4E545378">
        <w:tblPrEx>
          <w:tblCellMar>
            <w:top w:w="0" w:type="dxa"/>
            <w:left w:w="108" w:type="dxa"/>
            <w:bottom w:w="0" w:type="dxa"/>
            <w:right w:w="108" w:type="dxa"/>
          </w:tblCellMar>
        </w:tblPrEx>
        <w:trPr>
          <w:trHeight w:val="520" w:hRule="atLeast"/>
        </w:trPr>
        <w:tc>
          <w:tcPr>
            <w:tcW w:w="895" w:type="pct"/>
            <w:vMerge w:val="continue"/>
            <w:tcBorders>
              <w:top w:val="single" w:color="auto" w:sz="4" w:space="0"/>
              <w:left w:val="single" w:color="auto" w:sz="4" w:space="0"/>
              <w:bottom w:val="single" w:color="auto" w:sz="4" w:space="0"/>
              <w:right w:val="single" w:color="auto" w:sz="4" w:space="0"/>
            </w:tcBorders>
            <w:vAlign w:val="center"/>
          </w:tcPr>
          <w:p w14:paraId="58C6284D">
            <w:pPr>
              <w:spacing w:line="240" w:lineRule="auto"/>
              <w:ind w:firstLine="0" w:firstLineChars="0"/>
              <w:rPr>
                <w:rFonts w:hint="eastAsia" w:ascii="仿宋_GB2312" w:hAnsi="宋体"/>
                <w:sz w:val="20"/>
                <w:szCs w:val="20"/>
              </w:rPr>
            </w:pPr>
          </w:p>
        </w:tc>
        <w:tc>
          <w:tcPr>
            <w:tcW w:w="1080" w:type="pct"/>
            <w:tcBorders>
              <w:top w:val="nil"/>
              <w:left w:val="nil"/>
              <w:bottom w:val="single" w:color="auto" w:sz="4" w:space="0"/>
              <w:right w:val="single" w:color="auto" w:sz="4" w:space="0"/>
            </w:tcBorders>
            <w:shd w:val="clear" w:color="auto" w:fill="auto"/>
            <w:vAlign w:val="center"/>
          </w:tcPr>
          <w:p w14:paraId="4504EE5C">
            <w:pPr>
              <w:spacing w:line="240" w:lineRule="auto"/>
              <w:ind w:firstLine="0" w:firstLineChars="0"/>
              <w:jc w:val="center"/>
              <w:rPr>
                <w:rFonts w:hint="eastAsia" w:ascii="仿宋_GB2312" w:hAnsi="宋体"/>
                <w:sz w:val="20"/>
                <w:szCs w:val="20"/>
              </w:rPr>
            </w:pPr>
            <w:r>
              <w:rPr>
                <w:rFonts w:hint="eastAsia" w:ascii="仿宋_GB2312" w:hAnsi="宋体"/>
                <w:sz w:val="20"/>
                <w:szCs w:val="20"/>
              </w:rPr>
              <w:t>旅游地保护</w:t>
            </w:r>
          </w:p>
        </w:tc>
        <w:tc>
          <w:tcPr>
            <w:tcW w:w="3025" w:type="pct"/>
            <w:tcBorders>
              <w:top w:val="nil"/>
              <w:left w:val="nil"/>
              <w:bottom w:val="single" w:color="auto" w:sz="4" w:space="0"/>
              <w:right w:val="single" w:color="auto" w:sz="4" w:space="0"/>
            </w:tcBorders>
            <w:shd w:val="clear" w:color="auto" w:fill="auto"/>
            <w:vAlign w:val="center"/>
          </w:tcPr>
          <w:p w14:paraId="693917D6">
            <w:pPr>
              <w:spacing w:line="240" w:lineRule="auto"/>
              <w:ind w:firstLine="0" w:firstLineChars="0"/>
              <w:rPr>
                <w:rFonts w:hint="eastAsia" w:ascii="仿宋_GB2312" w:hAnsi="宋体"/>
                <w:sz w:val="20"/>
                <w:szCs w:val="20"/>
              </w:rPr>
            </w:pPr>
            <w:r>
              <w:rPr>
                <w:rFonts w:hint="eastAsia" w:ascii="仿宋_GB2312" w:hAnsi="宋体"/>
                <w:sz w:val="20"/>
                <w:szCs w:val="20"/>
              </w:rPr>
              <w:t>对现有的生态林采取封山育林、全面禁牧等综合措施保护生态系统，提高植被覆盖率，区内严禁乱砍滥伐森林，引导和规范开发胡杨林地旅游资源。</w:t>
            </w:r>
          </w:p>
        </w:tc>
      </w:tr>
    </w:tbl>
    <w:p w14:paraId="54E65628">
      <w:pPr>
        <w:pStyle w:val="5"/>
        <w:rPr>
          <w:rFonts w:eastAsia="仿宋_GB2312"/>
        </w:rPr>
      </w:pPr>
      <w:r>
        <w:rPr>
          <w:rFonts w:eastAsia="仿宋_GB2312"/>
        </w:rPr>
        <w:t>9.2.2 治理规划重点实施项目</w:t>
      </w:r>
    </w:p>
    <w:p w14:paraId="2384127A">
      <w:pPr>
        <w:adjustRightInd w:val="0"/>
        <w:snapToGrid w:val="0"/>
        <w:ind w:firstLine="600" w:firstLineChars="250"/>
        <w:jc w:val="both"/>
        <w:rPr>
          <w:rFonts w:cs="Times New Roman"/>
        </w:rPr>
      </w:pPr>
      <w:r>
        <w:rPr>
          <w:rFonts w:cs="Times New Roman"/>
        </w:rPr>
        <w:t>结合阜康市治理重点项目主要分布在</w:t>
      </w:r>
      <w:r>
        <w:rPr>
          <w:rFonts w:hint="eastAsia" w:cs="Times New Roman"/>
        </w:rPr>
        <w:t>中低山区</w:t>
      </w:r>
      <w:r>
        <w:rPr>
          <w:rFonts w:cs="Times New Roman"/>
        </w:rPr>
        <w:t>，治理措施以工程措施和植物措施为主，结合实际情况，分期分批实施。拟定重点预防项目详见表9.2-2。</w:t>
      </w:r>
    </w:p>
    <w:p w14:paraId="21129FCC">
      <w:pPr>
        <w:adjustRightInd w:val="0"/>
        <w:snapToGrid w:val="0"/>
        <w:ind w:firstLine="600" w:firstLineChars="250"/>
        <w:jc w:val="both"/>
        <w:rPr>
          <w:rFonts w:cs="Times New Roman"/>
        </w:rPr>
      </w:pPr>
    </w:p>
    <w:p w14:paraId="404E9AD1">
      <w:pPr>
        <w:adjustRightInd w:val="0"/>
        <w:snapToGrid w:val="0"/>
        <w:ind w:firstLine="600" w:firstLineChars="250"/>
        <w:jc w:val="both"/>
        <w:rPr>
          <w:rFonts w:cs="Times New Roman"/>
        </w:rPr>
      </w:pPr>
    </w:p>
    <w:p w14:paraId="739EFE45">
      <w:pPr>
        <w:adjustRightInd w:val="0"/>
        <w:snapToGrid w:val="0"/>
        <w:ind w:firstLine="600" w:firstLineChars="250"/>
        <w:jc w:val="both"/>
        <w:rPr>
          <w:rFonts w:cs="Times New Roman"/>
        </w:rPr>
      </w:pPr>
    </w:p>
    <w:p w14:paraId="12C6499D">
      <w:pPr>
        <w:adjustRightInd w:val="0"/>
        <w:snapToGrid w:val="0"/>
        <w:ind w:firstLine="600" w:firstLineChars="250"/>
        <w:jc w:val="both"/>
        <w:rPr>
          <w:rFonts w:cs="Times New Roman"/>
        </w:rPr>
      </w:pPr>
    </w:p>
    <w:p w14:paraId="701AFA87">
      <w:pPr>
        <w:adjustRightInd w:val="0"/>
        <w:snapToGrid w:val="0"/>
        <w:ind w:firstLine="600" w:firstLineChars="250"/>
        <w:jc w:val="both"/>
        <w:rPr>
          <w:rFonts w:cs="Times New Roman"/>
        </w:rPr>
      </w:pPr>
    </w:p>
    <w:p w14:paraId="1CC592E9">
      <w:pPr>
        <w:adjustRightInd w:val="0"/>
        <w:snapToGrid w:val="0"/>
        <w:ind w:firstLine="600" w:firstLineChars="250"/>
        <w:jc w:val="both"/>
        <w:rPr>
          <w:rFonts w:cs="Times New Roman"/>
          <w:b/>
        </w:rPr>
      </w:pPr>
      <w:r>
        <w:rPr>
          <w:rFonts w:cs="Times New Roman"/>
        </w:rPr>
        <w:t xml:space="preserve">表9.2-2                </w:t>
      </w:r>
      <w:r>
        <w:rPr>
          <w:rFonts w:cs="Times New Roman"/>
          <w:b/>
        </w:rPr>
        <w:t xml:space="preserve"> 治理规划重点项目</w:t>
      </w:r>
    </w:p>
    <w:tbl>
      <w:tblPr>
        <w:tblStyle w:val="48"/>
        <w:tblW w:w="5000" w:type="pct"/>
        <w:tblInd w:w="0" w:type="dxa"/>
        <w:tblLayout w:type="autofit"/>
        <w:tblCellMar>
          <w:top w:w="0" w:type="dxa"/>
          <w:left w:w="108" w:type="dxa"/>
          <w:bottom w:w="0" w:type="dxa"/>
          <w:right w:w="108" w:type="dxa"/>
        </w:tblCellMar>
      </w:tblPr>
      <w:tblGrid>
        <w:gridCol w:w="428"/>
        <w:gridCol w:w="2187"/>
        <w:gridCol w:w="873"/>
        <w:gridCol w:w="1022"/>
        <w:gridCol w:w="2915"/>
        <w:gridCol w:w="1104"/>
      </w:tblGrid>
      <w:tr w14:paraId="20D9764E">
        <w:tblPrEx>
          <w:tblCellMar>
            <w:top w:w="0" w:type="dxa"/>
            <w:left w:w="108" w:type="dxa"/>
            <w:bottom w:w="0" w:type="dxa"/>
            <w:right w:w="108" w:type="dxa"/>
          </w:tblCellMar>
        </w:tblPrEx>
        <w:trPr>
          <w:trHeight w:val="570" w:hRule="atLeast"/>
        </w:trPr>
        <w:tc>
          <w:tcPr>
            <w:tcW w:w="251" w:type="pct"/>
            <w:tcBorders>
              <w:top w:val="single" w:color="auto" w:sz="8" w:space="0"/>
              <w:left w:val="single" w:color="auto" w:sz="8" w:space="0"/>
              <w:bottom w:val="single" w:color="auto" w:sz="8" w:space="0"/>
              <w:right w:val="single" w:color="auto" w:sz="8" w:space="0"/>
            </w:tcBorders>
            <w:shd w:val="clear" w:color="auto" w:fill="auto"/>
            <w:vAlign w:val="center"/>
          </w:tcPr>
          <w:p w14:paraId="1C53D675">
            <w:pPr>
              <w:spacing w:line="240" w:lineRule="auto"/>
              <w:ind w:firstLine="0" w:firstLineChars="0"/>
              <w:jc w:val="center"/>
              <w:rPr>
                <w:rFonts w:ascii="仿宋_GB2312" w:hAnsi="宋体"/>
                <w:sz w:val="20"/>
                <w:szCs w:val="20"/>
              </w:rPr>
            </w:pPr>
            <w:bookmarkStart w:id="187" w:name="_Toc150724305"/>
            <w:r>
              <w:rPr>
                <w:rFonts w:hint="eastAsia" w:ascii="仿宋_GB2312" w:hAnsi="宋体"/>
                <w:sz w:val="20"/>
                <w:szCs w:val="20"/>
              </w:rPr>
              <w:t>序号</w:t>
            </w:r>
          </w:p>
        </w:tc>
        <w:tc>
          <w:tcPr>
            <w:tcW w:w="1282" w:type="pct"/>
            <w:tcBorders>
              <w:top w:val="single" w:color="auto" w:sz="8" w:space="0"/>
              <w:left w:val="nil"/>
              <w:bottom w:val="single" w:color="auto" w:sz="8" w:space="0"/>
              <w:right w:val="single" w:color="auto" w:sz="8" w:space="0"/>
            </w:tcBorders>
            <w:shd w:val="clear" w:color="auto" w:fill="auto"/>
            <w:vAlign w:val="center"/>
          </w:tcPr>
          <w:p w14:paraId="57570106">
            <w:pPr>
              <w:spacing w:line="240" w:lineRule="auto"/>
              <w:ind w:firstLine="0" w:firstLineChars="0"/>
              <w:jc w:val="center"/>
              <w:rPr>
                <w:rFonts w:hint="eastAsia" w:ascii="仿宋_GB2312" w:hAnsi="宋体"/>
                <w:sz w:val="20"/>
                <w:szCs w:val="20"/>
              </w:rPr>
            </w:pPr>
            <w:r>
              <w:rPr>
                <w:rFonts w:hint="eastAsia" w:ascii="仿宋_GB2312" w:hAnsi="宋体"/>
                <w:sz w:val="20"/>
                <w:szCs w:val="20"/>
              </w:rPr>
              <w:t>项目名称</w:t>
            </w:r>
          </w:p>
        </w:tc>
        <w:tc>
          <w:tcPr>
            <w:tcW w:w="512" w:type="pct"/>
            <w:tcBorders>
              <w:top w:val="single" w:color="auto" w:sz="8" w:space="0"/>
              <w:left w:val="nil"/>
              <w:bottom w:val="single" w:color="auto" w:sz="8" w:space="0"/>
              <w:right w:val="single" w:color="auto" w:sz="8" w:space="0"/>
            </w:tcBorders>
            <w:shd w:val="clear" w:color="auto" w:fill="auto"/>
            <w:vAlign w:val="center"/>
          </w:tcPr>
          <w:p w14:paraId="3FCF17B3">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治理面积(km</w:t>
            </w:r>
            <w:r>
              <w:rPr>
                <w:rFonts w:hint="eastAsia" w:ascii="仿宋_GB2312" w:hAnsi="宋体"/>
                <w:sz w:val="20"/>
                <w:szCs w:val="20"/>
                <w:vertAlign w:val="superscript"/>
              </w:rPr>
              <w:t>2</w:t>
            </w:r>
            <w:r>
              <w:rPr>
                <w:rFonts w:hint="eastAsia" w:ascii="仿宋_GB2312" w:hAnsi="宋体"/>
                <w:sz w:val="20"/>
                <w:szCs w:val="20"/>
              </w:rPr>
              <w:t>)</w:t>
            </w:r>
          </w:p>
        </w:tc>
        <w:tc>
          <w:tcPr>
            <w:tcW w:w="599" w:type="pct"/>
            <w:tcBorders>
              <w:top w:val="single" w:color="auto" w:sz="8" w:space="0"/>
              <w:left w:val="nil"/>
              <w:bottom w:val="single" w:color="auto" w:sz="8" w:space="0"/>
              <w:right w:val="single" w:color="auto" w:sz="8" w:space="0"/>
            </w:tcBorders>
            <w:shd w:val="clear" w:color="auto" w:fill="auto"/>
            <w:vAlign w:val="center"/>
          </w:tcPr>
          <w:p w14:paraId="06CD03AD">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投资（万元）</w:t>
            </w:r>
          </w:p>
        </w:tc>
        <w:tc>
          <w:tcPr>
            <w:tcW w:w="1709" w:type="pct"/>
            <w:tcBorders>
              <w:top w:val="single" w:color="auto" w:sz="8" w:space="0"/>
              <w:left w:val="nil"/>
              <w:bottom w:val="single" w:color="auto" w:sz="8" w:space="0"/>
              <w:right w:val="single" w:color="auto" w:sz="8" w:space="0"/>
            </w:tcBorders>
            <w:shd w:val="clear" w:color="auto" w:fill="auto"/>
            <w:vAlign w:val="center"/>
          </w:tcPr>
          <w:p w14:paraId="0212A891">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治理措施</w:t>
            </w:r>
          </w:p>
        </w:tc>
        <w:tc>
          <w:tcPr>
            <w:tcW w:w="647" w:type="pct"/>
            <w:tcBorders>
              <w:top w:val="single" w:color="auto" w:sz="8" w:space="0"/>
              <w:left w:val="nil"/>
              <w:bottom w:val="single" w:color="auto" w:sz="8" w:space="0"/>
              <w:right w:val="single" w:color="auto" w:sz="8" w:space="0"/>
            </w:tcBorders>
            <w:vAlign w:val="center"/>
          </w:tcPr>
          <w:p w14:paraId="59C7A06A">
            <w:pPr>
              <w:spacing w:line="240" w:lineRule="auto"/>
              <w:ind w:firstLine="0" w:firstLineChars="0"/>
              <w:jc w:val="center"/>
              <w:rPr>
                <w:rFonts w:hint="eastAsia" w:ascii="仿宋_GB2312" w:hAnsi="宋体"/>
                <w:sz w:val="20"/>
                <w:szCs w:val="20"/>
              </w:rPr>
            </w:pPr>
            <w:r>
              <w:rPr>
                <w:rFonts w:hint="eastAsia" w:ascii="仿宋_GB2312" w:hAnsi="宋体"/>
                <w:sz w:val="20"/>
                <w:szCs w:val="20"/>
              </w:rPr>
              <w:t>实施年限</w:t>
            </w:r>
          </w:p>
        </w:tc>
      </w:tr>
      <w:tr w14:paraId="5EA47289">
        <w:tblPrEx>
          <w:tblCellMar>
            <w:top w:w="0" w:type="dxa"/>
            <w:left w:w="108" w:type="dxa"/>
            <w:bottom w:w="0" w:type="dxa"/>
            <w:right w:w="108" w:type="dxa"/>
          </w:tblCellMar>
        </w:tblPrEx>
        <w:trPr>
          <w:trHeight w:val="54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519C4795">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1282" w:type="pct"/>
            <w:tcBorders>
              <w:top w:val="nil"/>
              <w:left w:val="nil"/>
              <w:bottom w:val="single" w:color="auto" w:sz="8" w:space="0"/>
              <w:right w:val="single" w:color="auto" w:sz="8" w:space="0"/>
            </w:tcBorders>
            <w:shd w:val="clear" w:color="auto" w:fill="auto"/>
            <w:vAlign w:val="center"/>
          </w:tcPr>
          <w:p w14:paraId="73730747">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阜康市三工河乡花儿沟村水土保持生态清洁型小流域综合治理项目（一期）</w:t>
            </w:r>
          </w:p>
        </w:tc>
        <w:tc>
          <w:tcPr>
            <w:tcW w:w="512" w:type="pct"/>
            <w:tcBorders>
              <w:top w:val="nil"/>
              <w:left w:val="nil"/>
              <w:bottom w:val="single" w:color="auto" w:sz="8" w:space="0"/>
              <w:right w:val="single" w:color="auto" w:sz="8" w:space="0"/>
            </w:tcBorders>
            <w:shd w:val="clear" w:color="auto" w:fill="auto"/>
            <w:vAlign w:val="center"/>
          </w:tcPr>
          <w:p w14:paraId="1EEB1B1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w:t>
            </w:r>
          </w:p>
        </w:tc>
        <w:tc>
          <w:tcPr>
            <w:tcW w:w="599" w:type="pct"/>
            <w:tcBorders>
              <w:top w:val="nil"/>
              <w:left w:val="nil"/>
              <w:bottom w:val="single" w:color="auto" w:sz="8" w:space="0"/>
              <w:right w:val="single" w:color="auto" w:sz="8" w:space="0"/>
            </w:tcBorders>
            <w:shd w:val="clear" w:color="000000" w:fill="FFFFFF"/>
            <w:vAlign w:val="center"/>
          </w:tcPr>
          <w:p w14:paraId="3C7A20C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600</w:t>
            </w:r>
          </w:p>
        </w:tc>
        <w:tc>
          <w:tcPr>
            <w:tcW w:w="1709" w:type="pct"/>
            <w:tcBorders>
              <w:top w:val="nil"/>
              <w:left w:val="nil"/>
              <w:bottom w:val="single" w:color="auto" w:sz="8" w:space="0"/>
              <w:right w:val="single" w:color="auto" w:sz="8" w:space="0"/>
            </w:tcBorders>
            <w:shd w:val="clear" w:color="auto" w:fill="auto"/>
            <w:vAlign w:val="center"/>
          </w:tcPr>
          <w:p w14:paraId="34488F0B">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治理水土流失面积10km</w:t>
            </w:r>
            <w:r>
              <w:rPr>
                <w:rFonts w:hint="eastAsia" w:ascii="仿宋_GB2312" w:hAnsi="宋体"/>
                <w:sz w:val="20"/>
                <w:szCs w:val="20"/>
                <w:vertAlign w:val="superscript"/>
              </w:rPr>
              <w:t>2</w:t>
            </w:r>
            <w:r>
              <w:rPr>
                <w:rFonts w:hint="eastAsia" w:ascii="仿宋_GB2312" w:hAnsi="宋体"/>
                <w:sz w:val="20"/>
                <w:szCs w:val="20"/>
              </w:rPr>
              <w:t>，村容村貌建设，营造水土保持林160hm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786BA733">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r>
      <w:tr w14:paraId="4C0B1E87">
        <w:tblPrEx>
          <w:tblCellMar>
            <w:top w:w="0" w:type="dxa"/>
            <w:left w:w="108" w:type="dxa"/>
            <w:bottom w:w="0" w:type="dxa"/>
            <w:right w:w="108" w:type="dxa"/>
          </w:tblCellMar>
        </w:tblPrEx>
        <w:trPr>
          <w:trHeight w:val="31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65CACDEE">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1282" w:type="pct"/>
            <w:tcBorders>
              <w:top w:val="nil"/>
              <w:left w:val="nil"/>
              <w:bottom w:val="single" w:color="auto" w:sz="8" w:space="0"/>
              <w:right w:val="single" w:color="auto" w:sz="8" w:space="0"/>
            </w:tcBorders>
            <w:shd w:val="clear" w:color="auto" w:fill="auto"/>
            <w:vAlign w:val="center"/>
          </w:tcPr>
          <w:p w14:paraId="304B0D56">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阜康市天山天池白杨沟水土保持治理项目</w:t>
            </w:r>
          </w:p>
        </w:tc>
        <w:tc>
          <w:tcPr>
            <w:tcW w:w="512" w:type="pct"/>
            <w:tcBorders>
              <w:top w:val="nil"/>
              <w:left w:val="nil"/>
              <w:bottom w:val="single" w:color="auto" w:sz="8" w:space="0"/>
              <w:right w:val="single" w:color="auto" w:sz="8" w:space="0"/>
            </w:tcBorders>
            <w:shd w:val="clear" w:color="auto" w:fill="auto"/>
            <w:vAlign w:val="center"/>
          </w:tcPr>
          <w:p w14:paraId="4A4B68F8">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12.5</w:t>
            </w:r>
          </w:p>
        </w:tc>
        <w:tc>
          <w:tcPr>
            <w:tcW w:w="599" w:type="pct"/>
            <w:tcBorders>
              <w:top w:val="nil"/>
              <w:left w:val="nil"/>
              <w:bottom w:val="single" w:color="auto" w:sz="8" w:space="0"/>
              <w:right w:val="single" w:color="auto" w:sz="8" w:space="0"/>
            </w:tcBorders>
            <w:shd w:val="clear" w:color="000000" w:fill="FFFFFF"/>
            <w:vAlign w:val="center"/>
          </w:tcPr>
          <w:p w14:paraId="4A06CBEF">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1000</w:t>
            </w:r>
          </w:p>
        </w:tc>
        <w:tc>
          <w:tcPr>
            <w:tcW w:w="1709" w:type="pct"/>
            <w:tcBorders>
              <w:top w:val="nil"/>
              <w:left w:val="nil"/>
              <w:bottom w:val="single" w:color="auto" w:sz="8" w:space="0"/>
              <w:right w:val="single" w:color="auto" w:sz="8" w:space="0"/>
            </w:tcBorders>
            <w:shd w:val="clear" w:color="auto" w:fill="auto"/>
            <w:vAlign w:val="center"/>
          </w:tcPr>
          <w:p w14:paraId="01CA6180">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治理水土流失面积12.5km</w:t>
            </w:r>
            <w:r>
              <w:rPr>
                <w:rFonts w:hint="eastAsia" w:ascii="仿宋_GB2312" w:hAnsi="宋体"/>
                <w:sz w:val="20"/>
                <w:szCs w:val="20"/>
                <w:vertAlign w:val="superscript"/>
              </w:rPr>
              <w:t>2</w:t>
            </w:r>
            <w:r>
              <w:rPr>
                <w:rFonts w:hint="eastAsia" w:ascii="仿宋_GB2312" w:hAnsi="宋体"/>
                <w:sz w:val="20"/>
                <w:szCs w:val="20"/>
              </w:rPr>
              <w:t>，冲洪沟治理及封禁治理。</w:t>
            </w:r>
          </w:p>
        </w:tc>
        <w:tc>
          <w:tcPr>
            <w:tcW w:w="647" w:type="pct"/>
            <w:tcBorders>
              <w:top w:val="nil"/>
              <w:left w:val="nil"/>
              <w:bottom w:val="single" w:color="auto" w:sz="8" w:space="0"/>
              <w:right w:val="single" w:color="auto" w:sz="8" w:space="0"/>
            </w:tcBorders>
            <w:vAlign w:val="center"/>
          </w:tcPr>
          <w:p w14:paraId="1E1A156A">
            <w:pPr>
              <w:spacing w:line="240" w:lineRule="auto"/>
              <w:ind w:firstLine="0" w:firstLineChars="0"/>
              <w:jc w:val="center"/>
              <w:rPr>
                <w:rFonts w:hint="eastAsia" w:ascii="仿宋_GB2312" w:hAnsi="宋体"/>
                <w:sz w:val="20"/>
                <w:szCs w:val="20"/>
              </w:rPr>
            </w:pPr>
            <w:r>
              <w:rPr>
                <w:rFonts w:hint="eastAsia" w:ascii="仿宋_GB2312" w:hAnsi="宋体"/>
                <w:sz w:val="20"/>
                <w:szCs w:val="20"/>
              </w:rPr>
              <w:t>2026年</w:t>
            </w:r>
          </w:p>
        </w:tc>
      </w:tr>
      <w:tr w14:paraId="025BF405">
        <w:tblPrEx>
          <w:tblCellMar>
            <w:top w:w="0" w:type="dxa"/>
            <w:left w:w="108" w:type="dxa"/>
            <w:bottom w:w="0" w:type="dxa"/>
            <w:right w:w="108" w:type="dxa"/>
          </w:tblCellMar>
        </w:tblPrEx>
        <w:trPr>
          <w:trHeight w:val="62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619EEF45">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1282" w:type="pct"/>
            <w:tcBorders>
              <w:top w:val="nil"/>
              <w:left w:val="nil"/>
              <w:bottom w:val="single" w:color="auto" w:sz="8" w:space="0"/>
              <w:right w:val="single" w:color="auto" w:sz="8" w:space="0"/>
            </w:tcBorders>
            <w:shd w:val="clear" w:color="auto" w:fill="auto"/>
            <w:vAlign w:val="center"/>
          </w:tcPr>
          <w:p w14:paraId="294E0CD3">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阜康市红星水库周边水土保持生态清洁型小流域综合治理项目</w:t>
            </w:r>
          </w:p>
        </w:tc>
        <w:tc>
          <w:tcPr>
            <w:tcW w:w="512" w:type="pct"/>
            <w:tcBorders>
              <w:top w:val="nil"/>
              <w:left w:val="nil"/>
              <w:bottom w:val="single" w:color="auto" w:sz="8" w:space="0"/>
              <w:right w:val="single" w:color="auto" w:sz="8" w:space="0"/>
            </w:tcBorders>
            <w:shd w:val="clear" w:color="auto" w:fill="auto"/>
            <w:vAlign w:val="center"/>
          </w:tcPr>
          <w:p w14:paraId="324EBD9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15</w:t>
            </w:r>
          </w:p>
        </w:tc>
        <w:tc>
          <w:tcPr>
            <w:tcW w:w="599" w:type="pct"/>
            <w:tcBorders>
              <w:top w:val="nil"/>
              <w:left w:val="nil"/>
              <w:bottom w:val="single" w:color="auto" w:sz="8" w:space="0"/>
              <w:right w:val="single" w:color="auto" w:sz="8" w:space="0"/>
            </w:tcBorders>
            <w:shd w:val="clear" w:color="000000" w:fill="FFFFFF"/>
            <w:vAlign w:val="center"/>
          </w:tcPr>
          <w:p w14:paraId="11CB1F06">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900</w:t>
            </w:r>
          </w:p>
        </w:tc>
        <w:tc>
          <w:tcPr>
            <w:tcW w:w="1709" w:type="pct"/>
            <w:tcBorders>
              <w:top w:val="nil"/>
              <w:left w:val="nil"/>
              <w:bottom w:val="single" w:color="auto" w:sz="8" w:space="0"/>
              <w:right w:val="single" w:color="auto" w:sz="8" w:space="0"/>
            </w:tcBorders>
            <w:shd w:val="clear" w:color="auto" w:fill="auto"/>
            <w:vAlign w:val="center"/>
          </w:tcPr>
          <w:p w14:paraId="3871D743">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治理水土流失面积15km</w:t>
            </w:r>
            <w:r>
              <w:rPr>
                <w:rFonts w:hint="eastAsia" w:ascii="仿宋_GB2312" w:hAnsi="宋体"/>
                <w:sz w:val="20"/>
                <w:szCs w:val="20"/>
                <w:vertAlign w:val="superscript"/>
              </w:rPr>
              <w:t>2</w:t>
            </w:r>
            <w:r>
              <w:rPr>
                <w:rFonts w:hint="eastAsia" w:ascii="仿宋_GB2312" w:hAnsi="宋体"/>
                <w:sz w:val="20"/>
                <w:szCs w:val="20"/>
              </w:rPr>
              <w:t>，村容村貌建设，营造水土保持林200hm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44D02F23">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327AAAF9">
        <w:tblPrEx>
          <w:tblCellMar>
            <w:top w:w="0" w:type="dxa"/>
            <w:left w:w="108" w:type="dxa"/>
            <w:bottom w:w="0" w:type="dxa"/>
            <w:right w:w="108" w:type="dxa"/>
          </w:tblCellMar>
        </w:tblPrEx>
        <w:trPr>
          <w:trHeight w:val="53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1CAD0CA8">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1282" w:type="pct"/>
            <w:tcBorders>
              <w:top w:val="nil"/>
              <w:left w:val="nil"/>
              <w:bottom w:val="single" w:color="auto" w:sz="8" w:space="0"/>
              <w:right w:val="single" w:color="auto" w:sz="8" w:space="0"/>
            </w:tcBorders>
            <w:shd w:val="clear" w:color="auto" w:fill="auto"/>
            <w:vAlign w:val="center"/>
          </w:tcPr>
          <w:p w14:paraId="35CB3C4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阜康市四工河水库上下游段小流域水土保持综合治理工程</w:t>
            </w:r>
          </w:p>
        </w:tc>
        <w:tc>
          <w:tcPr>
            <w:tcW w:w="512" w:type="pct"/>
            <w:tcBorders>
              <w:top w:val="nil"/>
              <w:left w:val="nil"/>
              <w:bottom w:val="single" w:color="auto" w:sz="8" w:space="0"/>
              <w:right w:val="single" w:color="auto" w:sz="8" w:space="0"/>
            </w:tcBorders>
            <w:shd w:val="clear" w:color="auto" w:fill="auto"/>
            <w:vAlign w:val="center"/>
          </w:tcPr>
          <w:p w14:paraId="50D4904A">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5</w:t>
            </w:r>
          </w:p>
        </w:tc>
        <w:tc>
          <w:tcPr>
            <w:tcW w:w="599" w:type="pct"/>
            <w:tcBorders>
              <w:top w:val="nil"/>
              <w:left w:val="nil"/>
              <w:bottom w:val="single" w:color="auto" w:sz="8" w:space="0"/>
              <w:right w:val="single" w:color="auto" w:sz="8" w:space="0"/>
            </w:tcBorders>
            <w:shd w:val="clear" w:color="000000" w:fill="FFFFFF"/>
            <w:vAlign w:val="center"/>
          </w:tcPr>
          <w:p w14:paraId="05B04393">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300</w:t>
            </w:r>
          </w:p>
        </w:tc>
        <w:tc>
          <w:tcPr>
            <w:tcW w:w="1709" w:type="pct"/>
            <w:tcBorders>
              <w:top w:val="nil"/>
              <w:left w:val="nil"/>
              <w:bottom w:val="single" w:color="auto" w:sz="8" w:space="0"/>
              <w:right w:val="single" w:color="auto" w:sz="8" w:space="0"/>
            </w:tcBorders>
            <w:shd w:val="clear" w:color="auto" w:fill="auto"/>
            <w:vAlign w:val="center"/>
          </w:tcPr>
          <w:p w14:paraId="561D05F7">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治理水土流失面积5km</w:t>
            </w:r>
            <w:r>
              <w:rPr>
                <w:rFonts w:hint="eastAsia" w:ascii="仿宋_GB2312" w:hAnsi="宋体"/>
                <w:sz w:val="20"/>
                <w:szCs w:val="20"/>
                <w:vertAlign w:val="superscript"/>
              </w:rPr>
              <w:t>2</w:t>
            </w:r>
            <w:r>
              <w:rPr>
                <w:rFonts w:hint="eastAsia" w:ascii="仿宋_GB2312" w:hAnsi="宋体"/>
                <w:sz w:val="20"/>
                <w:szCs w:val="20"/>
              </w:rPr>
              <w:t>，河道护岸工程1.5km，营造水土保持林65hm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6B869717">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3D9AAD17">
        <w:tblPrEx>
          <w:tblCellMar>
            <w:top w:w="0" w:type="dxa"/>
            <w:left w:w="108" w:type="dxa"/>
            <w:bottom w:w="0" w:type="dxa"/>
            <w:right w:w="108" w:type="dxa"/>
          </w:tblCellMar>
        </w:tblPrEx>
        <w:trPr>
          <w:trHeight w:val="53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26FDEEEC">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1282" w:type="pct"/>
            <w:tcBorders>
              <w:top w:val="nil"/>
              <w:left w:val="nil"/>
              <w:bottom w:val="single" w:color="auto" w:sz="8" w:space="0"/>
              <w:right w:val="single" w:color="auto" w:sz="8" w:space="0"/>
            </w:tcBorders>
            <w:shd w:val="clear" w:color="auto" w:fill="auto"/>
            <w:vAlign w:val="center"/>
          </w:tcPr>
          <w:p w14:paraId="76C38CC0">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阜康市卡拉麦里自然保护区水土保持综合治理工程</w:t>
            </w:r>
          </w:p>
        </w:tc>
        <w:tc>
          <w:tcPr>
            <w:tcW w:w="512" w:type="pct"/>
            <w:tcBorders>
              <w:top w:val="nil"/>
              <w:left w:val="nil"/>
              <w:bottom w:val="single" w:color="auto" w:sz="8" w:space="0"/>
              <w:right w:val="single" w:color="auto" w:sz="8" w:space="0"/>
            </w:tcBorders>
            <w:shd w:val="clear" w:color="auto" w:fill="auto"/>
            <w:vAlign w:val="center"/>
          </w:tcPr>
          <w:p w14:paraId="46FBAAB8">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509</w:t>
            </w:r>
          </w:p>
        </w:tc>
        <w:tc>
          <w:tcPr>
            <w:tcW w:w="599" w:type="pct"/>
            <w:tcBorders>
              <w:top w:val="nil"/>
              <w:left w:val="nil"/>
              <w:bottom w:val="single" w:color="auto" w:sz="8" w:space="0"/>
              <w:right w:val="single" w:color="auto" w:sz="8" w:space="0"/>
            </w:tcBorders>
            <w:shd w:val="clear" w:color="000000" w:fill="FFFFFF"/>
            <w:vAlign w:val="center"/>
          </w:tcPr>
          <w:p w14:paraId="3FD1302F">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1500</w:t>
            </w:r>
          </w:p>
        </w:tc>
        <w:tc>
          <w:tcPr>
            <w:tcW w:w="1709" w:type="pct"/>
            <w:tcBorders>
              <w:top w:val="nil"/>
              <w:left w:val="nil"/>
              <w:bottom w:val="single" w:color="auto" w:sz="8" w:space="0"/>
              <w:right w:val="single" w:color="auto" w:sz="8" w:space="0"/>
            </w:tcBorders>
            <w:shd w:val="clear" w:color="auto" w:fill="auto"/>
            <w:vAlign w:val="center"/>
          </w:tcPr>
          <w:p w14:paraId="57323EA9">
            <w:pPr>
              <w:spacing w:line="240" w:lineRule="auto"/>
              <w:ind w:firstLine="0" w:firstLineChars="0"/>
              <w:jc w:val="center"/>
              <w:rPr>
                <w:rFonts w:hint="eastAsia" w:ascii="仿宋_GB2312" w:hAnsi="宋体"/>
                <w:sz w:val="20"/>
                <w:szCs w:val="20"/>
              </w:rPr>
            </w:pPr>
            <w:r>
              <w:rPr>
                <w:rFonts w:hint="eastAsia" w:ascii="仿宋_GB2312" w:hAnsi="宋体"/>
                <w:sz w:val="20"/>
                <w:szCs w:val="20"/>
              </w:rPr>
              <w:t>主要对卡拉麦里保护区封禁治理</w:t>
            </w:r>
          </w:p>
        </w:tc>
        <w:tc>
          <w:tcPr>
            <w:tcW w:w="647" w:type="pct"/>
            <w:tcBorders>
              <w:top w:val="nil"/>
              <w:left w:val="nil"/>
              <w:bottom w:val="single" w:color="auto" w:sz="8" w:space="0"/>
              <w:right w:val="single" w:color="auto" w:sz="8" w:space="0"/>
            </w:tcBorders>
            <w:vAlign w:val="center"/>
          </w:tcPr>
          <w:p w14:paraId="544EEE47">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54A87688">
        <w:tblPrEx>
          <w:tblCellMar>
            <w:top w:w="0" w:type="dxa"/>
            <w:left w:w="108" w:type="dxa"/>
            <w:bottom w:w="0" w:type="dxa"/>
            <w:right w:w="108" w:type="dxa"/>
          </w:tblCellMar>
        </w:tblPrEx>
        <w:trPr>
          <w:trHeight w:val="29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71EF2112">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1282" w:type="pct"/>
            <w:tcBorders>
              <w:top w:val="nil"/>
              <w:left w:val="nil"/>
              <w:bottom w:val="single" w:color="auto" w:sz="8" w:space="0"/>
              <w:right w:val="single" w:color="auto" w:sz="8" w:space="0"/>
            </w:tcBorders>
            <w:shd w:val="clear" w:color="auto" w:fill="auto"/>
            <w:vAlign w:val="center"/>
          </w:tcPr>
          <w:p w14:paraId="7DD4A7F2">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阜康市水土保持信息化平台建设项目</w:t>
            </w:r>
          </w:p>
        </w:tc>
        <w:tc>
          <w:tcPr>
            <w:tcW w:w="512" w:type="pct"/>
            <w:tcBorders>
              <w:top w:val="nil"/>
              <w:left w:val="nil"/>
              <w:bottom w:val="single" w:color="auto" w:sz="8" w:space="0"/>
              <w:right w:val="single" w:color="auto" w:sz="8" w:space="0"/>
            </w:tcBorders>
            <w:shd w:val="clear" w:color="auto" w:fill="auto"/>
            <w:vAlign w:val="center"/>
          </w:tcPr>
          <w:p w14:paraId="623BEB38">
            <w:pPr>
              <w:spacing w:line="240" w:lineRule="auto"/>
              <w:ind w:firstLine="0" w:firstLineChars="0"/>
              <w:jc w:val="center"/>
              <w:rPr>
                <w:rFonts w:hint="eastAsia" w:ascii="仿宋_GB2312" w:hAnsi="宋体"/>
                <w:color w:val="000000"/>
                <w:sz w:val="20"/>
                <w:szCs w:val="20"/>
              </w:rPr>
            </w:pPr>
          </w:p>
        </w:tc>
        <w:tc>
          <w:tcPr>
            <w:tcW w:w="599" w:type="pct"/>
            <w:tcBorders>
              <w:top w:val="nil"/>
              <w:left w:val="nil"/>
              <w:bottom w:val="single" w:color="auto" w:sz="8" w:space="0"/>
              <w:right w:val="single" w:color="auto" w:sz="8" w:space="0"/>
            </w:tcBorders>
            <w:shd w:val="clear" w:color="000000" w:fill="FFFFFF"/>
            <w:vAlign w:val="center"/>
          </w:tcPr>
          <w:p w14:paraId="2FBBAA5F">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200</w:t>
            </w:r>
          </w:p>
        </w:tc>
        <w:tc>
          <w:tcPr>
            <w:tcW w:w="1709" w:type="pct"/>
            <w:tcBorders>
              <w:top w:val="nil"/>
              <w:left w:val="nil"/>
              <w:bottom w:val="single" w:color="auto" w:sz="8" w:space="0"/>
              <w:right w:val="single" w:color="auto" w:sz="8" w:space="0"/>
            </w:tcBorders>
            <w:shd w:val="clear" w:color="auto" w:fill="auto"/>
            <w:vAlign w:val="center"/>
          </w:tcPr>
          <w:p w14:paraId="4D83CEFC">
            <w:pPr>
              <w:spacing w:line="240" w:lineRule="auto"/>
              <w:ind w:firstLine="0" w:firstLineChars="0"/>
              <w:jc w:val="center"/>
              <w:rPr>
                <w:rFonts w:hint="eastAsia" w:ascii="仿宋_GB2312" w:hAnsi="宋体"/>
                <w:sz w:val="20"/>
                <w:szCs w:val="20"/>
              </w:rPr>
            </w:pPr>
            <w:r>
              <w:rPr>
                <w:rFonts w:hint="eastAsia" w:ascii="仿宋_GB2312" w:hAnsi="宋体"/>
                <w:sz w:val="20"/>
                <w:szCs w:val="20"/>
              </w:rPr>
              <w:t>信息化平台建设，软件开发及设备购买，人员培训等</w:t>
            </w:r>
          </w:p>
        </w:tc>
        <w:tc>
          <w:tcPr>
            <w:tcW w:w="647" w:type="pct"/>
            <w:tcBorders>
              <w:top w:val="nil"/>
              <w:left w:val="nil"/>
              <w:bottom w:val="single" w:color="auto" w:sz="8" w:space="0"/>
              <w:right w:val="single" w:color="auto" w:sz="8" w:space="0"/>
            </w:tcBorders>
            <w:vAlign w:val="center"/>
          </w:tcPr>
          <w:p w14:paraId="777D4FF2">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55DD4367">
        <w:tblPrEx>
          <w:tblCellMar>
            <w:top w:w="0" w:type="dxa"/>
            <w:left w:w="108" w:type="dxa"/>
            <w:bottom w:w="0" w:type="dxa"/>
            <w:right w:w="108" w:type="dxa"/>
          </w:tblCellMar>
        </w:tblPrEx>
        <w:trPr>
          <w:trHeight w:val="53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5DD82934">
            <w:pPr>
              <w:spacing w:line="240" w:lineRule="auto"/>
              <w:ind w:firstLine="0" w:firstLineChars="0"/>
              <w:jc w:val="center"/>
              <w:rPr>
                <w:rFonts w:hint="eastAsia" w:ascii="仿宋_GB2312" w:hAnsi="宋体"/>
                <w:sz w:val="20"/>
                <w:szCs w:val="20"/>
              </w:rPr>
            </w:pPr>
            <w:r>
              <w:rPr>
                <w:rFonts w:hint="eastAsia" w:ascii="仿宋_GB2312" w:hAnsi="宋体"/>
                <w:sz w:val="20"/>
                <w:szCs w:val="20"/>
              </w:rPr>
              <w:t>7</w:t>
            </w:r>
          </w:p>
        </w:tc>
        <w:tc>
          <w:tcPr>
            <w:tcW w:w="1282" w:type="pct"/>
            <w:tcBorders>
              <w:top w:val="nil"/>
              <w:left w:val="nil"/>
              <w:bottom w:val="single" w:color="auto" w:sz="8" w:space="0"/>
              <w:right w:val="single" w:color="auto" w:sz="8" w:space="0"/>
            </w:tcBorders>
            <w:shd w:val="clear" w:color="auto" w:fill="auto"/>
            <w:vAlign w:val="center"/>
          </w:tcPr>
          <w:p w14:paraId="48B19C03">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阜康市三工河乡花儿沟村水土保持生态清洁型小流域综合治理项目（二期）</w:t>
            </w:r>
          </w:p>
        </w:tc>
        <w:tc>
          <w:tcPr>
            <w:tcW w:w="512" w:type="pct"/>
            <w:tcBorders>
              <w:top w:val="nil"/>
              <w:left w:val="nil"/>
              <w:bottom w:val="single" w:color="auto" w:sz="8" w:space="0"/>
              <w:right w:val="single" w:color="auto" w:sz="8" w:space="0"/>
            </w:tcBorders>
            <w:shd w:val="clear" w:color="auto" w:fill="auto"/>
            <w:vAlign w:val="center"/>
          </w:tcPr>
          <w:p w14:paraId="60BAFD0C">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w:t>
            </w:r>
          </w:p>
        </w:tc>
        <w:tc>
          <w:tcPr>
            <w:tcW w:w="599" w:type="pct"/>
            <w:tcBorders>
              <w:top w:val="nil"/>
              <w:left w:val="nil"/>
              <w:bottom w:val="single" w:color="auto" w:sz="8" w:space="0"/>
              <w:right w:val="single" w:color="auto" w:sz="8" w:space="0"/>
            </w:tcBorders>
            <w:shd w:val="clear" w:color="000000" w:fill="FFFFFF"/>
            <w:vAlign w:val="center"/>
          </w:tcPr>
          <w:p w14:paraId="008AAD06">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600</w:t>
            </w:r>
          </w:p>
        </w:tc>
        <w:tc>
          <w:tcPr>
            <w:tcW w:w="1709" w:type="pct"/>
            <w:tcBorders>
              <w:top w:val="nil"/>
              <w:left w:val="nil"/>
              <w:bottom w:val="single" w:color="auto" w:sz="8" w:space="0"/>
              <w:right w:val="single" w:color="auto" w:sz="8" w:space="0"/>
            </w:tcBorders>
            <w:shd w:val="clear" w:color="auto" w:fill="auto"/>
            <w:vAlign w:val="center"/>
          </w:tcPr>
          <w:p w14:paraId="631C75BA">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治理水土流失面积10km</w:t>
            </w:r>
            <w:r>
              <w:rPr>
                <w:rFonts w:hint="eastAsia" w:ascii="仿宋_GB2312" w:hAnsi="宋体"/>
                <w:sz w:val="20"/>
                <w:szCs w:val="20"/>
                <w:vertAlign w:val="superscript"/>
              </w:rPr>
              <w:t>2</w:t>
            </w:r>
            <w:r>
              <w:rPr>
                <w:rFonts w:hint="eastAsia" w:ascii="仿宋_GB2312" w:hAnsi="宋体"/>
                <w:sz w:val="20"/>
                <w:szCs w:val="20"/>
              </w:rPr>
              <w:t>，村容村貌建设，营造水土保持林200hm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0FA8A3F6">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49481BB8">
        <w:tblPrEx>
          <w:tblCellMar>
            <w:top w:w="0" w:type="dxa"/>
            <w:left w:w="108" w:type="dxa"/>
            <w:bottom w:w="0" w:type="dxa"/>
            <w:right w:w="108" w:type="dxa"/>
          </w:tblCellMar>
        </w:tblPrEx>
        <w:trPr>
          <w:trHeight w:val="29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246F9BC3">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282" w:type="pct"/>
            <w:tcBorders>
              <w:top w:val="nil"/>
              <w:left w:val="nil"/>
              <w:bottom w:val="single" w:color="auto" w:sz="8" w:space="0"/>
              <w:right w:val="single" w:color="auto" w:sz="8" w:space="0"/>
            </w:tcBorders>
            <w:shd w:val="clear" w:color="auto" w:fill="auto"/>
            <w:vAlign w:val="center"/>
          </w:tcPr>
          <w:p w14:paraId="68B75D68">
            <w:pPr>
              <w:spacing w:line="240" w:lineRule="auto"/>
              <w:ind w:firstLine="0" w:firstLineChars="0"/>
              <w:jc w:val="center"/>
              <w:rPr>
                <w:rFonts w:hint="eastAsia" w:ascii="仿宋_GB2312" w:hAnsi="宋体"/>
                <w:sz w:val="20"/>
                <w:szCs w:val="20"/>
              </w:rPr>
            </w:pPr>
          </w:p>
        </w:tc>
        <w:tc>
          <w:tcPr>
            <w:tcW w:w="512" w:type="pct"/>
            <w:tcBorders>
              <w:top w:val="nil"/>
              <w:left w:val="nil"/>
              <w:bottom w:val="single" w:color="auto" w:sz="8" w:space="0"/>
              <w:right w:val="single" w:color="auto" w:sz="8" w:space="0"/>
            </w:tcBorders>
            <w:shd w:val="clear" w:color="auto" w:fill="auto"/>
            <w:vAlign w:val="center"/>
          </w:tcPr>
          <w:p w14:paraId="5D874941">
            <w:pPr>
              <w:spacing w:line="240" w:lineRule="auto"/>
              <w:ind w:firstLine="0" w:firstLineChars="0"/>
              <w:jc w:val="center"/>
              <w:rPr>
                <w:rFonts w:hint="eastAsia" w:ascii="仿宋_GB2312" w:hAnsi="宋体"/>
                <w:sz w:val="20"/>
                <w:szCs w:val="20"/>
              </w:rPr>
            </w:pPr>
            <w:r>
              <w:rPr>
                <w:rFonts w:hint="eastAsia" w:ascii="仿宋_GB2312" w:hAnsi="宋体"/>
                <w:sz w:val="20"/>
                <w:szCs w:val="20"/>
              </w:rPr>
              <w:t>561.5</w:t>
            </w:r>
          </w:p>
        </w:tc>
        <w:tc>
          <w:tcPr>
            <w:tcW w:w="599" w:type="pct"/>
            <w:tcBorders>
              <w:top w:val="nil"/>
              <w:left w:val="nil"/>
              <w:bottom w:val="single" w:color="auto" w:sz="8" w:space="0"/>
              <w:right w:val="single" w:color="auto" w:sz="8" w:space="0"/>
            </w:tcBorders>
            <w:shd w:val="clear" w:color="auto" w:fill="auto"/>
            <w:vAlign w:val="center"/>
          </w:tcPr>
          <w:p w14:paraId="2A1220BA">
            <w:pPr>
              <w:spacing w:line="240" w:lineRule="auto"/>
              <w:ind w:firstLine="0" w:firstLineChars="0"/>
              <w:jc w:val="center"/>
              <w:rPr>
                <w:rFonts w:hint="eastAsia" w:ascii="仿宋_GB2312" w:hAnsi="宋体"/>
                <w:sz w:val="20"/>
                <w:szCs w:val="20"/>
              </w:rPr>
            </w:pPr>
            <w:r>
              <w:rPr>
                <w:rFonts w:hint="eastAsia" w:ascii="仿宋_GB2312" w:hAnsi="宋体"/>
                <w:sz w:val="20"/>
                <w:szCs w:val="20"/>
              </w:rPr>
              <w:t>5100</w:t>
            </w:r>
          </w:p>
        </w:tc>
        <w:tc>
          <w:tcPr>
            <w:tcW w:w="1709" w:type="pct"/>
            <w:tcBorders>
              <w:top w:val="nil"/>
              <w:left w:val="nil"/>
              <w:bottom w:val="single" w:color="auto" w:sz="8" w:space="0"/>
              <w:right w:val="single" w:color="auto" w:sz="8" w:space="0"/>
            </w:tcBorders>
            <w:shd w:val="clear" w:color="auto" w:fill="auto"/>
            <w:vAlign w:val="center"/>
          </w:tcPr>
          <w:p w14:paraId="147E3872">
            <w:pPr>
              <w:spacing w:line="240" w:lineRule="auto"/>
              <w:ind w:firstLine="0" w:firstLineChars="0"/>
              <w:jc w:val="center"/>
              <w:rPr>
                <w:rFonts w:hint="eastAsia" w:ascii="仿宋_GB2312" w:hAnsi="宋体"/>
                <w:sz w:val="20"/>
                <w:szCs w:val="20"/>
              </w:rPr>
            </w:pPr>
          </w:p>
        </w:tc>
        <w:tc>
          <w:tcPr>
            <w:tcW w:w="647" w:type="pct"/>
            <w:tcBorders>
              <w:top w:val="nil"/>
              <w:left w:val="nil"/>
              <w:bottom w:val="single" w:color="auto" w:sz="8" w:space="0"/>
              <w:right w:val="single" w:color="auto" w:sz="8" w:space="0"/>
            </w:tcBorders>
            <w:vAlign w:val="center"/>
          </w:tcPr>
          <w:p w14:paraId="426702F5">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bl>
    <w:p w14:paraId="6308B4CA">
      <w:pPr>
        <w:pStyle w:val="44"/>
        <w:spacing w:before="120" w:after="120"/>
        <w:rPr>
          <w:rFonts w:eastAsia="仿宋_GB2312" w:cs="Times New Roman"/>
        </w:rPr>
      </w:pPr>
      <w:r>
        <w:rPr>
          <w:rFonts w:eastAsia="仿宋_GB2312" w:cs="Times New Roman"/>
        </w:rPr>
        <w:t>9.3 近期重点实施科技支撑项目</w:t>
      </w:r>
      <w:bookmarkEnd w:id="187"/>
    </w:p>
    <w:p w14:paraId="600C9820">
      <w:pPr>
        <w:adjustRightInd w:val="0"/>
        <w:snapToGrid w:val="0"/>
        <w:ind w:firstLine="480"/>
        <w:jc w:val="both"/>
        <w:rPr>
          <w:rFonts w:cs="Times New Roman"/>
        </w:rPr>
      </w:pPr>
      <w:r>
        <w:rPr>
          <w:rFonts w:cs="Times New Roman"/>
        </w:rPr>
        <w:t>近期重点项目安排原则主要为阜康市水土流失防治技术研究薄弱环节，且严重制约水土保持工作成效的研究课题、项目，提升阜康市水土保持综合监管能力和工作效率亟需开展的项目，有利于解决阜康市水土流失重点问题的项目，有利于水土保持技术推广普及，推动阜康市水土保持工作开展的项目。根据以上原则，初步提出重点科技支撑项目详见表9.3-1。</w:t>
      </w:r>
    </w:p>
    <w:p w14:paraId="5E34EF4C">
      <w:pPr>
        <w:adjustRightInd w:val="0"/>
        <w:snapToGrid w:val="0"/>
        <w:ind w:firstLine="480"/>
        <w:jc w:val="both"/>
        <w:rPr>
          <w:rFonts w:cs="Times New Roman"/>
          <w:b/>
        </w:rPr>
      </w:pPr>
      <w:r>
        <w:rPr>
          <w:rFonts w:cs="Times New Roman"/>
        </w:rPr>
        <w:t xml:space="preserve">表9.3-1             </w:t>
      </w:r>
      <w:r>
        <w:rPr>
          <w:rFonts w:cs="Times New Roman"/>
          <w:b/>
        </w:rPr>
        <w:t xml:space="preserve"> 科技支撑重点项目规划表</w:t>
      </w:r>
    </w:p>
    <w:tbl>
      <w:tblPr>
        <w:tblStyle w:val="48"/>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60"/>
        <w:gridCol w:w="3260"/>
        <w:gridCol w:w="4111"/>
      </w:tblGrid>
      <w:tr w14:paraId="0A803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5" w:hRule="exact"/>
          <w:jc w:val="center"/>
        </w:trPr>
        <w:tc>
          <w:tcPr>
            <w:tcW w:w="1560" w:type="dxa"/>
            <w:vAlign w:val="center"/>
          </w:tcPr>
          <w:p w14:paraId="2FCD1120">
            <w:pPr>
              <w:pStyle w:val="374"/>
              <w:adjustRightInd w:val="0"/>
              <w:snapToGrid w:val="0"/>
              <w:spacing w:line="240" w:lineRule="auto"/>
              <w:ind w:firstLine="0" w:firstLineChars="0"/>
              <w:rPr>
                <w:rFonts w:eastAsia="仿宋_GB2312"/>
                <w:sz w:val="21"/>
                <w:szCs w:val="21"/>
                <w:lang w:eastAsia="zh-CN"/>
              </w:rPr>
            </w:pPr>
            <w:r>
              <w:rPr>
                <w:rFonts w:eastAsia="仿宋_GB2312"/>
                <w:sz w:val="21"/>
                <w:szCs w:val="21"/>
                <w:lang w:eastAsia="zh-CN"/>
              </w:rPr>
              <w:t>项目类型</w:t>
            </w:r>
          </w:p>
        </w:tc>
        <w:tc>
          <w:tcPr>
            <w:tcW w:w="3260" w:type="dxa"/>
            <w:vAlign w:val="center"/>
          </w:tcPr>
          <w:p w14:paraId="6916BC48">
            <w:pPr>
              <w:pStyle w:val="374"/>
              <w:adjustRightInd w:val="0"/>
              <w:snapToGrid w:val="0"/>
              <w:spacing w:line="240" w:lineRule="auto"/>
              <w:ind w:firstLine="0" w:firstLineChars="0"/>
              <w:rPr>
                <w:rFonts w:eastAsia="仿宋_GB2312"/>
                <w:sz w:val="21"/>
                <w:szCs w:val="21"/>
                <w:lang w:eastAsia="zh-CN"/>
              </w:rPr>
            </w:pPr>
            <w:r>
              <w:rPr>
                <w:rFonts w:eastAsia="仿宋_GB2312"/>
                <w:sz w:val="21"/>
                <w:szCs w:val="21"/>
                <w:lang w:eastAsia="zh-CN"/>
              </w:rPr>
              <w:t>项目名称</w:t>
            </w:r>
          </w:p>
        </w:tc>
        <w:tc>
          <w:tcPr>
            <w:tcW w:w="4111" w:type="dxa"/>
            <w:vAlign w:val="center"/>
          </w:tcPr>
          <w:p w14:paraId="2842172F">
            <w:pPr>
              <w:pStyle w:val="374"/>
              <w:adjustRightInd w:val="0"/>
              <w:snapToGrid w:val="0"/>
              <w:spacing w:line="240" w:lineRule="auto"/>
              <w:ind w:firstLine="0" w:firstLineChars="0"/>
              <w:rPr>
                <w:rFonts w:eastAsia="仿宋_GB2312"/>
                <w:sz w:val="21"/>
                <w:szCs w:val="21"/>
                <w:lang w:eastAsia="zh-CN"/>
              </w:rPr>
            </w:pPr>
            <w:r>
              <w:rPr>
                <w:rFonts w:eastAsia="仿宋_GB2312"/>
                <w:sz w:val="21"/>
                <w:szCs w:val="21"/>
                <w:lang w:eastAsia="zh-CN"/>
              </w:rPr>
              <w:t>主要内容</w:t>
            </w:r>
          </w:p>
        </w:tc>
      </w:tr>
      <w:tr w14:paraId="55E5F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8" w:hRule="exact"/>
          <w:jc w:val="center"/>
        </w:trPr>
        <w:tc>
          <w:tcPr>
            <w:tcW w:w="1560" w:type="dxa"/>
            <w:vAlign w:val="center"/>
          </w:tcPr>
          <w:p w14:paraId="73E493E7">
            <w:pPr>
              <w:pStyle w:val="374"/>
              <w:adjustRightInd w:val="0"/>
              <w:snapToGrid w:val="0"/>
              <w:spacing w:line="240" w:lineRule="auto"/>
              <w:ind w:firstLine="0" w:firstLineChars="0"/>
              <w:rPr>
                <w:rFonts w:eastAsia="仿宋_GB2312"/>
                <w:sz w:val="21"/>
                <w:szCs w:val="21"/>
                <w:lang w:eastAsia="zh-CN"/>
              </w:rPr>
            </w:pPr>
            <w:r>
              <w:rPr>
                <w:rFonts w:eastAsia="仿宋_GB2312"/>
                <w:sz w:val="21"/>
                <w:szCs w:val="21"/>
                <w:lang w:eastAsia="zh-CN"/>
              </w:rPr>
              <w:t>一、水土保持技术研究课题</w:t>
            </w:r>
          </w:p>
        </w:tc>
        <w:tc>
          <w:tcPr>
            <w:tcW w:w="3260" w:type="dxa"/>
            <w:vAlign w:val="center"/>
          </w:tcPr>
          <w:p w14:paraId="230AFDA1">
            <w:pPr>
              <w:pStyle w:val="374"/>
              <w:adjustRightInd w:val="0"/>
              <w:snapToGrid w:val="0"/>
              <w:spacing w:line="240" w:lineRule="auto"/>
              <w:ind w:firstLine="0" w:firstLineChars="0"/>
              <w:rPr>
                <w:rFonts w:eastAsia="仿宋_GB2312"/>
                <w:sz w:val="21"/>
                <w:szCs w:val="21"/>
                <w:lang w:eastAsia="zh-CN"/>
              </w:rPr>
            </w:pPr>
            <w:r>
              <w:rPr>
                <w:rFonts w:hint="eastAsia" w:eastAsia="仿宋_GB2312"/>
                <w:sz w:val="21"/>
                <w:szCs w:val="21"/>
                <w:lang w:eastAsia="zh-CN"/>
              </w:rPr>
              <w:t>生产建设项目</w:t>
            </w:r>
            <w:r>
              <w:rPr>
                <w:rFonts w:eastAsia="仿宋_GB2312"/>
                <w:sz w:val="21"/>
                <w:szCs w:val="21"/>
                <w:lang w:eastAsia="zh-CN"/>
              </w:rPr>
              <w:t>水土流失防治措施体系研究项目</w:t>
            </w:r>
          </w:p>
        </w:tc>
        <w:tc>
          <w:tcPr>
            <w:tcW w:w="4111" w:type="dxa"/>
            <w:vAlign w:val="center"/>
          </w:tcPr>
          <w:p w14:paraId="77B0D4F0">
            <w:pPr>
              <w:pStyle w:val="374"/>
              <w:adjustRightInd w:val="0"/>
              <w:snapToGrid w:val="0"/>
              <w:spacing w:line="240" w:lineRule="auto"/>
              <w:ind w:firstLine="0" w:firstLineChars="0"/>
              <w:rPr>
                <w:rFonts w:eastAsia="仿宋_GB2312"/>
                <w:sz w:val="21"/>
                <w:szCs w:val="21"/>
                <w:lang w:eastAsia="zh-CN"/>
              </w:rPr>
            </w:pPr>
            <w:r>
              <w:rPr>
                <w:rFonts w:eastAsia="仿宋_GB2312"/>
                <w:sz w:val="21"/>
                <w:szCs w:val="21"/>
                <w:lang w:eastAsia="zh-CN"/>
              </w:rPr>
              <w:t>结合</w:t>
            </w:r>
            <w:r>
              <w:rPr>
                <w:rFonts w:hint="eastAsia" w:eastAsia="仿宋_GB2312"/>
                <w:sz w:val="21"/>
                <w:szCs w:val="21"/>
                <w:lang w:eastAsia="zh-CN"/>
              </w:rPr>
              <w:t>水土流失比较严重区域的生产建设项目</w:t>
            </w:r>
            <w:r>
              <w:rPr>
                <w:rFonts w:eastAsia="仿宋_GB2312"/>
                <w:sz w:val="21"/>
                <w:szCs w:val="21"/>
                <w:lang w:eastAsia="zh-CN"/>
              </w:rPr>
              <w:t>，提出有效的防治措施，控制核心区建设产生的水土流失。</w:t>
            </w:r>
          </w:p>
        </w:tc>
      </w:tr>
      <w:tr w14:paraId="24144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7" w:hRule="exact"/>
          <w:jc w:val="center"/>
        </w:trPr>
        <w:tc>
          <w:tcPr>
            <w:tcW w:w="1560" w:type="dxa"/>
            <w:vAlign w:val="center"/>
          </w:tcPr>
          <w:p w14:paraId="7268A2F7">
            <w:pPr>
              <w:pStyle w:val="374"/>
              <w:adjustRightInd w:val="0"/>
              <w:snapToGrid w:val="0"/>
              <w:spacing w:line="240" w:lineRule="auto"/>
              <w:ind w:firstLine="0" w:firstLineChars="0"/>
              <w:rPr>
                <w:rFonts w:eastAsia="仿宋_GB2312"/>
                <w:sz w:val="21"/>
                <w:szCs w:val="21"/>
                <w:lang w:eastAsia="zh-CN"/>
              </w:rPr>
            </w:pPr>
            <w:r>
              <w:rPr>
                <w:rFonts w:eastAsia="仿宋_GB2312"/>
                <w:sz w:val="21"/>
                <w:szCs w:val="21"/>
                <w:lang w:eastAsia="zh-CN"/>
              </w:rPr>
              <w:t>二、技术推广与示范项目</w:t>
            </w:r>
          </w:p>
        </w:tc>
        <w:tc>
          <w:tcPr>
            <w:tcW w:w="3260" w:type="dxa"/>
            <w:vAlign w:val="center"/>
          </w:tcPr>
          <w:p w14:paraId="3340E50D">
            <w:pPr>
              <w:pStyle w:val="374"/>
              <w:adjustRightInd w:val="0"/>
              <w:snapToGrid w:val="0"/>
              <w:spacing w:line="240" w:lineRule="auto"/>
              <w:ind w:firstLine="0" w:firstLineChars="0"/>
              <w:rPr>
                <w:rFonts w:eastAsia="仿宋_GB2312"/>
                <w:sz w:val="21"/>
                <w:szCs w:val="21"/>
                <w:lang w:eastAsia="zh-CN"/>
              </w:rPr>
            </w:pPr>
            <w:r>
              <w:rPr>
                <w:rFonts w:hint="eastAsia" w:eastAsia="仿宋_GB2312"/>
                <w:sz w:val="21"/>
                <w:szCs w:val="21"/>
                <w:lang w:eastAsia="zh-CN"/>
              </w:rPr>
              <w:t>生态脆弱区</w:t>
            </w:r>
            <w:r>
              <w:rPr>
                <w:rFonts w:eastAsia="仿宋_GB2312"/>
                <w:sz w:val="21"/>
                <w:szCs w:val="21"/>
                <w:lang w:eastAsia="zh-CN"/>
              </w:rPr>
              <w:t>生态系统功能的恢复重建技术研究</w:t>
            </w:r>
          </w:p>
        </w:tc>
        <w:tc>
          <w:tcPr>
            <w:tcW w:w="4111" w:type="dxa"/>
            <w:vAlign w:val="center"/>
          </w:tcPr>
          <w:p w14:paraId="5B9FFF5C">
            <w:pPr>
              <w:pStyle w:val="374"/>
              <w:adjustRightInd w:val="0"/>
              <w:snapToGrid w:val="0"/>
              <w:spacing w:line="240" w:lineRule="auto"/>
              <w:ind w:firstLine="0" w:firstLineChars="0"/>
              <w:rPr>
                <w:rFonts w:eastAsia="仿宋_GB2312"/>
                <w:sz w:val="21"/>
                <w:szCs w:val="21"/>
                <w:lang w:eastAsia="zh-CN"/>
              </w:rPr>
            </w:pPr>
            <w:r>
              <w:rPr>
                <w:rFonts w:eastAsia="仿宋_GB2312"/>
                <w:sz w:val="21"/>
                <w:szCs w:val="21"/>
                <w:lang w:eastAsia="zh-CN"/>
              </w:rPr>
              <w:t>在</w:t>
            </w:r>
            <w:r>
              <w:rPr>
                <w:rFonts w:hint="eastAsia" w:eastAsia="仿宋_GB2312"/>
                <w:sz w:val="21"/>
                <w:szCs w:val="21"/>
                <w:lang w:eastAsia="zh-CN"/>
              </w:rPr>
              <w:t>南部中低山区和北部荒漠区</w:t>
            </w:r>
            <w:r>
              <w:rPr>
                <w:rFonts w:eastAsia="仿宋_GB2312"/>
                <w:sz w:val="21"/>
                <w:szCs w:val="21"/>
                <w:lang w:eastAsia="zh-CN"/>
              </w:rPr>
              <w:t>开展研究水蚀和风蚀综合治理模式，探索生态系统功能的恢复重建技术</w:t>
            </w:r>
          </w:p>
        </w:tc>
      </w:tr>
    </w:tbl>
    <w:p w14:paraId="3681E19D">
      <w:pPr>
        <w:pStyle w:val="370"/>
        <w:ind w:firstLine="480"/>
        <w:rPr>
          <w:rFonts w:eastAsia="仿宋_GB2312"/>
        </w:rPr>
      </w:pPr>
      <w:bookmarkStart w:id="188" w:name="_Toc150724306"/>
    </w:p>
    <w:p w14:paraId="682CB50A">
      <w:pPr>
        <w:pStyle w:val="370"/>
        <w:ind w:firstLine="480"/>
        <w:rPr>
          <w:rFonts w:eastAsia="仿宋_GB2312"/>
        </w:rPr>
      </w:pPr>
    </w:p>
    <w:p w14:paraId="39AFE050">
      <w:pPr>
        <w:pStyle w:val="44"/>
        <w:spacing w:before="120" w:after="120"/>
        <w:rPr>
          <w:rFonts w:eastAsia="仿宋_GB2312" w:cs="Times New Roman"/>
        </w:rPr>
      </w:pPr>
      <w:r>
        <w:rPr>
          <w:rFonts w:eastAsia="仿宋_GB2312" w:cs="Times New Roman"/>
        </w:rPr>
        <w:t>9.4 投资匡算</w:t>
      </w:r>
      <w:bookmarkEnd w:id="188"/>
    </w:p>
    <w:p w14:paraId="2B3D3448">
      <w:pPr>
        <w:pStyle w:val="5"/>
        <w:rPr>
          <w:rFonts w:eastAsia="仿宋_GB2312"/>
        </w:rPr>
      </w:pPr>
      <w:r>
        <w:rPr>
          <w:rFonts w:eastAsia="仿宋_GB2312"/>
        </w:rPr>
        <w:t>9.4.1 编制原则与方法</w:t>
      </w:r>
    </w:p>
    <w:p w14:paraId="660B721D">
      <w:pPr>
        <w:adjustRightInd w:val="0"/>
        <w:snapToGrid w:val="0"/>
        <w:ind w:firstLine="480"/>
        <w:rPr>
          <w:rFonts w:cs="Times New Roman"/>
        </w:rPr>
      </w:pPr>
      <w:r>
        <w:rPr>
          <w:rFonts w:cs="Times New Roman"/>
        </w:rPr>
        <w:t>1、编制原则</w:t>
      </w:r>
    </w:p>
    <w:p w14:paraId="6025B912">
      <w:pPr>
        <w:adjustRightInd w:val="0"/>
        <w:snapToGrid w:val="0"/>
        <w:ind w:firstLine="480"/>
        <w:rPr>
          <w:rFonts w:cs="Times New Roman"/>
        </w:rPr>
      </w:pPr>
      <w:r>
        <w:rPr>
          <w:rFonts w:cs="Times New Roman"/>
        </w:rPr>
        <w:t>（1）本规划投资包括近远期总投资及近期重点项目投资，近期重点项目投资为预防措施中封禁措施，治理措施中荒漠化治理和综合治理、监测、专题研究等所需费用；配套工程如水源地保护、荒漠化治理等从相关规划中计列。</w:t>
      </w:r>
    </w:p>
    <w:p w14:paraId="2239CF04">
      <w:pPr>
        <w:adjustRightInd w:val="0"/>
        <w:snapToGrid w:val="0"/>
        <w:ind w:firstLine="480"/>
        <w:rPr>
          <w:rFonts w:cs="Times New Roman"/>
        </w:rPr>
      </w:pPr>
      <w:r>
        <w:rPr>
          <w:rFonts w:cs="Times New Roman"/>
        </w:rPr>
        <w:t>（2）投资估算采用静态方法计算，价格水平按202</w:t>
      </w:r>
      <w:r>
        <w:rPr>
          <w:rFonts w:hint="eastAsia" w:cs="Times New Roman"/>
        </w:rPr>
        <w:t>4</w:t>
      </w:r>
      <w:r>
        <w:rPr>
          <w:rFonts w:cs="Times New Roman"/>
        </w:rPr>
        <w:t>年现行价格计算。</w:t>
      </w:r>
    </w:p>
    <w:p w14:paraId="1EC7A060">
      <w:pPr>
        <w:pStyle w:val="5"/>
        <w:rPr>
          <w:rFonts w:eastAsia="仿宋_GB2312"/>
        </w:rPr>
      </w:pPr>
      <w:r>
        <w:rPr>
          <w:rFonts w:eastAsia="仿宋_GB2312"/>
        </w:rPr>
        <w:t>9.4.2 编制单价</w:t>
      </w:r>
    </w:p>
    <w:p w14:paraId="6B604722">
      <w:pPr>
        <w:adjustRightInd w:val="0"/>
        <w:snapToGrid w:val="0"/>
        <w:ind w:firstLine="480"/>
        <w:jc w:val="both"/>
        <w:rPr>
          <w:rFonts w:cs="Times New Roman"/>
        </w:rPr>
      </w:pPr>
      <w:r>
        <w:rPr>
          <w:rFonts w:cs="Times New Roman"/>
        </w:rPr>
        <w:t>1、综合治理及预防单价</w:t>
      </w:r>
    </w:p>
    <w:p w14:paraId="6795CF65">
      <w:pPr>
        <w:adjustRightInd w:val="0"/>
        <w:snapToGrid w:val="0"/>
        <w:ind w:firstLine="480"/>
        <w:jc w:val="both"/>
        <w:rPr>
          <w:rFonts w:cs="Times New Roman"/>
        </w:rPr>
      </w:pPr>
      <w:r>
        <w:rPr>
          <w:rFonts w:cs="Times New Roman"/>
        </w:rPr>
        <w:t>分区测算单位面积治理费用，按照综合指标法进行投资匡算的编制。根据近年昌吉州已建水土保持工程的调研，同时参考(新疆维吾尔自治区2009-2011年水土保持重点工程建设规划》、《全国坡耕地水 土流失综合治理规划(2011-2020年)》、《新疆维吾尔自治区水土保持监测规划(2013-2030年))、新疆维吾尔自治区水土保持信息化规划(2018-2025年)和新疆维吾尔自治区水土保持规划(2018-2030年) 等相关规划，确定各水土流失类型防治措施综合单价，具体见表9.4-1。</w:t>
      </w:r>
    </w:p>
    <w:p w14:paraId="79425331">
      <w:pPr>
        <w:adjustRightInd w:val="0"/>
        <w:snapToGrid w:val="0"/>
        <w:ind w:firstLine="1080" w:firstLineChars="450"/>
        <w:rPr>
          <w:rFonts w:cs="Times New Roman"/>
          <w:b/>
        </w:rPr>
      </w:pPr>
      <w:r>
        <w:rPr>
          <w:rFonts w:cs="Times New Roman"/>
        </w:rPr>
        <w:t xml:space="preserve">表9.4-1       </w:t>
      </w:r>
      <w:r>
        <w:rPr>
          <w:rFonts w:cs="Times New Roman"/>
          <w:b/>
        </w:rPr>
        <w:t>综合治理及预防单价表</w:t>
      </w:r>
    </w:p>
    <w:tbl>
      <w:tblPr>
        <w:tblStyle w:val="48"/>
        <w:tblW w:w="5000" w:type="pct"/>
        <w:tblInd w:w="0" w:type="dxa"/>
        <w:tblLayout w:type="autofit"/>
        <w:tblCellMar>
          <w:top w:w="0" w:type="dxa"/>
          <w:left w:w="108" w:type="dxa"/>
          <w:bottom w:w="0" w:type="dxa"/>
          <w:right w:w="108" w:type="dxa"/>
        </w:tblCellMar>
      </w:tblPr>
      <w:tblGrid>
        <w:gridCol w:w="1594"/>
        <w:gridCol w:w="3524"/>
        <w:gridCol w:w="1595"/>
        <w:gridCol w:w="1816"/>
      </w:tblGrid>
      <w:tr w14:paraId="377019EE">
        <w:tblPrEx>
          <w:tblCellMar>
            <w:top w:w="0" w:type="dxa"/>
            <w:left w:w="108" w:type="dxa"/>
            <w:bottom w:w="0" w:type="dxa"/>
            <w:right w:w="108" w:type="dxa"/>
          </w:tblCellMar>
        </w:tblPrEx>
        <w:trPr>
          <w:trHeight w:val="312" w:hRule="atLeast"/>
        </w:trPr>
        <w:tc>
          <w:tcPr>
            <w:tcW w:w="9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07E8886">
            <w:pPr>
              <w:spacing w:line="240" w:lineRule="auto"/>
              <w:ind w:firstLine="400" w:firstLineChars="0"/>
              <w:jc w:val="center"/>
              <w:rPr>
                <w:rFonts w:cs="Times New Roman"/>
                <w:sz w:val="20"/>
                <w:szCs w:val="20"/>
              </w:rPr>
            </w:pPr>
            <w:r>
              <w:rPr>
                <w:rFonts w:cs="Times New Roman"/>
                <w:sz w:val="20"/>
                <w:szCs w:val="20"/>
              </w:rPr>
              <w:t>序号</w:t>
            </w:r>
          </w:p>
        </w:tc>
        <w:tc>
          <w:tcPr>
            <w:tcW w:w="2099" w:type="pct"/>
            <w:tcBorders>
              <w:top w:val="single" w:color="auto" w:sz="4" w:space="0"/>
              <w:left w:val="nil"/>
              <w:bottom w:val="single" w:color="auto" w:sz="4" w:space="0"/>
              <w:right w:val="single" w:color="auto" w:sz="4" w:space="0"/>
            </w:tcBorders>
            <w:shd w:val="clear" w:color="auto" w:fill="auto"/>
            <w:noWrap/>
            <w:vAlign w:val="center"/>
          </w:tcPr>
          <w:p w14:paraId="11482AC4">
            <w:pPr>
              <w:spacing w:line="240" w:lineRule="auto"/>
              <w:ind w:firstLine="0" w:firstLineChars="0"/>
              <w:jc w:val="center"/>
              <w:rPr>
                <w:rFonts w:cs="Times New Roman"/>
                <w:sz w:val="20"/>
                <w:szCs w:val="20"/>
              </w:rPr>
            </w:pPr>
            <w:r>
              <w:rPr>
                <w:rFonts w:cs="Times New Roman"/>
                <w:sz w:val="20"/>
                <w:szCs w:val="20"/>
              </w:rPr>
              <w:t>措施类型</w:t>
            </w:r>
          </w:p>
        </w:tc>
        <w:tc>
          <w:tcPr>
            <w:tcW w:w="967" w:type="pct"/>
            <w:tcBorders>
              <w:top w:val="single" w:color="auto" w:sz="4" w:space="0"/>
              <w:left w:val="nil"/>
              <w:bottom w:val="single" w:color="auto" w:sz="4" w:space="0"/>
              <w:right w:val="single" w:color="auto" w:sz="4" w:space="0"/>
            </w:tcBorders>
            <w:shd w:val="clear" w:color="auto" w:fill="auto"/>
            <w:noWrap/>
            <w:vAlign w:val="center"/>
          </w:tcPr>
          <w:p w14:paraId="189D4985">
            <w:pPr>
              <w:spacing w:line="240" w:lineRule="auto"/>
              <w:ind w:firstLine="0" w:firstLineChars="0"/>
              <w:jc w:val="center"/>
              <w:rPr>
                <w:rFonts w:cs="Times New Roman"/>
                <w:sz w:val="20"/>
                <w:szCs w:val="20"/>
              </w:rPr>
            </w:pPr>
            <w:r>
              <w:rPr>
                <w:rFonts w:cs="Times New Roman"/>
                <w:sz w:val="20"/>
                <w:szCs w:val="20"/>
              </w:rPr>
              <w:t>单位</w:t>
            </w:r>
          </w:p>
        </w:tc>
        <w:tc>
          <w:tcPr>
            <w:tcW w:w="967" w:type="pct"/>
            <w:tcBorders>
              <w:top w:val="single" w:color="auto" w:sz="4" w:space="0"/>
              <w:left w:val="nil"/>
              <w:bottom w:val="single" w:color="auto" w:sz="4" w:space="0"/>
              <w:right w:val="single" w:color="auto" w:sz="4" w:space="0"/>
            </w:tcBorders>
            <w:shd w:val="clear" w:color="auto" w:fill="auto"/>
            <w:noWrap/>
            <w:vAlign w:val="center"/>
          </w:tcPr>
          <w:p w14:paraId="651A27A7">
            <w:pPr>
              <w:spacing w:line="240" w:lineRule="auto"/>
              <w:ind w:firstLine="0" w:firstLineChars="0"/>
              <w:jc w:val="center"/>
              <w:rPr>
                <w:rFonts w:cs="Times New Roman"/>
                <w:sz w:val="20"/>
                <w:szCs w:val="20"/>
              </w:rPr>
            </w:pPr>
            <w:r>
              <w:rPr>
                <w:rFonts w:cs="Times New Roman"/>
                <w:sz w:val="20"/>
                <w:szCs w:val="20"/>
              </w:rPr>
              <w:t>单位投资（万元）</w:t>
            </w:r>
          </w:p>
        </w:tc>
      </w:tr>
      <w:tr w14:paraId="3A7AF82A">
        <w:tblPrEx>
          <w:tblCellMar>
            <w:top w:w="0" w:type="dxa"/>
            <w:left w:w="108" w:type="dxa"/>
            <w:bottom w:w="0" w:type="dxa"/>
            <w:right w:w="108" w:type="dxa"/>
          </w:tblCellMar>
        </w:tblPrEx>
        <w:trPr>
          <w:trHeight w:val="312" w:hRule="atLeast"/>
        </w:trPr>
        <w:tc>
          <w:tcPr>
            <w:tcW w:w="967" w:type="pct"/>
            <w:tcBorders>
              <w:top w:val="nil"/>
              <w:left w:val="single" w:color="auto" w:sz="4" w:space="0"/>
              <w:bottom w:val="single" w:color="auto" w:sz="4" w:space="0"/>
              <w:right w:val="single" w:color="auto" w:sz="4" w:space="0"/>
            </w:tcBorders>
            <w:shd w:val="clear" w:color="auto" w:fill="auto"/>
            <w:noWrap/>
            <w:vAlign w:val="center"/>
          </w:tcPr>
          <w:p w14:paraId="629FA2F7">
            <w:pPr>
              <w:spacing w:line="240" w:lineRule="auto"/>
              <w:ind w:firstLine="0" w:firstLineChars="0"/>
              <w:jc w:val="center"/>
              <w:rPr>
                <w:rFonts w:cs="Times New Roman"/>
                <w:sz w:val="20"/>
                <w:szCs w:val="20"/>
              </w:rPr>
            </w:pPr>
            <w:r>
              <w:rPr>
                <w:rFonts w:cs="Times New Roman"/>
                <w:sz w:val="20"/>
                <w:szCs w:val="20"/>
              </w:rPr>
              <w:t>1</w:t>
            </w:r>
          </w:p>
        </w:tc>
        <w:tc>
          <w:tcPr>
            <w:tcW w:w="2099" w:type="pct"/>
            <w:tcBorders>
              <w:top w:val="nil"/>
              <w:left w:val="nil"/>
              <w:bottom w:val="single" w:color="auto" w:sz="4" w:space="0"/>
              <w:right w:val="single" w:color="auto" w:sz="4" w:space="0"/>
            </w:tcBorders>
            <w:shd w:val="clear" w:color="auto" w:fill="auto"/>
            <w:noWrap/>
            <w:vAlign w:val="center"/>
          </w:tcPr>
          <w:p w14:paraId="213BBFF7">
            <w:pPr>
              <w:spacing w:line="240" w:lineRule="auto"/>
              <w:ind w:firstLine="0" w:firstLineChars="0"/>
              <w:jc w:val="center"/>
              <w:rPr>
                <w:rFonts w:cs="Times New Roman"/>
                <w:sz w:val="20"/>
                <w:szCs w:val="20"/>
              </w:rPr>
            </w:pPr>
            <w:r>
              <w:rPr>
                <w:rFonts w:cs="Times New Roman"/>
                <w:sz w:val="20"/>
                <w:szCs w:val="20"/>
              </w:rPr>
              <w:t>封禁围栏</w:t>
            </w:r>
          </w:p>
        </w:tc>
        <w:tc>
          <w:tcPr>
            <w:tcW w:w="967" w:type="pct"/>
            <w:tcBorders>
              <w:top w:val="nil"/>
              <w:left w:val="nil"/>
              <w:bottom w:val="single" w:color="auto" w:sz="4" w:space="0"/>
              <w:right w:val="single" w:color="auto" w:sz="4" w:space="0"/>
            </w:tcBorders>
            <w:shd w:val="clear" w:color="auto" w:fill="auto"/>
            <w:noWrap/>
            <w:vAlign w:val="center"/>
          </w:tcPr>
          <w:p w14:paraId="0C401F3B">
            <w:pPr>
              <w:spacing w:line="240" w:lineRule="auto"/>
              <w:ind w:firstLine="0" w:firstLineChars="0"/>
              <w:jc w:val="center"/>
              <w:rPr>
                <w:rFonts w:cs="Times New Roman"/>
                <w:sz w:val="20"/>
                <w:szCs w:val="20"/>
              </w:rPr>
            </w:pPr>
            <w:r>
              <w:rPr>
                <w:rFonts w:cs="Times New Roman"/>
                <w:sz w:val="20"/>
                <w:szCs w:val="20"/>
              </w:rPr>
              <w:t>km</w:t>
            </w:r>
            <w:r>
              <w:rPr>
                <w:rFonts w:cs="Times New Roman"/>
                <w:sz w:val="20"/>
                <w:szCs w:val="20"/>
                <w:vertAlign w:val="superscript"/>
              </w:rPr>
              <w:t>2</w:t>
            </w:r>
          </w:p>
        </w:tc>
        <w:tc>
          <w:tcPr>
            <w:tcW w:w="967" w:type="pct"/>
            <w:tcBorders>
              <w:top w:val="nil"/>
              <w:left w:val="nil"/>
              <w:bottom w:val="single" w:color="auto" w:sz="4" w:space="0"/>
              <w:right w:val="single" w:color="auto" w:sz="4" w:space="0"/>
            </w:tcBorders>
            <w:shd w:val="clear" w:color="auto" w:fill="auto"/>
            <w:noWrap/>
            <w:vAlign w:val="center"/>
          </w:tcPr>
          <w:p w14:paraId="12FACC44">
            <w:pPr>
              <w:spacing w:line="240" w:lineRule="auto"/>
              <w:ind w:firstLine="0" w:firstLineChars="0"/>
              <w:jc w:val="center"/>
              <w:rPr>
                <w:rFonts w:cs="Times New Roman"/>
                <w:sz w:val="20"/>
                <w:szCs w:val="20"/>
              </w:rPr>
            </w:pPr>
            <w:r>
              <w:rPr>
                <w:rFonts w:cs="Times New Roman"/>
                <w:sz w:val="20"/>
                <w:szCs w:val="20"/>
              </w:rPr>
              <w:t>10</w:t>
            </w:r>
          </w:p>
        </w:tc>
      </w:tr>
      <w:tr w14:paraId="5FE2FC24">
        <w:tblPrEx>
          <w:tblCellMar>
            <w:top w:w="0" w:type="dxa"/>
            <w:left w:w="108" w:type="dxa"/>
            <w:bottom w:w="0" w:type="dxa"/>
            <w:right w:w="108" w:type="dxa"/>
          </w:tblCellMar>
        </w:tblPrEx>
        <w:trPr>
          <w:trHeight w:val="312" w:hRule="atLeast"/>
        </w:trPr>
        <w:tc>
          <w:tcPr>
            <w:tcW w:w="967" w:type="pct"/>
            <w:tcBorders>
              <w:top w:val="nil"/>
              <w:left w:val="single" w:color="auto" w:sz="4" w:space="0"/>
              <w:bottom w:val="single" w:color="auto" w:sz="4" w:space="0"/>
              <w:right w:val="single" w:color="auto" w:sz="4" w:space="0"/>
            </w:tcBorders>
            <w:shd w:val="clear" w:color="auto" w:fill="auto"/>
            <w:noWrap/>
            <w:vAlign w:val="center"/>
          </w:tcPr>
          <w:p w14:paraId="1A8F2439">
            <w:pPr>
              <w:spacing w:line="240" w:lineRule="auto"/>
              <w:ind w:firstLine="0" w:firstLineChars="0"/>
              <w:jc w:val="center"/>
              <w:rPr>
                <w:rFonts w:cs="Times New Roman"/>
                <w:sz w:val="20"/>
                <w:szCs w:val="20"/>
              </w:rPr>
            </w:pPr>
            <w:r>
              <w:rPr>
                <w:rFonts w:cs="Times New Roman"/>
                <w:sz w:val="20"/>
                <w:szCs w:val="20"/>
              </w:rPr>
              <w:t>2</w:t>
            </w:r>
          </w:p>
        </w:tc>
        <w:tc>
          <w:tcPr>
            <w:tcW w:w="2099" w:type="pct"/>
            <w:tcBorders>
              <w:top w:val="nil"/>
              <w:left w:val="nil"/>
              <w:bottom w:val="single" w:color="auto" w:sz="4" w:space="0"/>
              <w:right w:val="single" w:color="auto" w:sz="4" w:space="0"/>
            </w:tcBorders>
            <w:shd w:val="clear" w:color="auto" w:fill="auto"/>
            <w:noWrap/>
            <w:vAlign w:val="center"/>
          </w:tcPr>
          <w:p w14:paraId="006D64B2">
            <w:pPr>
              <w:spacing w:line="240" w:lineRule="auto"/>
              <w:ind w:firstLine="0" w:firstLineChars="0"/>
              <w:jc w:val="center"/>
              <w:rPr>
                <w:rFonts w:cs="Times New Roman"/>
                <w:sz w:val="20"/>
                <w:szCs w:val="20"/>
              </w:rPr>
            </w:pPr>
            <w:r>
              <w:rPr>
                <w:rFonts w:cs="Times New Roman"/>
                <w:sz w:val="20"/>
                <w:szCs w:val="20"/>
              </w:rPr>
              <w:t>水土保持综合治理工程</w:t>
            </w:r>
          </w:p>
        </w:tc>
        <w:tc>
          <w:tcPr>
            <w:tcW w:w="967" w:type="pct"/>
            <w:tcBorders>
              <w:top w:val="nil"/>
              <w:left w:val="nil"/>
              <w:bottom w:val="single" w:color="auto" w:sz="4" w:space="0"/>
              <w:right w:val="single" w:color="auto" w:sz="4" w:space="0"/>
            </w:tcBorders>
            <w:shd w:val="clear" w:color="auto" w:fill="auto"/>
            <w:noWrap/>
            <w:vAlign w:val="center"/>
          </w:tcPr>
          <w:p w14:paraId="7FBCA6CD">
            <w:pPr>
              <w:spacing w:line="240" w:lineRule="auto"/>
              <w:ind w:firstLine="0" w:firstLineChars="0"/>
              <w:jc w:val="center"/>
              <w:rPr>
                <w:rFonts w:cs="Times New Roman"/>
                <w:sz w:val="20"/>
                <w:szCs w:val="20"/>
              </w:rPr>
            </w:pPr>
            <w:r>
              <w:rPr>
                <w:rFonts w:cs="Times New Roman"/>
                <w:sz w:val="20"/>
                <w:szCs w:val="20"/>
              </w:rPr>
              <w:t>km</w:t>
            </w:r>
            <w:r>
              <w:rPr>
                <w:rFonts w:cs="Times New Roman"/>
                <w:sz w:val="20"/>
                <w:szCs w:val="20"/>
                <w:vertAlign w:val="superscript"/>
              </w:rPr>
              <w:t>2</w:t>
            </w:r>
          </w:p>
        </w:tc>
        <w:tc>
          <w:tcPr>
            <w:tcW w:w="967" w:type="pct"/>
            <w:tcBorders>
              <w:top w:val="nil"/>
              <w:left w:val="nil"/>
              <w:bottom w:val="single" w:color="auto" w:sz="4" w:space="0"/>
              <w:right w:val="single" w:color="auto" w:sz="4" w:space="0"/>
            </w:tcBorders>
            <w:shd w:val="clear" w:color="auto" w:fill="auto"/>
            <w:noWrap/>
            <w:vAlign w:val="center"/>
          </w:tcPr>
          <w:p w14:paraId="0357F1C6">
            <w:pPr>
              <w:spacing w:line="240" w:lineRule="auto"/>
              <w:ind w:firstLine="0" w:firstLineChars="0"/>
              <w:jc w:val="center"/>
              <w:rPr>
                <w:rFonts w:cs="Times New Roman"/>
                <w:sz w:val="20"/>
                <w:szCs w:val="20"/>
              </w:rPr>
            </w:pPr>
            <w:r>
              <w:rPr>
                <w:rFonts w:cs="Times New Roman"/>
                <w:sz w:val="20"/>
                <w:szCs w:val="20"/>
              </w:rPr>
              <w:t>80</w:t>
            </w:r>
          </w:p>
        </w:tc>
      </w:tr>
      <w:tr w14:paraId="42A013B7">
        <w:tblPrEx>
          <w:tblCellMar>
            <w:top w:w="0" w:type="dxa"/>
            <w:left w:w="108" w:type="dxa"/>
            <w:bottom w:w="0" w:type="dxa"/>
            <w:right w:w="108" w:type="dxa"/>
          </w:tblCellMar>
        </w:tblPrEx>
        <w:trPr>
          <w:trHeight w:val="312" w:hRule="atLeast"/>
        </w:trPr>
        <w:tc>
          <w:tcPr>
            <w:tcW w:w="967" w:type="pct"/>
            <w:tcBorders>
              <w:top w:val="nil"/>
              <w:left w:val="single" w:color="auto" w:sz="4" w:space="0"/>
              <w:bottom w:val="single" w:color="auto" w:sz="4" w:space="0"/>
              <w:right w:val="single" w:color="auto" w:sz="4" w:space="0"/>
            </w:tcBorders>
            <w:shd w:val="clear" w:color="auto" w:fill="auto"/>
            <w:noWrap/>
            <w:vAlign w:val="center"/>
          </w:tcPr>
          <w:p w14:paraId="21EFC84C">
            <w:pPr>
              <w:spacing w:line="240" w:lineRule="auto"/>
              <w:ind w:firstLine="0" w:firstLineChars="0"/>
              <w:jc w:val="center"/>
              <w:rPr>
                <w:rFonts w:cs="Times New Roman"/>
                <w:sz w:val="20"/>
                <w:szCs w:val="20"/>
              </w:rPr>
            </w:pPr>
            <w:r>
              <w:rPr>
                <w:rFonts w:cs="Times New Roman"/>
                <w:sz w:val="20"/>
                <w:szCs w:val="20"/>
              </w:rPr>
              <w:t>3</w:t>
            </w:r>
          </w:p>
        </w:tc>
        <w:tc>
          <w:tcPr>
            <w:tcW w:w="2099" w:type="pct"/>
            <w:tcBorders>
              <w:top w:val="nil"/>
              <w:left w:val="nil"/>
              <w:bottom w:val="single" w:color="auto" w:sz="4" w:space="0"/>
              <w:right w:val="single" w:color="auto" w:sz="4" w:space="0"/>
            </w:tcBorders>
            <w:shd w:val="clear" w:color="auto" w:fill="auto"/>
            <w:noWrap/>
            <w:vAlign w:val="center"/>
          </w:tcPr>
          <w:p w14:paraId="06E3CF93">
            <w:pPr>
              <w:spacing w:line="240" w:lineRule="auto"/>
              <w:ind w:firstLine="0" w:firstLineChars="0"/>
              <w:jc w:val="center"/>
              <w:rPr>
                <w:rFonts w:cs="Times New Roman"/>
                <w:sz w:val="20"/>
                <w:szCs w:val="20"/>
              </w:rPr>
            </w:pPr>
            <w:r>
              <w:rPr>
                <w:rFonts w:cs="Times New Roman"/>
                <w:sz w:val="20"/>
                <w:szCs w:val="20"/>
              </w:rPr>
              <w:t>植被恢复</w:t>
            </w:r>
          </w:p>
        </w:tc>
        <w:tc>
          <w:tcPr>
            <w:tcW w:w="967" w:type="pct"/>
            <w:tcBorders>
              <w:top w:val="nil"/>
              <w:left w:val="nil"/>
              <w:bottom w:val="single" w:color="auto" w:sz="4" w:space="0"/>
              <w:right w:val="single" w:color="auto" w:sz="4" w:space="0"/>
            </w:tcBorders>
            <w:shd w:val="clear" w:color="auto" w:fill="auto"/>
            <w:noWrap/>
            <w:vAlign w:val="center"/>
          </w:tcPr>
          <w:p w14:paraId="6C9EE436">
            <w:pPr>
              <w:spacing w:line="240" w:lineRule="auto"/>
              <w:ind w:firstLine="0" w:firstLineChars="0"/>
              <w:jc w:val="center"/>
              <w:rPr>
                <w:rFonts w:cs="Times New Roman"/>
                <w:sz w:val="20"/>
                <w:szCs w:val="20"/>
              </w:rPr>
            </w:pPr>
            <w:r>
              <w:rPr>
                <w:rFonts w:cs="Times New Roman"/>
                <w:sz w:val="20"/>
                <w:szCs w:val="20"/>
              </w:rPr>
              <w:t>km</w:t>
            </w:r>
            <w:r>
              <w:rPr>
                <w:rFonts w:cs="Times New Roman"/>
                <w:sz w:val="20"/>
                <w:szCs w:val="20"/>
                <w:vertAlign w:val="superscript"/>
              </w:rPr>
              <w:t>2</w:t>
            </w:r>
          </w:p>
        </w:tc>
        <w:tc>
          <w:tcPr>
            <w:tcW w:w="967" w:type="pct"/>
            <w:tcBorders>
              <w:top w:val="nil"/>
              <w:left w:val="nil"/>
              <w:bottom w:val="single" w:color="auto" w:sz="4" w:space="0"/>
              <w:right w:val="single" w:color="auto" w:sz="4" w:space="0"/>
            </w:tcBorders>
            <w:shd w:val="clear" w:color="auto" w:fill="auto"/>
            <w:noWrap/>
            <w:vAlign w:val="center"/>
          </w:tcPr>
          <w:p w14:paraId="26A5D318">
            <w:pPr>
              <w:spacing w:line="240" w:lineRule="auto"/>
              <w:ind w:firstLine="0" w:firstLineChars="0"/>
              <w:jc w:val="center"/>
              <w:rPr>
                <w:rFonts w:cs="Times New Roman"/>
                <w:sz w:val="20"/>
                <w:szCs w:val="20"/>
              </w:rPr>
            </w:pPr>
            <w:r>
              <w:rPr>
                <w:rFonts w:cs="Times New Roman"/>
                <w:sz w:val="20"/>
                <w:szCs w:val="20"/>
              </w:rPr>
              <w:t>35</w:t>
            </w:r>
          </w:p>
        </w:tc>
      </w:tr>
      <w:tr w14:paraId="3D623FC4">
        <w:tblPrEx>
          <w:tblCellMar>
            <w:top w:w="0" w:type="dxa"/>
            <w:left w:w="108" w:type="dxa"/>
            <w:bottom w:w="0" w:type="dxa"/>
            <w:right w:w="108" w:type="dxa"/>
          </w:tblCellMar>
        </w:tblPrEx>
        <w:trPr>
          <w:trHeight w:val="312" w:hRule="atLeast"/>
        </w:trPr>
        <w:tc>
          <w:tcPr>
            <w:tcW w:w="967" w:type="pct"/>
            <w:tcBorders>
              <w:top w:val="nil"/>
              <w:left w:val="single" w:color="auto" w:sz="4" w:space="0"/>
              <w:bottom w:val="single" w:color="auto" w:sz="4" w:space="0"/>
              <w:right w:val="single" w:color="auto" w:sz="4" w:space="0"/>
            </w:tcBorders>
            <w:shd w:val="clear" w:color="auto" w:fill="auto"/>
            <w:noWrap/>
            <w:vAlign w:val="center"/>
          </w:tcPr>
          <w:p w14:paraId="12211EB6">
            <w:pPr>
              <w:spacing w:line="240" w:lineRule="auto"/>
              <w:ind w:firstLine="0" w:firstLineChars="0"/>
              <w:jc w:val="center"/>
              <w:rPr>
                <w:rFonts w:cs="Times New Roman"/>
                <w:sz w:val="20"/>
                <w:szCs w:val="20"/>
              </w:rPr>
            </w:pPr>
            <w:r>
              <w:rPr>
                <w:rFonts w:cs="Times New Roman"/>
                <w:sz w:val="20"/>
                <w:szCs w:val="20"/>
              </w:rPr>
              <w:t>4</w:t>
            </w:r>
          </w:p>
        </w:tc>
        <w:tc>
          <w:tcPr>
            <w:tcW w:w="2099" w:type="pct"/>
            <w:tcBorders>
              <w:top w:val="nil"/>
              <w:left w:val="nil"/>
              <w:bottom w:val="single" w:color="auto" w:sz="4" w:space="0"/>
              <w:right w:val="single" w:color="auto" w:sz="4" w:space="0"/>
            </w:tcBorders>
            <w:shd w:val="clear" w:color="auto" w:fill="auto"/>
            <w:noWrap/>
            <w:vAlign w:val="center"/>
          </w:tcPr>
          <w:p w14:paraId="1BA3EDAF">
            <w:pPr>
              <w:spacing w:line="240" w:lineRule="auto"/>
              <w:ind w:firstLine="0" w:firstLineChars="0"/>
              <w:jc w:val="center"/>
              <w:rPr>
                <w:rFonts w:cs="Times New Roman"/>
                <w:sz w:val="20"/>
                <w:szCs w:val="20"/>
              </w:rPr>
            </w:pPr>
            <w:r>
              <w:rPr>
                <w:rFonts w:cs="Times New Roman"/>
                <w:sz w:val="20"/>
                <w:szCs w:val="20"/>
              </w:rPr>
              <w:t>土地整治</w:t>
            </w:r>
          </w:p>
        </w:tc>
        <w:tc>
          <w:tcPr>
            <w:tcW w:w="967" w:type="pct"/>
            <w:tcBorders>
              <w:top w:val="nil"/>
              <w:left w:val="nil"/>
              <w:bottom w:val="single" w:color="auto" w:sz="4" w:space="0"/>
              <w:right w:val="single" w:color="auto" w:sz="4" w:space="0"/>
            </w:tcBorders>
            <w:shd w:val="clear" w:color="auto" w:fill="auto"/>
            <w:noWrap/>
            <w:vAlign w:val="center"/>
          </w:tcPr>
          <w:p w14:paraId="7AE20393">
            <w:pPr>
              <w:spacing w:line="240" w:lineRule="auto"/>
              <w:ind w:firstLine="0" w:firstLineChars="0"/>
              <w:jc w:val="center"/>
              <w:rPr>
                <w:rFonts w:cs="Times New Roman"/>
                <w:sz w:val="20"/>
                <w:szCs w:val="20"/>
              </w:rPr>
            </w:pPr>
            <w:r>
              <w:rPr>
                <w:rFonts w:cs="Times New Roman"/>
                <w:sz w:val="20"/>
                <w:szCs w:val="20"/>
              </w:rPr>
              <w:t>km</w:t>
            </w:r>
            <w:r>
              <w:rPr>
                <w:rFonts w:cs="Times New Roman"/>
                <w:sz w:val="20"/>
                <w:szCs w:val="20"/>
                <w:vertAlign w:val="superscript"/>
              </w:rPr>
              <w:t>2</w:t>
            </w:r>
          </w:p>
        </w:tc>
        <w:tc>
          <w:tcPr>
            <w:tcW w:w="967" w:type="pct"/>
            <w:tcBorders>
              <w:top w:val="nil"/>
              <w:left w:val="nil"/>
              <w:bottom w:val="single" w:color="auto" w:sz="4" w:space="0"/>
              <w:right w:val="single" w:color="auto" w:sz="4" w:space="0"/>
            </w:tcBorders>
            <w:shd w:val="clear" w:color="auto" w:fill="auto"/>
            <w:noWrap/>
            <w:vAlign w:val="center"/>
          </w:tcPr>
          <w:p w14:paraId="4BB016A9">
            <w:pPr>
              <w:spacing w:line="240" w:lineRule="auto"/>
              <w:ind w:firstLine="0" w:firstLineChars="0"/>
              <w:jc w:val="center"/>
              <w:rPr>
                <w:rFonts w:cs="Times New Roman"/>
                <w:sz w:val="20"/>
                <w:szCs w:val="20"/>
              </w:rPr>
            </w:pPr>
            <w:r>
              <w:rPr>
                <w:rFonts w:cs="Times New Roman"/>
                <w:sz w:val="20"/>
                <w:szCs w:val="20"/>
              </w:rPr>
              <w:t>40</w:t>
            </w:r>
          </w:p>
        </w:tc>
      </w:tr>
      <w:tr w14:paraId="5382F1AD">
        <w:tblPrEx>
          <w:tblCellMar>
            <w:top w:w="0" w:type="dxa"/>
            <w:left w:w="108" w:type="dxa"/>
            <w:bottom w:w="0" w:type="dxa"/>
            <w:right w:w="108" w:type="dxa"/>
          </w:tblCellMar>
        </w:tblPrEx>
        <w:trPr>
          <w:trHeight w:val="312" w:hRule="atLeast"/>
        </w:trPr>
        <w:tc>
          <w:tcPr>
            <w:tcW w:w="967" w:type="pct"/>
            <w:tcBorders>
              <w:top w:val="nil"/>
              <w:left w:val="single" w:color="auto" w:sz="4" w:space="0"/>
              <w:bottom w:val="single" w:color="auto" w:sz="4" w:space="0"/>
              <w:right w:val="single" w:color="auto" w:sz="4" w:space="0"/>
            </w:tcBorders>
            <w:shd w:val="clear" w:color="auto" w:fill="auto"/>
            <w:noWrap/>
            <w:vAlign w:val="center"/>
          </w:tcPr>
          <w:p w14:paraId="7D350B08">
            <w:pPr>
              <w:spacing w:line="240" w:lineRule="auto"/>
              <w:ind w:firstLine="0" w:firstLineChars="0"/>
              <w:jc w:val="center"/>
              <w:rPr>
                <w:rFonts w:cs="Times New Roman"/>
                <w:sz w:val="20"/>
                <w:szCs w:val="20"/>
              </w:rPr>
            </w:pPr>
            <w:r>
              <w:rPr>
                <w:rFonts w:cs="Times New Roman"/>
                <w:sz w:val="20"/>
                <w:szCs w:val="20"/>
              </w:rPr>
              <w:t>5</w:t>
            </w:r>
          </w:p>
        </w:tc>
        <w:tc>
          <w:tcPr>
            <w:tcW w:w="2099" w:type="pct"/>
            <w:tcBorders>
              <w:top w:val="nil"/>
              <w:left w:val="nil"/>
              <w:bottom w:val="single" w:color="auto" w:sz="4" w:space="0"/>
              <w:right w:val="single" w:color="auto" w:sz="4" w:space="0"/>
            </w:tcBorders>
            <w:shd w:val="clear" w:color="auto" w:fill="auto"/>
            <w:noWrap/>
            <w:vAlign w:val="center"/>
          </w:tcPr>
          <w:p w14:paraId="76F52106">
            <w:pPr>
              <w:spacing w:line="240" w:lineRule="auto"/>
              <w:ind w:firstLine="0" w:firstLineChars="0"/>
              <w:jc w:val="center"/>
              <w:rPr>
                <w:rFonts w:cs="Times New Roman"/>
                <w:sz w:val="20"/>
                <w:szCs w:val="20"/>
              </w:rPr>
            </w:pPr>
            <w:r>
              <w:rPr>
                <w:rFonts w:cs="Times New Roman"/>
                <w:sz w:val="20"/>
                <w:szCs w:val="20"/>
              </w:rPr>
              <w:t>生态恢复</w:t>
            </w:r>
          </w:p>
        </w:tc>
        <w:tc>
          <w:tcPr>
            <w:tcW w:w="967" w:type="pct"/>
            <w:tcBorders>
              <w:top w:val="nil"/>
              <w:left w:val="nil"/>
              <w:bottom w:val="single" w:color="auto" w:sz="4" w:space="0"/>
              <w:right w:val="single" w:color="auto" w:sz="4" w:space="0"/>
            </w:tcBorders>
            <w:shd w:val="clear" w:color="auto" w:fill="auto"/>
            <w:noWrap/>
            <w:vAlign w:val="center"/>
          </w:tcPr>
          <w:p w14:paraId="3500CB68">
            <w:pPr>
              <w:spacing w:line="240" w:lineRule="auto"/>
              <w:ind w:firstLine="0" w:firstLineChars="0"/>
              <w:jc w:val="center"/>
              <w:rPr>
                <w:rFonts w:cs="Times New Roman"/>
                <w:sz w:val="20"/>
                <w:szCs w:val="20"/>
              </w:rPr>
            </w:pPr>
            <w:r>
              <w:rPr>
                <w:rFonts w:cs="Times New Roman"/>
                <w:sz w:val="20"/>
                <w:szCs w:val="20"/>
              </w:rPr>
              <w:t>km</w:t>
            </w:r>
            <w:r>
              <w:rPr>
                <w:rFonts w:cs="Times New Roman"/>
                <w:sz w:val="20"/>
                <w:szCs w:val="20"/>
                <w:vertAlign w:val="superscript"/>
              </w:rPr>
              <w:t>2</w:t>
            </w:r>
          </w:p>
        </w:tc>
        <w:tc>
          <w:tcPr>
            <w:tcW w:w="967" w:type="pct"/>
            <w:tcBorders>
              <w:top w:val="nil"/>
              <w:left w:val="nil"/>
              <w:bottom w:val="single" w:color="auto" w:sz="4" w:space="0"/>
              <w:right w:val="single" w:color="auto" w:sz="4" w:space="0"/>
            </w:tcBorders>
            <w:shd w:val="clear" w:color="auto" w:fill="auto"/>
            <w:noWrap/>
            <w:vAlign w:val="center"/>
          </w:tcPr>
          <w:p w14:paraId="7A8821BB">
            <w:pPr>
              <w:spacing w:line="240" w:lineRule="auto"/>
              <w:ind w:firstLine="0" w:firstLineChars="0"/>
              <w:jc w:val="center"/>
              <w:rPr>
                <w:rFonts w:cs="Times New Roman"/>
                <w:sz w:val="20"/>
                <w:szCs w:val="20"/>
              </w:rPr>
            </w:pPr>
            <w:r>
              <w:rPr>
                <w:rFonts w:cs="Times New Roman"/>
                <w:sz w:val="20"/>
                <w:szCs w:val="20"/>
              </w:rPr>
              <w:t>20</w:t>
            </w:r>
          </w:p>
        </w:tc>
      </w:tr>
      <w:tr w14:paraId="10EC59F3">
        <w:tblPrEx>
          <w:tblCellMar>
            <w:top w:w="0" w:type="dxa"/>
            <w:left w:w="108" w:type="dxa"/>
            <w:bottom w:w="0" w:type="dxa"/>
            <w:right w:w="108" w:type="dxa"/>
          </w:tblCellMar>
        </w:tblPrEx>
        <w:trPr>
          <w:trHeight w:val="312" w:hRule="atLeast"/>
        </w:trPr>
        <w:tc>
          <w:tcPr>
            <w:tcW w:w="967" w:type="pct"/>
            <w:tcBorders>
              <w:top w:val="nil"/>
              <w:left w:val="single" w:color="auto" w:sz="4" w:space="0"/>
              <w:bottom w:val="single" w:color="auto" w:sz="4" w:space="0"/>
              <w:right w:val="single" w:color="auto" w:sz="4" w:space="0"/>
            </w:tcBorders>
            <w:shd w:val="clear" w:color="auto" w:fill="auto"/>
            <w:noWrap/>
            <w:vAlign w:val="center"/>
          </w:tcPr>
          <w:p w14:paraId="617E65AB">
            <w:pPr>
              <w:spacing w:line="240" w:lineRule="auto"/>
              <w:ind w:firstLine="0" w:firstLineChars="0"/>
              <w:jc w:val="center"/>
              <w:rPr>
                <w:rFonts w:cs="Times New Roman"/>
                <w:sz w:val="20"/>
                <w:szCs w:val="20"/>
              </w:rPr>
            </w:pPr>
            <w:r>
              <w:rPr>
                <w:rFonts w:cs="Times New Roman"/>
                <w:sz w:val="20"/>
                <w:szCs w:val="20"/>
              </w:rPr>
              <w:t>6</w:t>
            </w:r>
          </w:p>
        </w:tc>
        <w:tc>
          <w:tcPr>
            <w:tcW w:w="2099" w:type="pct"/>
            <w:tcBorders>
              <w:top w:val="nil"/>
              <w:left w:val="nil"/>
              <w:bottom w:val="single" w:color="auto" w:sz="4" w:space="0"/>
              <w:right w:val="single" w:color="auto" w:sz="4" w:space="0"/>
            </w:tcBorders>
            <w:shd w:val="clear" w:color="auto" w:fill="auto"/>
            <w:noWrap/>
            <w:vAlign w:val="center"/>
          </w:tcPr>
          <w:p w14:paraId="490F3992">
            <w:pPr>
              <w:spacing w:line="240" w:lineRule="auto"/>
              <w:ind w:firstLine="0" w:firstLineChars="0"/>
              <w:jc w:val="center"/>
              <w:rPr>
                <w:rFonts w:cs="Times New Roman"/>
                <w:sz w:val="20"/>
                <w:szCs w:val="20"/>
              </w:rPr>
            </w:pPr>
            <w:r>
              <w:rPr>
                <w:rFonts w:cs="Times New Roman"/>
                <w:sz w:val="20"/>
                <w:szCs w:val="20"/>
              </w:rPr>
              <w:t>城郊型清洁小流域建设</w:t>
            </w:r>
          </w:p>
        </w:tc>
        <w:tc>
          <w:tcPr>
            <w:tcW w:w="967" w:type="pct"/>
            <w:tcBorders>
              <w:top w:val="nil"/>
              <w:left w:val="nil"/>
              <w:bottom w:val="single" w:color="auto" w:sz="4" w:space="0"/>
              <w:right w:val="single" w:color="auto" w:sz="4" w:space="0"/>
            </w:tcBorders>
            <w:shd w:val="clear" w:color="auto" w:fill="auto"/>
            <w:noWrap/>
            <w:vAlign w:val="center"/>
          </w:tcPr>
          <w:p w14:paraId="682077D1">
            <w:pPr>
              <w:spacing w:line="240" w:lineRule="auto"/>
              <w:ind w:firstLine="0" w:firstLineChars="0"/>
              <w:jc w:val="center"/>
              <w:rPr>
                <w:rFonts w:cs="Times New Roman"/>
                <w:sz w:val="20"/>
                <w:szCs w:val="20"/>
              </w:rPr>
            </w:pPr>
            <w:r>
              <w:rPr>
                <w:rFonts w:cs="Times New Roman"/>
                <w:sz w:val="20"/>
                <w:szCs w:val="20"/>
              </w:rPr>
              <w:t>km</w:t>
            </w:r>
            <w:r>
              <w:rPr>
                <w:rFonts w:cs="Times New Roman"/>
                <w:sz w:val="20"/>
                <w:szCs w:val="20"/>
                <w:vertAlign w:val="superscript"/>
              </w:rPr>
              <w:t>2</w:t>
            </w:r>
          </w:p>
        </w:tc>
        <w:tc>
          <w:tcPr>
            <w:tcW w:w="967" w:type="pct"/>
            <w:tcBorders>
              <w:top w:val="nil"/>
              <w:left w:val="nil"/>
              <w:bottom w:val="single" w:color="auto" w:sz="4" w:space="0"/>
              <w:right w:val="single" w:color="auto" w:sz="4" w:space="0"/>
            </w:tcBorders>
            <w:shd w:val="clear" w:color="auto" w:fill="auto"/>
            <w:noWrap/>
            <w:vAlign w:val="center"/>
          </w:tcPr>
          <w:p w14:paraId="40A18EB4">
            <w:pPr>
              <w:spacing w:line="240" w:lineRule="auto"/>
              <w:ind w:firstLine="0" w:firstLineChars="0"/>
              <w:jc w:val="center"/>
              <w:rPr>
                <w:rFonts w:cs="Times New Roman"/>
                <w:sz w:val="20"/>
                <w:szCs w:val="20"/>
              </w:rPr>
            </w:pPr>
            <w:r>
              <w:rPr>
                <w:rFonts w:cs="Times New Roman"/>
                <w:sz w:val="20"/>
                <w:szCs w:val="20"/>
              </w:rPr>
              <w:t>100</w:t>
            </w:r>
          </w:p>
        </w:tc>
      </w:tr>
    </w:tbl>
    <w:p w14:paraId="5643687D">
      <w:pPr>
        <w:adjustRightInd w:val="0"/>
        <w:snapToGrid w:val="0"/>
        <w:spacing w:line="240" w:lineRule="auto"/>
        <w:ind w:firstLine="0" w:firstLineChars="0"/>
        <w:rPr>
          <w:rFonts w:cs="Times New Roman"/>
        </w:rPr>
      </w:pPr>
    </w:p>
    <w:p w14:paraId="730C5980">
      <w:pPr>
        <w:adjustRightInd w:val="0"/>
        <w:snapToGrid w:val="0"/>
        <w:ind w:firstLine="480"/>
        <w:jc w:val="both"/>
        <w:rPr>
          <w:rFonts w:cs="Times New Roman"/>
        </w:rPr>
      </w:pPr>
      <w:r>
        <w:rPr>
          <w:rFonts w:cs="Times New Roman"/>
        </w:rPr>
        <w:t>2、其他单价</w:t>
      </w:r>
    </w:p>
    <w:p w14:paraId="3BD27864">
      <w:pPr>
        <w:adjustRightInd w:val="0"/>
        <w:snapToGrid w:val="0"/>
        <w:ind w:firstLine="480"/>
        <w:jc w:val="both"/>
        <w:rPr>
          <w:rFonts w:cs="Times New Roman"/>
        </w:rPr>
      </w:pPr>
      <w:r>
        <w:rPr>
          <w:rFonts w:cs="Times New Roman"/>
        </w:rPr>
        <w:t>根据《水土保持业务经费定额标准(试行)》匡算水土保持监测、综合监督管理等费用。水土保持监测网络建设利用现有站点按10万元/站点，升级改造监测站点50万元，水土保持科技示范园150万元/处、生产建设项目水土保持监督管理100万元/年、信息化建设按照30万元/年、水土保持宜传按照2万元/年投资、专题研究250万元/项。</w:t>
      </w:r>
    </w:p>
    <w:p w14:paraId="14615598">
      <w:pPr>
        <w:pStyle w:val="5"/>
        <w:rPr>
          <w:rFonts w:eastAsia="仿宋_GB2312"/>
        </w:rPr>
      </w:pPr>
      <w:r>
        <w:rPr>
          <w:rFonts w:eastAsia="仿宋_GB2312"/>
        </w:rPr>
        <w:t xml:space="preserve">9.4.3 </w:t>
      </w:r>
      <w:bookmarkStart w:id="189" w:name="_Hlk174277408"/>
      <w:r>
        <w:rPr>
          <w:rFonts w:eastAsia="仿宋_GB2312"/>
        </w:rPr>
        <w:t>投资匡算</w:t>
      </w:r>
    </w:p>
    <w:bookmarkEnd w:id="189"/>
    <w:p w14:paraId="751D63B5">
      <w:pPr>
        <w:pStyle w:val="370"/>
        <w:ind w:firstLine="480"/>
        <w:rPr>
          <w:rFonts w:eastAsia="仿宋_GB2312"/>
        </w:rPr>
      </w:pPr>
      <w:r>
        <w:rPr>
          <w:rFonts w:eastAsia="仿宋_GB2312"/>
        </w:rPr>
        <w:t>1、总投资匡算</w:t>
      </w:r>
    </w:p>
    <w:p w14:paraId="03871F81">
      <w:pPr>
        <w:pStyle w:val="370"/>
        <w:ind w:firstLine="480"/>
        <w:rPr>
          <w:rFonts w:eastAsia="仿宋_GB2312"/>
        </w:rPr>
      </w:pPr>
      <w:bookmarkStart w:id="190" w:name="_Hlk174277399"/>
      <w:r>
        <w:rPr>
          <w:rFonts w:eastAsia="仿宋_GB2312"/>
        </w:rPr>
        <w:t>本</w:t>
      </w:r>
      <w:r>
        <w:rPr>
          <w:rFonts w:eastAsia="仿宋_GB2312"/>
          <w:snapToGrid/>
          <w:kern w:val="0"/>
          <w:szCs w:val="24"/>
        </w:rPr>
        <w:t>规划匡算投资为</w:t>
      </w:r>
      <w:r>
        <w:rPr>
          <w:rFonts w:hint="eastAsia" w:eastAsia="仿宋_GB2312"/>
          <w:snapToGrid/>
          <w:kern w:val="0"/>
          <w:szCs w:val="24"/>
        </w:rPr>
        <w:t>5855</w:t>
      </w:r>
      <w:r>
        <w:rPr>
          <w:rFonts w:eastAsia="仿宋_GB2312"/>
          <w:snapToGrid/>
          <w:kern w:val="0"/>
          <w:szCs w:val="24"/>
        </w:rPr>
        <w:t>万元，其中近期工程投资</w:t>
      </w:r>
      <w:r>
        <w:rPr>
          <w:rFonts w:hint="eastAsia" w:eastAsia="仿宋_GB2312"/>
          <w:snapToGrid/>
          <w:kern w:val="0"/>
          <w:szCs w:val="24"/>
        </w:rPr>
        <w:t>1290</w:t>
      </w:r>
      <w:r>
        <w:rPr>
          <w:rFonts w:eastAsia="仿宋_GB2312"/>
          <w:snapToGrid/>
          <w:kern w:val="0"/>
          <w:szCs w:val="24"/>
        </w:rPr>
        <w:t>万元，远期工程投资</w:t>
      </w:r>
      <w:r>
        <w:rPr>
          <w:rFonts w:hint="eastAsia" w:eastAsia="仿宋_GB2312"/>
          <w:snapToGrid/>
          <w:kern w:val="0"/>
          <w:szCs w:val="24"/>
        </w:rPr>
        <w:t>4565</w:t>
      </w:r>
      <w:r>
        <w:rPr>
          <w:rFonts w:eastAsia="仿宋_GB2312"/>
          <w:snapToGrid/>
          <w:kern w:val="0"/>
          <w:szCs w:val="24"/>
        </w:rPr>
        <w:t>万元；总投资中预防保护工程投资</w:t>
      </w:r>
      <w:r>
        <w:rPr>
          <w:rFonts w:hint="eastAsia" w:eastAsia="仿宋_GB2312"/>
          <w:snapToGrid/>
          <w:kern w:val="0"/>
          <w:szCs w:val="24"/>
        </w:rPr>
        <w:t>330</w:t>
      </w:r>
      <w:r>
        <w:rPr>
          <w:rFonts w:eastAsia="仿宋_GB2312"/>
          <w:snapToGrid/>
          <w:kern w:val="0"/>
          <w:szCs w:val="24"/>
        </w:rPr>
        <w:t>万元，综合治理工程投资</w:t>
      </w:r>
      <w:r>
        <w:rPr>
          <w:rFonts w:hint="eastAsia" w:eastAsia="仿宋_GB2312"/>
          <w:snapToGrid/>
          <w:kern w:val="0"/>
          <w:szCs w:val="24"/>
        </w:rPr>
        <w:t>4540</w:t>
      </w:r>
      <w:r>
        <w:rPr>
          <w:rFonts w:eastAsia="仿宋_GB2312"/>
          <w:snapToGrid/>
          <w:kern w:val="0"/>
          <w:szCs w:val="24"/>
        </w:rPr>
        <w:t>万元，水土保持监测费用100万元，综合监督管理投资</w:t>
      </w:r>
      <w:r>
        <w:rPr>
          <w:rFonts w:hint="eastAsia" w:eastAsia="仿宋_GB2312"/>
          <w:snapToGrid/>
          <w:kern w:val="0"/>
          <w:szCs w:val="24"/>
        </w:rPr>
        <w:t>385</w:t>
      </w:r>
      <w:r>
        <w:rPr>
          <w:rFonts w:eastAsia="仿宋_GB2312"/>
          <w:snapToGrid/>
          <w:kern w:val="0"/>
          <w:szCs w:val="24"/>
        </w:rPr>
        <w:t>万元，专题研究投资</w:t>
      </w:r>
      <w:r>
        <w:rPr>
          <w:rFonts w:hint="eastAsia" w:eastAsia="仿宋_GB2312"/>
          <w:snapToGrid/>
          <w:kern w:val="0"/>
          <w:szCs w:val="24"/>
        </w:rPr>
        <w:t>50</w:t>
      </w:r>
      <w:r>
        <w:rPr>
          <w:rFonts w:eastAsia="仿宋_GB2312"/>
          <w:snapToGrid/>
          <w:kern w:val="0"/>
          <w:szCs w:val="24"/>
        </w:rPr>
        <w:t>0万元。</w:t>
      </w:r>
      <w:bookmarkEnd w:id="190"/>
      <w:r>
        <w:rPr>
          <w:rFonts w:eastAsia="仿宋_GB2312"/>
          <w:snapToGrid/>
          <w:kern w:val="0"/>
          <w:szCs w:val="24"/>
        </w:rPr>
        <w:t>具体见表9.4-2</w:t>
      </w:r>
      <w:r>
        <w:rPr>
          <w:rFonts w:eastAsia="仿宋_GB2312"/>
        </w:rPr>
        <w:t>。</w:t>
      </w:r>
    </w:p>
    <w:p w14:paraId="71D03801">
      <w:pPr>
        <w:pStyle w:val="370"/>
        <w:ind w:firstLine="480"/>
        <w:rPr>
          <w:rFonts w:eastAsia="仿宋_GB2312"/>
        </w:rPr>
      </w:pPr>
    </w:p>
    <w:p w14:paraId="5C017BA4">
      <w:pPr>
        <w:pStyle w:val="370"/>
        <w:ind w:firstLine="480"/>
        <w:rPr>
          <w:rFonts w:eastAsia="仿宋_GB2312"/>
        </w:rPr>
      </w:pPr>
    </w:p>
    <w:p w14:paraId="31575E01">
      <w:pPr>
        <w:pStyle w:val="370"/>
        <w:ind w:firstLine="828" w:firstLineChars="345"/>
        <w:rPr>
          <w:rFonts w:eastAsia="仿宋_GB2312"/>
          <w:snapToGrid/>
          <w:kern w:val="0"/>
          <w:szCs w:val="24"/>
        </w:rPr>
        <w:sectPr>
          <w:pgSz w:w="11907" w:h="16840"/>
          <w:pgMar w:top="1440" w:right="1797" w:bottom="1440" w:left="1797" w:header="851" w:footer="992" w:gutter="0"/>
          <w:cols w:space="720" w:num="1"/>
          <w:docGrid w:linePitch="312" w:charSpace="0"/>
        </w:sectPr>
      </w:pPr>
    </w:p>
    <w:p w14:paraId="23E6D7FD">
      <w:pPr>
        <w:pStyle w:val="370"/>
        <w:ind w:firstLine="828" w:firstLineChars="345"/>
        <w:rPr>
          <w:rFonts w:eastAsia="仿宋_GB2312"/>
          <w:snapToGrid/>
          <w:kern w:val="0"/>
          <w:szCs w:val="24"/>
        </w:rPr>
      </w:pPr>
      <w:r>
        <w:rPr>
          <w:rFonts w:eastAsia="仿宋_GB2312"/>
          <w:snapToGrid/>
          <w:kern w:val="0"/>
          <w:szCs w:val="24"/>
        </w:rPr>
        <w:t xml:space="preserve">表9.4-2                                </w:t>
      </w:r>
      <w:r>
        <w:rPr>
          <w:rFonts w:eastAsia="仿宋_GB2312"/>
          <w:b/>
          <w:snapToGrid/>
          <w:kern w:val="0"/>
          <w:szCs w:val="24"/>
        </w:rPr>
        <w:t>规划投资匡算表（202</w:t>
      </w:r>
      <w:r>
        <w:rPr>
          <w:rFonts w:hint="eastAsia" w:eastAsia="仿宋_GB2312"/>
          <w:b/>
          <w:snapToGrid/>
          <w:kern w:val="0"/>
          <w:szCs w:val="24"/>
        </w:rPr>
        <w:t>4</w:t>
      </w:r>
      <w:r>
        <w:rPr>
          <w:rFonts w:eastAsia="仿宋_GB2312"/>
          <w:b/>
          <w:snapToGrid/>
          <w:kern w:val="0"/>
          <w:szCs w:val="24"/>
        </w:rPr>
        <w:t>～2030年）</w:t>
      </w:r>
    </w:p>
    <w:tbl>
      <w:tblPr>
        <w:tblStyle w:val="48"/>
        <w:tblW w:w="5000" w:type="pct"/>
        <w:tblInd w:w="0" w:type="dxa"/>
        <w:tblLayout w:type="autofit"/>
        <w:tblCellMar>
          <w:top w:w="0" w:type="dxa"/>
          <w:left w:w="108" w:type="dxa"/>
          <w:bottom w:w="0" w:type="dxa"/>
          <w:right w:w="108" w:type="dxa"/>
        </w:tblCellMar>
      </w:tblPr>
      <w:tblGrid>
        <w:gridCol w:w="616"/>
        <w:gridCol w:w="2223"/>
        <w:gridCol w:w="1377"/>
        <w:gridCol w:w="1666"/>
        <w:gridCol w:w="1416"/>
        <w:gridCol w:w="1666"/>
        <w:gridCol w:w="1416"/>
        <w:gridCol w:w="1666"/>
        <w:gridCol w:w="1416"/>
      </w:tblGrid>
      <w:tr w14:paraId="460AFBEF">
        <w:tblPrEx>
          <w:tblCellMar>
            <w:top w:w="0" w:type="dxa"/>
            <w:left w:w="108" w:type="dxa"/>
            <w:bottom w:w="0" w:type="dxa"/>
            <w:right w:w="108" w:type="dxa"/>
          </w:tblCellMar>
        </w:tblPrEx>
        <w:trPr>
          <w:trHeight w:val="280" w:hRule="atLeast"/>
        </w:trPr>
        <w:tc>
          <w:tcPr>
            <w:tcW w:w="309"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2AFAE0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序号</w:t>
            </w:r>
          </w:p>
        </w:tc>
        <w:tc>
          <w:tcPr>
            <w:tcW w:w="907"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8B3D8F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项目类型</w:t>
            </w:r>
          </w:p>
        </w:tc>
        <w:tc>
          <w:tcPr>
            <w:tcW w:w="592"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696A1A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标准</w:t>
            </w:r>
          </w:p>
        </w:tc>
        <w:tc>
          <w:tcPr>
            <w:tcW w:w="1113" w:type="pct"/>
            <w:gridSpan w:val="2"/>
            <w:tcBorders>
              <w:top w:val="single" w:color="auto" w:sz="4" w:space="0"/>
              <w:left w:val="nil"/>
              <w:bottom w:val="single" w:color="auto" w:sz="4" w:space="0"/>
              <w:right w:val="single" w:color="auto" w:sz="4" w:space="0"/>
            </w:tcBorders>
            <w:shd w:val="clear" w:color="auto" w:fill="auto"/>
            <w:noWrap/>
            <w:vAlign w:val="center"/>
          </w:tcPr>
          <w:p w14:paraId="3BC4EA3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近期（2024年-2025年）</w:t>
            </w:r>
          </w:p>
        </w:tc>
        <w:tc>
          <w:tcPr>
            <w:tcW w:w="1030" w:type="pct"/>
            <w:gridSpan w:val="2"/>
            <w:tcBorders>
              <w:top w:val="single" w:color="auto" w:sz="4" w:space="0"/>
              <w:left w:val="nil"/>
              <w:bottom w:val="single" w:color="auto" w:sz="4" w:space="0"/>
              <w:right w:val="single" w:color="auto" w:sz="4" w:space="0"/>
            </w:tcBorders>
            <w:shd w:val="clear" w:color="auto" w:fill="auto"/>
            <w:noWrap/>
            <w:vAlign w:val="center"/>
          </w:tcPr>
          <w:p w14:paraId="0C5A630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远期（2026年-2030年）</w:t>
            </w:r>
          </w:p>
        </w:tc>
        <w:tc>
          <w:tcPr>
            <w:tcW w:w="1049" w:type="pct"/>
            <w:gridSpan w:val="2"/>
            <w:tcBorders>
              <w:top w:val="single" w:color="auto" w:sz="4" w:space="0"/>
              <w:left w:val="nil"/>
              <w:bottom w:val="single" w:color="auto" w:sz="4" w:space="0"/>
              <w:right w:val="single" w:color="auto" w:sz="4" w:space="0"/>
            </w:tcBorders>
            <w:shd w:val="clear" w:color="auto" w:fill="auto"/>
            <w:noWrap/>
            <w:vAlign w:val="center"/>
          </w:tcPr>
          <w:p w14:paraId="0295C09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合计</w:t>
            </w:r>
          </w:p>
        </w:tc>
      </w:tr>
      <w:tr w14:paraId="05ED929F">
        <w:tblPrEx>
          <w:tblCellMar>
            <w:top w:w="0" w:type="dxa"/>
            <w:left w:w="108" w:type="dxa"/>
            <w:bottom w:w="0" w:type="dxa"/>
            <w:right w:w="108" w:type="dxa"/>
          </w:tblCellMar>
        </w:tblPrEx>
        <w:trPr>
          <w:trHeight w:val="300" w:hRule="atLeast"/>
        </w:trPr>
        <w:tc>
          <w:tcPr>
            <w:tcW w:w="309" w:type="pct"/>
            <w:vMerge w:val="continue"/>
            <w:tcBorders>
              <w:top w:val="single" w:color="auto" w:sz="4" w:space="0"/>
              <w:left w:val="single" w:color="auto" w:sz="4" w:space="0"/>
              <w:bottom w:val="single" w:color="auto" w:sz="4" w:space="0"/>
              <w:right w:val="single" w:color="auto" w:sz="4" w:space="0"/>
            </w:tcBorders>
            <w:vAlign w:val="center"/>
          </w:tcPr>
          <w:p w14:paraId="2E6FE2CF">
            <w:pPr>
              <w:spacing w:line="240" w:lineRule="auto"/>
              <w:ind w:firstLine="0" w:firstLineChars="0"/>
              <w:rPr>
                <w:rFonts w:hint="eastAsia" w:ascii="宋体" w:hAnsi="宋体" w:eastAsia="宋体"/>
                <w:sz w:val="20"/>
                <w:szCs w:val="20"/>
              </w:rPr>
            </w:pPr>
          </w:p>
        </w:tc>
        <w:tc>
          <w:tcPr>
            <w:tcW w:w="907" w:type="pct"/>
            <w:vMerge w:val="continue"/>
            <w:tcBorders>
              <w:top w:val="single" w:color="auto" w:sz="4" w:space="0"/>
              <w:left w:val="single" w:color="auto" w:sz="4" w:space="0"/>
              <w:bottom w:val="single" w:color="auto" w:sz="4" w:space="0"/>
              <w:right w:val="single" w:color="auto" w:sz="4" w:space="0"/>
            </w:tcBorders>
            <w:vAlign w:val="center"/>
          </w:tcPr>
          <w:p w14:paraId="155CE7A8">
            <w:pPr>
              <w:spacing w:line="240" w:lineRule="auto"/>
              <w:ind w:firstLine="0" w:firstLineChars="0"/>
              <w:rPr>
                <w:rFonts w:hint="eastAsia" w:ascii="宋体" w:hAnsi="宋体" w:eastAsia="宋体"/>
                <w:sz w:val="20"/>
                <w:szCs w:val="20"/>
              </w:rPr>
            </w:pPr>
          </w:p>
        </w:tc>
        <w:tc>
          <w:tcPr>
            <w:tcW w:w="592" w:type="pct"/>
            <w:vMerge w:val="continue"/>
            <w:tcBorders>
              <w:top w:val="single" w:color="auto" w:sz="4" w:space="0"/>
              <w:left w:val="single" w:color="auto" w:sz="4" w:space="0"/>
              <w:bottom w:val="single" w:color="auto" w:sz="4" w:space="0"/>
              <w:right w:val="single" w:color="auto" w:sz="4" w:space="0"/>
            </w:tcBorders>
            <w:vAlign w:val="center"/>
          </w:tcPr>
          <w:p w14:paraId="282FE44F">
            <w:pPr>
              <w:spacing w:line="240" w:lineRule="auto"/>
              <w:ind w:firstLine="0" w:firstLineChars="0"/>
              <w:rPr>
                <w:rFonts w:hint="eastAsia" w:ascii="宋体" w:hAnsi="宋体" w:eastAsia="宋体"/>
                <w:sz w:val="20"/>
                <w:szCs w:val="20"/>
              </w:rPr>
            </w:pPr>
          </w:p>
        </w:tc>
        <w:tc>
          <w:tcPr>
            <w:tcW w:w="608" w:type="pct"/>
            <w:tcBorders>
              <w:top w:val="nil"/>
              <w:left w:val="nil"/>
              <w:bottom w:val="single" w:color="auto" w:sz="4" w:space="0"/>
              <w:right w:val="single" w:color="auto" w:sz="4" w:space="0"/>
            </w:tcBorders>
            <w:shd w:val="clear" w:color="auto" w:fill="auto"/>
            <w:noWrap/>
            <w:vAlign w:val="center"/>
          </w:tcPr>
          <w:p w14:paraId="5056811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治理面积（km</w:t>
            </w:r>
            <w:r>
              <w:rPr>
                <w:rFonts w:hint="eastAsia" w:ascii="宋体" w:hAnsi="宋体" w:eastAsia="宋体"/>
                <w:sz w:val="20"/>
                <w:szCs w:val="20"/>
                <w:vertAlign w:val="superscript"/>
              </w:rPr>
              <w:t>2</w:t>
            </w:r>
            <w:r>
              <w:rPr>
                <w:rFonts w:hint="eastAsia" w:ascii="宋体" w:hAnsi="宋体" w:eastAsia="宋体"/>
                <w:sz w:val="20"/>
                <w:szCs w:val="20"/>
              </w:rPr>
              <w:t>）</w:t>
            </w:r>
          </w:p>
        </w:tc>
        <w:tc>
          <w:tcPr>
            <w:tcW w:w="505" w:type="pct"/>
            <w:tcBorders>
              <w:top w:val="nil"/>
              <w:left w:val="nil"/>
              <w:bottom w:val="single" w:color="auto" w:sz="4" w:space="0"/>
              <w:right w:val="single" w:color="auto" w:sz="4" w:space="0"/>
            </w:tcBorders>
            <w:shd w:val="clear" w:color="auto" w:fill="auto"/>
            <w:noWrap/>
            <w:vAlign w:val="center"/>
          </w:tcPr>
          <w:p w14:paraId="21A339C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投资（万元）</w:t>
            </w:r>
          </w:p>
        </w:tc>
        <w:tc>
          <w:tcPr>
            <w:tcW w:w="562" w:type="pct"/>
            <w:tcBorders>
              <w:top w:val="nil"/>
              <w:left w:val="nil"/>
              <w:bottom w:val="single" w:color="auto" w:sz="4" w:space="0"/>
              <w:right w:val="single" w:color="auto" w:sz="4" w:space="0"/>
            </w:tcBorders>
            <w:shd w:val="clear" w:color="auto" w:fill="auto"/>
            <w:noWrap/>
            <w:vAlign w:val="center"/>
          </w:tcPr>
          <w:p w14:paraId="0DEB784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治理面积（km</w:t>
            </w:r>
            <w:r>
              <w:rPr>
                <w:rFonts w:hint="eastAsia" w:ascii="宋体" w:hAnsi="宋体" w:eastAsia="宋体"/>
                <w:sz w:val="20"/>
                <w:szCs w:val="20"/>
                <w:vertAlign w:val="superscript"/>
              </w:rPr>
              <w:t>2</w:t>
            </w:r>
            <w:r>
              <w:rPr>
                <w:rFonts w:hint="eastAsia" w:ascii="宋体" w:hAnsi="宋体" w:eastAsia="宋体"/>
                <w:sz w:val="20"/>
                <w:szCs w:val="20"/>
              </w:rPr>
              <w:t>）</w:t>
            </w:r>
          </w:p>
        </w:tc>
        <w:tc>
          <w:tcPr>
            <w:tcW w:w="467" w:type="pct"/>
            <w:tcBorders>
              <w:top w:val="nil"/>
              <w:left w:val="nil"/>
              <w:bottom w:val="single" w:color="auto" w:sz="4" w:space="0"/>
              <w:right w:val="single" w:color="auto" w:sz="4" w:space="0"/>
            </w:tcBorders>
            <w:shd w:val="clear" w:color="auto" w:fill="auto"/>
            <w:noWrap/>
            <w:vAlign w:val="center"/>
          </w:tcPr>
          <w:p w14:paraId="1D7138F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投资（万元）</w:t>
            </w:r>
          </w:p>
        </w:tc>
        <w:tc>
          <w:tcPr>
            <w:tcW w:w="573" w:type="pct"/>
            <w:tcBorders>
              <w:top w:val="nil"/>
              <w:left w:val="nil"/>
              <w:bottom w:val="single" w:color="auto" w:sz="4" w:space="0"/>
              <w:right w:val="single" w:color="auto" w:sz="4" w:space="0"/>
            </w:tcBorders>
            <w:shd w:val="clear" w:color="auto" w:fill="auto"/>
            <w:noWrap/>
            <w:vAlign w:val="center"/>
          </w:tcPr>
          <w:p w14:paraId="1BA3566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治理面积（km</w:t>
            </w:r>
            <w:r>
              <w:rPr>
                <w:rFonts w:hint="eastAsia" w:ascii="宋体" w:hAnsi="宋体" w:eastAsia="宋体"/>
                <w:sz w:val="20"/>
                <w:szCs w:val="20"/>
                <w:vertAlign w:val="superscript"/>
              </w:rPr>
              <w:t>2</w:t>
            </w:r>
            <w:r>
              <w:rPr>
                <w:rFonts w:hint="eastAsia" w:ascii="宋体" w:hAnsi="宋体" w:eastAsia="宋体"/>
                <w:sz w:val="20"/>
                <w:szCs w:val="20"/>
              </w:rPr>
              <w:t>）</w:t>
            </w:r>
          </w:p>
        </w:tc>
        <w:tc>
          <w:tcPr>
            <w:tcW w:w="476" w:type="pct"/>
            <w:tcBorders>
              <w:top w:val="nil"/>
              <w:left w:val="nil"/>
              <w:bottom w:val="single" w:color="auto" w:sz="4" w:space="0"/>
              <w:right w:val="single" w:color="auto" w:sz="4" w:space="0"/>
            </w:tcBorders>
            <w:shd w:val="clear" w:color="auto" w:fill="auto"/>
            <w:noWrap/>
            <w:vAlign w:val="center"/>
          </w:tcPr>
          <w:p w14:paraId="6435FB1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投资（万元）</w:t>
            </w:r>
          </w:p>
        </w:tc>
      </w:tr>
      <w:tr w14:paraId="413AA13C">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061E904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w:t>
            </w:r>
          </w:p>
        </w:tc>
        <w:tc>
          <w:tcPr>
            <w:tcW w:w="907" w:type="pct"/>
            <w:tcBorders>
              <w:top w:val="nil"/>
              <w:left w:val="nil"/>
              <w:bottom w:val="single" w:color="auto" w:sz="4" w:space="0"/>
              <w:right w:val="single" w:color="auto" w:sz="4" w:space="0"/>
            </w:tcBorders>
            <w:shd w:val="clear" w:color="auto" w:fill="auto"/>
            <w:noWrap/>
            <w:vAlign w:val="center"/>
          </w:tcPr>
          <w:p w14:paraId="5D91448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预防保护工程</w:t>
            </w:r>
          </w:p>
        </w:tc>
        <w:tc>
          <w:tcPr>
            <w:tcW w:w="592" w:type="pct"/>
            <w:tcBorders>
              <w:top w:val="nil"/>
              <w:left w:val="nil"/>
              <w:bottom w:val="single" w:color="auto" w:sz="4" w:space="0"/>
              <w:right w:val="single" w:color="auto" w:sz="4" w:space="0"/>
            </w:tcBorders>
            <w:shd w:val="clear" w:color="auto" w:fill="auto"/>
            <w:noWrap/>
            <w:vAlign w:val="center"/>
          </w:tcPr>
          <w:p w14:paraId="28FE3E3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608" w:type="pct"/>
            <w:tcBorders>
              <w:top w:val="nil"/>
              <w:left w:val="nil"/>
              <w:bottom w:val="single" w:color="auto" w:sz="4" w:space="0"/>
              <w:right w:val="single" w:color="auto" w:sz="4" w:space="0"/>
            </w:tcBorders>
            <w:shd w:val="clear" w:color="auto" w:fill="auto"/>
            <w:noWrap/>
            <w:vAlign w:val="center"/>
          </w:tcPr>
          <w:p w14:paraId="3CA4A72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7</w:t>
            </w:r>
          </w:p>
        </w:tc>
        <w:tc>
          <w:tcPr>
            <w:tcW w:w="505" w:type="pct"/>
            <w:tcBorders>
              <w:top w:val="nil"/>
              <w:left w:val="nil"/>
              <w:bottom w:val="single" w:color="auto" w:sz="4" w:space="0"/>
              <w:right w:val="single" w:color="auto" w:sz="4" w:space="0"/>
            </w:tcBorders>
            <w:shd w:val="clear" w:color="auto" w:fill="auto"/>
            <w:noWrap/>
            <w:vAlign w:val="center"/>
          </w:tcPr>
          <w:p w14:paraId="13AD7CB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70</w:t>
            </w:r>
          </w:p>
        </w:tc>
        <w:tc>
          <w:tcPr>
            <w:tcW w:w="562" w:type="pct"/>
            <w:tcBorders>
              <w:top w:val="nil"/>
              <w:left w:val="nil"/>
              <w:bottom w:val="single" w:color="auto" w:sz="4" w:space="0"/>
              <w:right w:val="single" w:color="auto" w:sz="4" w:space="0"/>
            </w:tcBorders>
            <w:shd w:val="clear" w:color="auto" w:fill="auto"/>
            <w:noWrap/>
            <w:vAlign w:val="center"/>
          </w:tcPr>
          <w:p w14:paraId="0195D0B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26</w:t>
            </w:r>
          </w:p>
        </w:tc>
        <w:tc>
          <w:tcPr>
            <w:tcW w:w="467" w:type="pct"/>
            <w:tcBorders>
              <w:top w:val="nil"/>
              <w:left w:val="nil"/>
              <w:bottom w:val="single" w:color="auto" w:sz="4" w:space="0"/>
              <w:right w:val="single" w:color="auto" w:sz="4" w:space="0"/>
            </w:tcBorders>
            <w:shd w:val="clear" w:color="auto" w:fill="auto"/>
            <w:noWrap/>
            <w:vAlign w:val="center"/>
          </w:tcPr>
          <w:p w14:paraId="6B74053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260</w:t>
            </w:r>
          </w:p>
        </w:tc>
        <w:tc>
          <w:tcPr>
            <w:tcW w:w="573" w:type="pct"/>
            <w:tcBorders>
              <w:top w:val="nil"/>
              <w:left w:val="nil"/>
              <w:bottom w:val="single" w:color="auto" w:sz="4" w:space="0"/>
              <w:right w:val="single" w:color="auto" w:sz="4" w:space="0"/>
            </w:tcBorders>
            <w:shd w:val="clear" w:color="auto" w:fill="auto"/>
            <w:noWrap/>
            <w:vAlign w:val="center"/>
          </w:tcPr>
          <w:p w14:paraId="5CF8226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33</w:t>
            </w:r>
          </w:p>
        </w:tc>
        <w:tc>
          <w:tcPr>
            <w:tcW w:w="476" w:type="pct"/>
            <w:tcBorders>
              <w:top w:val="nil"/>
              <w:left w:val="nil"/>
              <w:bottom w:val="single" w:color="auto" w:sz="4" w:space="0"/>
              <w:right w:val="single" w:color="auto" w:sz="4" w:space="0"/>
            </w:tcBorders>
            <w:shd w:val="clear" w:color="auto" w:fill="auto"/>
            <w:noWrap/>
            <w:vAlign w:val="center"/>
          </w:tcPr>
          <w:p w14:paraId="364CF40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330</w:t>
            </w:r>
          </w:p>
        </w:tc>
      </w:tr>
      <w:tr w14:paraId="6B0176A2">
        <w:tblPrEx>
          <w:tblCellMar>
            <w:top w:w="0" w:type="dxa"/>
            <w:left w:w="108" w:type="dxa"/>
            <w:bottom w:w="0" w:type="dxa"/>
            <w:right w:w="108" w:type="dxa"/>
          </w:tblCellMar>
        </w:tblPrEx>
        <w:trPr>
          <w:trHeight w:val="30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01485BD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4FF7B67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水源涵养区保护工程</w:t>
            </w:r>
          </w:p>
        </w:tc>
        <w:tc>
          <w:tcPr>
            <w:tcW w:w="592" w:type="pct"/>
            <w:tcBorders>
              <w:top w:val="nil"/>
              <w:left w:val="nil"/>
              <w:bottom w:val="single" w:color="auto" w:sz="4" w:space="0"/>
              <w:right w:val="single" w:color="auto" w:sz="4" w:space="0"/>
            </w:tcBorders>
            <w:shd w:val="clear" w:color="auto" w:fill="auto"/>
            <w:noWrap/>
            <w:vAlign w:val="center"/>
          </w:tcPr>
          <w:p w14:paraId="6D200D5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10万元/km</w:t>
            </w:r>
            <w:r>
              <w:rPr>
                <w:rFonts w:hint="eastAsia" w:ascii="宋体" w:hAnsi="宋体" w:eastAsia="宋体"/>
                <w:sz w:val="20"/>
                <w:szCs w:val="20"/>
                <w:vertAlign w:val="superscript"/>
              </w:rPr>
              <w:t>2</w:t>
            </w:r>
          </w:p>
        </w:tc>
        <w:tc>
          <w:tcPr>
            <w:tcW w:w="608" w:type="pct"/>
            <w:tcBorders>
              <w:top w:val="nil"/>
              <w:left w:val="nil"/>
              <w:bottom w:val="single" w:color="auto" w:sz="4" w:space="0"/>
              <w:right w:val="single" w:color="auto" w:sz="4" w:space="0"/>
            </w:tcBorders>
            <w:shd w:val="clear" w:color="auto" w:fill="auto"/>
            <w:noWrap/>
            <w:vAlign w:val="center"/>
          </w:tcPr>
          <w:p w14:paraId="01AD59B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c>
          <w:tcPr>
            <w:tcW w:w="505" w:type="pct"/>
            <w:tcBorders>
              <w:top w:val="nil"/>
              <w:left w:val="nil"/>
              <w:bottom w:val="single" w:color="auto" w:sz="4" w:space="0"/>
              <w:right w:val="single" w:color="auto" w:sz="4" w:space="0"/>
            </w:tcBorders>
            <w:shd w:val="clear" w:color="auto" w:fill="auto"/>
            <w:noWrap/>
            <w:vAlign w:val="center"/>
          </w:tcPr>
          <w:p w14:paraId="72578C7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60</w:t>
            </w:r>
          </w:p>
        </w:tc>
        <w:tc>
          <w:tcPr>
            <w:tcW w:w="562" w:type="pct"/>
            <w:tcBorders>
              <w:top w:val="nil"/>
              <w:left w:val="nil"/>
              <w:bottom w:val="single" w:color="auto" w:sz="4" w:space="0"/>
              <w:right w:val="single" w:color="auto" w:sz="4" w:space="0"/>
            </w:tcBorders>
            <w:shd w:val="clear" w:color="auto" w:fill="auto"/>
            <w:noWrap/>
            <w:vAlign w:val="center"/>
          </w:tcPr>
          <w:p w14:paraId="23B5441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24</w:t>
            </w:r>
          </w:p>
        </w:tc>
        <w:tc>
          <w:tcPr>
            <w:tcW w:w="467" w:type="pct"/>
            <w:tcBorders>
              <w:top w:val="nil"/>
              <w:left w:val="nil"/>
              <w:bottom w:val="single" w:color="auto" w:sz="4" w:space="0"/>
              <w:right w:val="single" w:color="auto" w:sz="4" w:space="0"/>
            </w:tcBorders>
            <w:shd w:val="clear" w:color="auto" w:fill="auto"/>
            <w:noWrap/>
            <w:vAlign w:val="center"/>
          </w:tcPr>
          <w:p w14:paraId="7C013AF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240</w:t>
            </w:r>
          </w:p>
        </w:tc>
        <w:tc>
          <w:tcPr>
            <w:tcW w:w="573" w:type="pct"/>
            <w:tcBorders>
              <w:top w:val="nil"/>
              <w:left w:val="nil"/>
              <w:bottom w:val="single" w:color="auto" w:sz="4" w:space="0"/>
              <w:right w:val="single" w:color="auto" w:sz="4" w:space="0"/>
            </w:tcBorders>
            <w:shd w:val="clear" w:color="auto" w:fill="auto"/>
            <w:noWrap/>
            <w:vAlign w:val="center"/>
          </w:tcPr>
          <w:p w14:paraId="5640A43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w:t>
            </w:r>
          </w:p>
        </w:tc>
        <w:tc>
          <w:tcPr>
            <w:tcW w:w="476" w:type="pct"/>
            <w:tcBorders>
              <w:top w:val="nil"/>
              <w:left w:val="nil"/>
              <w:bottom w:val="single" w:color="auto" w:sz="4" w:space="0"/>
              <w:right w:val="single" w:color="auto" w:sz="4" w:space="0"/>
            </w:tcBorders>
            <w:shd w:val="clear" w:color="auto" w:fill="auto"/>
            <w:noWrap/>
            <w:vAlign w:val="center"/>
          </w:tcPr>
          <w:p w14:paraId="08E8EE0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300</w:t>
            </w:r>
          </w:p>
        </w:tc>
      </w:tr>
      <w:tr w14:paraId="350013E0">
        <w:tblPrEx>
          <w:tblCellMar>
            <w:top w:w="0" w:type="dxa"/>
            <w:left w:w="108" w:type="dxa"/>
            <w:bottom w:w="0" w:type="dxa"/>
            <w:right w:w="108" w:type="dxa"/>
          </w:tblCellMar>
        </w:tblPrEx>
        <w:trPr>
          <w:trHeight w:val="30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3231261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228F9A0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饮用水源地保护工程</w:t>
            </w:r>
          </w:p>
        </w:tc>
        <w:tc>
          <w:tcPr>
            <w:tcW w:w="592" w:type="pct"/>
            <w:tcBorders>
              <w:top w:val="nil"/>
              <w:left w:val="nil"/>
              <w:bottom w:val="single" w:color="auto" w:sz="4" w:space="0"/>
              <w:right w:val="single" w:color="auto" w:sz="4" w:space="0"/>
            </w:tcBorders>
            <w:shd w:val="clear" w:color="auto" w:fill="auto"/>
            <w:noWrap/>
            <w:vAlign w:val="center"/>
          </w:tcPr>
          <w:p w14:paraId="7A14A53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10万元/km</w:t>
            </w:r>
            <w:r>
              <w:rPr>
                <w:rFonts w:hint="eastAsia" w:ascii="宋体" w:hAnsi="宋体" w:eastAsia="宋体"/>
                <w:sz w:val="20"/>
                <w:szCs w:val="20"/>
                <w:vertAlign w:val="superscript"/>
              </w:rPr>
              <w:t>2</w:t>
            </w:r>
          </w:p>
        </w:tc>
        <w:tc>
          <w:tcPr>
            <w:tcW w:w="608" w:type="pct"/>
            <w:tcBorders>
              <w:top w:val="nil"/>
              <w:left w:val="nil"/>
              <w:bottom w:val="single" w:color="auto" w:sz="4" w:space="0"/>
              <w:right w:val="single" w:color="auto" w:sz="4" w:space="0"/>
            </w:tcBorders>
            <w:shd w:val="clear" w:color="auto" w:fill="auto"/>
            <w:noWrap/>
            <w:vAlign w:val="center"/>
          </w:tcPr>
          <w:p w14:paraId="0512B19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w:t>
            </w:r>
          </w:p>
        </w:tc>
        <w:tc>
          <w:tcPr>
            <w:tcW w:w="505" w:type="pct"/>
            <w:tcBorders>
              <w:top w:val="nil"/>
              <w:left w:val="nil"/>
              <w:bottom w:val="single" w:color="auto" w:sz="4" w:space="0"/>
              <w:right w:val="single" w:color="auto" w:sz="4" w:space="0"/>
            </w:tcBorders>
            <w:shd w:val="clear" w:color="auto" w:fill="auto"/>
            <w:noWrap/>
            <w:vAlign w:val="center"/>
          </w:tcPr>
          <w:p w14:paraId="3934489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562" w:type="pct"/>
            <w:tcBorders>
              <w:top w:val="nil"/>
              <w:left w:val="nil"/>
              <w:bottom w:val="single" w:color="auto" w:sz="4" w:space="0"/>
              <w:right w:val="single" w:color="auto" w:sz="4" w:space="0"/>
            </w:tcBorders>
            <w:shd w:val="clear" w:color="auto" w:fill="auto"/>
            <w:noWrap/>
            <w:vAlign w:val="center"/>
          </w:tcPr>
          <w:p w14:paraId="25D0EAE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w:t>
            </w:r>
          </w:p>
        </w:tc>
        <w:tc>
          <w:tcPr>
            <w:tcW w:w="467" w:type="pct"/>
            <w:tcBorders>
              <w:top w:val="nil"/>
              <w:left w:val="nil"/>
              <w:bottom w:val="single" w:color="auto" w:sz="4" w:space="0"/>
              <w:right w:val="single" w:color="auto" w:sz="4" w:space="0"/>
            </w:tcBorders>
            <w:shd w:val="clear" w:color="auto" w:fill="auto"/>
            <w:noWrap/>
            <w:vAlign w:val="center"/>
          </w:tcPr>
          <w:p w14:paraId="5AD0359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573" w:type="pct"/>
            <w:tcBorders>
              <w:top w:val="nil"/>
              <w:left w:val="nil"/>
              <w:bottom w:val="single" w:color="auto" w:sz="4" w:space="0"/>
              <w:right w:val="single" w:color="auto" w:sz="4" w:space="0"/>
            </w:tcBorders>
            <w:shd w:val="clear" w:color="auto" w:fill="auto"/>
            <w:noWrap/>
            <w:vAlign w:val="center"/>
          </w:tcPr>
          <w:p w14:paraId="00A40ED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w:t>
            </w:r>
          </w:p>
        </w:tc>
        <w:tc>
          <w:tcPr>
            <w:tcW w:w="476" w:type="pct"/>
            <w:tcBorders>
              <w:top w:val="nil"/>
              <w:left w:val="nil"/>
              <w:bottom w:val="single" w:color="auto" w:sz="4" w:space="0"/>
              <w:right w:val="single" w:color="auto" w:sz="4" w:space="0"/>
            </w:tcBorders>
            <w:shd w:val="clear" w:color="auto" w:fill="auto"/>
            <w:noWrap/>
            <w:vAlign w:val="center"/>
          </w:tcPr>
          <w:p w14:paraId="30D9F7B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w:t>
            </w:r>
          </w:p>
        </w:tc>
      </w:tr>
      <w:tr w14:paraId="1DAE2277">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5F073DC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w:t>
            </w:r>
          </w:p>
        </w:tc>
        <w:tc>
          <w:tcPr>
            <w:tcW w:w="907" w:type="pct"/>
            <w:tcBorders>
              <w:top w:val="nil"/>
              <w:left w:val="nil"/>
              <w:bottom w:val="single" w:color="auto" w:sz="4" w:space="0"/>
              <w:right w:val="single" w:color="auto" w:sz="4" w:space="0"/>
            </w:tcBorders>
            <w:shd w:val="clear" w:color="auto" w:fill="auto"/>
            <w:noWrap/>
            <w:vAlign w:val="center"/>
          </w:tcPr>
          <w:p w14:paraId="33DA8CE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综合治理工程</w:t>
            </w:r>
          </w:p>
        </w:tc>
        <w:tc>
          <w:tcPr>
            <w:tcW w:w="592" w:type="pct"/>
            <w:tcBorders>
              <w:top w:val="nil"/>
              <w:left w:val="nil"/>
              <w:bottom w:val="single" w:color="auto" w:sz="4" w:space="0"/>
              <w:right w:val="single" w:color="auto" w:sz="4" w:space="0"/>
            </w:tcBorders>
            <w:shd w:val="clear" w:color="auto" w:fill="auto"/>
            <w:noWrap/>
            <w:vAlign w:val="center"/>
          </w:tcPr>
          <w:p w14:paraId="625BFDD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608" w:type="pct"/>
            <w:tcBorders>
              <w:top w:val="nil"/>
              <w:left w:val="nil"/>
              <w:bottom w:val="single" w:color="auto" w:sz="4" w:space="0"/>
              <w:right w:val="single" w:color="auto" w:sz="4" w:space="0"/>
            </w:tcBorders>
            <w:shd w:val="clear" w:color="auto" w:fill="auto"/>
            <w:noWrap/>
            <w:vAlign w:val="center"/>
          </w:tcPr>
          <w:p w14:paraId="7E24FF7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21</w:t>
            </w:r>
          </w:p>
        </w:tc>
        <w:tc>
          <w:tcPr>
            <w:tcW w:w="505" w:type="pct"/>
            <w:tcBorders>
              <w:top w:val="nil"/>
              <w:left w:val="nil"/>
              <w:bottom w:val="single" w:color="auto" w:sz="4" w:space="0"/>
              <w:right w:val="single" w:color="auto" w:sz="4" w:space="0"/>
            </w:tcBorders>
            <w:shd w:val="clear" w:color="auto" w:fill="auto"/>
            <w:noWrap/>
            <w:vAlign w:val="center"/>
          </w:tcPr>
          <w:p w14:paraId="6C6A199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860</w:t>
            </w:r>
          </w:p>
        </w:tc>
        <w:tc>
          <w:tcPr>
            <w:tcW w:w="562" w:type="pct"/>
            <w:tcBorders>
              <w:top w:val="nil"/>
              <w:left w:val="nil"/>
              <w:bottom w:val="single" w:color="auto" w:sz="4" w:space="0"/>
              <w:right w:val="single" w:color="auto" w:sz="4" w:space="0"/>
            </w:tcBorders>
            <w:shd w:val="clear" w:color="auto" w:fill="auto"/>
            <w:noWrap/>
            <w:vAlign w:val="center"/>
          </w:tcPr>
          <w:p w14:paraId="3D6515F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82</w:t>
            </w:r>
          </w:p>
        </w:tc>
        <w:tc>
          <w:tcPr>
            <w:tcW w:w="467" w:type="pct"/>
            <w:tcBorders>
              <w:top w:val="nil"/>
              <w:left w:val="nil"/>
              <w:bottom w:val="single" w:color="auto" w:sz="4" w:space="0"/>
              <w:right w:val="single" w:color="auto" w:sz="4" w:space="0"/>
            </w:tcBorders>
            <w:shd w:val="clear" w:color="auto" w:fill="auto"/>
            <w:noWrap/>
            <w:vAlign w:val="center"/>
          </w:tcPr>
          <w:p w14:paraId="6A0889A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3680</w:t>
            </w:r>
          </w:p>
        </w:tc>
        <w:tc>
          <w:tcPr>
            <w:tcW w:w="573" w:type="pct"/>
            <w:tcBorders>
              <w:top w:val="nil"/>
              <w:left w:val="nil"/>
              <w:bottom w:val="single" w:color="auto" w:sz="4" w:space="0"/>
              <w:right w:val="single" w:color="auto" w:sz="4" w:space="0"/>
            </w:tcBorders>
            <w:shd w:val="clear" w:color="auto" w:fill="auto"/>
            <w:noWrap/>
            <w:vAlign w:val="center"/>
          </w:tcPr>
          <w:p w14:paraId="6495E59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103</w:t>
            </w:r>
          </w:p>
        </w:tc>
        <w:tc>
          <w:tcPr>
            <w:tcW w:w="476" w:type="pct"/>
            <w:tcBorders>
              <w:top w:val="nil"/>
              <w:left w:val="nil"/>
              <w:bottom w:val="single" w:color="auto" w:sz="4" w:space="0"/>
              <w:right w:val="single" w:color="auto" w:sz="4" w:space="0"/>
            </w:tcBorders>
            <w:shd w:val="clear" w:color="auto" w:fill="auto"/>
            <w:noWrap/>
            <w:vAlign w:val="center"/>
          </w:tcPr>
          <w:p w14:paraId="6594EF5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4540</w:t>
            </w:r>
          </w:p>
        </w:tc>
      </w:tr>
      <w:tr w14:paraId="4506AA77">
        <w:tblPrEx>
          <w:tblCellMar>
            <w:top w:w="0" w:type="dxa"/>
            <w:left w:w="108" w:type="dxa"/>
            <w:bottom w:w="0" w:type="dxa"/>
            <w:right w:w="108" w:type="dxa"/>
          </w:tblCellMar>
        </w:tblPrEx>
        <w:trPr>
          <w:trHeight w:val="30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3C6CE48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3887085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水土流失综合治理工程</w:t>
            </w:r>
          </w:p>
        </w:tc>
        <w:tc>
          <w:tcPr>
            <w:tcW w:w="592" w:type="pct"/>
            <w:tcBorders>
              <w:top w:val="nil"/>
              <w:left w:val="nil"/>
              <w:bottom w:val="single" w:color="auto" w:sz="4" w:space="0"/>
              <w:right w:val="single" w:color="auto" w:sz="4" w:space="0"/>
            </w:tcBorders>
            <w:shd w:val="clear" w:color="auto" w:fill="auto"/>
            <w:noWrap/>
            <w:vAlign w:val="center"/>
          </w:tcPr>
          <w:p w14:paraId="2F571B5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80万元/km</w:t>
            </w:r>
            <w:r>
              <w:rPr>
                <w:rFonts w:hint="eastAsia" w:ascii="宋体" w:hAnsi="宋体" w:eastAsia="宋体"/>
                <w:sz w:val="20"/>
                <w:szCs w:val="20"/>
                <w:vertAlign w:val="superscript"/>
              </w:rPr>
              <w:t>2</w:t>
            </w:r>
          </w:p>
        </w:tc>
        <w:tc>
          <w:tcPr>
            <w:tcW w:w="608" w:type="pct"/>
            <w:tcBorders>
              <w:top w:val="nil"/>
              <w:left w:val="nil"/>
              <w:bottom w:val="single" w:color="auto" w:sz="4" w:space="0"/>
              <w:right w:val="single" w:color="auto" w:sz="4" w:space="0"/>
            </w:tcBorders>
            <w:shd w:val="clear" w:color="auto" w:fill="auto"/>
            <w:noWrap/>
            <w:vAlign w:val="center"/>
          </w:tcPr>
          <w:p w14:paraId="3BC1960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w:t>
            </w:r>
          </w:p>
        </w:tc>
        <w:tc>
          <w:tcPr>
            <w:tcW w:w="505" w:type="pct"/>
            <w:tcBorders>
              <w:top w:val="nil"/>
              <w:left w:val="nil"/>
              <w:bottom w:val="single" w:color="auto" w:sz="4" w:space="0"/>
              <w:right w:val="single" w:color="auto" w:sz="4" w:space="0"/>
            </w:tcBorders>
            <w:shd w:val="clear" w:color="auto" w:fill="auto"/>
            <w:noWrap/>
            <w:vAlign w:val="center"/>
          </w:tcPr>
          <w:p w14:paraId="0CA4685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160</w:t>
            </w:r>
          </w:p>
        </w:tc>
        <w:tc>
          <w:tcPr>
            <w:tcW w:w="562" w:type="pct"/>
            <w:tcBorders>
              <w:top w:val="nil"/>
              <w:left w:val="nil"/>
              <w:bottom w:val="single" w:color="auto" w:sz="4" w:space="0"/>
              <w:right w:val="single" w:color="auto" w:sz="4" w:space="0"/>
            </w:tcBorders>
            <w:shd w:val="clear" w:color="auto" w:fill="auto"/>
            <w:noWrap/>
            <w:vAlign w:val="center"/>
          </w:tcPr>
          <w:p w14:paraId="1A43085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w:t>
            </w:r>
          </w:p>
        </w:tc>
        <w:tc>
          <w:tcPr>
            <w:tcW w:w="467" w:type="pct"/>
            <w:tcBorders>
              <w:top w:val="nil"/>
              <w:left w:val="nil"/>
              <w:bottom w:val="single" w:color="auto" w:sz="4" w:space="0"/>
              <w:right w:val="single" w:color="auto" w:sz="4" w:space="0"/>
            </w:tcBorders>
            <w:shd w:val="clear" w:color="auto" w:fill="auto"/>
            <w:noWrap/>
            <w:vAlign w:val="center"/>
          </w:tcPr>
          <w:p w14:paraId="18A33FA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640</w:t>
            </w:r>
          </w:p>
        </w:tc>
        <w:tc>
          <w:tcPr>
            <w:tcW w:w="573" w:type="pct"/>
            <w:tcBorders>
              <w:top w:val="nil"/>
              <w:left w:val="nil"/>
              <w:bottom w:val="single" w:color="auto" w:sz="4" w:space="0"/>
              <w:right w:val="single" w:color="auto" w:sz="4" w:space="0"/>
            </w:tcBorders>
            <w:shd w:val="clear" w:color="auto" w:fill="auto"/>
            <w:noWrap/>
            <w:vAlign w:val="center"/>
          </w:tcPr>
          <w:p w14:paraId="49CCD76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476" w:type="pct"/>
            <w:tcBorders>
              <w:top w:val="nil"/>
              <w:left w:val="nil"/>
              <w:bottom w:val="single" w:color="auto" w:sz="4" w:space="0"/>
              <w:right w:val="single" w:color="auto" w:sz="4" w:space="0"/>
            </w:tcBorders>
            <w:shd w:val="clear" w:color="auto" w:fill="auto"/>
            <w:noWrap/>
            <w:vAlign w:val="center"/>
          </w:tcPr>
          <w:p w14:paraId="52709B6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800</w:t>
            </w:r>
          </w:p>
        </w:tc>
      </w:tr>
      <w:tr w14:paraId="34E0B7A2">
        <w:tblPrEx>
          <w:tblCellMar>
            <w:top w:w="0" w:type="dxa"/>
            <w:left w:w="108" w:type="dxa"/>
            <w:bottom w:w="0" w:type="dxa"/>
            <w:right w:w="108" w:type="dxa"/>
          </w:tblCellMar>
        </w:tblPrEx>
        <w:trPr>
          <w:trHeight w:val="30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2BC66E3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767F561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城郊型清洁小流域建设</w:t>
            </w:r>
          </w:p>
        </w:tc>
        <w:tc>
          <w:tcPr>
            <w:tcW w:w="592" w:type="pct"/>
            <w:tcBorders>
              <w:top w:val="nil"/>
              <w:left w:val="nil"/>
              <w:bottom w:val="single" w:color="auto" w:sz="4" w:space="0"/>
              <w:right w:val="single" w:color="auto" w:sz="4" w:space="0"/>
            </w:tcBorders>
            <w:shd w:val="clear" w:color="auto" w:fill="auto"/>
            <w:noWrap/>
            <w:vAlign w:val="center"/>
          </w:tcPr>
          <w:p w14:paraId="0E17E62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100万元/km</w:t>
            </w:r>
            <w:r>
              <w:rPr>
                <w:rFonts w:hint="eastAsia" w:ascii="宋体" w:hAnsi="宋体" w:eastAsia="宋体"/>
                <w:sz w:val="20"/>
                <w:szCs w:val="20"/>
                <w:vertAlign w:val="superscript"/>
              </w:rPr>
              <w:t>2</w:t>
            </w:r>
          </w:p>
        </w:tc>
        <w:tc>
          <w:tcPr>
            <w:tcW w:w="608" w:type="pct"/>
            <w:tcBorders>
              <w:top w:val="nil"/>
              <w:left w:val="nil"/>
              <w:bottom w:val="single" w:color="auto" w:sz="4" w:space="0"/>
              <w:right w:val="single" w:color="auto" w:sz="4" w:space="0"/>
            </w:tcBorders>
            <w:shd w:val="clear" w:color="auto" w:fill="auto"/>
            <w:noWrap/>
            <w:vAlign w:val="center"/>
          </w:tcPr>
          <w:p w14:paraId="45E5995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w:t>
            </w:r>
          </w:p>
        </w:tc>
        <w:tc>
          <w:tcPr>
            <w:tcW w:w="505" w:type="pct"/>
            <w:tcBorders>
              <w:top w:val="nil"/>
              <w:left w:val="nil"/>
              <w:bottom w:val="single" w:color="auto" w:sz="4" w:space="0"/>
              <w:right w:val="single" w:color="auto" w:sz="4" w:space="0"/>
            </w:tcBorders>
            <w:shd w:val="clear" w:color="auto" w:fill="auto"/>
            <w:noWrap/>
            <w:vAlign w:val="center"/>
          </w:tcPr>
          <w:p w14:paraId="1437C43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300</w:t>
            </w:r>
          </w:p>
        </w:tc>
        <w:tc>
          <w:tcPr>
            <w:tcW w:w="562" w:type="pct"/>
            <w:tcBorders>
              <w:top w:val="nil"/>
              <w:left w:val="nil"/>
              <w:bottom w:val="single" w:color="auto" w:sz="4" w:space="0"/>
              <w:right w:val="single" w:color="auto" w:sz="4" w:space="0"/>
            </w:tcBorders>
            <w:shd w:val="clear" w:color="auto" w:fill="auto"/>
            <w:noWrap/>
            <w:vAlign w:val="center"/>
          </w:tcPr>
          <w:p w14:paraId="3A70561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17</w:t>
            </w:r>
          </w:p>
        </w:tc>
        <w:tc>
          <w:tcPr>
            <w:tcW w:w="467" w:type="pct"/>
            <w:tcBorders>
              <w:top w:val="nil"/>
              <w:left w:val="nil"/>
              <w:bottom w:val="single" w:color="auto" w:sz="4" w:space="0"/>
              <w:right w:val="single" w:color="auto" w:sz="4" w:space="0"/>
            </w:tcBorders>
            <w:shd w:val="clear" w:color="auto" w:fill="auto"/>
            <w:noWrap/>
            <w:vAlign w:val="center"/>
          </w:tcPr>
          <w:p w14:paraId="02A47D5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1700</w:t>
            </w:r>
          </w:p>
        </w:tc>
        <w:tc>
          <w:tcPr>
            <w:tcW w:w="573" w:type="pct"/>
            <w:tcBorders>
              <w:top w:val="nil"/>
              <w:left w:val="nil"/>
              <w:bottom w:val="single" w:color="auto" w:sz="4" w:space="0"/>
              <w:right w:val="single" w:color="auto" w:sz="4" w:space="0"/>
            </w:tcBorders>
            <w:shd w:val="clear" w:color="auto" w:fill="auto"/>
            <w:noWrap/>
            <w:vAlign w:val="center"/>
          </w:tcPr>
          <w:p w14:paraId="7B692E2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476" w:type="pct"/>
            <w:tcBorders>
              <w:top w:val="nil"/>
              <w:left w:val="nil"/>
              <w:bottom w:val="single" w:color="auto" w:sz="4" w:space="0"/>
              <w:right w:val="single" w:color="auto" w:sz="4" w:space="0"/>
            </w:tcBorders>
            <w:shd w:val="clear" w:color="auto" w:fill="auto"/>
            <w:noWrap/>
            <w:vAlign w:val="center"/>
          </w:tcPr>
          <w:p w14:paraId="0D1D375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2000</w:t>
            </w:r>
          </w:p>
        </w:tc>
      </w:tr>
      <w:tr w14:paraId="35F824B9">
        <w:tblPrEx>
          <w:tblCellMar>
            <w:top w:w="0" w:type="dxa"/>
            <w:left w:w="108" w:type="dxa"/>
            <w:bottom w:w="0" w:type="dxa"/>
            <w:right w:w="108" w:type="dxa"/>
          </w:tblCellMar>
        </w:tblPrEx>
        <w:trPr>
          <w:trHeight w:val="30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2BF1901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6D311B0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生态修复</w:t>
            </w:r>
          </w:p>
        </w:tc>
        <w:tc>
          <w:tcPr>
            <w:tcW w:w="592" w:type="pct"/>
            <w:tcBorders>
              <w:top w:val="nil"/>
              <w:left w:val="nil"/>
              <w:bottom w:val="single" w:color="auto" w:sz="4" w:space="0"/>
              <w:right w:val="single" w:color="auto" w:sz="4" w:space="0"/>
            </w:tcBorders>
            <w:shd w:val="clear" w:color="auto" w:fill="auto"/>
            <w:noWrap/>
            <w:vAlign w:val="center"/>
          </w:tcPr>
          <w:p w14:paraId="0FE65AC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20万元/km</w:t>
            </w:r>
            <w:r>
              <w:rPr>
                <w:rFonts w:hint="eastAsia" w:ascii="宋体" w:hAnsi="宋体" w:eastAsia="宋体"/>
                <w:sz w:val="20"/>
                <w:szCs w:val="20"/>
                <w:vertAlign w:val="superscript"/>
              </w:rPr>
              <w:t>2</w:t>
            </w:r>
          </w:p>
        </w:tc>
        <w:tc>
          <w:tcPr>
            <w:tcW w:w="608" w:type="pct"/>
            <w:tcBorders>
              <w:top w:val="nil"/>
              <w:left w:val="nil"/>
              <w:bottom w:val="single" w:color="auto" w:sz="4" w:space="0"/>
              <w:right w:val="single" w:color="auto" w:sz="4" w:space="0"/>
            </w:tcBorders>
            <w:shd w:val="clear" w:color="auto" w:fill="auto"/>
            <w:noWrap/>
            <w:vAlign w:val="center"/>
          </w:tcPr>
          <w:p w14:paraId="1335FEC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505" w:type="pct"/>
            <w:tcBorders>
              <w:top w:val="nil"/>
              <w:left w:val="nil"/>
              <w:bottom w:val="single" w:color="auto" w:sz="4" w:space="0"/>
              <w:right w:val="single" w:color="auto" w:sz="4" w:space="0"/>
            </w:tcBorders>
            <w:shd w:val="clear" w:color="auto" w:fill="auto"/>
            <w:noWrap/>
            <w:vAlign w:val="center"/>
          </w:tcPr>
          <w:p w14:paraId="197BFAC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240</w:t>
            </w:r>
          </w:p>
        </w:tc>
        <w:tc>
          <w:tcPr>
            <w:tcW w:w="562" w:type="pct"/>
            <w:tcBorders>
              <w:top w:val="nil"/>
              <w:left w:val="nil"/>
              <w:bottom w:val="single" w:color="auto" w:sz="4" w:space="0"/>
              <w:right w:val="single" w:color="auto" w:sz="4" w:space="0"/>
            </w:tcBorders>
            <w:shd w:val="clear" w:color="auto" w:fill="auto"/>
            <w:noWrap/>
            <w:vAlign w:val="center"/>
          </w:tcPr>
          <w:p w14:paraId="444F652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47</w:t>
            </w:r>
          </w:p>
        </w:tc>
        <w:tc>
          <w:tcPr>
            <w:tcW w:w="467" w:type="pct"/>
            <w:tcBorders>
              <w:top w:val="nil"/>
              <w:left w:val="nil"/>
              <w:bottom w:val="single" w:color="auto" w:sz="4" w:space="0"/>
              <w:right w:val="single" w:color="auto" w:sz="4" w:space="0"/>
            </w:tcBorders>
            <w:shd w:val="clear" w:color="auto" w:fill="auto"/>
            <w:noWrap/>
            <w:vAlign w:val="center"/>
          </w:tcPr>
          <w:p w14:paraId="34E854F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940</w:t>
            </w:r>
          </w:p>
        </w:tc>
        <w:tc>
          <w:tcPr>
            <w:tcW w:w="573" w:type="pct"/>
            <w:tcBorders>
              <w:top w:val="nil"/>
              <w:left w:val="nil"/>
              <w:bottom w:val="single" w:color="auto" w:sz="4" w:space="0"/>
              <w:right w:val="single" w:color="auto" w:sz="4" w:space="0"/>
            </w:tcBorders>
            <w:shd w:val="clear" w:color="auto" w:fill="auto"/>
            <w:noWrap/>
            <w:vAlign w:val="center"/>
          </w:tcPr>
          <w:p w14:paraId="50118D9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59</w:t>
            </w:r>
          </w:p>
        </w:tc>
        <w:tc>
          <w:tcPr>
            <w:tcW w:w="476" w:type="pct"/>
            <w:tcBorders>
              <w:top w:val="nil"/>
              <w:left w:val="nil"/>
              <w:bottom w:val="single" w:color="auto" w:sz="4" w:space="0"/>
              <w:right w:val="single" w:color="auto" w:sz="4" w:space="0"/>
            </w:tcBorders>
            <w:shd w:val="clear" w:color="auto" w:fill="auto"/>
            <w:noWrap/>
            <w:vAlign w:val="center"/>
          </w:tcPr>
          <w:p w14:paraId="4C7169E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1180</w:t>
            </w:r>
          </w:p>
        </w:tc>
      </w:tr>
      <w:tr w14:paraId="646E40E0">
        <w:tblPrEx>
          <w:tblCellMar>
            <w:top w:w="0" w:type="dxa"/>
            <w:left w:w="108" w:type="dxa"/>
            <w:bottom w:w="0" w:type="dxa"/>
            <w:right w:w="108" w:type="dxa"/>
          </w:tblCellMar>
        </w:tblPrEx>
        <w:trPr>
          <w:trHeight w:val="30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0BA59F5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6BDE365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土地整治工程</w:t>
            </w:r>
          </w:p>
        </w:tc>
        <w:tc>
          <w:tcPr>
            <w:tcW w:w="592" w:type="pct"/>
            <w:tcBorders>
              <w:top w:val="nil"/>
              <w:left w:val="nil"/>
              <w:bottom w:val="single" w:color="auto" w:sz="4" w:space="0"/>
              <w:right w:val="single" w:color="auto" w:sz="4" w:space="0"/>
            </w:tcBorders>
            <w:shd w:val="clear" w:color="auto" w:fill="auto"/>
            <w:noWrap/>
            <w:vAlign w:val="center"/>
          </w:tcPr>
          <w:p w14:paraId="46D7F68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40万元/km</w:t>
            </w:r>
            <w:r>
              <w:rPr>
                <w:rFonts w:hint="eastAsia" w:ascii="宋体" w:hAnsi="宋体" w:eastAsia="宋体"/>
                <w:sz w:val="20"/>
                <w:szCs w:val="20"/>
                <w:vertAlign w:val="superscript"/>
              </w:rPr>
              <w:t>2</w:t>
            </w:r>
          </w:p>
        </w:tc>
        <w:tc>
          <w:tcPr>
            <w:tcW w:w="608" w:type="pct"/>
            <w:tcBorders>
              <w:top w:val="nil"/>
              <w:left w:val="nil"/>
              <w:bottom w:val="single" w:color="auto" w:sz="4" w:space="0"/>
              <w:right w:val="single" w:color="auto" w:sz="4" w:space="0"/>
            </w:tcBorders>
            <w:shd w:val="clear" w:color="auto" w:fill="auto"/>
            <w:noWrap/>
            <w:vAlign w:val="center"/>
          </w:tcPr>
          <w:p w14:paraId="661A9A1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w:t>
            </w:r>
          </w:p>
        </w:tc>
        <w:tc>
          <w:tcPr>
            <w:tcW w:w="505" w:type="pct"/>
            <w:tcBorders>
              <w:top w:val="nil"/>
              <w:left w:val="nil"/>
              <w:bottom w:val="single" w:color="auto" w:sz="4" w:space="0"/>
              <w:right w:val="single" w:color="auto" w:sz="4" w:space="0"/>
            </w:tcBorders>
            <w:shd w:val="clear" w:color="auto" w:fill="auto"/>
            <w:noWrap/>
            <w:vAlign w:val="center"/>
          </w:tcPr>
          <w:p w14:paraId="25969C3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160</w:t>
            </w:r>
          </w:p>
        </w:tc>
        <w:tc>
          <w:tcPr>
            <w:tcW w:w="562" w:type="pct"/>
            <w:tcBorders>
              <w:top w:val="nil"/>
              <w:left w:val="nil"/>
              <w:bottom w:val="single" w:color="auto" w:sz="4" w:space="0"/>
              <w:right w:val="single" w:color="auto" w:sz="4" w:space="0"/>
            </w:tcBorders>
            <w:shd w:val="clear" w:color="auto" w:fill="auto"/>
            <w:noWrap/>
            <w:vAlign w:val="center"/>
          </w:tcPr>
          <w:p w14:paraId="1DF4538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467" w:type="pct"/>
            <w:tcBorders>
              <w:top w:val="nil"/>
              <w:left w:val="nil"/>
              <w:bottom w:val="single" w:color="auto" w:sz="4" w:space="0"/>
              <w:right w:val="single" w:color="auto" w:sz="4" w:space="0"/>
            </w:tcBorders>
            <w:shd w:val="clear" w:color="auto" w:fill="auto"/>
            <w:noWrap/>
            <w:vAlign w:val="center"/>
          </w:tcPr>
          <w:p w14:paraId="413568E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400</w:t>
            </w:r>
          </w:p>
        </w:tc>
        <w:tc>
          <w:tcPr>
            <w:tcW w:w="573" w:type="pct"/>
            <w:tcBorders>
              <w:top w:val="nil"/>
              <w:left w:val="nil"/>
              <w:bottom w:val="single" w:color="auto" w:sz="4" w:space="0"/>
              <w:right w:val="single" w:color="auto" w:sz="4" w:space="0"/>
            </w:tcBorders>
            <w:shd w:val="clear" w:color="auto" w:fill="auto"/>
            <w:noWrap/>
            <w:vAlign w:val="center"/>
          </w:tcPr>
          <w:p w14:paraId="3906B10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14</w:t>
            </w:r>
          </w:p>
        </w:tc>
        <w:tc>
          <w:tcPr>
            <w:tcW w:w="476" w:type="pct"/>
            <w:tcBorders>
              <w:top w:val="nil"/>
              <w:left w:val="nil"/>
              <w:bottom w:val="single" w:color="auto" w:sz="4" w:space="0"/>
              <w:right w:val="single" w:color="auto" w:sz="4" w:space="0"/>
            </w:tcBorders>
            <w:shd w:val="clear" w:color="auto" w:fill="auto"/>
            <w:noWrap/>
            <w:vAlign w:val="center"/>
          </w:tcPr>
          <w:p w14:paraId="50C3039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560</w:t>
            </w:r>
          </w:p>
        </w:tc>
      </w:tr>
      <w:tr w14:paraId="33FFED4F">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74BBBCF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w:t>
            </w:r>
          </w:p>
        </w:tc>
        <w:tc>
          <w:tcPr>
            <w:tcW w:w="907" w:type="pct"/>
            <w:tcBorders>
              <w:top w:val="nil"/>
              <w:left w:val="nil"/>
              <w:bottom w:val="single" w:color="auto" w:sz="4" w:space="0"/>
              <w:right w:val="single" w:color="auto" w:sz="4" w:space="0"/>
            </w:tcBorders>
            <w:shd w:val="clear" w:color="auto" w:fill="auto"/>
            <w:noWrap/>
            <w:vAlign w:val="center"/>
          </w:tcPr>
          <w:p w14:paraId="614D700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水土保持监测</w:t>
            </w:r>
          </w:p>
        </w:tc>
        <w:tc>
          <w:tcPr>
            <w:tcW w:w="592" w:type="pct"/>
            <w:tcBorders>
              <w:top w:val="nil"/>
              <w:left w:val="nil"/>
              <w:bottom w:val="single" w:color="auto" w:sz="4" w:space="0"/>
              <w:right w:val="single" w:color="auto" w:sz="4" w:space="0"/>
            </w:tcBorders>
            <w:shd w:val="clear" w:color="auto" w:fill="auto"/>
            <w:noWrap/>
            <w:vAlign w:val="center"/>
          </w:tcPr>
          <w:p w14:paraId="72CE9E3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608" w:type="pct"/>
            <w:tcBorders>
              <w:top w:val="nil"/>
              <w:left w:val="nil"/>
              <w:bottom w:val="single" w:color="auto" w:sz="4" w:space="0"/>
              <w:right w:val="single" w:color="auto" w:sz="4" w:space="0"/>
            </w:tcBorders>
            <w:shd w:val="clear" w:color="auto" w:fill="auto"/>
            <w:noWrap/>
            <w:vAlign w:val="center"/>
          </w:tcPr>
          <w:p w14:paraId="7B98AB9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05" w:type="pct"/>
            <w:tcBorders>
              <w:top w:val="nil"/>
              <w:left w:val="nil"/>
              <w:bottom w:val="single" w:color="auto" w:sz="4" w:space="0"/>
              <w:right w:val="single" w:color="auto" w:sz="4" w:space="0"/>
            </w:tcBorders>
            <w:shd w:val="clear" w:color="auto" w:fill="auto"/>
            <w:noWrap/>
            <w:vAlign w:val="center"/>
          </w:tcPr>
          <w:p w14:paraId="2AFC041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62" w:type="pct"/>
            <w:tcBorders>
              <w:top w:val="nil"/>
              <w:left w:val="nil"/>
              <w:bottom w:val="single" w:color="auto" w:sz="4" w:space="0"/>
              <w:right w:val="single" w:color="auto" w:sz="4" w:space="0"/>
            </w:tcBorders>
            <w:shd w:val="clear" w:color="auto" w:fill="auto"/>
            <w:noWrap/>
            <w:vAlign w:val="center"/>
          </w:tcPr>
          <w:p w14:paraId="2135DBC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67" w:type="pct"/>
            <w:tcBorders>
              <w:top w:val="nil"/>
              <w:left w:val="nil"/>
              <w:bottom w:val="single" w:color="auto" w:sz="4" w:space="0"/>
              <w:right w:val="single" w:color="auto" w:sz="4" w:space="0"/>
            </w:tcBorders>
            <w:shd w:val="clear" w:color="auto" w:fill="auto"/>
            <w:noWrap/>
            <w:vAlign w:val="center"/>
          </w:tcPr>
          <w:p w14:paraId="2A3CE03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w:t>
            </w:r>
          </w:p>
        </w:tc>
        <w:tc>
          <w:tcPr>
            <w:tcW w:w="573" w:type="pct"/>
            <w:tcBorders>
              <w:top w:val="nil"/>
              <w:left w:val="nil"/>
              <w:bottom w:val="single" w:color="auto" w:sz="4" w:space="0"/>
              <w:right w:val="single" w:color="auto" w:sz="4" w:space="0"/>
            </w:tcBorders>
            <w:shd w:val="clear" w:color="auto" w:fill="auto"/>
            <w:noWrap/>
            <w:vAlign w:val="center"/>
          </w:tcPr>
          <w:p w14:paraId="7C7395E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794A573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w:t>
            </w:r>
          </w:p>
        </w:tc>
      </w:tr>
      <w:tr w14:paraId="3A9CBA1B">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7C3FC8E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360C85D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监测点信息化建设</w:t>
            </w:r>
          </w:p>
        </w:tc>
        <w:tc>
          <w:tcPr>
            <w:tcW w:w="592" w:type="pct"/>
            <w:tcBorders>
              <w:top w:val="nil"/>
              <w:left w:val="nil"/>
              <w:bottom w:val="single" w:color="auto" w:sz="4" w:space="0"/>
              <w:right w:val="single" w:color="auto" w:sz="4" w:space="0"/>
            </w:tcBorders>
            <w:shd w:val="clear" w:color="auto" w:fill="auto"/>
            <w:noWrap/>
            <w:vAlign w:val="center"/>
          </w:tcPr>
          <w:p w14:paraId="19775D4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100万元/座</w:t>
            </w:r>
          </w:p>
        </w:tc>
        <w:tc>
          <w:tcPr>
            <w:tcW w:w="608" w:type="pct"/>
            <w:tcBorders>
              <w:top w:val="nil"/>
              <w:left w:val="nil"/>
              <w:bottom w:val="single" w:color="auto" w:sz="4" w:space="0"/>
              <w:right w:val="single" w:color="auto" w:sz="4" w:space="0"/>
            </w:tcBorders>
            <w:shd w:val="clear" w:color="auto" w:fill="auto"/>
            <w:noWrap/>
            <w:vAlign w:val="center"/>
          </w:tcPr>
          <w:p w14:paraId="1341396B">
            <w:pPr>
              <w:spacing w:line="240" w:lineRule="auto"/>
              <w:ind w:firstLine="0" w:firstLineChars="0"/>
              <w:rPr>
                <w:rFonts w:hint="eastAsia" w:ascii="宋体" w:hAnsi="宋体" w:eastAsia="宋体"/>
                <w:sz w:val="22"/>
                <w:szCs w:val="22"/>
              </w:rPr>
            </w:pPr>
            <w:r>
              <w:rPr>
                <w:rFonts w:hint="eastAsia" w:ascii="宋体" w:hAnsi="宋体" w:eastAsia="宋体"/>
                <w:sz w:val="22"/>
                <w:szCs w:val="22"/>
              </w:rPr>
              <w:t>　</w:t>
            </w:r>
          </w:p>
        </w:tc>
        <w:tc>
          <w:tcPr>
            <w:tcW w:w="505" w:type="pct"/>
            <w:tcBorders>
              <w:top w:val="nil"/>
              <w:left w:val="nil"/>
              <w:bottom w:val="single" w:color="auto" w:sz="4" w:space="0"/>
              <w:right w:val="single" w:color="auto" w:sz="4" w:space="0"/>
            </w:tcBorders>
            <w:shd w:val="clear" w:color="auto" w:fill="auto"/>
            <w:noWrap/>
            <w:vAlign w:val="center"/>
          </w:tcPr>
          <w:p w14:paraId="48447731">
            <w:pPr>
              <w:spacing w:line="240" w:lineRule="auto"/>
              <w:ind w:firstLine="0" w:firstLineChars="0"/>
              <w:rPr>
                <w:rFonts w:hint="eastAsia" w:ascii="宋体" w:hAnsi="宋体" w:eastAsia="宋体"/>
                <w:sz w:val="22"/>
                <w:szCs w:val="22"/>
              </w:rPr>
            </w:pPr>
            <w:r>
              <w:rPr>
                <w:rFonts w:hint="eastAsia" w:ascii="宋体" w:hAnsi="宋体" w:eastAsia="宋体"/>
                <w:sz w:val="22"/>
                <w:szCs w:val="22"/>
              </w:rPr>
              <w:t>　</w:t>
            </w:r>
          </w:p>
        </w:tc>
        <w:tc>
          <w:tcPr>
            <w:tcW w:w="562" w:type="pct"/>
            <w:tcBorders>
              <w:top w:val="nil"/>
              <w:left w:val="nil"/>
              <w:bottom w:val="single" w:color="auto" w:sz="4" w:space="0"/>
              <w:right w:val="single" w:color="auto" w:sz="4" w:space="0"/>
            </w:tcBorders>
            <w:shd w:val="clear" w:color="auto" w:fill="auto"/>
            <w:noWrap/>
            <w:vAlign w:val="center"/>
          </w:tcPr>
          <w:p w14:paraId="059D6AE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w:t>
            </w:r>
          </w:p>
        </w:tc>
        <w:tc>
          <w:tcPr>
            <w:tcW w:w="467" w:type="pct"/>
            <w:tcBorders>
              <w:top w:val="nil"/>
              <w:left w:val="nil"/>
              <w:bottom w:val="single" w:color="auto" w:sz="4" w:space="0"/>
              <w:right w:val="single" w:color="auto" w:sz="4" w:space="0"/>
            </w:tcBorders>
            <w:shd w:val="clear" w:color="auto" w:fill="auto"/>
            <w:noWrap/>
            <w:vAlign w:val="center"/>
          </w:tcPr>
          <w:p w14:paraId="031B843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w:t>
            </w:r>
          </w:p>
        </w:tc>
        <w:tc>
          <w:tcPr>
            <w:tcW w:w="573" w:type="pct"/>
            <w:tcBorders>
              <w:top w:val="nil"/>
              <w:left w:val="nil"/>
              <w:bottom w:val="single" w:color="auto" w:sz="4" w:space="0"/>
              <w:right w:val="single" w:color="auto" w:sz="4" w:space="0"/>
            </w:tcBorders>
            <w:shd w:val="clear" w:color="auto" w:fill="auto"/>
            <w:noWrap/>
            <w:vAlign w:val="center"/>
          </w:tcPr>
          <w:p w14:paraId="51AC6A2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5E71462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w:t>
            </w:r>
          </w:p>
        </w:tc>
      </w:tr>
      <w:tr w14:paraId="3ADE794E">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299C6E4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w:t>
            </w:r>
          </w:p>
        </w:tc>
        <w:tc>
          <w:tcPr>
            <w:tcW w:w="907" w:type="pct"/>
            <w:tcBorders>
              <w:top w:val="nil"/>
              <w:left w:val="nil"/>
              <w:bottom w:val="single" w:color="auto" w:sz="4" w:space="0"/>
              <w:right w:val="single" w:color="auto" w:sz="4" w:space="0"/>
            </w:tcBorders>
            <w:shd w:val="clear" w:color="auto" w:fill="auto"/>
            <w:noWrap/>
            <w:vAlign w:val="center"/>
          </w:tcPr>
          <w:p w14:paraId="713F9D2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综合监督管理</w:t>
            </w:r>
          </w:p>
        </w:tc>
        <w:tc>
          <w:tcPr>
            <w:tcW w:w="592" w:type="pct"/>
            <w:tcBorders>
              <w:top w:val="nil"/>
              <w:left w:val="nil"/>
              <w:bottom w:val="single" w:color="auto" w:sz="4" w:space="0"/>
              <w:right w:val="single" w:color="auto" w:sz="4" w:space="0"/>
            </w:tcBorders>
            <w:shd w:val="clear" w:color="auto" w:fill="auto"/>
            <w:noWrap/>
            <w:vAlign w:val="center"/>
          </w:tcPr>
          <w:p w14:paraId="307C57E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608" w:type="pct"/>
            <w:tcBorders>
              <w:top w:val="nil"/>
              <w:left w:val="nil"/>
              <w:bottom w:val="single" w:color="auto" w:sz="4" w:space="0"/>
              <w:right w:val="single" w:color="auto" w:sz="4" w:space="0"/>
            </w:tcBorders>
            <w:shd w:val="clear" w:color="auto" w:fill="auto"/>
            <w:noWrap/>
            <w:vAlign w:val="center"/>
          </w:tcPr>
          <w:p w14:paraId="2D44187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05" w:type="pct"/>
            <w:tcBorders>
              <w:top w:val="nil"/>
              <w:left w:val="nil"/>
              <w:bottom w:val="single" w:color="auto" w:sz="4" w:space="0"/>
              <w:right w:val="single" w:color="auto" w:sz="4" w:space="0"/>
            </w:tcBorders>
            <w:shd w:val="clear" w:color="auto" w:fill="auto"/>
            <w:noWrap/>
            <w:vAlign w:val="center"/>
          </w:tcPr>
          <w:p w14:paraId="286C9E1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110</w:t>
            </w:r>
          </w:p>
        </w:tc>
        <w:tc>
          <w:tcPr>
            <w:tcW w:w="562" w:type="pct"/>
            <w:tcBorders>
              <w:top w:val="nil"/>
              <w:left w:val="nil"/>
              <w:bottom w:val="single" w:color="auto" w:sz="4" w:space="0"/>
              <w:right w:val="single" w:color="auto" w:sz="4" w:space="0"/>
            </w:tcBorders>
            <w:shd w:val="clear" w:color="auto" w:fill="auto"/>
            <w:noWrap/>
            <w:vAlign w:val="center"/>
          </w:tcPr>
          <w:p w14:paraId="69F9F66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67" w:type="pct"/>
            <w:tcBorders>
              <w:top w:val="nil"/>
              <w:left w:val="nil"/>
              <w:bottom w:val="single" w:color="auto" w:sz="4" w:space="0"/>
              <w:right w:val="single" w:color="auto" w:sz="4" w:space="0"/>
            </w:tcBorders>
            <w:shd w:val="clear" w:color="auto" w:fill="auto"/>
            <w:noWrap/>
            <w:vAlign w:val="center"/>
          </w:tcPr>
          <w:p w14:paraId="356DC42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275</w:t>
            </w:r>
          </w:p>
        </w:tc>
        <w:tc>
          <w:tcPr>
            <w:tcW w:w="573" w:type="pct"/>
            <w:tcBorders>
              <w:top w:val="nil"/>
              <w:left w:val="nil"/>
              <w:bottom w:val="single" w:color="auto" w:sz="4" w:space="0"/>
              <w:right w:val="single" w:color="auto" w:sz="4" w:space="0"/>
            </w:tcBorders>
            <w:shd w:val="clear" w:color="auto" w:fill="auto"/>
            <w:noWrap/>
            <w:vAlign w:val="center"/>
          </w:tcPr>
          <w:p w14:paraId="4F0AC8A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6BBFDF1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385</w:t>
            </w:r>
          </w:p>
        </w:tc>
      </w:tr>
      <w:tr w14:paraId="0E0FF416">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03E07A3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55BDFB8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生产建设项目监督管理</w:t>
            </w:r>
          </w:p>
        </w:tc>
        <w:tc>
          <w:tcPr>
            <w:tcW w:w="592" w:type="pct"/>
            <w:tcBorders>
              <w:top w:val="nil"/>
              <w:left w:val="nil"/>
              <w:bottom w:val="single" w:color="auto" w:sz="4" w:space="0"/>
              <w:right w:val="single" w:color="auto" w:sz="4" w:space="0"/>
            </w:tcBorders>
            <w:shd w:val="clear" w:color="auto" w:fill="auto"/>
            <w:noWrap/>
            <w:vAlign w:val="center"/>
          </w:tcPr>
          <w:p w14:paraId="7468536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20万元/年</w:t>
            </w:r>
          </w:p>
        </w:tc>
        <w:tc>
          <w:tcPr>
            <w:tcW w:w="608" w:type="pct"/>
            <w:tcBorders>
              <w:top w:val="nil"/>
              <w:left w:val="nil"/>
              <w:bottom w:val="single" w:color="auto" w:sz="4" w:space="0"/>
              <w:right w:val="single" w:color="auto" w:sz="4" w:space="0"/>
            </w:tcBorders>
            <w:shd w:val="clear" w:color="auto" w:fill="auto"/>
            <w:noWrap/>
            <w:vAlign w:val="center"/>
          </w:tcPr>
          <w:p w14:paraId="6155321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05" w:type="pct"/>
            <w:tcBorders>
              <w:top w:val="nil"/>
              <w:left w:val="nil"/>
              <w:bottom w:val="single" w:color="auto" w:sz="4" w:space="0"/>
              <w:right w:val="single" w:color="auto" w:sz="4" w:space="0"/>
            </w:tcBorders>
            <w:shd w:val="clear" w:color="auto" w:fill="auto"/>
            <w:noWrap/>
            <w:vAlign w:val="center"/>
          </w:tcPr>
          <w:p w14:paraId="1C6FB73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40</w:t>
            </w:r>
          </w:p>
        </w:tc>
        <w:tc>
          <w:tcPr>
            <w:tcW w:w="562" w:type="pct"/>
            <w:tcBorders>
              <w:top w:val="nil"/>
              <w:left w:val="nil"/>
              <w:bottom w:val="single" w:color="auto" w:sz="4" w:space="0"/>
              <w:right w:val="single" w:color="auto" w:sz="4" w:space="0"/>
            </w:tcBorders>
            <w:shd w:val="clear" w:color="auto" w:fill="auto"/>
            <w:noWrap/>
            <w:vAlign w:val="center"/>
          </w:tcPr>
          <w:p w14:paraId="04D53D9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67" w:type="pct"/>
            <w:tcBorders>
              <w:top w:val="nil"/>
              <w:left w:val="nil"/>
              <w:bottom w:val="single" w:color="auto" w:sz="4" w:space="0"/>
              <w:right w:val="single" w:color="auto" w:sz="4" w:space="0"/>
            </w:tcBorders>
            <w:shd w:val="clear" w:color="auto" w:fill="auto"/>
            <w:noWrap/>
            <w:vAlign w:val="center"/>
          </w:tcPr>
          <w:p w14:paraId="03A84D3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w:t>
            </w:r>
          </w:p>
        </w:tc>
        <w:tc>
          <w:tcPr>
            <w:tcW w:w="573" w:type="pct"/>
            <w:tcBorders>
              <w:top w:val="nil"/>
              <w:left w:val="nil"/>
              <w:bottom w:val="single" w:color="auto" w:sz="4" w:space="0"/>
              <w:right w:val="single" w:color="auto" w:sz="4" w:space="0"/>
            </w:tcBorders>
            <w:shd w:val="clear" w:color="auto" w:fill="auto"/>
            <w:noWrap/>
            <w:vAlign w:val="center"/>
          </w:tcPr>
          <w:p w14:paraId="6AA78A9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387C27C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140</w:t>
            </w:r>
          </w:p>
        </w:tc>
      </w:tr>
      <w:tr w14:paraId="18EA0824">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1513B93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30B49EC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信息化建设</w:t>
            </w:r>
          </w:p>
        </w:tc>
        <w:tc>
          <w:tcPr>
            <w:tcW w:w="592" w:type="pct"/>
            <w:tcBorders>
              <w:top w:val="nil"/>
              <w:left w:val="nil"/>
              <w:bottom w:val="single" w:color="auto" w:sz="4" w:space="0"/>
              <w:right w:val="single" w:color="auto" w:sz="4" w:space="0"/>
            </w:tcBorders>
            <w:shd w:val="clear" w:color="auto" w:fill="auto"/>
            <w:noWrap/>
            <w:vAlign w:val="center"/>
          </w:tcPr>
          <w:p w14:paraId="1C3B726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30万元/年</w:t>
            </w:r>
          </w:p>
        </w:tc>
        <w:tc>
          <w:tcPr>
            <w:tcW w:w="608" w:type="pct"/>
            <w:tcBorders>
              <w:top w:val="nil"/>
              <w:left w:val="nil"/>
              <w:bottom w:val="single" w:color="auto" w:sz="4" w:space="0"/>
              <w:right w:val="single" w:color="auto" w:sz="4" w:space="0"/>
            </w:tcBorders>
            <w:shd w:val="clear" w:color="auto" w:fill="auto"/>
            <w:noWrap/>
            <w:vAlign w:val="center"/>
          </w:tcPr>
          <w:p w14:paraId="2FA007B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05" w:type="pct"/>
            <w:tcBorders>
              <w:top w:val="nil"/>
              <w:left w:val="nil"/>
              <w:bottom w:val="single" w:color="auto" w:sz="4" w:space="0"/>
              <w:right w:val="single" w:color="auto" w:sz="4" w:space="0"/>
            </w:tcBorders>
            <w:shd w:val="clear" w:color="auto" w:fill="auto"/>
            <w:noWrap/>
            <w:vAlign w:val="center"/>
          </w:tcPr>
          <w:p w14:paraId="295604A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60</w:t>
            </w:r>
          </w:p>
        </w:tc>
        <w:tc>
          <w:tcPr>
            <w:tcW w:w="562" w:type="pct"/>
            <w:tcBorders>
              <w:top w:val="nil"/>
              <w:left w:val="nil"/>
              <w:bottom w:val="single" w:color="auto" w:sz="4" w:space="0"/>
              <w:right w:val="single" w:color="auto" w:sz="4" w:space="0"/>
            </w:tcBorders>
            <w:shd w:val="clear" w:color="auto" w:fill="auto"/>
            <w:noWrap/>
            <w:vAlign w:val="center"/>
          </w:tcPr>
          <w:p w14:paraId="63FE35F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67" w:type="pct"/>
            <w:tcBorders>
              <w:top w:val="nil"/>
              <w:left w:val="nil"/>
              <w:bottom w:val="single" w:color="auto" w:sz="4" w:space="0"/>
              <w:right w:val="single" w:color="auto" w:sz="4" w:space="0"/>
            </w:tcBorders>
            <w:shd w:val="clear" w:color="auto" w:fill="auto"/>
            <w:noWrap/>
            <w:vAlign w:val="center"/>
          </w:tcPr>
          <w:p w14:paraId="2A692BC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150</w:t>
            </w:r>
          </w:p>
        </w:tc>
        <w:tc>
          <w:tcPr>
            <w:tcW w:w="573" w:type="pct"/>
            <w:tcBorders>
              <w:top w:val="nil"/>
              <w:left w:val="nil"/>
              <w:bottom w:val="single" w:color="auto" w:sz="4" w:space="0"/>
              <w:right w:val="single" w:color="auto" w:sz="4" w:space="0"/>
            </w:tcBorders>
            <w:shd w:val="clear" w:color="auto" w:fill="auto"/>
            <w:noWrap/>
            <w:vAlign w:val="center"/>
          </w:tcPr>
          <w:p w14:paraId="1FC081F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3746244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210</w:t>
            </w:r>
          </w:p>
        </w:tc>
      </w:tr>
      <w:tr w14:paraId="014B8E2C">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654712D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07" w:type="pct"/>
            <w:tcBorders>
              <w:top w:val="nil"/>
              <w:left w:val="nil"/>
              <w:bottom w:val="single" w:color="auto" w:sz="4" w:space="0"/>
              <w:right w:val="single" w:color="auto" w:sz="4" w:space="0"/>
            </w:tcBorders>
            <w:shd w:val="clear" w:color="auto" w:fill="auto"/>
            <w:noWrap/>
            <w:vAlign w:val="center"/>
          </w:tcPr>
          <w:p w14:paraId="72AA79B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水土保持宣传</w:t>
            </w:r>
          </w:p>
        </w:tc>
        <w:tc>
          <w:tcPr>
            <w:tcW w:w="592" w:type="pct"/>
            <w:tcBorders>
              <w:top w:val="nil"/>
              <w:left w:val="nil"/>
              <w:bottom w:val="single" w:color="auto" w:sz="4" w:space="0"/>
              <w:right w:val="single" w:color="auto" w:sz="4" w:space="0"/>
            </w:tcBorders>
            <w:shd w:val="clear" w:color="auto" w:fill="auto"/>
            <w:noWrap/>
            <w:vAlign w:val="center"/>
          </w:tcPr>
          <w:p w14:paraId="110BBFB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5万元/年</w:t>
            </w:r>
          </w:p>
        </w:tc>
        <w:tc>
          <w:tcPr>
            <w:tcW w:w="608" w:type="pct"/>
            <w:tcBorders>
              <w:top w:val="nil"/>
              <w:left w:val="nil"/>
              <w:bottom w:val="single" w:color="auto" w:sz="4" w:space="0"/>
              <w:right w:val="single" w:color="auto" w:sz="4" w:space="0"/>
            </w:tcBorders>
            <w:shd w:val="clear" w:color="auto" w:fill="auto"/>
            <w:noWrap/>
            <w:vAlign w:val="center"/>
          </w:tcPr>
          <w:p w14:paraId="0AC59FE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05" w:type="pct"/>
            <w:tcBorders>
              <w:top w:val="nil"/>
              <w:left w:val="nil"/>
              <w:bottom w:val="single" w:color="auto" w:sz="4" w:space="0"/>
              <w:right w:val="single" w:color="auto" w:sz="4" w:space="0"/>
            </w:tcBorders>
            <w:shd w:val="clear" w:color="auto" w:fill="auto"/>
            <w:noWrap/>
            <w:vAlign w:val="center"/>
          </w:tcPr>
          <w:p w14:paraId="5A950A8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562" w:type="pct"/>
            <w:tcBorders>
              <w:top w:val="nil"/>
              <w:left w:val="nil"/>
              <w:bottom w:val="single" w:color="auto" w:sz="4" w:space="0"/>
              <w:right w:val="single" w:color="auto" w:sz="4" w:space="0"/>
            </w:tcBorders>
            <w:shd w:val="clear" w:color="auto" w:fill="auto"/>
            <w:noWrap/>
            <w:vAlign w:val="center"/>
          </w:tcPr>
          <w:p w14:paraId="22C1EF8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67" w:type="pct"/>
            <w:tcBorders>
              <w:top w:val="nil"/>
              <w:left w:val="nil"/>
              <w:bottom w:val="single" w:color="auto" w:sz="4" w:space="0"/>
              <w:right w:val="single" w:color="auto" w:sz="4" w:space="0"/>
            </w:tcBorders>
            <w:shd w:val="clear" w:color="auto" w:fill="auto"/>
            <w:noWrap/>
            <w:vAlign w:val="center"/>
          </w:tcPr>
          <w:p w14:paraId="050EEC0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25</w:t>
            </w:r>
          </w:p>
        </w:tc>
        <w:tc>
          <w:tcPr>
            <w:tcW w:w="573" w:type="pct"/>
            <w:tcBorders>
              <w:top w:val="nil"/>
              <w:left w:val="nil"/>
              <w:bottom w:val="single" w:color="auto" w:sz="4" w:space="0"/>
              <w:right w:val="single" w:color="auto" w:sz="4" w:space="0"/>
            </w:tcBorders>
            <w:shd w:val="clear" w:color="auto" w:fill="auto"/>
            <w:noWrap/>
            <w:vAlign w:val="center"/>
          </w:tcPr>
          <w:p w14:paraId="2880B3A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6C79374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35</w:t>
            </w:r>
          </w:p>
        </w:tc>
      </w:tr>
      <w:tr w14:paraId="320A7FBE">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4A99D19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w:t>
            </w:r>
          </w:p>
        </w:tc>
        <w:tc>
          <w:tcPr>
            <w:tcW w:w="907" w:type="pct"/>
            <w:tcBorders>
              <w:top w:val="nil"/>
              <w:left w:val="nil"/>
              <w:bottom w:val="single" w:color="auto" w:sz="4" w:space="0"/>
              <w:right w:val="single" w:color="auto" w:sz="4" w:space="0"/>
            </w:tcBorders>
            <w:shd w:val="clear" w:color="auto" w:fill="auto"/>
            <w:noWrap/>
            <w:vAlign w:val="center"/>
          </w:tcPr>
          <w:p w14:paraId="0A09D8F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专题研究</w:t>
            </w:r>
          </w:p>
        </w:tc>
        <w:tc>
          <w:tcPr>
            <w:tcW w:w="592" w:type="pct"/>
            <w:tcBorders>
              <w:top w:val="nil"/>
              <w:left w:val="nil"/>
              <w:bottom w:val="single" w:color="auto" w:sz="4" w:space="0"/>
              <w:right w:val="single" w:color="auto" w:sz="4" w:space="0"/>
            </w:tcBorders>
            <w:shd w:val="clear" w:color="auto" w:fill="auto"/>
            <w:noWrap/>
            <w:vAlign w:val="center"/>
          </w:tcPr>
          <w:p w14:paraId="36D50B2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250万元/年</w:t>
            </w:r>
          </w:p>
        </w:tc>
        <w:tc>
          <w:tcPr>
            <w:tcW w:w="608" w:type="pct"/>
            <w:tcBorders>
              <w:top w:val="nil"/>
              <w:left w:val="nil"/>
              <w:bottom w:val="single" w:color="auto" w:sz="4" w:space="0"/>
              <w:right w:val="single" w:color="auto" w:sz="4" w:space="0"/>
            </w:tcBorders>
            <w:shd w:val="clear" w:color="auto" w:fill="auto"/>
            <w:noWrap/>
            <w:vAlign w:val="center"/>
          </w:tcPr>
          <w:p w14:paraId="261A342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05" w:type="pct"/>
            <w:tcBorders>
              <w:top w:val="nil"/>
              <w:left w:val="nil"/>
              <w:bottom w:val="single" w:color="auto" w:sz="4" w:space="0"/>
              <w:right w:val="single" w:color="auto" w:sz="4" w:space="0"/>
            </w:tcBorders>
            <w:shd w:val="clear" w:color="auto" w:fill="auto"/>
            <w:noWrap/>
            <w:vAlign w:val="center"/>
          </w:tcPr>
          <w:p w14:paraId="564EC91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250</w:t>
            </w:r>
          </w:p>
        </w:tc>
        <w:tc>
          <w:tcPr>
            <w:tcW w:w="562" w:type="pct"/>
            <w:tcBorders>
              <w:top w:val="nil"/>
              <w:left w:val="nil"/>
              <w:bottom w:val="single" w:color="auto" w:sz="4" w:space="0"/>
              <w:right w:val="single" w:color="auto" w:sz="4" w:space="0"/>
            </w:tcBorders>
            <w:shd w:val="clear" w:color="auto" w:fill="auto"/>
            <w:noWrap/>
            <w:vAlign w:val="center"/>
          </w:tcPr>
          <w:p w14:paraId="2784DE1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67" w:type="pct"/>
            <w:tcBorders>
              <w:top w:val="nil"/>
              <w:left w:val="nil"/>
              <w:bottom w:val="single" w:color="auto" w:sz="4" w:space="0"/>
              <w:right w:val="single" w:color="auto" w:sz="4" w:space="0"/>
            </w:tcBorders>
            <w:shd w:val="clear" w:color="auto" w:fill="auto"/>
            <w:noWrap/>
            <w:vAlign w:val="center"/>
          </w:tcPr>
          <w:p w14:paraId="2F49837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250</w:t>
            </w:r>
          </w:p>
        </w:tc>
        <w:tc>
          <w:tcPr>
            <w:tcW w:w="573" w:type="pct"/>
            <w:tcBorders>
              <w:top w:val="nil"/>
              <w:left w:val="nil"/>
              <w:bottom w:val="single" w:color="auto" w:sz="4" w:space="0"/>
              <w:right w:val="single" w:color="auto" w:sz="4" w:space="0"/>
            </w:tcBorders>
            <w:shd w:val="clear" w:color="auto" w:fill="auto"/>
            <w:noWrap/>
            <w:vAlign w:val="center"/>
          </w:tcPr>
          <w:p w14:paraId="3245DF1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3D8BAA2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500</w:t>
            </w:r>
          </w:p>
        </w:tc>
      </w:tr>
      <w:tr w14:paraId="5CF8038C">
        <w:tblPrEx>
          <w:tblCellMar>
            <w:top w:w="0" w:type="dxa"/>
            <w:left w:w="108" w:type="dxa"/>
            <w:bottom w:w="0" w:type="dxa"/>
            <w:right w:w="108" w:type="dxa"/>
          </w:tblCellMar>
        </w:tblPrEx>
        <w:trPr>
          <w:trHeight w:val="280" w:hRule="atLeast"/>
        </w:trPr>
        <w:tc>
          <w:tcPr>
            <w:tcW w:w="309" w:type="pct"/>
            <w:tcBorders>
              <w:top w:val="nil"/>
              <w:left w:val="single" w:color="auto" w:sz="4" w:space="0"/>
              <w:bottom w:val="single" w:color="auto" w:sz="4" w:space="0"/>
              <w:right w:val="single" w:color="auto" w:sz="4" w:space="0"/>
            </w:tcBorders>
            <w:shd w:val="clear" w:color="auto" w:fill="auto"/>
            <w:noWrap/>
            <w:vAlign w:val="center"/>
          </w:tcPr>
          <w:p w14:paraId="57D3680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c>
          <w:tcPr>
            <w:tcW w:w="907" w:type="pct"/>
            <w:tcBorders>
              <w:top w:val="nil"/>
              <w:left w:val="nil"/>
              <w:bottom w:val="single" w:color="auto" w:sz="4" w:space="0"/>
              <w:right w:val="single" w:color="auto" w:sz="4" w:space="0"/>
            </w:tcBorders>
            <w:shd w:val="clear" w:color="auto" w:fill="auto"/>
            <w:noWrap/>
            <w:vAlign w:val="center"/>
          </w:tcPr>
          <w:p w14:paraId="6449A8E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合计</w:t>
            </w:r>
          </w:p>
        </w:tc>
        <w:tc>
          <w:tcPr>
            <w:tcW w:w="592" w:type="pct"/>
            <w:tcBorders>
              <w:top w:val="nil"/>
              <w:left w:val="nil"/>
              <w:bottom w:val="single" w:color="auto" w:sz="4" w:space="0"/>
              <w:right w:val="single" w:color="auto" w:sz="4" w:space="0"/>
            </w:tcBorders>
            <w:shd w:val="clear" w:color="auto" w:fill="auto"/>
            <w:noWrap/>
            <w:vAlign w:val="center"/>
          </w:tcPr>
          <w:p w14:paraId="78E0BA9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608" w:type="pct"/>
            <w:tcBorders>
              <w:top w:val="nil"/>
              <w:left w:val="nil"/>
              <w:bottom w:val="single" w:color="auto" w:sz="4" w:space="0"/>
              <w:right w:val="single" w:color="auto" w:sz="4" w:space="0"/>
            </w:tcBorders>
            <w:shd w:val="clear" w:color="auto" w:fill="auto"/>
            <w:noWrap/>
            <w:vAlign w:val="center"/>
          </w:tcPr>
          <w:p w14:paraId="60643B6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505" w:type="pct"/>
            <w:tcBorders>
              <w:top w:val="nil"/>
              <w:left w:val="nil"/>
              <w:bottom w:val="single" w:color="auto" w:sz="4" w:space="0"/>
              <w:right w:val="single" w:color="auto" w:sz="4" w:space="0"/>
            </w:tcBorders>
            <w:shd w:val="clear" w:color="auto" w:fill="auto"/>
            <w:noWrap/>
            <w:vAlign w:val="center"/>
          </w:tcPr>
          <w:p w14:paraId="0047CFF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1290</w:t>
            </w:r>
          </w:p>
        </w:tc>
        <w:tc>
          <w:tcPr>
            <w:tcW w:w="562" w:type="pct"/>
            <w:tcBorders>
              <w:top w:val="nil"/>
              <w:left w:val="nil"/>
              <w:bottom w:val="single" w:color="auto" w:sz="4" w:space="0"/>
              <w:right w:val="single" w:color="auto" w:sz="4" w:space="0"/>
            </w:tcBorders>
            <w:shd w:val="clear" w:color="auto" w:fill="auto"/>
            <w:noWrap/>
            <w:vAlign w:val="center"/>
          </w:tcPr>
          <w:p w14:paraId="5E00E4C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67" w:type="pct"/>
            <w:tcBorders>
              <w:top w:val="nil"/>
              <w:left w:val="nil"/>
              <w:bottom w:val="single" w:color="auto" w:sz="4" w:space="0"/>
              <w:right w:val="single" w:color="auto" w:sz="4" w:space="0"/>
            </w:tcBorders>
            <w:shd w:val="clear" w:color="auto" w:fill="auto"/>
            <w:noWrap/>
            <w:vAlign w:val="center"/>
          </w:tcPr>
          <w:p w14:paraId="6355A82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4565</w:t>
            </w:r>
          </w:p>
        </w:tc>
        <w:tc>
          <w:tcPr>
            <w:tcW w:w="573" w:type="pct"/>
            <w:tcBorders>
              <w:top w:val="nil"/>
              <w:left w:val="nil"/>
              <w:bottom w:val="single" w:color="auto" w:sz="4" w:space="0"/>
              <w:right w:val="single" w:color="auto" w:sz="4" w:space="0"/>
            </w:tcBorders>
            <w:shd w:val="clear" w:color="auto" w:fill="auto"/>
            <w:noWrap/>
            <w:vAlign w:val="center"/>
          </w:tcPr>
          <w:p w14:paraId="6820735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476" w:type="pct"/>
            <w:tcBorders>
              <w:top w:val="nil"/>
              <w:left w:val="nil"/>
              <w:bottom w:val="single" w:color="auto" w:sz="4" w:space="0"/>
              <w:right w:val="single" w:color="auto" w:sz="4" w:space="0"/>
            </w:tcBorders>
            <w:shd w:val="clear" w:color="auto" w:fill="auto"/>
            <w:noWrap/>
            <w:vAlign w:val="center"/>
          </w:tcPr>
          <w:p w14:paraId="3FF60A5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5855</w:t>
            </w:r>
          </w:p>
        </w:tc>
      </w:tr>
    </w:tbl>
    <w:p w14:paraId="4A8C9FEA">
      <w:pPr>
        <w:pStyle w:val="370"/>
        <w:ind w:firstLine="480"/>
        <w:rPr>
          <w:rFonts w:eastAsia="仿宋_GB2312"/>
        </w:rPr>
      </w:pPr>
    </w:p>
    <w:p w14:paraId="089AD62D">
      <w:pPr>
        <w:pStyle w:val="370"/>
        <w:ind w:firstLine="480"/>
        <w:rPr>
          <w:rFonts w:eastAsia="仿宋_GB2312"/>
        </w:rPr>
        <w:sectPr>
          <w:pgSz w:w="16840" w:h="11907" w:orient="landscape"/>
          <w:pgMar w:top="1440" w:right="1797" w:bottom="1440" w:left="1797" w:header="851" w:footer="992" w:gutter="0"/>
          <w:cols w:space="720" w:num="1"/>
          <w:docGrid w:linePitch="312" w:charSpace="0"/>
        </w:sectPr>
      </w:pPr>
    </w:p>
    <w:p w14:paraId="507EAC26">
      <w:pPr>
        <w:pStyle w:val="370"/>
        <w:ind w:firstLine="480"/>
        <w:rPr>
          <w:rFonts w:eastAsia="仿宋_GB2312"/>
        </w:rPr>
      </w:pPr>
      <w:r>
        <w:rPr>
          <w:rFonts w:eastAsia="仿宋_GB2312"/>
        </w:rPr>
        <w:t>2、近期工程投资匡算</w:t>
      </w:r>
    </w:p>
    <w:p w14:paraId="269F168E">
      <w:pPr>
        <w:pStyle w:val="370"/>
        <w:ind w:firstLine="480"/>
        <w:rPr>
          <w:rFonts w:eastAsia="仿宋_GB2312"/>
        </w:rPr>
      </w:pPr>
      <w:r>
        <w:rPr>
          <w:rFonts w:eastAsia="仿宋_GB2312"/>
        </w:rPr>
        <w:t>近期工程</w:t>
      </w:r>
      <w:r>
        <w:rPr>
          <w:rFonts w:eastAsia="仿宋_GB2312"/>
          <w:snapToGrid/>
          <w:kern w:val="0"/>
          <w:szCs w:val="24"/>
        </w:rPr>
        <w:t>匡算投资为</w:t>
      </w:r>
      <w:r>
        <w:rPr>
          <w:rFonts w:hint="eastAsia" w:eastAsia="仿宋_GB2312"/>
          <w:snapToGrid/>
          <w:kern w:val="0"/>
          <w:szCs w:val="24"/>
        </w:rPr>
        <w:t>1290</w:t>
      </w:r>
      <w:r>
        <w:rPr>
          <w:rFonts w:eastAsia="仿宋_GB2312"/>
          <w:snapToGrid/>
          <w:kern w:val="0"/>
          <w:szCs w:val="24"/>
        </w:rPr>
        <w:t>万元，其中预防保护工程投资</w:t>
      </w:r>
      <w:r>
        <w:rPr>
          <w:rFonts w:hint="eastAsia" w:eastAsia="仿宋_GB2312"/>
          <w:snapToGrid/>
          <w:kern w:val="0"/>
          <w:szCs w:val="24"/>
        </w:rPr>
        <w:t>70</w:t>
      </w:r>
      <w:r>
        <w:rPr>
          <w:rFonts w:eastAsia="仿宋_GB2312"/>
          <w:snapToGrid/>
          <w:kern w:val="0"/>
          <w:szCs w:val="24"/>
        </w:rPr>
        <w:t>万元，综合治理工程投资</w:t>
      </w:r>
      <w:r>
        <w:rPr>
          <w:rFonts w:hint="eastAsia" w:eastAsia="仿宋_GB2312"/>
          <w:snapToGrid/>
          <w:kern w:val="0"/>
          <w:szCs w:val="24"/>
        </w:rPr>
        <w:t>860</w:t>
      </w:r>
      <w:r>
        <w:rPr>
          <w:rFonts w:eastAsia="仿宋_GB2312"/>
          <w:snapToGrid/>
          <w:kern w:val="0"/>
          <w:szCs w:val="24"/>
        </w:rPr>
        <w:t>万元，综合监督管理投资</w:t>
      </w:r>
      <w:r>
        <w:rPr>
          <w:rFonts w:hint="eastAsia" w:eastAsia="仿宋_GB2312"/>
          <w:snapToGrid/>
          <w:kern w:val="0"/>
          <w:szCs w:val="24"/>
        </w:rPr>
        <w:t>110</w:t>
      </w:r>
      <w:r>
        <w:rPr>
          <w:rFonts w:eastAsia="仿宋_GB2312"/>
          <w:snapToGrid/>
          <w:kern w:val="0"/>
          <w:szCs w:val="24"/>
        </w:rPr>
        <w:t>万元，专题研究投资</w:t>
      </w:r>
      <w:r>
        <w:rPr>
          <w:rFonts w:hint="eastAsia" w:eastAsia="仿宋_GB2312"/>
          <w:snapToGrid/>
          <w:kern w:val="0"/>
          <w:szCs w:val="24"/>
        </w:rPr>
        <w:t>25</w:t>
      </w:r>
      <w:r>
        <w:rPr>
          <w:rFonts w:eastAsia="仿宋_GB2312"/>
          <w:snapToGrid/>
          <w:kern w:val="0"/>
          <w:szCs w:val="24"/>
        </w:rPr>
        <w:t>0万元。具体见表9.4-2</w:t>
      </w:r>
      <w:r>
        <w:rPr>
          <w:rFonts w:eastAsia="仿宋_GB2312"/>
        </w:rPr>
        <w:t>。</w:t>
      </w:r>
    </w:p>
    <w:p w14:paraId="40311CE1">
      <w:pPr>
        <w:pStyle w:val="370"/>
        <w:ind w:firstLine="720" w:firstLineChars="300"/>
        <w:rPr>
          <w:rFonts w:eastAsia="仿宋_GB2312"/>
          <w:b/>
          <w:snapToGrid/>
          <w:kern w:val="0"/>
          <w:szCs w:val="24"/>
        </w:rPr>
      </w:pPr>
      <w:r>
        <w:rPr>
          <w:rFonts w:eastAsia="仿宋_GB2312"/>
          <w:snapToGrid/>
          <w:kern w:val="0"/>
          <w:szCs w:val="24"/>
        </w:rPr>
        <w:t xml:space="preserve">表9.4-3       </w:t>
      </w:r>
      <w:r>
        <w:rPr>
          <w:rFonts w:eastAsia="仿宋_GB2312"/>
          <w:b/>
          <w:snapToGrid/>
          <w:kern w:val="0"/>
          <w:szCs w:val="24"/>
        </w:rPr>
        <w:t>近期规划投资匡算表（202</w:t>
      </w:r>
      <w:r>
        <w:rPr>
          <w:rFonts w:hint="eastAsia" w:eastAsia="仿宋_GB2312"/>
          <w:b/>
          <w:snapToGrid/>
          <w:kern w:val="0"/>
          <w:szCs w:val="24"/>
        </w:rPr>
        <w:t>4</w:t>
      </w:r>
      <w:r>
        <w:rPr>
          <w:rFonts w:eastAsia="仿宋_GB2312"/>
          <w:b/>
          <w:snapToGrid/>
          <w:kern w:val="0"/>
          <w:szCs w:val="24"/>
        </w:rPr>
        <w:t>～2025年）</w:t>
      </w:r>
    </w:p>
    <w:tbl>
      <w:tblPr>
        <w:tblStyle w:val="48"/>
        <w:tblW w:w="5000" w:type="pct"/>
        <w:tblInd w:w="0" w:type="dxa"/>
        <w:tblLayout w:type="autofit"/>
        <w:tblCellMar>
          <w:top w:w="0" w:type="dxa"/>
          <w:left w:w="108" w:type="dxa"/>
          <w:bottom w:w="0" w:type="dxa"/>
          <w:right w:w="108" w:type="dxa"/>
        </w:tblCellMar>
      </w:tblPr>
      <w:tblGrid>
        <w:gridCol w:w="902"/>
        <w:gridCol w:w="2649"/>
        <w:gridCol w:w="1728"/>
        <w:gridCol w:w="1776"/>
        <w:gridCol w:w="1474"/>
      </w:tblGrid>
      <w:tr w14:paraId="7802F153">
        <w:tblPrEx>
          <w:tblCellMar>
            <w:top w:w="0" w:type="dxa"/>
            <w:left w:w="108" w:type="dxa"/>
            <w:bottom w:w="0" w:type="dxa"/>
            <w:right w:w="108" w:type="dxa"/>
          </w:tblCellMar>
        </w:tblPrEx>
        <w:trPr>
          <w:trHeight w:val="280" w:hRule="atLeast"/>
        </w:trPr>
        <w:tc>
          <w:tcPr>
            <w:tcW w:w="529"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A66213E">
            <w:pPr>
              <w:spacing w:line="240" w:lineRule="auto"/>
              <w:ind w:firstLine="0" w:firstLineChars="0"/>
              <w:jc w:val="center"/>
              <w:rPr>
                <w:rFonts w:hint="eastAsia" w:ascii="仿宋_GB2312" w:hAnsi="宋体"/>
                <w:sz w:val="20"/>
                <w:szCs w:val="20"/>
              </w:rPr>
            </w:pPr>
            <w:r>
              <w:rPr>
                <w:rFonts w:hint="eastAsia" w:ascii="仿宋_GB2312" w:hAnsi="宋体"/>
                <w:sz w:val="20"/>
                <w:szCs w:val="20"/>
              </w:rPr>
              <w:t>序号</w:t>
            </w:r>
          </w:p>
        </w:tc>
        <w:tc>
          <w:tcPr>
            <w:tcW w:w="1553"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B1629D5">
            <w:pPr>
              <w:spacing w:line="240" w:lineRule="auto"/>
              <w:ind w:firstLine="0" w:firstLineChars="0"/>
              <w:jc w:val="center"/>
              <w:rPr>
                <w:rFonts w:hint="eastAsia" w:ascii="仿宋_GB2312" w:hAnsi="宋体"/>
                <w:sz w:val="20"/>
                <w:szCs w:val="20"/>
              </w:rPr>
            </w:pPr>
            <w:r>
              <w:rPr>
                <w:rFonts w:hint="eastAsia" w:ascii="仿宋_GB2312" w:hAnsi="宋体"/>
                <w:sz w:val="20"/>
                <w:szCs w:val="20"/>
              </w:rPr>
              <w:t>项目类型</w:t>
            </w:r>
          </w:p>
        </w:tc>
        <w:tc>
          <w:tcPr>
            <w:tcW w:w="1013"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C4F8FD8">
            <w:pPr>
              <w:spacing w:line="240" w:lineRule="auto"/>
              <w:ind w:firstLine="0" w:firstLineChars="0"/>
              <w:jc w:val="center"/>
              <w:rPr>
                <w:rFonts w:hint="eastAsia" w:ascii="仿宋_GB2312" w:hAnsi="宋体"/>
                <w:sz w:val="20"/>
                <w:szCs w:val="20"/>
              </w:rPr>
            </w:pPr>
            <w:r>
              <w:rPr>
                <w:rFonts w:hint="eastAsia" w:ascii="仿宋_GB2312" w:hAnsi="宋体"/>
                <w:sz w:val="20"/>
                <w:szCs w:val="20"/>
              </w:rPr>
              <w:t>标准</w:t>
            </w:r>
          </w:p>
        </w:tc>
        <w:tc>
          <w:tcPr>
            <w:tcW w:w="1905" w:type="pct"/>
            <w:gridSpan w:val="2"/>
            <w:tcBorders>
              <w:top w:val="single" w:color="auto" w:sz="4" w:space="0"/>
              <w:left w:val="nil"/>
              <w:bottom w:val="single" w:color="auto" w:sz="4" w:space="0"/>
              <w:right w:val="single" w:color="auto" w:sz="4" w:space="0"/>
            </w:tcBorders>
            <w:shd w:val="clear" w:color="auto" w:fill="auto"/>
            <w:noWrap/>
            <w:vAlign w:val="center"/>
          </w:tcPr>
          <w:p w14:paraId="534E258A">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近期（2024年-2025年）</w:t>
            </w:r>
          </w:p>
        </w:tc>
      </w:tr>
      <w:tr w14:paraId="660CEC96">
        <w:tblPrEx>
          <w:tblCellMar>
            <w:top w:w="0" w:type="dxa"/>
            <w:left w:w="108" w:type="dxa"/>
            <w:bottom w:w="0" w:type="dxa"/>
            <w:right w:w="108" w:type="dxa"/>
          </w:tblCellMar>
        </w:tblPrEx>
        <w:trPr>
          <w:trHeight w:val="300" w:hRule="atLeast"/>
        </w:trPr>
        <w:tc>
          <w:tcPr>
            <w:tcW w:w="529" w:type="pct"/>
            <w:vMerge w:val="continue"/>
            <w:tcBorders>
              <w:top w:val="single" w:color="auto" w:sz="4" w:space="0"/>
              <w:left w:val="single" w:color="auto" w:sz="4" w:space="0"/>
              <w:bottom w:val="single" w:color="auto" w:sz="4" w:space="0"/>
              <w:right w:val="single" w:color="auto" w:sz="4" w:space="0"/>
            </w:tcBorders>
            <w:vAlign w:val="center"/>
          </w:tcPr>
          <w:p w14:paraId="23F10752">
            <w:pPr>
              <w:spacing w:line="240" w:lineRule="auto"/>
              <w:ind w:firstLine="0" w:firstLineChars="0"/>
              <w:rPr>
                <w:rFonts w:hint="eastAsia" w:ascii="仿宋_GB2312" w:hAnsi="宋体"/>
                <w:sz w:val="20"/>
                <w:szCs w:val="20"/>
              </w:rPr>
            </w:pPr>
          </w:p>
        </w:tc>
        <w:tc>
          <w:tcPr>
            <w:tcW w:w="1553" w:type="pct"/>
            <w:vMerge w:val="continue"/>
            <w:tcBorders>
              <w:top w:val="single" w:color="auto" w:sz="4" w:space="0"/>
              <w:left w:val="single" w:color="auto" w:sz="4" w:space="0"/>
              <w:bottom w:val="single" w:color="auto" w:sz="4" w:space="0"/>
              <w:right w:val="single" w:color="auto" w:sz="4" w:space="0"/>
            </w:tcBorders>
            <w:vAlign w:val="center"/>
          </w:tcPr>
          <w:p w14:paraId="70B2AC87">
            <w:pPr>
              <w:spacing w:line="240" w:lineRule="auto"/>
              <w:ind w:firstLine="0" w:firstLineChars="0"/>
              <w:rPr>
                <w:rFonts w:hint="eastAsia" w:ascii="仿宋_GB2312" w:hAnsi="宋体"/>
                <w:sz w:val="20"/>
                <w:szCs w:val="20"/>
              </w:rPr>
            </w:pPr>
          </w:p>
        </w:tc>
        <w:tc>
          <w:tcPr>
            <w:tcW w:w="1013" w:type="pct"/>
            <w:vMerge w:val="continue"/>
            <w:tcBorders>
              <w:top w:val="single" w:color="auto" w:sz="4" w:space="0"/>
              <w:left w:val="single" w:color="auto" w:sz="4" w:space="0"/>
              <w:bottom w:val="single" w:color="auto" w:sz="4" w:space="0"/>
              <w:right w:val="single" w:color="auto" w:sz="4" w:space="0"/>
            </w:tcBorders>
            <w:vAlign w:val="center"/>
          </w:tcPr>
          <w:p w14:paraId="1191ABC9">
            <w:pPr>
              <w:spacing w:line="240" w:lineRule="auto"/>
              <w:ind w:firstLine="0" w:firstLineChars="0"/>
              <w:rPr>
                <w:rFonts w:hint="eastAsia" w:ascii="仿宋_GB2312" w:hAnsi="宋体"/>
                <w:sz w:val="20"/>
                <w:szCs w:val="20"/>
              </w:rPr>
            </w:pPr>
          </w:p>
        </w:tc>
        <w:tc>
          <w:tcPr>
            <w:tcW w:w="1041" w:type="pct"/>
            <w:tcBorders>
              <w:top w:val="nil"/>
              <w:left w:val="nil"/>
              <w:bottom w:val="single" w:color="auto" w:sz="4" w:space="0"/>
              <w:right w:val="single" w:color="auto" w:sz="4" w:space="0"/>
            </w:tcBorders>
            <w:shd w:val="clear" w:color="auto" w:fill="auto"/>
            <w:noWrap/>
            <w:vAlign w:val="center"/>
          </w:tcPr>
          <w:p w14:paraId="1C77F17F">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治理面积（km</w:t>
            </w:r>
            <w:r>
              <w:rPr>
                <w:rFonts w:hint="eastAsia" w:ascii="仿宋_GB2312" w:hAnsi="宋体"/>
                <w:sz w:val="20"/>
                <w:szCs w:val="20"/>
                <w:vertAlign w:val="superscript"/>
              </w:rPr>
              <w:t>2</w:t>
            </w:r>
            <w:r>
              <w:rPr>
                <w:rFonts w:hint="eastAsia" w:ascii="仿宋_GB2312" w:hAnsi="宋体"/>
                <w:sz w:val="20"/>
                <w:szCs w:val="20"/>
              </w:rPr>
              <w:t>）</w:t>
            </w:r>
          </w:p>
        </w:tc>
        <w:tc>
          <w:tcPr>
            <w:tcW w:w="865" w:type="pct"/>
            <w:tcBorders>
              <w:top w:val="nil"/>
              <w:left w:val="nil"/>
              <w:bottom w:val="single" w:color="auto" w:sz="4" w:space="0"/>
              <w:right w:val="single" w:color="auto" w:sz="4" w:space="0"/>
            </w:tcBorders>
            <w:shd w:val="clear" w:color="auto" w:fill="auto"/>
            <w:noWrap/>
            <w:vAlign w:val="center"/>
          </w:tcPr>
          <w:p w14:paraId="407866CF">
            <w:pPr>
              <w:spacing w:line="240" w:lineRule="auto"/>
              <w:ind w:firstLine="0" w:firstLineChars="0"/>
              <w:jc w:val="center"/>
              <w:rPr>
                <w:rFonts w:hint="eastAsia" w:ascii="仿宋_GB2312" w:hAnsi="宋体"/>
                <w:sz w:val="20"/>
                <w:szCs w:val="20"/>
              </w:rPr>
            </w:pPr>
            <w:r>
              <w:rPr>
                <w:rFonts w:hint="eastAsia" w:ascii="仿宋_GB2312" w:hAnsi="宋体"/>
                <w:sz w:val="20"/>
                <w:szCs w:val="20"/>
              </w:rPr>
              <w:t>投资（万元）</w:t>
            </w:r>
          </w:p>
        </w:tc>
      </w:tr>
      <w:tr w14:paraId="3BF0A114">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18DD2B15">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1553" w:type="pct"/>
            <w:tcBorders>
              <w:top w:val="nil"/>
              <w:left w:val="nil"/>
              <w:bottom w:val="single" w:color="auto" w:sz="4" w:space="0"/>
              <w:right w:val="single" w:color="auto" w:sz="4" w:space="0"/>
            </w:tcBorders>
            <w:shd w:val="clear" w:color="auto" w:fill="auto"/>
            <w:noWrap/>
            <w:vAlign w:val="center"/>
          </w:tcPr>
          <w:p w14:paraId="77CA9061">
            <w:pPr>
              <w:spacing w:line="240" w:lineRule="auto"/>
              <w:ind w:firstLine="0" w:firstLineChars="0"/>
              <w:jc w:val="center"/>
              <w:rPr>
                <w:rFonts w:hint="eastAsia" w:ascii="仿宋_GB2312" w:hAnsi="宋体"/>
                <w:sz w:val="20"/>
                <w:szCs w:val="20"/>
              </w:rPr>
            </w:pPr>
            <w:r>
              <w:rPr>
                <w:rFonts w:hint="eastAsia" w:ascii="仿宋_GB2312" w:hAnsi="宋体"/>
                <w:sz w:val="20"/>
                <w:szCs w:val="20"/>
              </w:rPr>
              <w:t>预防保护工程</w:t>
            </w:r>
          </w:p>
        </w:tc>
        <w:tc>
          <w:tcPr>
            <w:tcW w:w="1013" w:type="pct"/>
            <w:tcBorders>
              <w:top w:val="nil"/>
              <w:left w:val="nil"/>
              <w:bottom w:val="single" w:color="auto" w:sz="4" w:space="0"/>
              <w:right w:val="single" w:color="auto" w:sz="4" w:space="0"/>
            </w:tcBorders>
            <w:shd w:val="clear" w:color="auto" w:fill="auto"/>
            <w:noWrap/>
            <w:vAlign w:val="center"/>
          </w:tcPr>
          <w:p w14:paraId="3111CB95">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041" w:type="pct"/>
            <w:tcBorders>
              <w:top w:val="nil"/>
              <w:left w:val="nil"/>
              <w:bottom w:val="single" w:color="auto" w:sz="4" w:space="0"/>
              <w:right w:val="single" w:color="auto" w:sz="4" w:space="0"/>
            </w:tcBorders>
            <w:shd w:val="clear" w:color="auto" w:fill="auto"/>
            <w:noWrap/>
            <w:vAlign w:val="center"/>
          </w:tcPr>
          <w:p w14:paraId="12BBCDCD">
            <w:pPr>
              <w:spacing w:line="240" w:lineRule="auto"/>
              <w:ind w:firstLine="0" w:firstLineChars="0"/>
              <w:jc w:val="center"/>
              <w:rPr>
                <w:rFonts w:hint="eastAsia" w:ascii="仿宋_GB2312" w:hAnsi="宋体"/>
                <w:sz w:val="20"/>
                <w:szCs w:val="20"/>
              </w:rPr>
            </w:pPr>
            <w:r>
              <w:rPr>
                <w:rFonts w:hint="eastAsia" w:ascii="仿宋_GB2312" w:hAnsi="宋体"/>
                <w:sz w:val="20"/>
                <w:szCs w:val="20"/>
              </w:rPr>
              <w:t>7</w:t>
            </w:r>
          </w:p>
        </w:tc>
        <w:tc>
          <w:tcPr>
            <w:tcW w:w="865" w:type="pct"/>
            <w:tcBorders>
              <w:top w:val="nil"/>
              <w:left w:val="nil"/>
              <w:bottom w:val="single" w:color="auto" w:sz="4" w:space="0"/>
              <w:right w:val="single" w:color="auto" w:sz="4" w:space="0"/>
            </w:tcBorders>
            <w:shd w:val="clear" w:color="auto" w:fill="auto"/>
            <w:noWrap/>
            <w:vAlign w:val="center"/>
          </w:tcPr>
          <w:p w14:paraId="49D2ED91">
            <w:pPr>
              <w:spacing w:line="240" w:lineRule="auto"/>
              <w:ind w:firstLine="0" w:firstLineChars="0"/>
              <w:jc w:val="center"/>
              <w:rPr>
                <w:rFonts w:hint="eastAsia" w:ascii="仿宋_GB2312" w:hAnsi="宋体"/>
                <w:sz w:val="20"/>
                <w:szCs w:val="20"/>
              </w:rPr>
            </w:pPr>
            <w:r>
              <w:rPr>
                <w:rFonts w:hint="eastAsia" w:ascii="仿宋_GB2312" w:hAnsi="宋体"/>
                <w:sz w:val="20"/>
                <w:szCs w:val="20"/>
              </w:rPr>
              <w:t>70</w:t>
            </w:r>
          </w:p>
        </w:tc>
      </w:tr>
      <w:tr w14:paraId="196EA080">
        <w:tblPrEx>
          <w:tblCellMar>
            <w:top w:w="0" w:type="dxa"/>
            <w:left w:w="108" w:type="dxa"/>
            <w:bottom w:w="0" w:type="dxa"/>
            <w:right w:w="108" w:type="dxa"/>
          </w:tblCellMar>
        </w:tblPrEx>
        <w:trPr>
          <w:trHeight w:val="30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19604819">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1DBA93AB">
            <w:pPr>
              <w:spacing w:line="240" w:lineRule="auto"/>
              <w:ind w:firstLine="0" w:firstLineChars="0"/>
              <w:jc w:val="center"/>
              <w:rPr>
                <w:rFonts w:hint="eastAsia" w:ascii="仿宋_GB2312" w:hAnsi="宋体"/>
                <w:sz w:val="20"/>
                <w:szCs w:val="20"/>
              </w:rPr>
            </w:pPr>
            <w:r>
              <w:rPr>
                <w:rFonts w:hint="eastAsia" w:ascii="仿宋_GB2312" w:hAnsi="宋体"/>
                <w:sz w:val="20"/>
                <w:szCs w:val="20"/>
              </w:rPr>
              <w:t>水源涵养区保护工程</w:t>
            </w:r>
          </w:p>
        </w:tc>
        <w:tc>
          <w:tcPr>
            <w:tcW w:w="1013" w:type="pct"/>
            <w:tcBorders>
              <w:top w:val="nil"/>
              <w:left w:val="nil"/>
              <w:bottom w:val="single" w:color="auto" w:sz="4" w:space="0"/>
              <w:right w:val="single" w:color="auto" w:sz="4" w:space="0"/>
            </w:tcBorders>
            <w:shd w:val="clear" w:color="auto" w:fill="auto"/>
            <w:noWrap/>
            <w:vAlign w:val="center"/>
          </w:tcPr>
          <w:p w14:paraId="19BFBD86">
            <w:pPr>
              <w:spacing w:line="240" w:lineRule="auto"/>
              <w:ind w:firstLine="0" w:firstLineChars="0"/>
              <w:jc w:val="center"/>
              <w:rPr>
                <w:rFonts w:hint="eastAsia" w:ascii="仿宋_GB2312" w:hAnsi="宋体"/>
                <w:sz w:val="20"/>
                <w:szCs w:val="20"/>
              </w:rPr>
            </w:pPr>
            <w:r>
              <w:rPr>
                <w:rFonts w:hint="eastAsia" w:ascii="仿宋_GB2312" w:hAnsi="宋体"/>
                <w:sz w:val="20"/>
                <w:szCs w:val="20"/>
              </w:rPr>
              <w:t>10万元/km</w:t>
            </w:r>
            <w:r>
              <w:rPr>
                <w:rFonts w:hint="eastAsia" w:ascii="仿宋_GB2312" w:hAnsi="宋体"/>
                <w:sz w:val="20"/>
                <w:szCs w:val="20"/>
                <w:vertAlign w:val="superscript"/>
              </w:rPr>
              <w:t>2</w:t>
            </w:r>
          </w:p>
        </w:tc>
        <w:tc>
          <w:tcPr>
            <w:tcW w:w="1041" w:type="pct"/>
            <w:tcBorders>
              <w:top w:val="nil"/>
              <w:left w:val="nil"/>
              <w:bottom w:val="single" w:color="auto" w:sz="4" w:space="0"/>
              <w:right w:val="single" w:color="auto" w:sz="4" w:space="0"/>
            </w:tcBorders>
            <w:shd w:val="clear" w:color="auto" w:fill="auto"/>
            <w:noWrap/>
            <w:vAlign w:val="center"/>
          </w:tcPr>
          <w:p w14:paraId="6BD66C35">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865" w:type="pct"/>
            <w:tcBorders>
              <w:top w:val="nil"/>
              <w:left w:val="nil"/>
              <w:bottom w:val="single" w:color="auto" w:sz="4" w:space="0"/>
              <w:right w:val="single" w:color="auto" w:sz="4" w:space="0"/>
            </w:tcBorders>
            <w:shd w:val="clear" w:color="auto" w:fill="auto"/>
            <w:noWrap/>
            <w:vAlign w:val="center"/>
          </w:tcPr>
          <w:p w14:paraId="1C0225BE">
            <w:pPr>
              <w:spacing w:line="240" w:lineRule="auto"/>
              <w:ind w:firstLine="0" w:firstLineChars="0"/>
              <w:jc w:val="center"/>
              <w:rPr>
                <w:rFonts w:hint="eastAsia" w:ascii="仿宋_GB2312" w:hAnsi="宋体"/>
                <w:sz w:val="20"/>
                <w:szCs w:val="20"/>
              </w:rPr>
            </w:pPr>
            <w:r>
              <w:rPr>
                <w:rFonts w:hint="eastAsia" w:ascii="仿宋_GB2312" w:hAnsi="宋体"/>
                <w:sz w:val="20"/>
                <w:szCs w:val="20"/>
              </w:rPr>
              <w:t>60</w:t>
            </w:r>
          </w:p>
        </w:tc>
      </w:tr>
      <w:tr w14:paraId="16566FED">
        <w:tblPrEx>
          <w:tblCellMar>
            <w:top w:w="0" w:type="dxa"/>
            <w:left w:w="108" w:type="dxa"/>
            <w:bottom w:w="0" w:type="dxa"/>
            <w:right w:w="108" w:type="dxa"/>
          </w:tblCellMar>
        </w:tblPrEx>
        <w:trPr>
          <w:trHeight w:val="30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44100400">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35764200">
            <w:pPr>
              <w:spacing w:line="240" w:lineRule="auto"/>
              <w:ind w:firstLine="0" w:firstLineChars="0"/>
              <w:jc w:val="center"/>
              <w:rPr>
                <w:rFonts w:hint="eastAsia" w:ascii="仿宋_GB2312" w:hAnsi="宋体"/>
                <w:sz w:val="20"/>
                <w:szCs w:val="20"/>
              </w:rPr>
            </w:pPr>
            <w:r>
              <w:rPr>
                <w:rFonts w:hint="eastAsia" w:ascii="仿宋_GB2312" w:hAnsi="宋体"/>
                <w:sz w:val="20"/>
                <w:szCs w:val="20"/>
              </w:rPr>
              <w:t>饮用水源地保护工程</w:t>
            </w:r>
          </w:p>
        </w:tc>
        <w:tc>
          <w:tcPr>
            <w:tcW w:w="1013" w:type="pct"/>
            <w:tcBorders>
              <w:top w:val="nil"/>
              <w:left w:val="nil"/>
              <w:bottom w:val="single" w:color="auto" w:sz="4" w:space="0"/>
              <w:right w:val="single" w:color="auto" w:sz="4" w:space="0"/>
            </w:tcBorders>
            <w:shd w:val="clear" w:color="auto" w:fill="auto"/>
            <w:noWrap/>
            <w:vAlign w:val="center"/>
          </w:tcPr>
          <w:p w14:paraId="14CED737">
            <w:pPr>
              <w:spacing w:line="240" w:lineRule="auto"/>
              <w:ind w:firstLine="0" w:firstLineChars="0"/>
              <w:jc w:val="center"/>
              <w:rPr>
                <w:rFonts w:hint="eastAsia" w:ascii="仿宋_GB2312" w:hAnsi="宋体"/>
                <w:sz w:val="20"/>
                <w:szCs w:val="20"/>
              </w:rPr>
            </w:pPr>
            <w:r>
              <w:rPr>
                <w:rFonts w:hint="eastAsia" w:ascii="仿宋_GB2312" w:hAnsi="宋体"/>
                <w:sz w:val="20"/>
                <w:szCs w:val="20"/>
              </w:rPr>
              <w:t>10万元/km</w:t>
            </w:r>
            <w:r>
              <w:rPr>
                <w:rFonts w:hint="eastAsia" w:ascii="仿宋_GB2312" w:hAnsi="宋体"/>
                <w:sz w:val="20"/>
                <w:szCs w:val="20"/>
                <w:vertAlign w:val="superscript"/>
              </w:rPr>
              <w:t>2</w:t>
            </w:r>
          </w:p>
        </w:tc>
        <w:tc>
          <w:tcPr>
            <w:tcW w:w="1041" w:type="pct"/>
            <w:tcBorders>
              <w:top w:val="nil"/>
              <w:left w:val="nil"/>
              <w:bottom w:val="single" w:color="auto" w:sz="4" w:space="0"/>
              <w:right w:val="single" w:color="auto" w:sz="4" w:space="0"/>
            </w:tcBorders>
            <w:shd w:val="clear" w:color="auto" w:fill="auto"/>
            <w:noWrap/>
            <w:vAlign w:val="center"/>
          </w:tcPr>
          <w:p w14:paraId="5E230AF5">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865" w:type="pct"/>
            <w:tcBorders>
              <w:top w:val="nil"/>
              <w:left w:val="nil"/>
              <w:bottom w:val="single" w:color="auto" w:sz="4" w:space="0"/>
              <w:right w:val="single" w:color="auto" w:sz="4" w:space="0"/>
            </w:tcBorders>
            <w:shd w:val="clear" w:color="auto" w:fill="auto"/>
            <w:noWrap/>
            <w:vAlign w:val="center"/>
          </w:tcPr>
          <w:p w14:paraId="016838C4">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r>
      <w:tr w14:paraId="0F514C40">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0D109DD6">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1553" w:type="pct"/>
            <w:tcBorders>
              <w:top w:val="nil"/>
              <w:left w:val="nil"/>
              <w:bottom w:val="single" w:color="auto" w:sz="4" w:space="0"/>
              <w:right w:val="single" w:color="auto" w:sz="4" w:space="0"/>
            </w:tcBorders>
            <w:shd w:val="clear" w:color="auto" w:fill="auto"/>
            <w:noWrap/>
            <w:vAlign w:val="center"/>
          </w:tcPr>
          <w:p w14:paraId="5183C557">
            <w:pPr>
              <w:spacing w:line="240" w:lineRule="auto"/>
              <w:ind w:firstLine="0" w:firstLineChars="0"/>
              <w:jc w:val="center"/>
              <w:rPr>
                <w:rFonts w:hint="eastAsia" w:ascii="仿宋_GB2312" w:hAnsi="宋体"/>
                <w:sz w:val="20"/>
                <w:szCs w:val="20"/>
              </w:rPr>
            </w:pPr>
            <w:r>
              <w:rPr>
                <w:rFonts w:hint="eastAsia" w:ascii="仿宋_GB2312" w:hAnsi="宋体"/>
                <w:sz w:val="20"/>
                <w:szCs w:val="20"/>
              </w:rPr>
              <w:t>综合治理工程</w:t>
            </w:r>
          </w:p>
        </w:tc>
        <w:tc>
          <w:tcPr>
            <w:tcW w:w="1013" w:type="pct"/>
            <w:tcBorders>
              <w:top w:val="nil"/>
              <w:left w:val="nil"/>
              <w:bottom w:val="single" w:color="auto" w:sz="4" w:space="0"/>
              <w:right w:val="single" w:color="auto" w:sz="4" w:space="0"/>
            </w:tcBorders>
            <w:shd w:val="clear" w:color="auto" w:fill="auto"/>
            <w:noWrap/>
            <w:vAlign w:val="center"/>
          </w:tcPr>
          <w:p w14:paraId="47366B57">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041" w:type="pct"/>
            <w:tcBorders>
              <w:top w:val="nil"/>
              <w:left w:val="nil"/>
              <w:bottom w:val="single" w:color="auto" w:sz="4" w:space="0"/>
              <w:right w:val="single" w:color="auto" w:sz="4" w:space="0"/>
            </w:tcBorders>
            <w:shd w:val="clear" w:color="auto" w:fill="auto"/>
            <w:noWrap/>
            <w:vAlign w:val="center"/>
          </w:tcPr>
          <w:p w14:paraId="0DC0CAC4">
            <w:pPr>
              <w:spacing w:line="240" w:lineRule="auto"/>
              <w:ind w:firstLine="0" w:firstLineChars="0"/>
              <w:jc w:val="center"/>
              <w:rPr>
                <w:rFonts w:hint="eastAsia" w:ascii="仿宋_GB2312" w:hAnsi="宋体"/>
                <w:sz w:val="20"/>
                <w:szCs w:val="20"/>
              </w:rPr>
            </w:pPr>
            <w:r>
              <w:rPr>
                <w:rFonts w:hint="eastAsia" w:ascii="仿宋_GB2312" w:hAnsi="宋体"/>
                <w:sz w:val="20"/>
                <w:szCs w:val="20"/>
              </w:rPr>
              <w:t>21</w:t>
            </w:r>
          </w:p>
        </w:tc>
        <w:tc>
          <w:tcPr>
            <w:tcW w:w="865" w:type="pct"/>
            <w:tcBorders>
              <w:top w:val="nil"/>
              <w:left w:val="nil"/>
              <w:bottom w:val="single" w:color="auto" w:sz="4" w:space="0"/>
              <w:right w:val="single" w:color="auto" w:sz="4" w:space="0"/>
            </w:tcBorders>
            <w:shd w:val="clear" w:color="auto" w:fill="auto"/>
            <w:noWrap/>
            <w:vAlign w:val="center"/>
          </w:tcPr>
          <w:p w14:paraId="382F72BB">
            <w:pPr>
              <w:spacing w:line="240" w:lineRule="auto"/>
              <w:ind w:firstLine="0" w:firstLineChars="0"/>
              <w:jc w:val="center"/>
              <w:rPr>
                <w:rFonts w:hint="eastAsia" w:ascii="仿宋_GB2312" w:hAnsi="宋体"/>
                <w:sz w:val="20"/>
                <w:szCs w:val="20"/>
              </w:rPr>
            </w:pPr>
            <w:r>
              <w:rPr>
                <w:rFonts w:hint="eastAsia" w:ascii="仿宋_GB2312" w:hAnsi="宋体"/>
                <w:sz w:val="20"/>
                <w:szCs w:val="20"/>
              </w:rPr>
              <w:t>860</w:t>
            </w:r>
          </w:p>
        </w:tc>
      </w:tr>
      <w:tr w14:paraId="1E854B92">
        <w:tblPrEx>
          <w:tblCellMar>
            <w:top w:w="0" w:type="dxa"/>
            <w:left w:w="108" w:type="dxa"/>
            <w:bottom w:w="0" w:type="dxa"/>
            <w:right w:w="108" w:type="dxa"/>
          </w:tblCellMar>
        </w:tblPrEx>
        <w:trPr>
          <w:trHeight w:val="30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3CE6DE56">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7FEC4DB9">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水土流失综合治理工程</w:t>
            </w:r>
          </w:p>
        </w:tc>
        <w:tc>
          <w:tcPr>
            <w:tcW w:w="1013" w:type="pct"/>
            <w:tcBorders>
              <w:top w:val="nil"/>
              <w:left w:val="nil"/>
              <w:bottom w:val="single" w:color="auto" w:sz="4" w:space="0"/>
              <w:right w:val="single" w:color="auto" w:sz="4" w:space="0"/>
            </w:tcBorders>
            <w:shd w:val="clear" w:color="auto" w:fill="auto"/>
            <w:noWrap/>
            <w:vAlign w:val="center"/>
          </w:tcPr>
          <w:p w14:paraId="276EB329">
            <w:pPr>
              <w:spacing w:line="240" w:lineRule="auto"/>
              <w:ind w:firstLine="0" w:firstLineChars="0"/>
              <w:jc w:val="center"/>
              <w:rPr>
                <w:rFonts w:hint="eastAsia" w:ascii="仿宋_GB2312" w:hAnsi="宋体"/>
                <w:sz w:val="20"/>
                <w:szCs w:val="20"/>
              </w:rPr>
            </w:pPr>
            <w:r>
              <w:rPr>
                <w:rFonts w:hint="eastAsia" w:ascii="仿宋_GB2312" w:hAnsi="宋体"/>
                <w:sz w:val="20"/>
                <w:szCs w:val="20"/>
              </w:rPr>
              <w:t>80万元/km</w:t>
            </w:r>
            <w:r>
              <w:rPr>
                <w:rFonts w:hint="eastAsia" w:ascii="仿宋_GB2312" w:hAnsi="宋体"/>
                <w:sz w:val="20"/>
                <w:szCs w:val="20"/>
                <w:vertAlign w:val="superscript"/>
              </w:rPr>
              <w:t>2</w:t>
            </w:r>
          </w:p>
        </w:tc>
        <w:tc>
          <w:tcPr>
            <w:tcW w:w="1041" w:type="pct"/>
            <w:tcBorders>
              <w:top w:val="nil"/>
              <w:left w:val="nil"/>
              <w:bottom w:val="single" w:color="auto" w:sz="4" w:space="0"/>
              <w:right w:val="single" w:color="auto" w:sz="4" w:space="0"/>
            </w:tcBorders>
            <w:shd w:val="clear" w:color="auto" w:fill="auto"/>
            <w:noWrap/>
            <w:vAlign w:val="center"/>
          </w:tcPr>
          <w:p w14:paraId="5CDBF699">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865" w:type="pct"/>
            <w:tcBorders>
              <w:top w:val="nil"/>
              <w:left w:val="nil"/>
              <w:bottom w:val="single" w:color="auto" w:sz="4" w:space="0"/>
              <w:right w:val="single" w:color="auto" w:sz="4" w:space="0"/>
            </w:tcBorders>
            <w:shd w:val="clear" w:color="auto" w:fill="auto"/>
            <w:noWrap/>
            <w:vAlign w:val="center"/>
          </w:tcPr>
          <w:p w14:paraId="7D902917">
            <w:pPr>
              <w:spacing w:line="240" w:lineRule="auto"/>
              <w:ind w:firstLine="0" w:firstLineChars="0"/>
              <w:jc w:val="center"/>
              <w:rPr>
                <w:rFonts w:hint="eastAsia" w:ascii="仿宋_GB2312" w:hAnsi="宋体"/>
                <w:sz w:val="20"/>
                <w:szCs w:val="20"/>
              </w:rPr>
            </w:pPr>
            <w:r>
              <w:rPr>
                <w:rFonts w:hint="eastAsia" w:ascii="仿宋_GB2312" w:hAnsi="宋体"/>
                <w:sz w:val="20"/>
                <w:szCs w:val="20"/>
              </w:rPr>
              <w:t>160</w:t>
            </w:r>
          </w:p>
        </w:tc>
      </w:tr>
      <w:tr w14:paraId="3F94F9B3">
        <w:tblPrEx>
          <w:tblCellMar>
            <w:top w:w="0" w:type="dxa"/>
            <w:left w:w="108" w:type="dxa"/>
            <w:bottom w:w="0" w:type="dxa"/>
            <w:right w:w="108" w:type="dxa"/>
          </w:tblCellMar>
        </w:tblPrEx>
        <w:trPr>
          <w:trHeight w:val="30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7AB0EF6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70DC9083">
            <w:pPr>
              <w:spacing w:line="240" w:lineRule="auto"/>
              <w:ind w:firstLine="0" w:firstLineChars="0"/>
              <w:jc w:val="center"/>
              <w:rPr>
                <w:rFonts w:hint="eastAsia" w:ascii="仿宋_GB2312" w:hAnsi="宋体"/>
                <w:sz w:val="20"/>
                <w:szCs w:val="20"/>
              </w:rPr>
            </w:pPr>
            <w:r>
              <w:rPr>
                <w:rFonts w:hint="eastAsia" w:ascii="仿宋_GB2312" w:hAnsi="宋体"/>
                <w:sz w:val="20"/>
                <w:szCs w:val="20"/>
              </w:rPr>
              <w:t>城郊型清洁小流域建设</w:t>
            </w:r>
          </w:p>
        </w:tc>
        <w:tc>
          <w:tcPr>
            <w:tcW w:w="1013" w:type="pct"/>
            <w:tcBorders>
              <w:top w:val="nil"/>
              <w:left w:val="nil"/>
              <w:bottom w:val="single" w:color="auto" w:sz="4" w:space="0"/>
              <w:right w:val="single" w:color="auto" w:sz="4" w:space="0"/>
            </w:tcBorders>
            <w:shd w:val="clear" w:color="auto" w:fill="auto"/>
            <w:noWrap/>
            <w:vAlign w:val="center"/>
          </w:tcPr>
          <w:p w14:paraId="58A0F2FD">
            <w:pPr>
              <w:spacing w:line="240" w:lineRule="auto"/>
              <w:ind w:firstLine="0" w:firstLineChars="0"/>
              <w:jc w:val="center"/>
              <w:rPr>
                <w:rFonts w:hint="eastAsia" w:ascii="仿宋_GB2312" w:hAnsi="宋体"/>
                <w:sz w:val="20"/>
                <w:szCs w:val="20"/>
              </w:rPr>
            </w:pPr>
            <w:r>
              <w:rPr>
                <w:rFonts w:hint="eastAsia" w:ascii="仿宋_GB2312" w:hAnsi="宋体"/>
                <w:sz w:val="20"/>
                <w:szCs w:val="20"/>
              </w:rPr>
              <w:t>100万元/km</w:t>
            </w:r>
            <w:r>
              <w:rPr>
                <w:rFonts w:hint="eastAsia" w:ascii="仿宋_GB2312" w:hAnsi="宋体"/>
                <w:sz w:val="20"/>
                <w:szCs w:val="20"/>
                <w:vertAlign w:val="superscript"/>
              </w:rPr>
              <w:t>2</w:t>
            </w:r>
          </w:p>
        </w:tc>
        <w:tc>
          <w:tcPr>
            <w:tcW w:w="1041" w:type="pct"/>
            <w:tcBorders>
              <w:top w:val="nil"/>
              <w:left w:val="nil"/>
              <w:bottom w:val="single" w:color="auto" w:sz="4" w:space="0"/>
              <w:right w:val="single" w:color="auto" w:sz="4" w:space="0"/>
            </w:tcBorders>
            <w:shd w:val="clear" w:color="auto" w:fill="auto"/>
            <w:noWrap/>
            <w:vAlign w:val="center"/>
          </w:tcPr>
          <w:p w14:paraId="3196C86D">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865" w:type="pct"/>
            <w:tcBorders>
              <w:top w:val="nil"/>
              <w:left w:val="nil"/>
              <w:bottom w:val="single" w:color="auto" w:sz="4" w:space="0"/>
              <w:right w:val="single" w:color="auto" w:sz="4" w:space="0"/>
            </w:tcBorders>
            <w:shd w:val="clear" w:color="auto" w:fill="auto"/>
            <w:noWrap/>
            <w:vAlign w:val="center"/>
          </w:tcPr>
          <w:p w14:paraId="0093C263">
            <w:pPr>
              <w:spacing w:line="240" w:lineRule="auto"/>
              <w:ind w:firstLine="0" w:firstLineChars="0"/>
              <w:jc w:val="center"/>
              <w:rPr>
                <w:rFonts w:hint="eastAsia" w:ascii="仿宋_GB2312" w:hAnsi="宋体"/>
                <w:sz w:val="20"/>
                <w:szCs w:val="20"/>
              </w:rPr>
            </w:pPr>
            <w:r>
              <w:rPr>
                <w:rFonts w:hint="eastAsia" w:ascii="仿宋_GB2312" w:hAnsi="宋体"/>
                <w:sz w:val="20"/>
                <w:szCs w:val="20"/>
              </w:rPr>
              <w:t>300</w:t>
            </w:r>
          </w:p>
        </w:tc>
      </w:tr>
      <w:tr w14:paraId="3F7E1166">
        <w:tblPrEx>
          <w:tblCellMar>
            <w:top w:w="0" w:type="dxa"/>
            <w:left w:w="108" w:type="dxa"/>
            <w:bottom w:w="0" w:type="dxa"/>
            <w:right w:w="108" w:type="dxa"/>
          </w:tblCellMar>
        </w:tblPrEx>
        <w:trPr>
          <w:trHeight w:val="30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513C2889">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0BEBF347">
            <w:pPr>
              <w:spacing w:line="240" w:lineRule="auto"/>
              <w:ind w:firstLine="0" w:firstLineChars="0"/>
              <w:jc w:val="center"/>
              <w:rPr>
                <w:rFonts w:hint="eastAsia" w:ascii="仿宋_GB2312" w:hAnsi="宋体"/>
                <w:sz w:val="20"/>
                <w:szCs w:val="20"/>
              </w:rPr>
            </w:pPr>
            <w:r>
              <w:rPr>
                <w:rFonts w:hint="eastAsia" w:ascii="仿宋_GB2312" w:hAnsi="宋体"/>
                <w:sz w:val="20"/>
                <w:szCs w:val="20"/>
              </w:rPr>
              <w:t>生态修复</w:t>
            </w:r>
          </w:p>
        </w:tc>
        <w:tc>
          <w:tcPr>
            <w:tcW w:w="1013" w:type="pct"/>
            <w:tcBorders>
              <w:top w:val="nil"/>
              <w:left w:val="nil"/>
              <w:bottom w:val="single" w:color="auto" w:sz="4" w:space="0"/>
              <w:right w:val="single" w:color="auto" w:sz="4" w:space="0"/>
            </w:tcBorders>
            <w:shd w:val="clear" w:color="auto" w:fill="auto"/>
            <w:noWrap/>
            <w:vAlign w:val="center"/>
          </w:tcPr>
          <w:p w14:paraId="75E0A6A8">
            <w:pPr>
              <w:spacing w:line="240" w:lineRule="auto"/>
              <w:ind w:firstLine="0" w:firstLineChars="0"/>
              <w:jc w:val="center"/>
              <w:rPr>
                <w:rFonts w:hint="eastAsia" w:ascii="仿宋_GB2312" w:hAnsi="宋体"/>
                <w:sz w:val="20"/>
                <w:szCs w:val="20"/>
              </w:rPr>
            </w:pPr>
            <w:r>
              <w:rPr>
                <w:rFonts w:hint="eastAsia" w:ascii="仿宋_GB2312" w:hAnsi="宋体"/>
                <w:sz w:val="20"/>
                <w:szCs w:val="20"/>
              </w:rPr>
              <w:t>20万元/km</w:t>
            </w:r>
            <w:r>
              <w:rPr>
                <w:rFonts w:hint="eastAsia" w:ascii="仿宋_GB2312" w:hAnsi="宋体"/>
                <w:sz w:val="20"/>
                <w:szCs w:val="20"/>
                <w:vertAlign w:val="superscript"/>
              </w:rPr>
              <w:t>2</w:t>
            </w:r>
          </w:p>
        </w:tc>
        <w:tc>
          <w:tcPr>
            <w:tcW w:w="1041" w:type="pct"/>
            <w:tcBorders>
              <w:top w:val="nil"/>
              <w:left w:val="nil"/>
              <w:bottom w:val="single" w:color="auto" w:sz="4" w:space="0"/>
              <w:right w:val="single" w:color="auto" w:sz="4" w:space="0"/>
            </w:tcBorders>
            <w:shd w:val="clear" w:color="auto" w:fill="auto"/>
            <w:noWrap/>
            <w:vAlign w:val="center"/>
          </w:tcPr>
          <w:p w14:paraId="46668041">
            <w:pPr>
              <w:spacing w:line="240" w:lineRule="auto"/>
              <w:ind w:firstLine="0" w:firstLineChars="0"/>
              <w:jc w:val="center"/>
              <w:rPr>
                <w:rFonts w:hint="eastAsia" w:ascii="仿宋_GB2312" w:hAnsi="宋体"/>
                <w:sz w:val="20"/>
                <w:szCs w:val="20"/>
              </w:rPr>
            </w:pPr>
            <w:r>
              <w:rPr>
                <w:rFonts w:hint="eastAsia" w:ascii="仿宋_GB2312" w:hAnsi="宋体"/>
                <w:sz w:val="20"/>
                <w:szCs w:val="20"/>
              </w:rPr>
              <w:t>12</w:t>
            </w:r>
          </w:p>
        </w:tc>
        <w:tc>
          <w:tcPr>
            <w:tcW w:w="865" w:type="pct"/>
            <w:tcBorders>
              <w:top w:val="nil"/>
              <w:left w:val="nil"/>
              <w:bottom w:val="single" w:color="auto" w:sz="4" w:space="0"/>
              <w:right w:val="single" w:color="auto" w:sz="4" w:space="0"/>
            </w:tcBorders>
            <w:shd w:val="clear" w:color="auto" w:fill="auto"/>
            <w:noWrap/>
            <w:vAlign w:val="center"/>
          </w:tcPr>
          <w:p w14:paraId="655315F4">
            <w:pPr>
              <w:spacing w:line="240" w:lineRule="auto"/>
              <w:ind w:firstLine="0" w:firstLineChars="0"/>
              <w:jc w:val="center"/>
              <w:rPr>
                <w:rFonts w:hint="eastAsia" w:ascii="仿宋_GB2312" w:hAnsi="宋体"/>
                <w:sz w:val="20"/>
                <w:szCs w:val="20"/>
              </w:rPr>
            </w:pPr>
            <w:r>
              <w:rPr>
                <w:rFonts w:hint="eastAsia" w:ascii="仿宋_GB2312" w:hAnsi="宋体"/>
                <w:sz w:val="20"/>
                <w:szCs w:val="20"/>
              </w:rPr>
              <w:t>240</w:t>
            </w:r>
          </w:p>
        </w:tc>
      </w:tr>
      <w:tr w14:paraId="3EC46389">
        <w:tblPrEx>
          <w:tblCellMar>
            <w:top w:w="0" w:type="dxa"/>
            <w:left w:w="108" w:type="dxa"/>
            <w:bottom w:w="0" w:type="dxa"/>
            <w:right w:w="108" w:type="dxa"/>
          </w:tblCellMar>
        </w:tblPrEx>
        <w:trPr>
          <w:trHeight w:val="30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626E552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3DC50CD0">
            <w:pPr>
              <w:spacing w:line="240" w:lineRule="auto"/>
              <w:ind w:firstLine="0" w:firstLineChars="0"/>
              <w:jc w:val="center"/>
              <w:rPr>
                <w:rFonts w:hint="eastAsia" w:ascii="仿宋_GB2312" w:hAnsi="宋体"/>
                <w:sz w:val="20"/>
                <w:szCs w:val="20"/>
              </w:rPr>
            </w:pPr>
            <w:r>
              <w:rPr>
                <w:rFonts w:hint="eastAsia" w:ascii="仿宋_GB2312" w:hAnsi="宋体"/>
                <w:sz w:val="20"/>
                <w:szCs w:val="20"/>
              </w:rPr>
              <w:t>土地整治工程</w:t>
            </w:r>
          </w:p>
        </w:tc>
        <w:tc>
          <w:tcPr>
            <w:tcW w:w="1013" w:type="pct"/>
            <w:tcBorders>
              <w:top w:val="nil"/>
              <w:left w:val="nil"/>
              <w:bottom w:val="single" w:color="auto" w:sz="4" w:space="0"/>
              <w:right w:val="single" w:color="auto" w:sz="4" w:space="0"/>
            </w:tcBorders>
            <w:shd w:val="clear" w:color="auto" w:fill="auto"/>
            <w:noWrap/>
            <w:vAlign w:val="center"/>
          </w:tcPr>
          <w:p w14:paraId="4B894D05">
            <w:pPr>
              <w:spacing w:line="240" w:lineRule="auto"/>
              <w:ind w:firstLine="0" w:firstLineChars="0"/>
              <w:jc w:val="center"/>
              <w:rPr>
                <w:rFonts w:hint="eastAsia" w:ascii="仿宋_GB2312" w:hAnsi="宋体"/>
                <w:sz w:val="20"/>
                <w:szCs w:val="20"/>
              </w:rPr>
            </w:pPr>
            <w:r>
              <w:rPr>
                <w:rFonts w:hint="eastAsia" w:ascii="仿宋_GB2312" w:hAnsi="宋体"/>
                <w:sz w:val="20"/>
                <w:szCs w:val="20"/>
              </w:rPr>
              <w:t>40万元/km</w:t>
            </w:r>
            <w:r>
              <w:rPr>
                <w:rFonts w:hint="eastAsia" w:ascii="仿宋_GB2312" w:hAnsi="宋体"/>
                <w:sz w:val="20"/>
                <w:szCs w:val="20"/>
                <w:vertAlign w:val="superscript"/>
              </w:rPr>
              <w:t>2</w:t>
            </w:r>
          </w:p>
        </w:tc>
        <w:tc>
          <w:tcPr>
            <w:tcW w:w="1041" w:type="pct"/>
            <w:tcBorders>
              <w:top w:val="nil"/>
              <w:left w:val="nil"/>
              <w:bottom w:val="single" w:color="auto" w:sz="4" w:space="0"/>
              <w:right w:val="single" w:color="auto" w:sz="4" w:space="0"/>
            </w:tcBorders>
            <w:shd w:val="clear" w:color="auto" w:fill="auto"/>
            <w:noWrap/>
            <w:vAlign w:val="center"/>
          </w:tcPr>
          <w:p w14:paraId="6D5CA144">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865" w:type="pct"/>
            <w:tcBorders>
              <w:top w:val="nil"/>
              <w:left w:val="nil"/>
              <w:bottom w:val="single" w:color="auto" w:sz="4" w:space="0"/>
              <w:right w:val="single" w:color="auto" w:sz="4" w:space="0"/>
            </w:tcBorders>
            <w:shd w:val="clear" w:color="auto" w:fill="auto"/>
            <w:noWrap/>
            <w:vAlign w:val="center"/>
          </w:tcPr>
          <w:p w14:paraId="15A38F7D">
            <w:pPr>
              <w:spacing w:line="240" w:lineRule="auto"/>
              <w:ind w:firstLine="0" w:firstLineChars="0"/>
              <w:jc w:val="center"/>
              <w:rPr>
                <w:rFonts w:hint="eastAsia" w:ascii="仿宋_GB2312" w:hAnsi="宋体"/>
                <w:sz w:val="20"/>
                <w:szCs w:val="20"/>
              </w:rPr>
            </w:pPr>
            <w:r>
              <w:rPr>
                <w:rFonts w:hint="eastAsia" w:ascii="仿宋_GB2312" w:hAnsi="宋体"/>
                <w:sz w:val="20"/>
                <w:szCs w:val="20"/>
              </w:rPr>
              <w:t>160</w:t>
            </w:r>
          </w:p>
        </w:tc>
      </w:tr>
      <w:tr w14:paraId="2F408AD0">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0F2B504B">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1553" w:type="pct"/>
            <w:tcBorders>
              <w:top w:val="nil"/>
              <w:left w:val="nil"/>
              <w:bottom w:val="single" w:color="auto" w:sz="4" w:space="0"/>
              <w:right w:val="single" w:color="auto" w:sz="4" w:space="0"/>
            </w:tcBorders>
            <w:shd w:val="clear" w:color="auto" w:fill="auto"/>
            <w:noWrap/>
            <w:vAlign w:val="center"/>
          </w:tcPr>
          <w:p w14:paraId="0BB418B4">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水土保持监测</w:t>
            </w:r>
          </w:p>
        </w:tc>
        <w:tc>
          <w:tcPr>
            <w:tcW w:w="1013" w:type="pct"/>
            <w:tcBorders>
              <w:top w:val="nil"/>
              <w:left w:val="nil"/>
              <w:bottom w:val="single" w:color="auto" w:sz="4" w:space="0"/>
              <w:right w:val="single" w:color="auto" w:sz="4" w:space="0"/>
            </w:tcBorders>
            <w:shd w:val="clear" w:color="auto" w:fill="auto"/>
            <w:noWrap/>
            <w:vAlign w:val="center"/>
          </w:tcPr>
          <w:p w14:paraId="1724617F">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041" w:type="pct"/>
            <w:tcBorders>
              <w:top w:val="nil"/>
              <w:left w:val="nil"/>
              <w:bottom w:val="single" w:color="auto" w:sz="4" w:space="0"/>
              <w:right w:val="single" w:color="auto" w:sz="4" w:space="0"/>
            </w:tcBorders>
            <w:shd w:val="clear" w:color="auto" w:fill="auto"/>
            <w:noWrap/>
            <w:vAlign w:val="center"/>
          </w:tcPr>
          <w:p w14:paraId="69BD1023">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865" w:type="pct"/>
            <w:tcBorders>
              <w:top w:val="nil"/>
              <w:left w:val="nil"/>
              <w:bottom w:val="single" w:color="auto" w:sz="4" w:space="0"/>
              <w:right w:val="single" w:color="auto" w:sz="4" w:space="0"/>
            </w:tcBorders>
            <w:shd w:val="clear" w:color="auto" w:fill="auto"/>
            <w:noWrap/>
            <w:vAlign w:val="center"/>
          </w:tcPr>
          <w:p w14:paraId="1521081A">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r>
      <w:tr w14:paraId="332E73AF">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5A1A1E55">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370A9BBD">
            <w:pPr>
              <w:spacing w:line="240" w:lineRule="auto"/>
              <w:ind w:firstLine="0" w:firstLineChars="0"/>
              <w:jc w:val="center"/>
              <w:rPr>
                <w:rFonts w:hint="eastAsia" w:ascii="仿宋_GB2312" w:hAnsi="宋体"/>
                <w:sz w:val="20"/>
                <w:szCs w:val="20"/>
              </w:rPr>
            </w:pPr>
            <w:r>
              <w:rPr>
                <w:rFonts w:hint="eastAsia" w:ascii="仿宋_GB2312" w:hAnsi="宋体"/>
                <w:sz w:val="20"/>
                <w:szCs w:val="20"/>
              </w:rPr>
              <w:t>监测点信息化建设</w:t>
            </w:r>
          </w:p>
        </w:tc>
        <w:tc>
          <w:tcPr>
            <w:tcW w:w="1013" w:type="pct"/>
            <w:tcBorders>
              <w:top w:val="nil"/>
              <w:left w:val="nil"/>
              <w:bottom w:val="single" w:color="auto" w:sz="4" w:space="0"/>
              <w:right w:val="single" w:color="auto" w:sz="4" w:space="0"/>
            </w:tcBorders>
            <w:shd w:val="clear" w:color="auto" w:fill="auto"/>
            <w:noWrap/>
            <w:vAlign w:val="center"/>
          </w:tcPr>
          <w:p w14:paraId="2D057AFA">
            <w:pPr>
              <w:spacing w:line="240" w:lineRule="auto"/>
              <w:ind w:firstLine="0" w:firstLineChars="0"/>
              <w:jc w:val="center"/>
              <w:rPr>
                <w:rFonts w:hint="eastAsia" w:ascii="仿宋_GB2312" w:hAnsi="宋体"/>
                <w:sz w:val="20"/>
                <w:szCs w:val="20"/>
              </w:rPr>
            </w:pPr>
            <w:r>
              <w:rPr>
                <w:rFonts w:hint="eastAsia" w:ascii="仿宋_GB2312" w:hAnsi="宋体"/>
                <w:sz w:val="20"/>
                <w:szCs w:val="20"/>
              </w:rPr>
              <w:t>100万元/座</w:t>
            </w:r>
          </w:p>
        </w:tc>
        <w:tc>
          <w:tcPr>
            <w:tcW w:w="1041" w:type="pct"/>
            <w:tcBorders>
              <w:top w:val="nil"/>
              <w:left w:val="nil"/>
              <w:bottom w:val="single" w:color="auto" w:sz="4" w:space="0"/>
              <w:right w:val="single" w:color="auto" w:sz="4" w:space="0"/>
            </w:tcBorders>
            <w:shd w:val="clear" w:color="auto" w:fill="auto"/>
            <w:noWrap/>
            <w:vAlign w:val="center"/>
          </w:tcPr>
          <w:p w14:paraId="464B9014">
            <w:pPr>
              <w:spacing w:line="240" w:lineRule="auto"/>
              <w:ind w:firstLine="0" w:firstLineChars="0"/>
              <w:rPr>
                <w:rFonts w:hint="eastAsia" w:ascii="仿宋_GB2312" w:hAnsi="宋体"/>
                <w:sz w:val="22"/>
                <w:szCs w:val="22"/>
              </w:rPr>
            </w:pPr>
            <w:r>
              <w:rPr>
                <w:rFonts w:hint="eastAsia" w:ascii="仿宋_GB2312" w:hAnsi="宋体"/>
                <w:sz w:val="22"/>
                <w:szCs w:val="22"/>
              </w:rPr>
              <w:t>　</w:t>
            </w:r>
          </w:p>
        </w:tc>
        <w:tc>
          <w:tcPr>
            <w:tcW w:w="865" w:type="pct"/>
            <w:tcBorders>
              <w:top w:val="nil"/>
              <w:left w:val="nil"/>
              <w:bottom w:val="single" w:color="auto" w:sz="4" w:space="0"/>
              <w:right w:val="single" w:color="auto" w:sz="4" w:space="0"/>
            </w:tcBorders>
            <w:shd w:val="clear" w:color="auto" w:fill="auto"/>
            <w:noWrap/>
            <w:vAlign w:val="center"/>
          </w:tcPr>
          <w:p w14:paraId="5BE31F23">
            <w:pPr>
              <w:spacing w:line="240" w:lineRule="auto"/>
              <w:ind w:firstLine="0" w:firstLineChars="0"/>
              <w:rPr>
                <w:rFonts w:hint="eastAsia" w:ascii="仿宋_GB2312" w:hAnsi="宋体"/>
                <w:sz w:val="22"/>
                <w:szCs w:val="22"/>
              </w:rPr>
            </w:pPr>
            <w:r>
              <w:rPr>
                <w:rFonts w:hint="eastAsia" w:ascii="仿宋_GB2312" w:hAnsi="宋体"/>
                <w:sz w:val="22"/>
                <w:szCs w:val="22"/>
              </w:rPr>
              <w:t>　</w:t>
            </w:r>
          </w:p>
        </w:tc>
      </w:tr>
      <w:tr w14:paraId="5E9D0AD9">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1818BE9E">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1553" w:type="pct"/>
            <w:tcBorders>
              <w:top w:val="nil"/>
              <w:left w:val="nil"/>
              <w:bottom w:val="single" w:color="auto" w:sz="4" w:space="0"/>
              <w:right w:val="single" w:color="auto" w:sz="4" w:space="0"/>
            </w:tcBorders>
            <w:shd w:val="clear" w:color="auto" w:fill="auto"/>
            <w:noWrap/>
            <w:vAlign w:val="center"/>
          </w:tcPr>
          <w:p w14:paraId="0855762A">
            <w:pPr>
              <w:spacing w:line="240" w:lineRule="auto"/>
              <w:ind w:firstLine="0" w:firstLineChars="0"/>
              <w:jc w:val="center"/>
              <w:rPr>
                <w:rFonts w:hint="eastAsia" w:ascii="仿宋_GB2312" w:hAnsi="宋体"/>
                <w:sz w:val="20"/>
                <w:szCs w:val="20"/>
              </w:rPr>
            </w:pPr>
            <w:r>
              <w:rPr>
                <w:rFonts w:hint="eastAsia" w:ascii="仿宋_GB2312" w:hAnsi="宋体"/>
                <w:sz w:val="20"/>
                <w:szCs w:val="20"/>
              </w:rPr>
              <w:t>综合监督管理</w:t>
            </w:r>
          </w:p>
        </w:tc>
        <w:tc>
          <w:tcPr>
            <w:tcW w:w="1013" w:type="pct"/>
            <w:tcBorders>
              <w:top w:val="nil"/>
              <w:left w:val="nil"/>
              <w:bottom w:val="single" w:color="auto" w:sz="4" w:space="0"/>
              <w:right w:val="single" w:color="auto" w:sz="4" w:space="0"/>
            </w:tcBorders>
            <w:shd w:val="clear" w:color="auto" w:fill="auto"/>
            <w:noWrap/>
            <w:vAlign w:val="center"/>
          </w:tcPr>
          <w:p w14:paraId="51A2D6AA">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041" w:type="pct"/>
            <w:tcBorders>
              <w:top w:val="nil"/>
              <w:left w:val="nil"/>
              <w:bottom w:val="single" w:color="auto" w:sz="4" w:space="0"/>
              <w:right w:val="single" w:color="auto" w:sz="4" w:space="0"/>
            </w:tcBorders>
            <w:shd w:val="clear" w:color="auto" w:fill="auto"/>
            <w:noWrap/>
            <w:vAlign w:val="center"/>
          </w:tcPr>
          <w:p w14:paraId="6F121471">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865" w:type="pct"/>
            <w:tcBorders>
              <w:top w:val="nil"/>
              <w:left w:val="nil"/>
              <w:bottom w:val="single" w:color="auto" w:sz="4" w:space="0"/>
              <w:right w:val="single" w:color="auto" w:sz="4" w:space="0"/>
            </w:tcBorders>
            <w:shd w:val="clear" w:color="auto" w:fill="auto"/>
            <w:noWrap/>
            <w:vAlign w:val="center"/>
          </w:tcPr>
          <w:p w14:paraId="23A72757">
            <w:pPr>
              <w:spacing w:line="240" w:lineRule="auto"/>
              <w:ind w:firstLine="0" w:firstLineChars="0"/>
              <w:jc w:val="center"/>
              <w:rPr>
                <w:rFonts w:hint="eastAsia" w:ascii="仿宋_GB2312" w:hAnsi="宋体"/>
                <w:sz w:val="20"/>
                <w:szCs w:val="20"/>
              </w:rPr>
            </w:pPr>
            <w:r>
              <w:rPr>
                <w:rFonts w:hint="eastAsia" w:ascii="仿宋_GB2312" w:hAnsi="宋体"/>
                <w:sz w:val="20"/>
                <w:szCs w:val="20"/>
              </w:rPr>
              <w:t>110</w:t>
            </w:r>
          </w:p>
        </w:tc>
      </w:tr>
      <w:tr w14:paraId="4A3C09F7">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49B6034B">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66A933A1">
            <w:pPr>
              <w:spacing w:line="240" w:lineRule="auto"/>
              <w:ind w:firstLine="0" w:firstLineChars="0"/>
              <w:jc w:val="center"/>
              <w:rPr>
                <w:rFonts w:hint="eastAsia" w:ascii="仿宋_GB2312" w:hAnsi="宋体"/>
                <w:sz w:val="20"/>
                <w:szCs w:val="20"/>
              </w:rPr>
            </w:pPr>
            <w:r>
              <w:rPr>
                <w:rFonts w:hint="eastAsia" w:ascii="仿宋_GB2312" w:hAnsi="宋体"/>
                <w:sz w:val="20"/>
                <w:szCs w:val="20"/>
              </w:rPr>
              <w:t>生产建设项目监督管理</w:t>
            </w:r>
          </w:p>
        </w:tc>
        <w:tc>
          <w:tcPr>
            <w:tcW w:w="1013" w:type="pct"/>
            <w:tcBorders>
              <w:top w:val="nil"/>
              <w:left w:val="nil"/>
              <w:bottom w:val="single" w:color="auto" w:sz="4" w:space="0"/>
              <w:right w:val="single" w:color="auto" w:sz="4" w:space="0"/>
            </w:tcBorders>
            <w:shd w:val="clear" w:color="auto" w:fill="auto"/>
            <w:noWrap/>
            <w:vAlign w:val="center"/>
          </w:tcPr>
          <w:p w14:paraId="042E8A19">
            <w:pPr>
              <w:spacing w:line="240" w:lineRule="auto"/>
              <w:ind w:firstLine="0" w:firstLineChars="0"/>
              <w:jc w:val="center"/>
              <w:rPr>
                <w:rFonts w:hint="eastAsia" w:ascii="仿宋_GB2312" w:hAnsi="宋体"/>
                <w:sz w:val="20"/>
                <w:szCs w:val="20"/>
              </w:rPr>
            </w:pPr>
            <w:r>
              <w:rPr>
                <w:rFonts w:hint="eastAsia" w:ascii="仿宋_GB2312" w:hAnsi="宋体"/>
                <w:sz w:val="20"/>
                <w:szCs w:val="20"/>
              </w:rPr>
              <w:t>20万元/年</w:t>
            </w:r>
          </w:p>
        </w:tc>
        <w:tc>
          <w:tcPr>
            <w:tcW w:w="1041" w:type="pct"/>
            <w:tcBorders>
              <w:top w:val="nil"/>
              <w:left w:val="nil"/>
              <w:bottom w:val="single" w:color="auto" w:sz="4" w:space="0"/>
              <w:right w:val="single" w:color="auto" w:sz="4" w:space="0"/>
            </w:tcBorders>
            <w:shd w:val="clear" w:color="auto" w:fill="auto"/>
            <w:noWrap/>
            <w:vAlign w:val="center"/>
          </w:tcPr>
          <w:p w14:paraId="0874960F">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865" w:type="pct"/>
            <w:tcBorders>
              <w:top w:val="nil"/>
              <w:left w:val="nil"/>
              <w:bottom w:val="single" w:color="auto" w:sz="4" w:space="0"/>
              <w:right w:val="single" w:color="auto" w:sz="4" w:space="0"/>
            </w:tcBorders>
            <w:shd w:val="clear" w:color="auto" w:fill="auto"/>
            <w:noWrap/>
            <w:vAlign w:val="center"/>
          </w:tcPr>
          <w:p w14:paraId="7BAD8108">
            <w:pPr>
              <w:spacing w:line="240" w:lineRule="auto"/>
              <w:ind w:firstLine="0" w:firstLineChars="0"/>
              <w:jc w:val="center"/>
              <w:rPr>
                <w:rFonts w:hint="eastAsia" w:ascii="仿宋_GB2312" w:hAnsi="宋体"/>
                <w:sz w:val="20"/>
                <w:szCs w:val="20"/>
              </w:rPr>
            </w:pPr>
            <w:r>
              <w:rPr>
                <w:rFonts w:hint="eastAsia" w:ascii="仿宋_GB2312" w:hAnsi="宋体"/>
                <w:sz w:val="20"/>
                <w:szCs w:val="20"/>
              </w:rPr>
              <w:t>40</w:t>
            </w:r>
          </w:p>
        </w:tc>
      </w:tr>
      <w:tr w14:paraId="4314114C">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7C571E85">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353AD3B2">
            <w:pPr>
              <w:spacing w:line="240" w:lineRule="auto"/>
              <w:ind w:firstLine="0" w:firstLineChars="0"/>
              <w:jc w:val="center"/>
              <w:rPr>
                <w:rFonts w:hint="eastAsia" w:ascii="仿宋_GB2312" w:hAnsi="宋体"/>
                <w:sz w:val="20"/>
                <w:szCs w:val="20"/>
              </w:rPr>
            </w:pPr>
            <w:r>
              <w:rPr>
                <w:rFonts w:hint="eastAsia" w:ascii="仿宋_GB2312" w:hAnsi="宋体"/>
                <w:sz w:val="20"/>
                <w:szCs w:val="20"/>
              </w:rPr>
              <w:t>信息化建设</w:t>
            </w:r>
          </w:p>
        </w:tc>
        <w:tc>
          <w:tcPr>
            <w:tcW w:w="1013" w:type="pct"/>
            <w:tcBorders>
              <w:top w:val="nil"/>
              <w:left w:val="nil"/>
              <w:bottom w:val="single" w:color="auto" w:sz="4" w:space="0"/>
              <w:right w:val="single" w:color="auto" w:sz="4" w:space="0"/>
            </w:tcBorders>
            <w:shd w:val="clear" w:color="auto" w:fill="auto"/>
            <w:noWrap/>
            <w:vAlign w:val="center"/>
          </w:tcPr>
          <w:p w14:paraId="2CD8256A">
            <w:pPr>
              <w:spacing w:line="240" w:lineRule="auto"/>
              <w:ind w:firstLine="0" w:firstLineChars="0"/>
              <w:jc w:val="center"/>
              <w:rPr>
                <w:rFonts w:hint="eastAsia" w:ascii="仿宋_GB2312" w:hAnsi="宋体"/>
                <w:sz w:val="20"/>
                <w:szCs w:val="20"/>
              </w:rPr>
            </w:pPr>
            <w:r>
              <w:rPr>
                <w:rFonts w:hint="eastAsia" w:ascii="仿宋_GB2312" w:hAnsi="宋体"/>
                <w:sz w:val="20"/>
                <w:szCs w:val="20"/>
              </w:rPr>
              <w:t>30万元/年</w:t>
            </w:r>
          </w:p>
        </w:tc>
        <w:tc>
          <w:tcPr>
            <w:tcW w:w="1041" w:type="pct"/>
            <w:tcBorders>
              <w:top w:val="nil"/>
              <w:left w:val="nil"/>
              <w:bottom w:val="single" w:color="auto" w:sz="4" w:space="0"/>
              <w:right w:val="single" w:color="auto" w:sz="4" w:space="0"/>
            </w:tcBorders>
            <w:shd w:val="clear" w:color="auto" w:fill="auto"/>
            <w:noWrap/>
            <w:vAlign w:val="center"/>
          </w:tcPr>
          <w:p w14:paraId="7B200D80">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865" w:type="pct"/>
            <w:tcBorders>
              <w:top w:val="nil"/>
              <w:left w:val="nil"/>
              <w:bottom w:val="single" w:color="auto" w:sz="4" w:space="0"/>
              <w:right w:val="single" w:color="auto" w:sz="4" w:space="0"/>
            </w:tcBorders>
            <w:shd w:val="clear" w:color="auto" w:fill="auto"/>
            <w:noWrap/>
            <w:vAlign w:val="center"/>
          </w:tcPr>
          <w:p w14:paraId="17B2D7F8">
            <w:pPr>
              <w:spacing w:line="240" w:lineRule="auto"/>
              <w:ind w:firstLine="0" w:firstLineChars="0"/>
              <w:jc w:val="center"/>
              <w:rPr>
                <w:rFonts w:hint="eastAsia" w:ascii="仿宋_GB2312" w:hAnsi="宋体"/>
                <w:sz w:val="20"/>
                <w:szCs w:val="20"/>
              </w:rPr>
            </w:pPr>
            <w:r>
              <w:rPr>
                <w:rFonts w:hint="eastAsia" w:ascii="仿宋_GB2312" w:hAnsi="宋体"/>
                <w:sz w:val="20"/>
                <w:szCs w:val="20"/>
              </w:rPr>
              <w:t>60</w:t>
            </w:r>
          </w:p>
        </w:tc>
      </w:tr>
      <w:tr w14:paraId="1AA2F1AF">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73E86008">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553" w:type="pct"/>
            <w:tcBorders>
              <w:top w:val="nil"/>
              <w:left w:val="nil"/>
              <w:bottom w:val="single" w:color="auto" w:sz="4" w:space="0"/>
              <w:right w:val="single" w:color="auto" w:sz="4" w:space="0"/>
            </w:tcBorders>
            <w:shd w:val="clear" w:color="auto" w:fill="auto"/>
            <w:noWrap/>
            <w:vAlign w:val="center"/>
          </w:tcPr>
          <w:p w14:paraId="34B9016D">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水土保持宣传</w:t>
            </w:r>
          </w:p>
        </w:tc>
        <w:tc>
          <w:tcPr>
            <w:tcW w:w="1013" w:type="pct"/>
            <w:tcBorders>
              <w:top w:val="nil"/>
              <w:left w:val="nil"/>
              <w:bottom w:val="single" w:color="auto" w:sz="4" w:space="0"/>
              <w:right w:val="single" w:color="auto" w:sz="4" w:space="0"/>
            </w:tcBorders>
            <w:shd w:val="clear" w:color="auto" w:fill="auto"/>
            <w:noWrap/>
            <w:vAlign w:val="center"/>
          </w:tcPr>
          <w:p w14:paraId="38788971">
            <w:pPr>
              <w:spacing w:line="240" w:lineRule="auto"/>
              <w:ind w:firstLine="0" w:firstLineChars="0"/>
              <w:jc w:val="center"/>
              <w:rPr>
                <w:rFonts w:hint="eastAsia" w:ascii="仿宋_GB2312" w:hAnsi="宋体"/>
                <w:sz w:val="20"/>
                <w:szCs w:val="20"/>
              </w:rPr>
            </w:pPr>
            <w:r>
              <w:rPr>
                <w:rFonts w:hint="eastAsia" w:ascii="仿宋_GB2312" w:hAnsi="宋体"/>
                <w:sz w:val="20"/>
                <w:szCs w:val="20"/>
              </w:rPr>
              <w:t>5万元/年</w:t>
            </w:r>
          </w:p>
        </w:tc>
        <w:tc>
          <w:tcPr>
            <w:tcW w:w="1041" w:type="pct"/>
            <w:tcBorders>
              <w:top w:val="nil"/>
              <w:left w:val="nil"/>
              <w:bottom w:val="single" w:color="auto" w:sz="4" w:space="0"/>
              <w:right w:val="single" w:color="auto" w:sz="4" w:space="0"/>
            </w:tcBorders>
            <w:shd w:val="clear" w:color="auto" w:fill="auto"/>
            <w:noWrap/>
            <w:vAlign w:val="center"/>
          </w:tcPr>
          <w:p w14:paraId="033D7B89">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865" w:type="pct"/>
            <w:tcBorders>
              <w:top w:val="nil"/>
              <w:left w:val="nil"/>
              <w:bottom w:val="single" w:color="auto" w:sz="4" w:space="0"/>
              <w:right w:val="single" w:color="auto" w:sz="4" w:space="0"/>
            </w:tcBorders>
            <w:shd w:val="clear" w:color="auto" w:fill="auto"/>
            <w:noWrap/>
            <w:vAlign w:val="center"/>
          </w:tcPr>
          <w:p w14:paraId="68B8F52F">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r>
      <w:tr w14:paraId="5CC400D3">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781E7660">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1553" w:type="pct"/>
            <w:tcBorders>
              <w:top w:val="nil"/>
              <w:left w:val="nil"/>
              <w:bottom w:val="single" w:color="auto" w:sz="4" w:space="0"/>
              <w:right w:val="single" w:color="auto" w:sz="4" w:space="0"/>
            </w:tcBorders>
            <w:shd w:val="clear" w:color="auto" w:fill="auto"/>
            <w:noWrap/>
            <w:vAlign w:val="center"/>
          </w:tcPr>
          <w:p w14:paraId="43B03CBB">
            <w:pPr>
              <w:spacing w:line="240" w:lineRule="auto"/>
              <w:ind w:firstLine="0" w:firstLineChars="0"/>
              <w:jc w:val="center"/>
              <w:rPr>
                <w:rFonts w:hint="eastAsia" w:ascii="仿宋_GB2312" w:hAnsi="宋体"/>
                <w:sz w:val="20"/>
                <w:szCs w:val="20"/>
              </w:rPr>
            </w:pPr>
            <w:r>
              <w:rPr>
                <w:rFonts w:hint="eastAsia" w:ascii="仿宋_GB2312" w:hAnsi="宋体"/>
                <w:sz w:val="20"/>
                <w:szCs w:val="20"/>
              </w:rPr>
              <w:t>专题研究</w:t>
            </w:r>
          </w:p>
        </w:tc>
        <w:tc>
          <w:tcPr>
            <w:tcW w:w="1013" w:type="pct"/>
            <w:tcBorders>
              <w:top w:val="nil"/>
              <w:left w:val="nil"/>
              <w:bottom w:val="single" w:color="auto" w:sz="4" w:space="0"/>
              <w:right w:val="single" w:color="auto" w:sz="4" w:space="0"/>
            </w:tcBorders>
            <w:shd w:val="clear" w:color="auto" w:fill="auto"/>
            <w:noWrap/>
            <w:vAlign w:val="center"/>
          </w:tcPr>
          <w:p w14:paraId="5B16B583">
            <w:pPr>
              <w:spacing w:line="240" w:lineRule="auto"/>
              <w:ind w:firstLine="0" w:firstLineChars="0"/>
              <w:jc w:val="center"/>
              <w:rPr>
                <w:rFonts w:hint="eastAsia" w:ascii="仿宋_GB2312" w:hAnsi="宋体"/>
                <w:sz w:val="20"/>
                <w:szCs w:val="20"/>
              </w:rPr>
            </w:pPr>
            <w:r>
              <w:rPr>
                <w:rFonts w:hint="eastAsia" w:ascii="仿宋_GB2312" w:hAnsi="宋体"/>
                <w:sz w:val="20"/>
                <w:szCs w:val="20"/>
              </w:rPr>
              <w:t>250万元/年</w:t>
            </w:r>
          </w:p>
        </w:tc>
        <w:tc>
          <w:tcPr>
            <w:tcW w:w="1041" w:type="pct"/>
            <w:tcBorders>
              <w:top w:val="nil"/>
              <w:left w:val="nil"/>
              <w:bottom w:val="single" w:color="auto" w:sz="4" w:space="0"/>
              <w:right w:val="single" w:color="auto" w:sz="4" w:space="0"/>
            </w:tcBorders>
            <w:shd w:val="clear" w:color="auto" w:fill="auto"/>
            <w:noWrap/>
            <w:vAlign w:val="center"/>
          </w:tcPr>
          <w:p w14:paraId="113E4BCB">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865" w:type="pct"/>
            <w:tcBorders>
              <w:top w:val="nil"/>
              <w:left w:val="nil"/>
              <w:bottom w:val="single" w:color="auto" w:sz="4" w:space="0"/>
              <w:right w:val="single" w:color="auto" w:sz="4" w:space="0"/>
            </w:tcBorders>
            <w:shd w:val="clear" w:color="auto" w:fill="auto"/>
            <w:noWrap/>
            <w:vAlign w:val="center"/>
          </w:tcPr>
          <w:p w14:paraId="1DEE5F20">
            <w:pPr>
              <w:spacing w:line="240" w:lineRule="auto"/>
              <w:ind w:firstLine="0" w:firstLineChars="0"/>
              <w:jc w:val="center"/>
              <w:rPr>
                <w:rFonts w:hint="eastAsia" w:ascii="仿宋_GB2312" w:hAnsi="宋体"/>
                <w:sz w:val="20"/>
                <w:szCs w:val="20"/>
              </w:rPr>
            </w:pPr>
            <w:r>
              <w:rPr>
                <w:rFonts w:hint="eastAsia" w:ascii="仿宋_GB2312" w:hAnsi="宋体"/>
                <w:sz w:val="20"/>
                <w:szCs w:val="20"/>
              </w:rPr>
              <w:t>250</w:t>
            </w:r>
          </w:p>
        </w:tc>
      </w:tr>
      <w:tr w14:paraId="1FCDB128">
        <w:tblPrEx>
          <w:tblCellMar>
            <w:top w:w="0" w:type="dxa"/>
            <w:left w:w="108" w:type="dxa"/>
            <w:bottom w:w="0" w:type="dxa"/>
            <w:right w:w="108" w:type="dxa"/>
          </w:tblCellMar>
        </w:tblPrEx>
        <w:trPr>
          <w:trHeight w:val="280" w:hRule="atLeast"/>
        </w:trPr>
        <w:tc>
          <w:tcPr>
            <w:tcW w:w="529" w:type="pct"/>
            <w:tcBorders>
              <w:top w:val="nil"/>
              <w:left w:val="single" w:color="auto" w:sz="4" w:space="0"/>
              <w:bottom w:val="single" w:color="auto" w:sz="4" w:space="0"/>
              <w:right w:val="single" w:color="auto" w:sz="4" w:space="0"/>
            </w:tcBorders>
            <w:shd w:val="clear" w:color="auto" w:fill="auto"/>
            <w:noWrap/>
            <w:vAlign w:val="center"/>
          </w:tcPr>
          <w:p w14:paraId="66609350">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1553" w:type="pct"/>
            <w:tcBorders>
              <w:top w:val="nil"/>
              <w:left w:val="nil"/>
              <w:bottom w:val="single" w:color="auto" w:sz="4" w:space="0"/>
              <w:right w:val="single" w:color="auto" w:sz="4" w:space="0"/>
            </w:tcBorders>
            <w:shd w:val="clear" w:color="auto" w:fill="auto"/>
            <w:noWrap/>
            <w:vAlign w:val="center"/>
          </w:tcPr>
          <w:p w14:paraId="22005D26">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013" w:type="pct"/>
            <w:tcBorders>
              <w:top w:val="nil"/>
              <w:left w:val="nil"/>
              <w:bottom w:val="single" w:color="auto" w:sz="4" w:space="0"/>
              <w:right w:val="single" w:color="auto" w:sz="4" w:space="0"/>
            </w:tcBorders>
            <w:shd w:val="clear" w:color="auto" w:fill="auto"/>
            <w:noWrap/>
            <w:vAlign w:val="center"/>
          </w:tcPr>
          <w:p w14:paraId="030242AA">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1041" w:type="pct"/>
            <w:tcBorders>
              <w:top w:val="nil"/>
              <w:left w:val="nil"/>
              <w:bottom w:val="single" w:color="auto" w:sz="4" w:space="0"/>
              <w:right w:val="single" w:color="auto" w:sz="4" w:space="0"/>
            </w:tcBorders>
            <w:shd w:val="clear" w:color="auto" w:fill="auto"/>
            <w:noWrap/>
            <w:vAlign w:val="center"/>
          </w:tcPr>
          <w:p w14:paraId="08C42EA8">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865" w:type="pct"/>
            <w:tcBorders>
              <w:top w:val="nil"/>
              <w:left w:val="nil"/>
              <w:bottom w:val="single" w:color="auto" w:sz="4" w:space="0"/>
              <w:right w:val="single" w:color="auto" w:sz="4" w:space="0"/>
            </w:tcBorders>
            <w:shd w:val="clear" w:color="auto" w:fill="auto"/>
            <w:noWrap/>
            <w:vAlign w:val="center"/>
          </w:tcPr>
          <w:p w14:paraId="693E8DAA">
            <w:pPr>
              <w:spacing w:line="240" w:lineRule="auto"/>
              <w:ind w:firstLine="0" w:firstLineChars="0"/>
              <w:jc w:val="center"/>
              <w:rPr>
                <w:rFonts w:hint="eastAsia" w:ascii="仿宋_GB2312" w:hAnsi="宋体"/>
                <w:sz w:val="20"/>
                <w:szCs w:val="20"/>
              </w:rPr>
            </w:pPr>
            <w:r>
              <w:rPr>
                <w:rFonts w:hint="eastAsia" w:ascii="仿宋_GB2312" w:hAnsi="宋体"/>
                <w:sz w:val="20"/>
                <w:szCs w:val="20"/>
              </w:rPr>
              <w:t>1290</w:t>
            </w:r>
          </w:p>
        </w:tc>
      </w:tr>
    </w:tbl>
    <w:p w14:paraId="7CCC1298">
      <w:pPr>
        <w:pStyle w:val="370"/>
        <w:spacing w:line="240" w:lineRule="auto"/>
        <w:ind w:firstLine="480"/>
        <w:rPr>
          <w:rFonts w:eastAsia="仿宋_GB2312"/>
        </w:rPr>
      </w:pPr>
    </w:p>
    <w:p w14:paraId="3BF25684">
      <w:pPr>
        <w:pStyle w:val="5"/>
        <w:jc w:val="both"/>
        <w:rPr>
          <w:rFonts w:eastAsia="仿宋_GB2312"/>
        </w:rPr>
      </w:pPr>
      <w:r>
        <w:rPr>
          <w:rFonts w:eastAsia="仿宋_GB2312"/>
          <w:szCs w:val="28"/>
        </w:rPr>
        <w:t>9.4.4 资金来源</w:t>
      </w:r>
    </w:p>
    <w:p w14:paraId="5AEDE530">
      <w:pPr>
        <w:pStyle w:val="370"/>
        <w:ind w:firstLine="480"/>
        <w:rPr>
          <w:rFonts w:eastAsia="仿宋_GB2312"/>
        </w:rPr>
      </w:pPr>
      <w:r>
        <w:rPr>
          <w:rFonts w:eastAsia="仿宋_GB2312"/>
        </w:rPr>
        <w:t>资金来源以</w:t>
      </w:r>
      <w:r>
        <w:rPr>
          <w:rFonts w:hint="eastAsia" w:eastAsia="仿宋_GB2312"/>
        </w:rPr>
        <w:t>优先申请中央、自治区、自治州专项资金予以补助。</w:t>
      </w:r>
      <w:bookmarkStart w:id="191" w:name="_Hlk174278835"/>
      <w:r>
        <w:rPr>
          <w:rFonts w:hint="eastAsia" w:eastAsia="仿宋_GB2312"/>
        </w:rPr>
        <w:t>需本级财政落实的配套资金，按照相关资金管理办法由行业主管部门向党委、政府提交资金申请，待相关会议审定后执行</w:t>
      </w:r>
      <w:r>
        <w:rPr>
          <w:rFonts w:eastAsia="仿宋_GB2312"/>
        </w:rPr>
        <w:t>。</w:t>
      </w:r>
    </w:p>
    <w:bookmarkEnd w:id="191"/>
    <w:p w14:paraId="737E371B">
      <w:pPr>
        <w:pStyle w:val="370"/>
        <w:ind w:firstLine="480"/>
        <w:rPr>
          <w:rFonts w:eastAsia="仿宋_GB2312"/>
        </w:rPr>
      </w:pPr>
    </w:p>
    <w:p w14:paraId="6832D22A">
      <w:pPr>
        <w:pStyle w:val="2"/>
        <w:spacing w:before="120" w:after="120"/>
        <w:rPr>
          <w:rFonts w:eastAsia="仿宋_GB2312" w:cs="Times New Roman"/>
          <w:color w:val="auto"/>
        </w:rPr>
        <w:sectPr>
          <w:pgSz w:w="11907" w:h="16840"/>
          <w:pgMar w:top="1440" w:right="1797" w:bottom="1440" w:left="1797" w:header="851" w:footer="992" w:gutter="0"/>
          <w:cols w:space="720" w:num="1"/>
          <w:docGrid w:linePitch="312" w:charSpace="0"/>
        </w:sectPr>
      </w:pPr>
    </w:p>
    <w:p w14:paraId="5970C13D">
      <w:pPr>
        <w:pStyle w:val="2"/>
        <w:spacing w:before="120" w:after="120"/>
        <w:rPr>
          <w:rFonts w:eastAsia="仿宋_GB2312" w:cs="Times New Roman"/>
          <w:color w:val="auto"/>
        </w:rPr>
      </w:pPr>
      <w:bookmarkStart w:id="192" w:name="_Toc150724307"/>
      <w:r>
        <w:rPr>
          <w:rFonts w:eastAsia="仿宋_GB2312" w:cs="Times New Roman"/>
          <w:color w:val="auto"/>
        </w:rPr>
        <w:t>10 实施效果分析</w:t>
      </w:r>
      <w:bookmarkEnd w:id="192"/>
    </w:p>
    <w:p w14:paraId="55B222DE">
      <w:pPr>
        <w:adjustRightInd w:val="0"/>
        <w:snapToGrid w:val="0"/>
        <w:ind w:firstLine="600" w:firstLineChars="250"/>
        <w:rPr>
          <w:rFonts w:cs="Times New Roman"/>
        </w:rPr>
      </w:pPr>
      <w:r>
        <w:rPr>
          <w:rFonts w:cs="Times New Roman"/>
        </w:rPr>
        <w:t>根据《水土保持综合治理效益计算方法》（GB/T15774-2008）和《水土保持规划编制规程》（SL335-2014），本规划按照规划近期和远期建设内容和措施量，对近期2025年和远期2030年实施效果进行定量和定性分析。</w:t>
      </w:r>
    </w:p>
    <w:p w14:paraId="2DF07318">
      <w:pPr>
        <w:pStyle w:val="44"/>
        <w:spacing w:before="120" w:after="120"/>
        <w:rPr>
          <w:rFonts w:eastAsia="仿宋_GB2312" w:cs="Times New Roman"/>
        </w:rPr>
      </w:pPr>
      <w:bookmarkStart w:id="193" w:name="_Toc150724308"/>
      <w:r>
        <w:rPr>
          <w:rFonts w:eastAsia="仿宋_GB2312" w:cs="Times New Roman"/>
        </w:rPr>
        <w:t>10.1 蓄水保土效益</w:t>
      </w:r>
      <w:bookmarkEnd w:id="193"/>
    </w:p>
    <w:p w14:paraId="7C7C2E64">
      <w:pPr>
        <w:pStyle w:val="376"/>
        <w:adjustRightInd w:val="0"/>
        <w:ind w:firstLine="480"/>
        <w:rPr>
          <w:color w:val="auto"/>
        </w:rPr>
      </w:pPr>
      <w:r>
        <w:rPr>
          <w:color w:val="auto"/>
        </w:rPr>
        <w:t>根据《水土保持综合治理效益计算方法》（GB/T15774-2008），结合全国水土保持规划</w:t>
      </w:r>
      <w:r>
        <w:rPr>
          <w:color w:val="auto"/>
          <w:lang w:eastAsia="zh-CN"/>
        </w:rPr>
        <w:t>、</w:t>
      </w:r>
      <w:r>
        <w:rPr>
          <w:rFonts w:hint="eastAsia"/>
          <w:color w:val="auto"/>
          <w:lang w:eastAsia="zh-CN"/>
        </w:rPr>
        <w:t>新疆维吾尔自治区</w:t>
      </w:r>
      <w:r>
        <w:rPr>
          <w:color w:val="auto"/>
        </w:rPr>
        <w:t>水土保持规划和昌吉回族自治州水土保持规划等有关成果</w:t>
      </w:r>
      <w:r>
        <w:rPr>
          <w:color w:val="auto"/>
          <w:lang w:eastAsia="zh-CN"/>
        </w:rPr>
        <w:t>，</w:t>
      </w:r>
      <w:r>
        <w:rPr>
          <w:color w:val="auto"/>
        </w:rPr>
        <w:t>拟定不同水土保持措施的蓄水保土效益定额，即单位工程措施效益。</w:t>
      </w:r>
    </w:p>
    <w:p w14:paraId="430CA7E4">
      <w:pPr>
        <w:pStyle w:val="376"/>
        <w:adjustRightInd w:val="0"/>
        <w:ind w:firstLine="480"/>
        <w:rPr>
          <w:color w:val="auto"/>
        </w:rPr>
      </w:pPr>
      <w:r>
        <w:rPr>
          <w:color w:val="auto"/>
        </w:rPr>
        <w:t>（1）蓄水效益</w:t>
      </w:r>
    </w:p>
    <w:p w14:paraId="5791AF84">
      <w:pPr>
        <w:pStyle w:val="376"/>
        <w:adjustRightInd w:val="0"/>
        <w:ind w:firstLine="480"/>
        <w:rPr>
          <w:color w:val="auto"/>
        </w:rPr>
      </w:pPr>
      <w:r>
        <w:rPr>
          <w:color w:val="auto"/>
        </w:rPr>
        <w:t>按照林草措施</w:t>
      </w:r>
      <w:r>
        <w:rPr>
          <w:color w:val="auto"/>
          <w:lang w:eastAsia="zh-CN"/>
        </w:rPr>
        <w:t>2</w:t>
      </w:r>
      <w:r>
        <w:rPr>
          <w:color w:val="auto"/>
        </w:rPr>
        <w:t>00m</w:t>
      </w:r>
      <w:r>
        <w:rPr>
          <w:color w:val="auto"/>
          <w:vertAlign w:val="superscript"/>
        </w:rPr>
        <w:t>3</w:t>
      </w:r>
      <w:r>
        <w:rPr>
          <w:color w:val="auto"/>
        </w:rPr>
        <w:t>/（hm</w:t>
      </w:r>
      <w:r>
        <w:rPr>
          <w:color w:val="auto"/>
          <w:vertAlign w:val="superscript"/>
        </w:rPr>
        <w:t>2</w:t>
      </w:r>
      <w:r>
        <w:rPr>
          <w:color w:val="auto"/>
        </w:rPr>
        <w:t>·a）、水土保持综合治理工程</w:t>
      </w:r>
      <w:r>
        <w:rPr>
          <w:color w:val="auto"/>
          <w:lang w:eastAsia="zh-CN"/>
        </w:rPr>
        <w:t>3</w:t>
      </w:r>
      <w:r>
        <w:rPr>
          <w:color w:val="auto"/>
        </w:rPr>
        <w:t>00m</w:t>
      </w:r>
      <w:r>
        <w:rPr>
          <w:color w:val="auto"/>
          <w:vertAlign w:val="superscript"/>
        </w:rPr>
        <w:t>3</w:t>
      </w:r>
      <w:r>
        <w:rPr>
          <w:color w:val="auto"/>
        </w:rPr>
        <w:t>/（hm</w:t>
      </w:r>
      <w:r>
        <w:rPr>
          <w:color w:val="auto"/>
          <w:vertAlign w:val="superscript"/>
        </w:rPr>
        <w:t>2</w:t>
      </w:r>
      <w:r>
        <w:rPr>
          <w:color w:val="auto"/>
        </w:rPr>
        <w:t>·a）、城郊型清洁小流域建设</w:t>
      </w:r>
      <w:r>
        <w:rPr>
          <w:color w:val="auto"/>
          <w:lang w:eastAsia="zh-CN"/>
        </w:rPr>
        <w:t>3</w:t>
      </w:r>
      <w:r>
        <w:rPr>
          <w:color w:val="auto"/>
        </w:rPr>
        <w:t>00m</w:t>
      </w:r>
      <w:r>
        <w:rPr>
          <w:color w:val="auto"/>
          <w:vertAlign w:val="superscript"/>
        </w:rPr>
        <w:t>3</w:t>
      </w:r>
      <w:r>
        <w:rPr>
          <w:color w:val="auto"/>
        </w:rPr>
        <w:t>/（hm</w:t>
      </w:r>
      <w:r>
        <w:rPr>
          <w:color w:val="auto"/>
          <w:vertAlign w:val="superscript"/>
        </w:rPr>
        <w:t>2</w:t>
      </w:r>
      <w:r>
        <w:rPr>
          <w:color w:val="auto"/>
        </w:rPr>
        <w:t>·a）</w:t>
      </w:r>
      <w:r>
        <w:rPr>
          <w:color w:val="auto"/>
          <w:lang w:eastAsia="zh-CN"/>
        </w:rPr>
        <w:t>、</w:t>
      </w:r>
      <w:r>
        <w:rPr>
          <w:color w:val="auto"/>
        </w:rPr>
        <w:t>生态修复和土地整治100m</w:t>
      </w:r>
      <w:r>
        <w:rPr>
          <w:color w:val="auto"/>
          <w:vertAlign w:val="superscript"/>
        </w:rPr>
        <w:t>3</w:t>
      </w:r>
      <w:r>
        <w:rPr>
          <w:color w:val="auto"/>
        </w:rPr>
        <w:t>/（hm</w:t>
      </w:r>
      <w:r>
        <w:rPr>
          <w:color w:val="auto"/>
          <w:vertAlign w:val="superscript"/>
        </w:rPr>
        <w:t>2</w:t>
      </w:r>
      <w:r>
        <w:rPr>
          <w:color w:val="auto"/>
        </w:rPr>
        <w:t>·a）的蓄水保水定额测算，经测算，各项措施全部实施完毕并正常发挥效益后，近期和远期分别可新增拦蓄水量</w:t>
      </w:r>
      <w:r>
        <w:rPr>
          <w:rFonts w:hint="eastAsia"/>
          <w:color w:val="auto"/>
          <w:lang w:val="en-US" w:eastAsia="zh-CN"/>
        </w:rPr>
        <w:t>867</w:t>
      </w:r>
      <w:r>
        <w:rPr>
          <w:color w:val="auto"/>
        </w:rPr>
        <w:t>万m</w:t>
      </w:r>
      <w:r>
        <w:rPr>
          <w:color w:val="auto"/>
          <w:vertAlign w:val="superscript"/>
        </w:rPr>
        <w:t>3</w:t>
      </w:r>
      <w:r>
        <w:rPr>
          <w:color w:val="auto"/>
        </w:rPr>
        <w:t>和</w:t>
      </w:r>
      <w:r>
        <w:rPr>
          <w:rFonts w:hint="eastAsia"/>
          <w:color w:val="auto"/>
          <w:lang w:eastAsia="zh-CN"/>
        </w:rPr>
        <w:t>3592</w:t>
      </w:r>
      <w:r>
        <w:rPr>
          <w:color w:val="auto"/>
        </w:rPr>
        <w:t>万m</w:t>
      </w:r>
      <w:r>
        <w:rPr>
          <w:color w:val="auto"/>
          <w:vertAlign w:val="superscript"/>
        </w:rPr>
        <w:t>3</w:t>
      </w:r>
      <w:r>
        <w:rPr>
          <w:color w:val="auto"/>
        </w:rPr>
        <w:t>。</w:t>
      </w:r>
    </w:p>
    <w:p w14:paraId="0B07450E">
      <w:pPr>
        <w:pStyle w:val="376"/>
        <w:adjustRightInd w:val="0"/>
        <w:ind w:firstLine="480"/>
        <w:rPr>
          <w:color w:val="auto"/>
        </w:rPr>
      </w:pPr>
      <w:r>
        <w:rPr>
          <w:color w:val="auto"/>
        </w:rPr>
        <w:t>（2）保土效益</w:t>
      </w:r>
    </w:p>
    <w:p w14:paraId="30F0E55B">
      <w:pPr>
        <w:pStyle w:val="376"/>
        <w:adjustRightInd w:val="0"/>
        <w:ind w:firstLine="480"/>
        <w:rPr>
          <w:color w:val="auto"/>
        </w:rPr>
      </w:pPr>
      <w:r>
        <w:rPr>
          <w:color w:val="auto"/>
        </w:rPr>
        <w:t>根据以上分析的工程量，按照坡林草措施20t/（hm</w:t>
      </w:r>
      <w:r>
        <w:rPr>
          <w:color w:val="auto"/>
          <w:vertAlign w:val="superscript"/>
        </w:rPr>
        <w:t>2</w:t>
      </w:r>
      <w:r>
        <w:rPr>
          <w:color w:val="auto"/>
        </w:rPr>
        <w:t>·a）、水土保持综合治理工程20t/（hm</w:t>
      </w:r>
      <w:r>
        <w:rPr>
          <w:color w:val="auto"/>
          <w:vertAlign w:val="superscript"/>
        </w:rPr>
        <w:t>2</w:t>
      </w:r>
      <w:r>
        <w:rPr>
          <w:color w:val="auto"/>
        </w:rPr>
        <w:t>·a）、生态修复和土地整治10t/（hm</w:t>
      </w:r>
      <w:r>
        <w:rPr>
          <w:color w:val="auto"/>
          <w:vertAlign w:val="superscript"/>
        </w:rPr>
        <w:t>2</w:t>
      </w:r>
      <w:r>
        <w:rPr>
          <w:color w:val="auto"/>
        </w:rPr>
        <w:t>·a）、城郊型清洁小流域建设8t/（hm</w:t>
      </w:r>
      <w:r>
        <w:rPr>
          <w:color w:val="auto"/>
          <w:vertAlign w:val="superscript"/>
        </w:rPr>
        <w:t>2</w:t>
      </w:r>
      <w:r>
        <w:rPr>
          <w:color w:val="auto"/>
        </w:rPr>
        <w:t>·a）的保土定额测算，各项措施全部实施完毕并正常发挥效益后，近期和远期分别可新增保土</w:t>
      </w:r>
      <w:r>
        <w:rPr>
          <w:color w:val="auto"/>
          <w:lang w:eastAsia="zh-CN"/>
        </w:rPr>
        <w:t>量</w:t>
      </w:r>
      <w:r>
        <w:rPr>
          <w:rFonts w:hint="eastAsia"/>
          <w:color w:val="auto"/>
          <w:lang w:val="en-US" w:eastAsia="zh-CN"/>
        </w:rPr>
        <w:t>85.84</w:t>
      </w:r>
      <w:r>
        <w:rPr>
          <w:color w:val="auto"/>
        </w:rPr>
        <w:t>万t和</w:t>
      </w:r>
      <w:r>
        <w:rPr>
          <w:rFonts w:hint="eastAsia"/>
          <w:color w:val="auto"/>
          <w:lang w:eastAsia="zh-CN"/>
        </w:rPr>
        <w:t>354.66</w:t>
      </w:r>
      <w:r>
        <w:rPr>
          <w:color w:val="auto"/>
        </w:rPr>
        <w:t>万t。</w:t>
      </w:r>
    </w:p>
    <w:p w14:paraId="29759FA4">
      <w:pPr>
        <w:adjustRightInd w:val="0"/>
        <w:snapToGrid w:val="0"/>
        <w:ind w:firstLine="480"/>
        <w:rPr>
          <w:rFonts w:cs="Times New Roman"/>
        </w:rPr>
      </w:pPr>
    </w:p>
    <w:p w14:paraId="207A0D17">
      <w:pPr>
        <w:adjustRightInd w:val="0"/>
        <w:snapToGrid w:val="0"/>
        <w:ind w:firstLine="480"/>
        <w:rPr>
          <w:rFonts w:cs="Times New Roman"/>
        </w:rPr>
      </w:pPr>
    </w:p>
    <w:p w14:paraId="0554F786">
      <w:pPr>
        <w:adjustRightInd w:val="0"/>
        <w:snapToGrid w:val="0"/>
        <w:ind w:firstLine="480"/>
        <w:rPr>
          <w:rFonts w:cs="Times New Roman"/>
        </w:rPr>
      </w:pPr>
    </w:p>
    <w:p w14:paraId="0FB26AE2">
      <w:pPr>
        <w:adjustRightInd w:val="0"/>
        <w:snapToGrid w:val="0"/>
        <w:ind w:firstLine="480"/>
        <w:rPr>
          <w:rFonts w:cs="Times New Roman"/>
        </w:rPr>
        <w:sectPr>
          <w:pgSz w:w="11907" w:h="16840"/>
          <w:pgMar w:top="1440" w:right="1797" w:bottom="1440" w:left="1797" w:header="851" w:footer="992" w:gutter="0"/>
          <w:cols w:space="720" w:num="1"/>
          <w:docGrid w:linePitch="312" w:charSpace="0"/>
        </w:sectPr>
      </w:pPr>
    </w:p>
    <w:p w14:paraId="07870E17">
      <w:pPr>
        <w:pStyle w:val="18"/>
        <w:tabs>
          <w:tab w:val="left" w:pos="6348"/>
        </w:tabs>
        <w:adjustRightInd w:val="0"/>
        <w:snapToGrid w:val="0"/>
        <w:spacing w:before="3" w:after="40"/>
        <w:ind w:firstLine="482"/>
        <w:rPr>
          <w:rFonts w:cs="Times New Roman"/>
          <w:b/>
        </w:rPr>
      </w:pPr>
      <w:r>
        <w:rPr>
          <w:rFonts w:cs="Times New Roman"/>
          <w:b/>
        </w:rPr>
        <w:t>表10.1-1</w:t>
      </w:r>
      <w:r>
        <w:rPr>
          <w:rFonts w:cs="Times New Roman"/>
          <w:b/>
        </w:rPr>
        <w:tab/>
      </w:r>
      <w:r>
        <w:rPr>
          <w:rFonts w:cs="Times New Roman"/>
          <w:b/>
        </w:rPr>
        <w:t>蓄水、保土效益计算表</w:t>
      </w:r>
    </w:p>
    <w:tbl>
      <w:tblPr>
        <w:tblStyle w:val="48"/>
        <w:tblW w:w="13680" w:type="dxa"/>
        <w:tblInd w:w="113" w:type="dxa"/>
        <w:tblLayout w:type="autofit"/>
        <w:tblCellMar>
          <w:top w:w="0" w:type="dxa"/>
          <w:left w:w="108" w:type="dxa"/>
          <w:bottom w:w="0" w:type="dxa"/>
          <w:right w:w="108" w:type="dxa"/>
        </w:tblCellMar>
      </w:tblPr>
      <w:tblGrid>
        <w:gridCol w:w="1030"/>
        <w:gridCol w:w="2160"/>
        <w:gridCol w:w="960"/>
        <w:gridCol w:w="960"/>
        <w:gridCol w:w="960"/>
        <w:gridCol w:w="928"/>
        <w:gridCol w:w="922"/>
        <w:gridCol w:w="960"/>
        <w:gridCol w:w="960"/>
        <w:gridCol w:w="960"/>
        <w:gridCol w:w="903"/>
        <w:gridCol w:w="1074"/>
        <w:gridCol w:w="903"/>
      </w:tblGrid>
      <w:tr w14:paraId="034E22AD">
        <w:tblPrEx>
          <w:tblCellMar>
            <w:top w:w="0" w:type="dxa"/>
            <w:left w:w="108" w:type="dxa"/>
            <w:bottom w:w="0" w:type="dxa"/>
            <w:right w:w="108" w:type="dxa"/>
          </w:tblCellMar>
        </w:tblPrEx>
        <w:trPr>
          <w:trHeight w:val="313" w:hRule="atLeast"/>
        </w:trPr>
        <w:tc>
          <w:tcPr>
            <w:tcW w:w="103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CF3851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分区</w:t>
            </w:r>
          </w:p>
        </w:tc>
        <w:tc>
          <w:tcPr>
            <w:tcW w:w="216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545F76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项目类型</w:t>
            </w:r>
          </w:p>
        </w:tc>
        <w:tc>
          <w:tcPr>
            <w:tcW w:w="2880" w:type="dxa"/>
            <w:gridSpan w:val="3"/>
            <w:tcBorders>
              <w:top w:val="single" w:color="auto" w:sz="4" w:space="0"/>
              <w:left w:val="nil"/>
              <w:bottom w:val="single" w:color="auto" w:sz="4" w:space="0"/>
              <w:right w:val="single" w:color="auto" w:sz="4" w:space="0"/>
            </w:tcBorders>
            <w:shd w:val="clear" w:color="auto" w:fill="auto"/>
            <w:noWrap/>
            <w:vAlign w:val="center"/>
          </w:tcPr>
          <w:p w14:paraId="5831489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治理面积（km</w:t>
            </w:r>
            <w:r>
              <w:rPr>
                <w:rFonts w:hint="eastAsia" w:ascii="宋体" w:hAnsi="宋体" w:eastAsia="宋体"/>
                <w:sz w:val="20"/>
                <w:szCs w:val="20"/>
                <w:vertAlign w:val="superscript"/>
              </w:rPr>
              <w:t>2</w:t>
            </w:r>
            <w:r>
              <w:rPr>
                <w:rFonts w:hint="eastAsia" w:ascii="宋体" w:hAnsi="宋体" w:eastAsia="宋体"/>
                <w:sz w:val="20"/>
                <w:szCs w:val="20"/>
              </w:rPr>
              <w:t>）</w:t>
            </w:r>
          </w:p>
        </w:tc>
        <w:tc>
          <w:tcPr>
            <w:tcW w:w="92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5BAB3B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蓄水定额(m</w:t>
            </w:r>
            <w:r>
              <w:rPr>
                <w:rFonts w:hint="eastAsia" w:ascii="宋体" w:hAnsi="宋体" w:eastAsia="宋体"/>
                <w:sz w:val="20"/>
                <w:szCs w:val="20"/>
                <w:vertAlign w:val="superscript"/>
              </w:rPr>
              <w:t>3</w:t>
            </w:r>
            <w:r>
              <w:rPr>
                <w:rFonts w:hint="eastAsia" w:ascii="宋体" w:hAnsi="宋体" w:eastAsia="宋体"/>
                <w:sz w:val="20"/>
                <w:szCs w:val="20"/>
              </w:rPr>
              <w:t>/hm</w:t>
            </w:r>
            <w:r>
              <w:rPr>
                <w:rFonts w:hint="eastAsia" w:ascii="宋体" w:hAnsi="宋体" w:eastAsia="宋体"/>
                <w:sz w:val="20"/>
                <w:szCs w:val="20"/>
                <w:vertAlign w:val="superscript"/>
              </w:rPr>
              <w:t>2</w:t>
            </w:r>
            <w:r>
              <w:rPr>
                <w:rFonts w:hint="eastAsia" w:ascii="宋体" w:hAnsi="宋体" w:eastAsia="宋体"/>
                <w:sz w:val="20"/>
                <w:szCs w:val="20"/>
              </w:rPr>
              <w:t>)</w:t>
            </w:r>
          </w:p>
        </w:tc>
        <w:tc>
          <w:tcPr>
            <w:tcW w:w="922"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168CDAF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保土定额(t/hm</w:t>
            </w:r>
            <w:r>
              <w:rPr>
                <w:rFonts w:hint="eastAsia" w:ascii="宋体" w:hAnsi="宋体" w:eastAsia="宋体"/>
                <w:sz w:val="20"/>
                <w:szCs w:val="20"/>
                <w:vertAlign w:val="superscript"/>
              </w:rPr>
              <w:t>2</w:t>
            </w:r>
            <w:r>
              <w:rPr>
                <w:rFonts w:hint="eastAsia" w:ascii="宋体" w:hAnsi="宋体" w:eastAsia="宋体"/>
                <w:sz w:val="20"/>
                <w:szCs w:val="20"/>
              </w:rPr>
              <w:t>)</w:t>
            </w:r>
          </w:p>
        </w:tc>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34B999E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蓄水量（万m</w:t>
            </w:r>
            <w:r>
              <w:rPr>
                <w:rFonts w:hint="eastAsia" w:ascii="宋体" w:hAnsi="宋体" w:eastAsia="宋体"/>
                <w:sz w:val="20"/>
                <w:szCs w:val="20"/>
                <w:vertAlign w:val="superscript"/>
              </w:rPr>
              <w:t>3</w:t>
            </w:r>
            <w:r>
              <w:rPr>
                <w:rFonts w:hint="eastAsia" w:ascii="宋体" w:hAnsi="宋体" w:eastAsia="宋体"/>
                <w:sz w:val="20"/>
                <w:szCs w:val="20"/>
              </w:rPr>
              <w:t>）</w:t>
            </w:r>
          </w:p>
        </w:tc>
        <w:tc>
          <w:tcPr>
            <w:tcW w:w="2880" w:type="dxa"/>
            <w:gridSpan w:val="3"/>
            <w:tcBorders>
              <w:top w:val="single" w:color="auto" w:sz="4" w:space="0"/>
              <w:left w:val="nil"/>
              <w:bottom w:val="single" w:color="auto" w:sz="4" w:space="0"/>
              <w:right w:val="single" w:color="000000" w:sz="4" w:space="0"/>
            </w:tcBorders>
            <w:shd w:val="clear" w:color="auto" w:fill="auto"/>
            <w:noWrap/>
            <w:vAlign w:val="center"/>
          </w:tcPr>
          <w:p w14:paraId="4F5176F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保土量（万t）</w:t>
            </w:r>
          </w:p>
        </w:tc>
      </w:tr>
      <w:tr w14:paraId="486CEE7E">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auto" w:sz="4" w:space="0"/>
              <w:right w:val="single" w:color="auto" w:sz="4" w:space="0"/>
            </w:tcBorders>
            <w:vAlign w:val="center"/>
          </w:tcPr>
          <w:p w14:paraId="6794EFC2">
            <w:pPr>
              <w:spacing w:line="240" w:lineRule="auto"/>
              <w:ind w:firstLine="0" w:firstLineChars="0"/>
              <w:rPr>
                <w:rFonts w:hint="eastAsia" w:ascii="宋体" w:hAnsi="宋体" w:eastAsia="宋体"/>
                <w:sz w:val="20"/>
                <w:szCs w:val="20"/>
              </w:rPr>
            </w:pPr>
          </w:p>
        </w:tc>
        <w:tc>
          <w:tcPr>
            <w:tcW w:w="2160" w:type="dxa"/>
            <w:vMerge w:val="continue"/>
            <w:tcBorders>
              <w:top w:val="single" w:color="auto" w:sz="4" w:space="0"/>
              <w:left w:val="single" w:color="auto" w:sz="4" w:space="0"/>
              <w:bottom w:val="single" w:color="auto" w:sz="4" w:space="0"/>
              <w:right w:val="single" w:color="auto" w:sz="4" w:space="0"/>
            </w:tcBorders>
            <w:vAlign w:val="center"/>
          </w:tcPr>
          <w:p w14:paraId="57BEC60F">
            <w:pPr>
              <w:spacing w:line="240" w:lineRule="auto"/>
              <w:ind w:firstLine="0" w:firstLineChars="0"/>
              <w:rPr>
                <w:rFonts w:hint="eastAsia" w:ascii="宋体" w:hAnsi="宋体" w:eastAsia="宋体"/>
                <w:sz w:val="20"/>
                <w:szCs w:val="20"/>
              </w:rPr>
            </w:pPr>
          </w:p>
        </w:tc>
        <w:tc>
          <w:tcPr>
            <w:tcW w:w="960" w:type="dxa"/>
            <w:tcBorders>
              <w:top w:val="nil"/>
              <w:left w:val="nil"/>
              <w:bottom w:val="single" w:color="auto" w:sz="4" w:space="0"/>
              <w:right w:val="single" w:color="auto" w:sz="4" w:space="0"/>
            </w:tcBorders>
            <w:shd w:val="clear" w:color="auto" w:fill="auto"/>
            <w:noWrap/>
            <w:vAlign w:val="center"/>
          </w:tcPr>
          <w:p w14:paraId="4CC1237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近期</w:t>
            </w:r>
          </w:p>
        </w:tc>
        <w:tc>
          <w:tcPr>
            <w:tcW w:w="960" w:type="dxa"/>
            <w:tcBorders>
              <w:top w:val="nil"/>
              <w:left w:val="nil"/>
              <w:bottom w:val="single" w:color="auto" w:sz="4" w:space="0"/>
              <w:right w:val="single" w:color="auto" w:sz="4" w:space="0"/>
            </w:tcBorders>
            <w:shd w:val="clear" w:color="auto" w:fill="auto"/>
            <w:noWrap/>
            <w:vAlign w:val="center"/>
          </w:tcPr>
          <w:p w14:paraId="287A42E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远期</w:t>
            </w:r>
          </w:p>
        </w:tc>
        <w:tc>
          <w:tcPr>
            <w:tcW w:w="960" w:type="dxa"/>
            <w:tcBorders>
              <w:top w:val="nil"/>
              <w:left w:val="nil"/>
              <w:bottom w:val="single" w:color="auto" w:sz="4" w:space="0"/>
              <w:right w:val="single" w:color="auto" w:sz="4" w:space="0"/>
            </w:tcBorders>
            <w:shd w:val="clear" w:color="auto" w:fill="auto"/>
            <w:noWrap/>
            <w:vAlign w:val="center"/>
          </w:tcPr>
          <w:p w14:paraId="75666ED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小计</w:t>
            </w:r>
          </w:p>
        </w:tc>
        <w:tc>
          <w:tcPr>
            <w:tcW w:w="928" w:type="dxa"/>
            <w:vMerge w:val="continue"/>
            <w:tcBorders>
              <w:top w:val="single" w:color="auto" w:sz="4" w:space="0"/>
              <w:left w:val="single" w:color="auto" w:sz="4" w:space="0"/>
              <w:bottom w:val="single" w:color="auto" w:sz="4" w:space="0"/>
              <w:right w:val="single" w:color="auto" w:sz="4" w:space="0"/>
            </w:tcBorders>
            <w:vAlign w:val="center"/>
          </w:tcPr>
          <w:p w14:paraId="75B7FC48">
            <w:pPr>
              <w:spacing w:line="240" w:lineRule="auto"/>
              <w:ind w:firstLine="0" w:firstLineChars="0"/>
              <w:rPr>
                <w:rFonts w:hint="eastAsia" w:ascii="宋体" w:hAnsi="宋体" w:eastAsia="宋体"/>
                <w:sz w:val="20"/>
                <w:szCs w:val="20"/>
              </w:rPr>
            </w:pPr>
          </w:p>
        </w:tc>
        <w:tc>
          <w:tcPr>
            <w:tcW w:w="922" w:type="dxa"/>
            <w:vMerge w:val="continue"/>
            <w:tcBorders>
              <w:top w:val="single" w:color="auto" w:sz="4" w:space="0"/>
              <w:left w:val="single" w:color="auto" w:sz="4" w:space="0"/>
              <w:bottom w:val="single" w:color="000000" w:sz="4" w:space="0"/>
              <w:right w:val="single" w:color="auto" w:sz="4" w:space="0"/>
            </w:tcBorders>
            <w:vAlign w:val="center"/>
          </w:tcPr>
          <w:p w14:paraId="2E565ADB">
            <w:pPr>
              <w:spacing w:line="240" w:lineRule="auto"/>
              <w:ind w:firstLine="0" w:firstLineChars="0"/>
              <w:rPr>
                <w:rFonts w:hint="eastAsia" w:ascii="宋体" w:hAnsi="宋体" w:eastAsia="宋体"/>
                <w:sz w:val="20"/>
                <w:szCs w:val="20"/>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41E8516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近期</w:t>
            </w:r>
          </w:p>
        </w:tc>
        <w:tc>
          <w:tcPr>
            <w:tcW w:w="960" w:type="dxa"/>
            <w:tcBorders>
              <w:top w:val="nil"/>
              <w:left w:val="nil"/>
              <w:bottom w:val="single" w:color="auto" w:sz="4" w:space="0"/>
              <w:right w:val="single" w:color="auto" w:sz="4" w:space="0"/>
            </w:tcBorders>
            <w:shd w:val="clear" w:color="auto" w:fill="auto"/>
            <w:noWrap/>
            <w:vAlign w:val="center"/>
          </w:tcPr>
          <w:p w14:paraId="0887F86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远期</w:t>
            </w:r>
          </w:p>
        </w:tc>
        <w:tc>
          <w:tcPr>
            <w:tcW w:w="960" w:type="dxa"/>
            <w:tcBorders>
              <w:top w:val="nil"/>
              <w:left w:val="nil"/>
              <w:bottom w:val="single" w:color="auto" w:sz="4" w:space="0"/>
              <w:right w:val="single" w:color="auto" w:sz="4" w:space="0"/>
            </w:tcBorders>
            <w:shd w:val="clear" w:color="auto" w:fill="auto"/>
            <w:noWrap/>
            <w:vAlign w:val="center"/>
          </w:tcPr>
          <w:p w14:paraId="6352017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小计</w:t>
            </w:r>
          </w:p>
        </w:tc>
        <w:tc>
          <w:tcPr>
            <w:tcW w:w="903" w:type="dxa"/>
            <w:tcBorders>
              <w:top w:val="nil"/>
              <w:left w:val="nil"/>
              <w:bottom w:val="single" w:color="auto" w:sz="4" w:space="0"/>
              <w:right w:val="single" w:color="auto" w:sz="4" w:space="0"/>
            </w:tcBorders>
            <w:shd w:val="clear" w:color="auto" w:fill="auto"/>
            <w:noWrap/>
            <w:vAlign w:val="center"/>
          </w:tcPr>
          <w:p w14:paraId="5C0E9E2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近期</w:t>
            </w:r>
          </w:p>
        </w:tc>
        <w:tc>
          <w:tcPr>
            <w:tcW w:w="1074" w:type="dxa"/>
            <w:tcBorders>
              <w:top w:val="nil"/>
              <w:left w:val="nil"/>
              <w:bottom w:val="single" w:color="auto" w:sz="4" w:space="0"/>
              <w:right w:val="single" w:color="auto" w:sz="4" w:space="0"/>
            </w:tcBorders>
            <w:shd w:val="clear" w:color="auto" w:fill="auto"/>
            <w:noWrap/>
            <w:vAlign w:val="center"/>
          </w:tcPr>
          <w:p w14:paraId="37D5FDE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远期</w:t>
            </w:r>
          </w:p>
        </w:tc>
        <w:tc>
          <w:tcPr>
            <w:tcW w:w="903" w:type="dxa"/>
            <w:tcBorders>
              <w:top w:val="nil"/>
              <w:left w:val="nil"/>
              <w:bottom w:val="single" w:color="auto" w:sz="4" w:space="0"/>
              <w:right w:val="single" w:color="auto" w:sz="4" w:space="0"/>
            </w:tcBorders>
            <w:shd w:val="clear" w:color="auto" w:fill="auto"/>
            <w:noWrap/>
            <w:vAlign w:val="center"/>
          </w:tcPr>
          <w:p w14:paraId="277B836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小计</w:t>
            </w:r>
          </w:p>
        </w:tc>
      </w:tr>
      <w:tr w14:paraId="51D9F7F1">
        <w:tblPrEx>
          <w:tblCellMar>
            <w:top w:w="0" w:type="dxa"/>
            <w:left w:w="108" w:type="dxa"/>
            <w:bottom w:w="0" w:type="dxa"/>
            <w:right w:w="108" w:type="dxa"/>
          </w:tblCellMar>
        </w:tblPrEx>
        <w:trPr>
          <w:trHeight w:val="280" w:hRule="atLeast"/>
        </w:trPr>
        <w:tc>
          <w:tcPr>
            <w:tcW w:w="1030" w:type="dxa"/>
            <w:vMerge w:val="restart"/>
            <w:tcBorders>
              <w:top w:val="single" w:color="auto" w:sz="4" w:space="0"/>
              <w:left w:val="single" w:color="auto" w:sz="4" w:space="0"/>
              <w:bottom w:val="single" w:color="000000" w:sz="4" w:space="0"/>
              <w:right w:val="single" w:color="auto" w:sz="4" w:space="0"/>
            </w:tcBorders>
            <w:shd w:val="clear" w:color="auto" w:fill="auto"/>
            <w:noWrap/>
            <w:vAlign w:val="center"/>
          </w:tcPr>
          <w:p w14:paraId="16063D1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预防保护区</w:t>
            </w:r>
          </w:p>
        </w:tc>
        <w:tc>
          <w:tcPr>
            <w:tcW w:w="2160" w:type="dxa"/>
            <w:tcBorders>
              <w:top w:val="nil"/>
              <w:left w:val="single" w:color="auto" w:sz="4" w:space="0"/>
              <w:bottom w:val="single" w:color="auto" w:sz="4" w:space="0"/>
              <w:right w:val="single" w:color="auto" w:sz="4" w:space="0"/>
            </w:tcBorders>
            <w:shd w:val="clear" w:color="auto" w:fill="auto"/>
            <w:noWrap/>
            <w:vAlign w:val="center"/>
          </w:tcPr>
          <w:p w14:paraId="0861F1E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水源涵养区保护工程</w:t>
            </w:r>
          </w:p>
        </w:tc>
        <w:tc>
          <w:tcPr>
            <w:tcW w:w="960" w:type="dxa"/>
            <w:tcBorders>
              <w:top w:val="nil"/>
              <w:left w:val="nil"/>
              <w:bottom w:val="single" w:color="auto" w:sz="4" w:space="0"/>
              <w:right w:val="single" w:color="auto" w:sz="4" w:space="0"/>
            </w:tcBorders>
            <w:shd w:val="clear" w:color="auto" w:fill="auto"/>
            <w:noWrap/>
            <w:vAlign w:val="center"/>
          </w:tcPr>
          <w:p w14:paraId="308AB36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c>
          <w:tcPr>
            <w:tcW w:w="960" w:type="dxa"/>
            <w:tcBorders>
              <w:top w:val="nil"/>
              <w:left w:val="nil"/>
              <w:bottom w:val="single" w:color="auto" w:sz="4" w:space="0"/>
              <w:right w:val="single" w:color="auto" w:sz="4" w:space="0"/>
            </w:tcBorders>
            <w:shd w:val="clear" w:color="auto" w:fill="auto"/>
            <w:noWrap/>
            <w:vAlign w:val="center"/>
          </w:tcPr>
          <w:p w14:paraId="5411CAB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24</w:t>
            </w:r>
          </w:p>
        </w:tc>
        <w:tc>
          <w:tcPr>
            <w:tcW w:w="960" w:type="dxa"/>
            <w:tcBorders>
              <w:top w:val="nil"/>
              <w:left w:val="nil"/>
              <w:bottom w:val="single" w:color="auto" w:sz="4" w:space="0"/>
              <w:right w:val="single" w:color="auto" w:sz="4" w:space="0"/>
            </w:tcBorders>
            <w:shd w:val="clear" w:color="auto" w:fill="auto"/>
            <w:noWrap/>
            <w:vAlign w:val="center"/>
          </w:tcPr>
          <w:p w14:paraId="4999B25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w:t>
            </w:r>
          </w:p>
        </w:tc>
        <w:tc>
          <w:tcPr>
            <w:tcW w:w="928" w:type="dxa"/>
            <w:tcBorders>
              <w:top w:val="nil"/>
              <w:left w:val="nil"/>
              <w:bottom w:val="single" w:color="auto" w:sz="4" w:space="0"/>
              <w:right w:val="single" w:color="auto" w:sz="4" w:space="0"/>
            </w:tcBorders>
            <w:shd w:val="clear" w:color="auto" w:fill="auto"/>
            <w:noWrap/>
            <w:vAlign w:val="center"/>
          </w:tcPr>
          <w:p w14:paraId="285B2C0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200</w:t>
            </w:r>
          </w:p>
        </w:tc>
        <w:tc>
          <w:tcPr>
            <w:tcW w:w="922" w:type="dxa"/>
            <w:tcBorders>
              <w:top w:val="single" w:color="auto" w:sz="4" w:space="0"/>
              <w:left w:val="nil"/>
              <w:bottom w:val="single" w:color="auto" w:sz="4" w:space="0"/>
              <w:right w:val="single" w:color="auto" w:sz="4" w:space="0"/>
            </w:tcBorders>
            <w:shd w:val="clear" w:color="auto" w:fill="auto"/>
            <w:noWrap/>
            <w:vAlign w:val="center"/>
          </w:tcPr>
          <w:p w14:paraId="4CB5483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960" w:type="dxa"/>
            <w:tcBorders>
              <w:top w:val="nil"/>
              <w:left w:val="nil"/>
              <w:bottom w:val="single" w:color="auto" w:sz="4" w:space="0"/>
              <w:right w:val="single" w:color="auto" w:sz="4" w:space="0"/>
            </w:tcBorders>
            <w:shd w:val="clear" w:color="auto" w:fill="auto"/>
            <w:noWrap/>
            <w:vAlign w:val="center"/>
          </w:tcPr>
          <w:p w14:paraId="61A00B8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960" w:type="dxa"/>
            <w:tcBorders>
              <w:top w:val="nil"/>
              <w:left w:val="nil"/>
              <w:bottom w:val="single" w:color="auto" w:sz="4" w:space="0"/>
              <w:right w:val="single" w:color="auto" w:sz="4" w:space="0"/>
            </w:tcBorders>
            <w:shd w:val="clear" w:color="auto" w:fill="auto"/>
            <w:noWrap/>
            <w:vAlign w:val="center"/>
          </w:tcPr>
          <w:p w14:paraId="53E6C73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48</w:t>
            </w:r>
          </w:p>
        </w:tc>
        <w:tc>
          <w:tcPr>
            <w:tcW w:w="960" w:type="dxa"/>
            <w:tcBorders>
              <w:top w:val="nil"/>
              <w:left w:val="nil"/>
              <w:bottom w:val="single" w:color="auto" w:sz="4" w:space="0"/>
              <w:right w:val="single" w:color="auto" w:sz="4" w:space="0"/>
            </w:tcBorders>
            <w:shd w:val="clear" w:color="auto" w:fill="auto"/>
            <w:noWrap/>
            <w:vAlign w:val="center"/>
          </w:tcPr>
          <w:p w14:paraId="5775FB1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60</w:t>
            </w:r>
          </w:p>
        </w:tc>
        <w:tc>
          <w:tcPr>
            <w:tcW w:w="903" w:type="dxa"/>
            <w:tcBorders>
              <w:top w:val="nil"/>
              <w:left w:val="nil"/>
              <w:bottom w:val="single" w:color="auto" w:sz="4" w:space="0"/>
              <w:right w:val="single" w:color="auto" w:sz="4" w:space="0"/>
            </w:tcBorders>
            <w:shd w:val="clear" w:color="auto" w:fill="auto"/>
            <w:noWrap/>
            <w:vAlign w:val="center"/>
          </w:tcPr>
          <w:p w14:paraId="642DDD2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1074" w:type="dxa"/>
            <w:tcBorders>
              <w:top w:val="nil"/>
              <w:left w:val="nil"/>
              <w:bottom w:val="single" w:color="auto" w:sz="4" w:space="0"/>
              <w:right w:val="single" w:color="auto" w:sz="4" w:space="0"/>
            </w:tcBorders>
            <w:shd w:val="clear" w:color="auto" w:fill="auto"/>
            <w:noWrap/>
            <w:vAlign w:val="center"/>
          </w:tcPr>
          <w:p w14:paraId="4E8AAF9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4.8</w:t>
            </w:r>
          </w:p>
        </w:tc>
        <w:tc>
          <w:tcPr>
            <w:tcW w:w="903" w:type="dxa"/>
            <w:tcBorders>
              <w:top w:val="nil"/>
              <w:left w:val="nil"/>
              <w:bottom w:val="single" w:color="auto" w:sz="4" w:space="0"/>
              <w:right w:val="single" w:color="auto" w:sz="4" w:space="0"/>
            </w:tcBorders>
            <w:shd w:val="clear" w:color="auto" w:fill="auto"/>
            <w:noWrap/>
            <w:vAlign w:val="center"/>
          </w:tcPr>
          <w:p w14:paraId="397ED5B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r>
      <w:tr w14:paraId="225C7399">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000000" w:sz="4" w:space="0"/>
              <w:right w:val="single" w:color="auto" w:sz="4" w:space="0"/>
            </w:tcBorders>
            <w:vAlign w:val="center"/>
          </w:tcPr>
          <w:p w14:paraId="3209BB4F">
            <w:pPr>
              <w:spacing w:line="240" w:lineRule="auto"/>
              <w:ind w:firstLine="0" w:firstLineChars="0"/>
              <w:rPr>
                <w:rFonts w:hint="eastAsia" w:ascii="宋体" w:hAnsi="宋体" w:eastAsia="宋体"/>
                <w:sz w:val="20"/>
                <w:szCs w:val="20"/>
              </w:rPr>
            </w:pPr>
          </w:p>
        </w:tc>
        <w:tc>
          <w:tcPr>
            <w:tcW w:w="2160" w:type="dxa"/>
            <w:tcBorders>
              <w:top w:val="nil"/>
              <w:left w:val="single" w:color="auto" w:sz="4" w:space="0"/>
              <w:bottom w:val="single" w:color="auto" w:sz="4" w:space="0"/>
              <w:right w:val="single" w:color="auto" w:sz="4" w:space="0"/>
            </w:tcBorders>
            <w:shd w:val="clear" w:color="auto" w:fill="auto"/>
            <w:noWrap/>
            <w:vAlign w:val="center"/>
          </w:tcPr>
          <w:p w14:paraId="3A63889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饮用水源地保护工程</w:t>
            </w:r>
          </w:p>
        </w:tc>
        <w:tc>
          <w:tcPr>
            <w:tcW w:w="960" w:type="dxa"/>
            <w:tcBorders>
              <w:top w:val="nil"/>
              <w:left w:val="nil"/>
              <w:bottom w:val="single" w:color="auto" w:sz="4" w:space="0"/>
              <w:right w:val="single" w:color="auto" w:sz="4" w:space="0"/>
            </w:tcBorders>
            <w:shd w:val="clear" w:color="auto" w:fill="auto"/>
            <w:noWrap/>
            <w:vAlign w:val="center"/>
          </w:tcPr>
          <w:p w14:paraId="177CAA6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w:t>
            </w:r>
          </w:p>
        </w:tc>
        <w:tc>
          <w:tcPr>
            <w:tcW w:w="960" w:type="dxa"/>
            <w:tcBorders>
              <w:top w:val="nil"/>
              <w:left w:val="nil"/>
              <w:bottom w:val="single" w:color="auto" w:sz="4" w:space="0"/>
              <w:right w:val="single" w:color="auto" w:sz="4" w:space="0"/>
            </w:tcBorders>
            <w:shd w:val="clear" w:color="auto" w:fill="auto"/>
            <w:noWrap/>
            <w:vAlign w:val="center"/>
          </w:tcPr>
          <w:p w14:paraId="24A11FA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w:t>
            </w:r>
          </w:p>
        </w:tc>
        <w:tc>
          <w:tcPr>
            <w:tcW w:w="960" w:type="dxa"/>
            <w:tcBorders>
              <w:top w:val="nil"/>
              <w:left w:val="nil"/>
              <w:bottom w:val="single" w:color="auto" w:sz="4" w:space="0"/>
              <w:right w:val="single" w:color="auto" w:sz="4" w:space="0"/>
            </w:tcBorders>
            <w:shd w:val="clear" w:color="auto" w:fill="auto"/>
            <w:noWrap/>
            <w:vAlign w:val="center"/>
          </w:tcPr>
          <w:p w14:paraId="54494B3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w:t>
            </w:r>
          </w:p>
        </w:tc>
        <w:tc>
          <w:tcPr>
            <w:tcW w:w="928" w:type="dxa"/>
            <w:tcBorders>
              <w:top w:val="nil"/>
              <w:left w:val="nil"/>
              <w:bottom w:val="single" w:color="auto" w:sz="4" w:space="0"/>
              <w:right w:val="single" w:color="auto" w:sz="4" w:space="0"/>
            </w:tcBorders>
            <w:shd w:val="clear" w:color="auto" w:fill="auto"/>
            <w:noWrap/>
            <w:vAlign w:val="center"/>
          </w:tcPr>
          <w:p w14:paraId="1AD8A57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200</w:t>
            </w:r>
          </w:p>
        </w:tc>
        <w:tc>
          <w:tcPr>
            <w:tcW w:w="922" w:type="dxa"/>
            <w:tcBorders>
              <w:top w:val="nil"/>
              <w:left w:val="nil"/>
              <w:bottom w:val="single" w:color="auto" w:sz="4" w:space="0"/>
              <w:right w:val="single" w:color="auto" w:sz="4" w:space="0"/>
            </w:tcBorders>
            <w:shd w:val="clear" w:color="auto" w:fill="auto"/>
            <w:noWrap/>
            <w:vAlign w:val="center"/>
          </w:tcPr>
          <w:p w14:paraId="0450066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960" w:type="dxa"/>
            <w:tcBorders>
              <w:top w:val="nil"/>
              <w:left w:val="nil"/>
              <w:bottom w:val="single" w:color="auto" w:sz="4" w:space="0"/>
              <w:right w:val="single" w:color="auto" w:sz="4" w:space="0"/>
            </w:tcBorders>
            <w:shd w:val="clear" w:color="auto" w:fill="auto"/>
            <w:noWrap/>
            <w:vAlign w:val="center"/>
          </w:tcPr>
          <w:p w14:paraId="0D120D7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w:t>
            </w:r>
          </w:p>
        </w:tc>
        <w:tc>
          <w:tcPr>
            <w:tcW w:w="960" w:type="dxa"/>
            <w:tcBorders>
              <w:top w:val="nil"/>
              <w:left w:val="nil"/>
              <w:bottom w:val="single" w:color="auto" w:sz="4" w:space="0"/>
              <w:right w:val="single" w:color="auto" w:sz="4" w:space="0"/>
            </w:tcBorders>
            <w:shd w:val="clear" w:color="auto" w:fill="auto"/>
            <w:noWrap/>
            <w:vAlign w:val="center"/>
          </w:tcPr>
          <w:p w14:paraId="089B274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w:t>
            </w:r>
          </w:p>
        </w:tc>
        <w:tc>
          <w:tcPr>
            <w:tcW w:w="960" w:type="dxa"/>
            <w:tcBorders>
              <w:top w:val="nil"/>
              <w:left w:val="nil"/>
              <w:bottom w:val="single" w:color="auto" w:sz="4" w:space="0"/>
              <w:right w:val="single" w:color="auto" w:sz="4" w:space="0"/>
            </w:tcBorders>
            <w:shd w:val="clear" w:color="auto" w:fill="auto"/>
            <w:noWrap/>
            <w:vAlign w:val="center"/>
          </w:tcPr>
          <w:p w14:paraId="433DDC1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c>
          <w:tcPr>
            <w:tcW w:w="903" w:type="dxa"/>
            <w:tcBorders>
              <w:top w:val="nil"/>
              <w:left w:val="nil"/>
              <w:bottom w:val="single" w:color="auto" w:sz="4" w:space="0"/>
              <w:right w:val="single" w:color="auto" w:sz="4" w:space="0"/>
            </w:tcBorders>
            <w:shd w:val="clear" w:color="auto" w:fill="auto"/>
            <w:noWrap/>
            <w:vAlign w:val="center"/>
          </w:tcPr>
          <w:p w14:paraId="3730C19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0.2</w:t>
            </w:r>
          </w:p>
        </w:tc>
        <w:tc>
          <w:tcPr>
            <w:tcW w:w="1074" w:type="dxa"/>
            <w:tcBorders>
              <w:top w:val="nil"/>
              <w:left w:val="nil"/>
              <w:bottom w:val="single" w:color="auto" w:sz="4" w:space="0"/>
              <w:right w:val="single" w:color="auto" w:sz="4" w:space="0"/>
            </w:tcBorders>
            <w:shd w:val="clear" w:color="auto" w:fill="auto"/>
            <w:noWrap/>
            <w:vAlign w:val="center"/>
          </w:tcPr>
          <w:p w14:paraId="647F548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0.4</w:t>
            </w:r>
          </w:p>
        </w:tc>
        <w:tc>
          <w:tcPr>
            <w:tcW w:w="903" w:type="dxa"/>
            <w:tcBorders>
              <w:top w:val="nil"/>
              <w:left w:val="nil"/>
              <w:bottom w:val="single" w:color="auto" w:sz="4" w:space="0"/>
              <w:right w:val="single" w:color="auto" w:sz="4" w:space="0"/>
            </w:tcBorders>
            <w:shd w:val="clear" w:color="auto" w:fill="auto"/>
            <w:noWrap/>
            <w:vAlign w:val="center"/>
          </w:tcPr>
          <w:p w14:paraId="03DBCD3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0.6</w:t>
            </w:r>
          </w:p>
        </w:tc>
      </w:tr>
      <w:tr w14:paraId="6321764A">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000000" w:sz="4" w:space="0"/>
              <w:right w:val="single" w:color="auto" w:sz="4" w:space="0"/>
            </w:tcBorders>
            <w:vAlign w:val="center"/>
          </w:tcPr>
          <w:p w14:paraId="4FCB8C66">
            <w:pPr>
              <w:spacing w:line="240" w:lineRule="auto"/>
              <w:ind w:firstLine="0" w:firstLineChars="0"/>
              <w:rPr>
                <w:rFonts w:hint="eastAsia" w:ascii="宋体" w:hAnsi="宋体" w:eastAsia="宋体"/>
                <w:sz w:val="20"/>
                <w:szCs w:val="20"/>
              </w:rPr>
            </w:pPr>
          </w:p>
        </w:tc>
        <w:tc>
          <w:tcPr>
            <w:tcW w:w="2160" w:type="dxa"/>
            <w:tcBorders>
              <w:top w:val="nil"/>
              <w:left w:val="single" w:color="auto" w:sz="4" w:space="0"/>
              <w:bottom w:val="single" w:color="auto" w:sz="4" w:space="0"/>
              <w:right w:val="single" w:color="auto" w:sz="4" w:space="0"/>
            </w:tcBorders>
            <w:shd w:val="clear" w:color="auto" w:fill="auto"/>
            <w:noWrap/>
            <w:vAlign w:val="center"/>
          </w:tcPr>
          <w:p w14:paraId="4ED5FA6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草原封禁保护工程</w:t>
            </w:r>
          </w:p>
        </w:tc>
        <w:tc>
          <w:tcPr>
            <w:tcW w:w="960" w:type="dxa"/>
            <w:tcBorders>
              <w:top w:val="nil"/>
              <w:left w:val="nil"/>
              <w:bottom w:val="single" w:color="auto" w:sz="4" w:space="0"/>
              <w:right w:val="single" w:color="auto" w:sz="4" w:space="0"/>
            </w:tcBorders>
            <w:shd w:val="clear" w:color="auto" w:fill="auto"/>
            <w:noWrap/>
            <w:vAlign w:val="center"/>
          </w:tcPr>
          <w:p w14:paraId="01F3F0A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400</w:t>
            </w:r>
          </w:p>
        </w:tc>
        <w:tc>
          <w:tcPr>
            <w:tcW w:w="960" w:type="dxa"/>
            <w:tcBorders>
              <w:top w:val="nil"/>
              <w:left w:val="nil"/>
              <w:bottom w:val="single" w:color="auto" w:sz="4" w:space="0"/>
              <w:right w:val="single" w:color="auto" w:sz="4" w:space="0"/>
            </w:tcBorders>
            <w:shd w:val="clear" w:color="auto" w:fill="auto"/>
            <w:noWrap/>
            <w:vAlign w:val="center"/>
          </w:tcPr>
          <w:p w14:paraId="0662EE3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1651</w:t>
            </w:r>
          </w:p>
        </w:tc>
        <w:tc>
          <w:tcPr>
            <w:tcW w:w="960" w:type="dxa"/>
            <w:tcBorders>
              <w:top w:val="nil"/>
              <w:left w:val="nil"/>
              <w:bottom w:val="single" w:color="auto" w:sz="4" w:space="0"/>
              <w:right w:val="single" w:color="auto" w:sz="4" w:space="0"/>
            </w:tcBorders>
            <w:shd w:val="clear" w:color="auto" w:fill="auto"/>
            <w:noWrap/>
            <w:vAlign w:val="center"/>
          </w:tcPr>
          <w:p w14:paraId="1C5A51E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2051</w:t>
            </w:r>
          </w:p>
        </w:tc>
        <w:tc>
          <w:tcPr>
            <w:tcW w:w="928" w:type="dxa"/>
            <w:tcBorders>
              <w:top w:val="nil"/>
              <w:left w:val="nil"/>
              <w:bottom w:val="single" w:color="auto" w:sz="4" w:space="0"/>
              <w:right w:val="single" w:color="auto" w:sz="4" w:space="0"/>
            </w:tcBorders>
            <w:shd w:val="clear" w:color="auto" w:fill="auto"/>
            <w:noWrap/>
            <w:vAlign w:val="center"/>
          </w:tcPr>
          <w:p w14:paraId="5005278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200</w:t>
            </w:r>
          </w:p>
        </w:tc>
        <w:tc>
          <w:tcPr>
            <w:tcW w:w="922" w:type="dxa"/>
            <w:tcBorders>
              <w:top w:val="nil"/>
              <w:left w:val="nil"/>
              <w:bottom w:val="single" w:color="auto" w:sz="4" w:space="0"/>
              <w:right w:val="single" w:color="auto" w:sz="4" w:space="0"/>
            </w:tcBorders>
            <w:shd w:val="clear" w:color="auto" w:fill="auto"/>
            <w:noWrap/>
            <w:vAlign w:val="center"/>
          </w:tcPr>
          <w:p w14:paraId="70C988F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960" w:type="dxa"/>
            <w:tcBorders>
              <w:top w:val="nil"/>
              <w:left w:val="nil"/>
              <w:bottom w:val="single" w:color="auto" w:sz="4" w:space="0"/>
              <w:right w:val="single" w:color="auto" w:sz="4" w:space="0"/>
            </w:tcBorders>
            <w:shd w:val="clear" w:color="auto" w:fill="auto"/>
            <w:noWrap/>
            <w:vAlign w:val="center"/>
          </w:tcPr>
          <w:p w14:paraId="7E977E7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800</w:t>
            </w:r>
          </w:p>
        </w:tc>
        <w:tc>
          <w:tcPr>
            <w:tcW w:w="960" w:type="dxa"/>
            <w:tcBorders>
              <w:top w:val="nil"/>
              <w:left w:val="nil"/>
              <w:bottom w:val="single" w:color="auto" w:sz="4" w:space="0"/>
              <w:right w:val="single" w:color="auto" w:sz="4" w:space="0"/>
            </w:tcBorders>
            <w:shd w:val="clear" w:color="auto" w:fill="auto"/>
            <w:noWrap/>
            <w:vAlign w:val="center"/>
          </w:tcPr>
          <w:p w14:paraId="14DC3B7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3302</w:t>
            </w:r>
          </w:p>
        </w:tc>
        <w:tc>
          <w:tcPr>
            <w:tcW w:w="960" w:type="dxa"/>
            <w:tcBorders>
              <w:top w:val="nil"/>
              <w:left w:val="nil"/>
              <w:bottom w:val="single" w:color="auto" w:sz="4" w:space="0"/>
              <w:right w:val="single" w:color="auto" w:sz="4" w:space="0"/>
            </w:tcBorders>
            <w:shd w:val="clear" w:color="auto" w:fill="auto"/>
            <w:noWrap/>
            <w:vAlign w:val="center"/>
          </w:tcPr>
          <w:p w14:paraId="5FE2AED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4102</w:t>
            </w:r>
          </w:p>
        </w:tc>
        <w:tc>
          <w:tcPr>
            <w:tcW w:w="903" w:type="dxa"/>
            <w:tcBorders>
              <w:top w:val="nil"/>
              <w:left w:val="nil"/>
              <w:bottom w:val="single" w:color="auto" w:sz="4" w:space="0"/>
              <w:right w:val="single" w:color="auto" w:sz="4" w:space="0"/>
            </w:tcBorders>
            <w:shd w:val="clear" w:color="auto" w:fill="auto"/>
            <w:noWrap/>
            <w:vAlign w:val="center"/>
          </w:tcPr>
          <w:p w14:paraId="1659F05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80</w:t>
            </w:r>
          </w:p>
        </w:tc>
        <w:tc>
          <w:tcPr>
            <w:tcW w:w="1074" w:type="dxa"/>
            <w:tcBorders>
              <w:top w:val="nil"/>
              <w:left w:val="nil"/>
              <w:bottom w:val="single" w:color="auto" w:sz="4" w:space="0"/>
              <w:right w:val="single" w:color="auto" w:sz="4" w:space="0"/>
            </w:tcBorders>
            <w:shd w:val="clear" w:color="auto" w:fill="auto"/>
            <w:noWrap/>
            <w:vAlign w:val="center"/>
          </w:tcPr>
          <w:p w14:paraId="136697C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330.2</w:t>
            </w:r>
          </w:p>
        </w:tc>
        <w:tc>
          <w:tcPr>
            <w:tcW w:w="903" w:type="dxa"/>
            <w:tcBorders>
              <w:top w:val="nil"/>
              <w:left w:val="nil"/>
              <w:bottom w:val="single" w:color="auto" w:sz="4" w:space="0"/>
              <w:right w:val="single" w:color="auto" w:sz="4" w:space="0"/>
            </w:tcBorders>
            <w:shd w:val="clear" w:color="auto" w:fill="auto"/>
            <w:noWrap/>
            <w:vAlign w:val="center"/>
          </w:tcPr>
          <w:p w14:paraId="61D929B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410.2</w:t>
            </w:r>
          </w:p>
        </w:tc>
      </w:tr>
      <w:tr w14:paraId="6BC211EF">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000000" w:sz="4" w:space="0"/>
              <w:right w:val="single" w:color="auto" w:sz="4" w:space="0"/>
            </w:tcBorders>
            <w:vAlign w:val="center"/>
          </w:tcPr>
          <w:p w14:paraId="15C3F2EA">
            <w:pPr>
              <w:spacing w:line="240" w:lineRule="auto"/>
              <w:ind w:firstLine="0" w:firstLineChars="0"/>
              <w:rPr>
                <w:rFonts w:hint="eastAsia" w:ascii="宋体" w:hAnsi="宋体" w:eastAsia="宋体"/>
                <w:sz w:val="20"/>
                <w:szCs w:val="20"/>
              </w:rPr>
            </w:pPr>
          </w:p>
        </w:tc>
        <w:tc>
          <w:tcPr>
            <w:tcW w:w="2160" w:type="dxa"/>
            <w:tcBorders>
              <w:top w:val="nil"/>
              <w:left w:val="single" w:color="auto" w:sz="4" w:space="0"/>
              <w:bottom w:val="single" w:color="auto" w:sz="4" w:space="0"/>
              <w:right w:val="single" w:color="auto" w:sz="4" w:space="0"/>
            </w:tcBorders>
            <w:shd w:val="clear" w:color="auto" w:fill="auto"/>
            <w:noWrap/>
            <w:vAlign w:val="center"/>
          </w:tcPr>
          <w:p w14:paraId="194AC26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植被恢复与建设工程</w:t>
            </w:r>
          </w:p>
        </w:tc>
        <w:tc>
          <w:tcPr>
            <w:tcW w:w="960" w:type="dxa"/>
            <w:tcBorders>
              <w:top w:val="nil"/>
              <w:left w:val="nil"/>
              <w:bottom w:val="single" w:color="auto" w:sz="4" w:space="0"/>
              <w:right w:val="single" w:color="auto" w:sz="4" w:space="0"/>
            </w:tcBorders>
            <w:shd w:val="clear" w:color="auto" w:fill="auto"/>
            <w:noWrap/>
            <w:vAlign w:val="center"/>
          </w:tcPr>
          <w:p w14:paraId="64113A5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w:t>
            </w:r>
          </w:p>
        </w:tc>
        <w:tc>
          <w:tcPr>
            <w:tcW w:w="960" w:type="dxa"/>
            <w:tcBorders>
              <w:top w:val="nil"/>
              <w:left w:val="nil"/>
              <w:bottom w:val="single" w:color="auto" w:sz="4" w:space="0"/>
              <w:right w:val="single" w:color="auto" w:sz="4" w:space="0"/>
            </w:tcBorders>
            <w:shd w:val="clear" w:color="auto" w:fill="auto"/>
            <w:noWrap/>
            <w:vAlign w:val="center"/>
          </w:tcPr>
          <w:p w14:paraId="03F71F2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23</w:t>
            </w:r>
          </w:p>
        </w:tc>
        <w:tc>
          <w:tcPr>
            <w:tcW w:w="960" w:type="dxa"/>
            <w:tcBorders>
              <w:top w:val="nil"/>
              <w:left w:val="nil"/>
              <w:bottom w:val="single" w:color="auto" w:sz="4" w:space="0"/>
              <w:right w:val="single" w:color="auto" w:sz="4" w:space="0"/>
            </w:tcBorders>
            <w:shd w:val="clear" w:color="auto" w:fill="auto"/>
            <w:noWrap/>
            <w:vAlign w:val="center"/>
          </w:tcPr>
          <w:p w14:paraId="3A72D9F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28</w:t>
            </w:r>
          </w:p>
        </w:tc>
        <w:tc>
          <w:tcPr>
            <w:tcW w:w="928" w:type="dxa"/>
            <w:tcBorders>
              <w:top w:val="nil"/>
              <w:left w:val="nil"/>
              <w:bottom w:val="single" w:color="auto" w:sz="4" w:space="0"/>
              <w:right w:val="single" w:color="auto" w:sz="4" w:space="0"/>
            </w:tcBorders>
            <w:shd w:val="clear" w:color="auto" w:fill="auto"/>
            <w:noWrap/>
            <w:vAlign w:val="center"/>
          </w:tcPr>
          <w:p w14:paraId="63206E1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200</w:t>
            </w:r>
          </w:p>
        </w:tc>
        <w:tc>
          <w:tcPr>
            <w:tcW w:w="922" w:type="dxa"/>
            <w:tcBorders>
              <w:top w:val="nil"/>
              <w:left w:val="nil"/>
              <w:bottom w:val="single" w:color="auto" w:sz="4" w:space="0"/>
              <w:right w:val="single" w:color="auto" w:sz="4" w:space="0"/>
            </w:tcBorders>
            <w:shd w:val="clear" w:color="auto" w:fill="auto"/>
            <w:noWrap/>
            <w:vAlign w:val="center"/>
          </w:tcPr>
          <w:p w14:paraId="6E2C12E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960" w:type="dxa"/>
            <w:tcBorders>
              <w:top w:val="nil"/>
              <w:left w:val="nil"/>
              <w:bottom w:val="single" w:color="auto" w:sz="4" w:space="0"/>
              <w:right w:val="single" w:color="auto" w:sz="4" w:space="0"/>
            </w:tcBorders>
            <w:shd w:val="clear" w:color="auto" w:fill="auto"/>
            <w:noWrap/>
            <w:vAlign w:val="center"/>
          </w:tcPr>
          <w:p w14:paraId="2BDE7B7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960" w:type="dxa"/>
            <w:tcBorders>
              <w:top w:val="nil"/>
              <w:left w:val="nil"/>
              <w:bottom w:val="single" w:color="auto" w:sz="4" w:space="0"/>
              <w:right w:val="single" w:color="auto" w:sz="4" w:space="0"/>
            </w:tcBorders>
            <w:shd w:val="clear" w:color="auto" w:fill="auto"/>
            <w:noWrap/>
            <w:vAlign w:val="center"/>
          </w:tcPr>
          <w:p w14:paraId="11326F3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46</w:t>
            </w:r>
          </w:p>
        </w:tc>
        <w:tc>
          <w:tcPr>
            <w:tcW w:w="960" w:type="dxa"/>
            <w:tcBorders>
              <w:top w:val="nil"/>
              <w:left w:val="nil"/>
              <w:bottom w:val="single" w:color="auto" w:sz="4" w:space="0"/>
              <w:right w:val="single" w:color="auto" w:sz="4" w:space="0"/>
            </w:tcBorders>
            <w:shd w:val="clear" w:color="auto" w:fill="auto"/>
            <w:noWrap/>
            <w:vAlign w:val="center"/>
          </w:tcPr>
          <w:p w14:paraId="56E0C68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56</w:t>
            </w:r>
          </w:p>
        </w:tc>
        <w:tc>
          <w:tcPr>
            <w:tcW w:w="903" w:type="dxa"/>
            <w:tcBorders>
              <w:top w:val="nil"/>
              <w:left w:val="nil"/>
              <w:bottom w:val="single" w:color="auto" w:sz="4" w:space="0"/>
              <w:right w:val="single" w:color="auto" w:sz="4" w:space="0"/>
            </w:tcBorders>
            <w:shd w:val="clear" w:color="auto" w:fill="auto"/>
            <w:noWrap/>
            <w:vAlign w:val="center"/>
          </w:tcPr>
          <w:p w14:paraId="082C079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w:t>
            </w:r>
          </w:p>
        </w:tc>
        <w:tc>
          <w:tcPr>
            <w:tcW w:w="1074" w:type="dxa"/>
            <w:tcBorders>
              <w:top w:val="nil"/>
              <w:left w:val="nil"/>
              <w:bottom w:val="single" w:color="auto" w:sz="4" w:space="0"/>
              <w:right w:val="single" w:color="auto" w:sz="4" w:space="0"/>
            </w:tcBorders>
            <w:shd w:val="clear" w:color="auto" w:fill="auto"/>
            <w:noWrap/>
            <w:vAlign w:val="center"/>
          </w:tcPr>
          <w:p w14:paraId="1C2B5B8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4.6</w:t>
            </w:r>
          </w:p>
        </w:tc>
        <w:tc>
          <w:tcPr>
            <w:tcW w:w="903" w:type="dxa"/>
            <w:tcBorders>
              <w:top w:val="nil"/>
              <w:left w:val="nil"/>
              <w:bottom w:val="single" w:color="auto" w:sz="4" w:space="0"/>
              <w:right w:val="single" w:color="auto" w:sz="4" w:space="0"/>
            </w:tcBorders>
            <w:shd w:val="clear" w:color="auto" w:fill="auto"/>
            <w:noWrap/>
            <w:vAlign w:val="center"/>
          </w:tcPr>
          <w:p w14:paraId="4663550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5.6</w:t>
            </w:r>
          </w:p>
        </w:tc>
      </w:tr>
      <w:tr w14:paraId="2B9F89DF">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000000" w:sz="4" w:space="0"/>
              <w:right w:val="single" w:color="auto" w:sz="4" w:space="0"/>
            </w:tcBorders>
            <w:vAlign w:val="center"/>
          </w:tcPr>
          <w:p w14:paraId="0F36EB99">
            <w:pPr>
              <w:spacing w:line="240" w:lineRule="auto"/>
              <w:ind w:firstLine="0" w:firstLineChars="0"/>
              <w:rPr>
                <w:rFonts w:hint="eastAsia" w:ascii="宋体" w:hAnsi="宋体" w:eastAsia="宋体"/>
                <w:sz w:val="20"/>
                <w:szCs w:val="20"/>
              </w:rPr>
            </w:pPr>
          </w:p>
        </w:tc>
        <w:tc>
          <w:tcPr>
            <w:tcW w:w="2160" w:type="dxa"/>
            <w:tcBorders>
              <w:top w:val="nil"/>
              <w:left w:val="single" w:color="auto" w:sz="4" w:space="0"/>
              <w:bottom w:val="single" w:color="auto" w:sz="4" w:space="0"/>
              <w:right w:val="single" w:color="auto" w:sz="4" w:space="0"/>
            </w:tcBorders>
            <w:shd w:val="clear" w:color="auto" w:fill="auto"/>
            <w:noWrap/>
            <w:vAlign w:val="center"/>
          </w:tcPr>
          <w:p w14:paraId="48F9041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荒漠林草保护工程</w:t>
            </w:r>
          </w:p>
        </w:tc>
        <w:tc>
          <w:tcPr>
            <w:tcW w:w="960" w:type="dxa"/>
            <w:tcBorders>
              <w:top w:val="nil"/>
              <w:left w:val="nil"/>
              <w:bottom w:val="single" w:color="auto" w:sz="4" w:space="0"/>
              <w:right w:val="single" w:color="auto" w:sz="4" w:space="0"/>
            </w:tcBorders>
            <w:shd w:val="clear" w:color="auto" w:fill="auto"/>
            <w:noWrap/>
            <w:vAlign w:val="center"/>
          </w:tcPr>
          <w:p w14:paraId="141F4A2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c>
          <w:tcPr>
            <w:tcW w:w="960" w:type="dxa"/>
            <w:tcBorders>
              <w:top w:val="nil"/>
              <w:left w:val="nil"/>
              <w:bottom w:val="single" w:color="auto" w:sz="4" w:space="0"/>
              <w:right w:val="single" w:color="auto" w:sz="4" w:space="0"/>
            </w:tcBorders>
            <w:shd w:val="clear" w:color="auto" w:fill="auto"/>
            <w:noWrap/>
            <w:vAlign w:val="center"/>
          </w:tcPr>
          <w:p w14:paraId="0F6C01C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w:t>
            </w:r>
          </w:p>
        </w:tc>
        <w:tc>
          <w:tcPr>
            <w:tcW w:w="960" w:type="dxa"/>
            <w:tcBorders>
              <w:top w:val="nil"/>
              <w:left w:val="nil"/>
              <w:bottom w:val="single" w:color="auto" w:sz="4" w:space="0"/>
              <w:right w:val="single" w:color="auto" w:sz="4" w:space="0"/>
            </w:tcBorders>
            <w:shd w:val="clear" w:color="auto" w:fill="auto"/>
            <w:noWrap/>
            <w:vAlign w:val="center"/>
          </w:tcPr>
          <w:p w14:paraId="3D8BDED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36</w:t>
            </w:r>
          </w:p>
        </w:tc>
        <w:tc>
          <w:tcPr>
            <w:tcW w:w="928" w:type="dxa"/>
            <w:tcBorders>
              <w:top w:val="nil"/>
              <w:left w:val="nil"/>
              <w:bottom w:val="single" w:color="auto" w:sz="4" w:space="0"/>
              <w:right w:val="single" w:color="auto" w:sz="4" w:space="0"/>
            </w:tcBorders>
            <w:shd w:val="clear" w:color="auto" w:fill="auto"/>
            <w:noWrap/>
            <w:vAlign w:val="center"/>
          </w:tcPr>
          <w:p w14:paraId="39F0D1D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200</w:t>
            </w:r>
          </w:p>
        </w:tc>
        <w:tc>
          <w:tcPr>
            <w:tcW w:w="922" w:type="dxa"/>
            <w:tcBorders>
              <w:top w:val="nil"/>
              <w:left w:val="nil"/>
              <w:bottom w:val="single" w:color="auto" w:sz="4" w:space="0"/>
              <w:right w:val="single" w:color="auto" w:sz="4" w:space="0"/>
            </w:tcBorders>
            <w:shd w:val="clear" w:color="auto" w:fill="auto"/>
            <w:noWrap/>
            <w:vAlign w:val="center"/>
          </w:tcPr>
          <w:p w14:paraId="66B023D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960" w:type="dxa"/>
            <w:tcBorders>
              <w:top w:val="nil"/>
              <w:left w:val="nil"/>
              <w:bottom w:val="single" w:color="auto" w:sz="4" w:space="0"/>
              <w:right w:val="single" w:color="auto" w:sz="4" w:space="0"/>
            </w:tcBorders>
            <w:shd w:val="clear" w:color="auto" w:fill="auto"/>
            <w:noWrap/>
            <w:vAlign w:val="center"/>
          </w:tcPr>
          <w:p w14:paraId="0E5BC20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960" w:type="dxa"/>
            <w:tcBorders>
              <w:top w:val="nil"/>
              <w:left w:val="nil"/>
              <w:bottom w:val="single" w:color="auto" w:sz="4" w:space="0"/>
              <w:right w:val="single" w:color="auto" w:sz="4" w:space="0"/>
            </w:tcBorders>
            <w:shd w:val="clear" w:color="auto" w:fill="auto"/>
            <w:noWrap/>
            <w:vAlign w:val="center"/>
          </w:tcPr>
          <w:p w14:paraId="7130497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60</w:t>
            </w:r>
          </w:p>
        </w:tc>
        <w:tc>
          <w:tcPr>
            <w:tcW w:w="960" w:type="dxa"/>
            <w:tcBorders>
              <w:top w:val="nil"/>
              <w:left w:val="nil"/>
              <w:bottom w:val="single" w:color="auto" w:sz="4" w:space="0"/>
              <w:right w:val="single" w:color="auto" w:sz="4" w:space="0"/>
            </w:tcBorders>
            <w:shd w:val="clear" w:color="auto" w:fill="auto"/>
            <w:noWrap/>
            <w:vAlign w:val="center"/>
          </w:tcPr>
          <w:p w14:paraId="647FEEF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72</w:t>
            </w:r>
          </w:p>
        </w:tc>
        <w:tc>
          <w:tcPr>
            <w:tcW w:w="903" w:type="dxa"/>
            <w:tcBorders>
              <w:top w:val="nil"/>
              <w:left w:val="nil"/>
              <w:bottom w:val="single" w:color="auto" w:sz="4" w:space="0"/>
              <w:right w:val="single" w:color="auto" w:sz="4" w:space="0"/>
            </w:tcBorders>
            <w:shd w:val="clear" w:color="auto" w:fill="auto"/>
            <w:noWrap/>
            <w:vAlign w:val="center"/>
          </w:tcPr>
          <w:p w14:paraId="1AFE65C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1074" w:type="dxa"/>
            <w:tcBorders>
              <w:top w:val="nil"/>
              <w:left w:val="nil"/>
              <w:bottom w:val="single" w:color="auto" w:sz="4" w:space="0"/>
              <w:right w:val="single" w:color="auto" w:sz="4" w:space="0"/>
            </w:tcBorders>
            <w:shd w:val="clear" w:color="auto" w:fill="auto"/>
            <w:noWrap/>
            <w:vAlign w:val="center"/>
          </w:tcPr>
          <w:p w14:paraId="2C92343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c>
          <w:tcPr>
            <w:tcW w:w="903" w:type="dxa"/>
            <w:tcBorders>
              <w:top w:val="nil"/>
              <w:left w:val="nil"/>
              <w:bottom w:val="single" w:color="auto" w:sz="4" w:space="0"/>
              <w:right w:val="single" w:color="auto" w:sz="4" w:space="0"/>
            </w:tcBorders>
            <w:shd w:val="clear" w:color="auto" w:fill="auto"/>
            <w:noWrap/>
            <w:vAlign w:val="center"/>
          </w:tcPr>
          <w:p w14:paraId="7FE9138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7.2</w:t>
            </w:r>
          </w:p>
        </w:tc>
      </w:tr>
      <w:tr w14:paraId="0BFB7B84">
        <w:tblPrEx>
          <w:tblCellMar>
            <w:top w:w="0" w:type="dxa"/>
            <w:left w:w="108" w:type="dxa"/>
            <w:bottom w:w="0" w:type="dxa"/>
            <w:right w:w="108" w:type="dxa"/>
          </w:tblCellMar>
        </w:tblPrEx>
        <w:trPr>
          <w:trHeight w:val="280" w:hRule="atLeast"/>
        </w:trPr>
        <w:tc>
          <w:tcPr>
            <w:tcW w:w="103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227909D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治理区</w:t>
            </w:r>
          </w:p>
        </w:tc>
        <w:tc>
          <w:tcPr>
            <w:tcW w:w="2160" w:type="dxa"/>
            <w:tcBorders>
              <w:top w:val="nil"/>
              <w:left w:val="nil"/>
              <w:bottom w:val="single" w:color="auto" w:sz="4" w:space="0"/>
              <w:right w:val="single" w:color="auto" w:sz="4" w:space="0"/>
            </w:tcBorders>
            <w:shd w:val="clear" w:color="auto" w:fill="auto"/>
            <w:noWrap/>
            <w:vAlign w:val="center"/>
          </w:tcPr>
          <w:p w14:paraId="187BC1D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水土流失综合治理工程</w:t>
            </w:r>
          </w:p>
        </w:tc>
        <w:tc>
          <w:tcPr>
            <w:tcW w:w="960" w:type="dxa"/>
            <w:tcBorders>
              <w:top w:val="nil"/>
              <w:left w:val="nil"/>
              <w:bottom w:val="single" w:color="auto" w:sz="4" w:space="0"/>
              <w:right w:val="single" w:color="auto" w:sz="4" w:space="0"/>
            </w:tcBorders>
            <w:shd w:val="clear" w:color="auto" w:fill="auto"/>
            <w:noWrap/>
            <w:vAlign w:val="center"/>
          </w:tcPr>
          <w:p w14:paraId="5EC93B0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w:t>
            </w:r>
          </w:p>
        </w:tc>
        <w:tc>
          <w:tcPr>
            <w:tcW w:w="960" w:type="dxa"/>
            <w:tcBorders>
              <w:top w:val="nil"/>
              <w:left w:val="nil"/>
              <w:bottom w:val="single" w:color="auto" w:sz="4" w:space="0"/>
              <w:right w:val="single" w:color="auto" w:sz="4" w:space="0"/>
            </w:tcBorders>
            <w:shd w:val="clear" w:color="auto" w:fill="auto"/>
            <w:noWrap/>
            <w:vAlign w:val="center"/>
          </w:tcPr>
          <w:p w14:paraId="68EABCD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w:t>
            </w:r>
          </w:p>
        </w:tc>
        <w:tc>
          <w:tcPr>
            <w:tcW w:w="960" w:type="dxa"/>
            <w:tcBorders>
              <w:top w:val="nil"/>
              <w:left w:val="nil"/>
              <w:bottom w:val="single" w:color="auto" w:sz="4" w:space="0"/>
              <w:right w:val="single" w:color="auto" w:sz="4" w:space="0"/>
            </w:tcBorders>
            <w:shd w:val="clear" w:color="auto" w:fill="auto"/>
            <w:noWrap/>
            <w:vAlign w:val="center"/>
          </w:tcPr>
          <w:p w14:paraId="105C0FA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928" w:type="dxa"/>
            <w:tcBorders>
              <w:top w:val="nil"/>
              <w:left w:val="nil"/>
              <w:bottom w:val="single" w:color="auto" w:sz="4" w:space="0"/>
              <w:right w:val="single" w:color="auto" w:sz="4" w:space="0"/>
            </w:tcBorders>
            <w:shd w:val="clear" w:color="auto" w:fill="auto"/>
            <w:noWrap/>
            <w:vAlign w:val="center"/>
          </w:tcPr>
          <w:p w14:paraId="36D22BD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300</w:t>
            </w:r>
          </w:p>
        </w:tc>
        <w:tc>
          <w:tcPr>
            <w:tcW w:w="922" w:type="dxa"/>
            <w:tcBorders>
              <w:top w:val="nil"/>
              <w:left w:val="nil"/>
              <w:bottom w:val="single" w:color="auto" w:sz="4" w:space="0"/>
              <w:right w:val="single" w:color="auto" w:sz="4" w:space="0"/>
            </w:tcBorders>
            <w:shd w:val="clear" w:color="auto" w:fill="auto"/>
            <w:noWrap/>
            <w:vAlign w:val="center"/>
          </w:tcPr>
          <w:p w14:paraId="37E81E8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960" w:type="dxa"/>
            <w:tcBorders>
              <w:top w:val="nil"/>
              <w:left w:val="nil"/>
              <w:bottom w:val="single" w:color="auto" w:sz="4" w:space="0"/>
              <w:right w:val="single" w:color="auto" w:sz="4" w:space="0"/>
            </w:tcBorders>
            <w:shd w:val="clear" w:color="auto" w:fill="auto"/>
            <w:noWrap/>
            <w:vAlign w:val="center"/>
          </w:tcPr>
          <w:p w14:paraId="5EE8424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w:t>
            </w:r>
          </w:p>
        </w:tc>
        <w:tc>
          <w:tcPr>
            <w:tcW w:w="960" w:type="dxa"/>
            <w:tcBorders>
              <w:top w:val="nil"/>
              <w:left w:val="nil"/>
              <w:bottom w:val="single" w:color="auto" w:sz="4" w:space="0"/>
              <w:right w:val="single" w:color="auto" w:sz="4" w:space="0"/>
            </w:tcBorders>
            <w:shd w:val="clear" w:color="auto" w:fill="auto"/>
            <w:noWrap/>
            <w:vAlign w:val="center"/>
          </w:tcPr>
          <w:p w14:paraId="0F43E68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24</w:t>
            </w:r>
          </w:p>
        </w:tc>
        <w:tc>
          <w:tcPr>
            <w:tcW w:w="960" w:type="dxa"/>
            <w:tcBorders>
              <w:top w:val="nil"/>
              <w:left w:val="nil"/>
              <w:bottom w:val="single" w:color="auto" w:sz="4" w:space="0"/>
              <w:right w:val="single" w:color="auto" w:sz="4" w:space="0"/>
            </w:tcBorders>
            <w:shd w:val="clear" w:color="auto" w:fill="auto"/>
            <w:noWrap/>
            <w:vAlign w:val="center"/>
          </w:tcPr>
          <w:p w14:paraId="3AEF941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w:t>
            </w:r>
          </w:p>
        </w:tc>
        <w:tc>
          <w:tcPr>
            <w:tcW w:w="903" w:type="dxa"/>
            <w:tcBorders>
              <w:top w:val="nil"/>
              <w:left w:val="nil"/>
              <w:bottom w:val="single" w:color="auto" w:sz="4" w:space="0"/>
              <w:right w:val="single" w:color="auto" w:sz="4" w:space="0"/>
            </w:tcBorders>
            <w:shd w:val="clear" w:color="auto" w:fill="auto"/>
            <w:noWrap/>
            <w:vAlign w:val="center"/>
          </w:tcPr>
          <w:p w14:paraId="1412434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0.4</w:t>
            </w:r>
          </w:p>
        </w:tc>
        <w:tc>
          <w:tcPr>
            <w:tcW w:w="1074" w:type="dxa"/>
            <w:tcBorders>
              <w:top w:val="nil"/>
              <w:left w:val="nil"/>
              <w:bottom w:val="single" w:color="auto" w:sz="4" w:space="0"/>
              <w:right w:val="single" w:color="auto" w:sz="4" w:space="0"/>
            </w:tcBorders>
            <w:shd w:val="clear" w:color="auto" w:fill="auto"/>
            <w:noWrap/>
            <w:vAlign w:val="center"/>
          </w:tcPr>
          <w:p w14:paraId="1BAACDD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1.6</w:t>
            </w:r>
          </w:p>
        </w:tc>
        <w:tc>
          <w:tcPr>
            <w:tcW w:w="903" w:type="dxa"/>
            <w:tcBorders>
              <w:top w:val="nil"/>
              <w:left w:val="nil"/>
              <w:bottom w:val="single" w:color="auto" w:sz="4" w:space="0"/>
              <w:right w:val="single" w:color="auto" w:sz="4" w:space="0"/>
            </w:tcBorders>
            <w:shd w:val="clear" w:color="auto" w:fill="auto"/>
            <w:noWrap/>
            <w:vAlign w:val="center"/>
          </w:tcPr>
          <w:p w14:paraId="02A8421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w:t>
            </w:r>
          </w:p>
        </w:tc>
      </w:tr>
      <w:tr w14:paraId="3488C5C2">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auto" w:sz="4" w:space="0"/>
              <w:right w:val="single" w:color="auto" w:sz="4" w:space="0"/>
            </w:tcBorders>
            <w:vAlign w:val="center"/>
          </w:tcPr>
          <w:p w14:paraId="49BE3BAA">
            <w:pPr>
              <w:spacing w:line="240" w:lineRule="auto"/>
              <w:ind w:firstLine="0" w:firstLineChars="0"/>
              <w:rPr>
                <w:rFonts w:hint="eastAsia" w:ascii="宋体" w:hAnsi="宋体" w:eastAsia="宋体"/>
                <w:sz w:val="20"/>
                <w:szCs w:val="20"/>
              </w:rPr>
            </w:pPr>
          </w:p>
        </w:tc>
        <w:tc>
          <w:tcPr>
            <w:tcW w:w="2160" w:type="dxa"/>
            <w:tcBorders>
              <w:top w:val="nil"/>
              <w:left w:val="nil"/>
              <w:bottom w:val="single" w:color="auto" w:sz="4" w:space="0"/>
              <w:right w:val="single" w:color="auto" w:sz="4" w:space="0"/>
            </w:tcBorders>
            <w:shd w:val="clear" w:color="auto" w:fill="auto"/>
            <w:noWrap/>
            <w:vAlign w:val="center"/>
          </w:tcPr>
          <w:p w14:paraId="2203C8E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城郊型清洁小流域建设</w:t>
            </w:r>
          </w:p>
        </w:tc>
        <w:tc>
          <w:tcPr>
            <w:tcW w:w="960" w:type="dxa"/>
            <w:tcBorders>
              <w:top w:val="nil"/>
              <w:left w:val="nil"/>
              <w:bottom w:val="single" w:color="auto" w:sz="4" w:space="0"/>
              <w:right w:val="single" w:color="auto" w:sz="4" w:space="0"/>
            </w:tcBorders>
            <w:shd w:val="clear" w:color="auto" w:fill="auto"/>
            <w:noWrap/>
            <w:vAlign w:val="center"/>
          </w:tcPr>
          <w:p w14:paraId="063E526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w:t>
            </w:r>
          </w:p>
        </w:tc>
        <w:tc>
          <w:tcPr>
            <w:tcW w:w="960" w:type="dxa"/>
            <w:tcBorders>
              <w:top w:val="nil"/>
              <w:left w:val="nil"/>
              <w:bottom w:val="single" w:color="auto" w:sz="4" w:space="0"/>
              <w:right w:val="single" w:color="auto" w:sz="4" w:space="0"/>
            </w:tcBorders>
            <w:shd w:val="clear" w:color="auto" w:fill="auto"/>
            <w:noWrap/>
            <w:vAlign w:val="center"/>
          </w:tcPr>
          <w:p w14:paraId="1FEB29A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17</w:t>
            </w:r>
          </w:p>
        </w:tc>
        <w:tc>
          <w:tcPr>
            <w:tcW w:w="960" w:type="dxa"/>
            <w:tcBorders>
              <w:top w:val="nil"/>
              <w:left w:val="nil"/>
              <w:bottom w:val="single" w:color="auto" w:sz="4" w:space="0"/>
              <w:right w:val="single" w:color="auto" w:sz="4" w:space="0"/>
            </w:tcBorders>
            <w:shd w:val="clear" w:color="auto" w:fill="auto"/>
            <w:noWrap/>
            <w:vAlign w:val="center"/>
          </w:tcPr>
          <w:p w14:paraId="1BA8EFE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20</w:t>
            </w:r>
          </w:p>
        </w:tc>
        <w:tc>
          <w:tcPr>
            <w:tcW w:w="928" w:type="dxa"/>
            <w:tcBorders>
              <w:top w:val="nil"/>
              <w:left w:val="nil"/>
              <w:bottom w:val="single" w:color="auto" w:sz="4" w:space="0"/>
              <w:right w:val="single" w:color="auto" w:sz="4" w:space="0"/>
            </w:tcBorders>
            <w:shd w:val="clear" w:color="auto" w:fill="auto"/>
            <w:noWrap/>
            <w:vAlign w:val="center"/>
          </w:tcPr>
          <w:p w14:paraId="3B07AE9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300</w:t>
            </w:r>
          </w:p>
        </w:tc>
        <w:tc>
          <w:tcPr>
            <w:tcW w:w="922" w:type="dxa"/>
            <w:tcBorders>
              <w:top w:val="nil"/>
              <w:left w:val="nil"/>
              <w:bottom w:val="single" w:color="auto" w:sz="4" w:space="0"/>
              <w:right w:val="single" w:color="auto" w:sz="4" w:space="0"/>
            </w:tcBorders>
            <w:shd w:val="clear" w:color="auto" w:fill="auto"/>
            <w:noWrap/>
            <w:vAlign w:val="center"/>
          </w:tcPr>
          <w:p w14:paraId="30C253A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w:t>
            </w:r>
          </w:p>
        </w:tc>
        <w:tc>
          <w:tcPr>
            <w:tcW w:w="960" w:type="dxa"/>
            <w:tcBorders>
              <w:top w:val="nil"/>
              <w:left w:val="nil"/>
              <w:bottom w:val="single" w:color="auto" w:sz="4" w:space="0"/>
              <w:right w:val="single" w:color="auto" w:sz="4" w:space="0"/>
            </w:tcBorders>
            <w:shd w:val="clear" w:color="auto" w:fill="auto"/>
            <w:noWrap/>
            <w:vAlign w:val="center"/>
          </w:tcPr>
          <w:p w14:paraId="2A10750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9</w:t>
            </w:r>
          </w:p>
        </w:tc>
        <w:tc>
          <w:tcPr>
            <w:tcW w:w="960" w:type="dxa"/>
            <w:tcBorders>
              <w:top w:val="nil"/>
              <w:left w:val="nil"/>
              <w:bottom w:val="single" w:color="auto" w:sz="4" w:space="0"/>
              <w:right w:val="single" w:color="auto" w:sz="4" w:space="0"/>
            </w:tcBorders>
            <w:shd w:val="clear" w:color="auto" w:fill="auto"/>
            <w:noWrap/>
            <w:vAlign w:val="center"/>
          </w:tcPr>
          <w:p w14:paraId="54675AD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51</w:t>
            </w:r>
          </w:p>
        </w:tc>
        <w:tc>
          <w:tcPr>
            <w:tcW w:w="960" w:type="dxa"/>
            <w:tcBorders>
              <w:top w:val="nil"/>
              <w:left w:val="nil"/>
              <w:bottom w:val="single" w:color="auto" w:sz="4" w:space="0"/>
              <w:right w:val="single" w:color="auto" w:sz="4" w:space="0"/>
            </w:tcBorders>
            <w:shd w:val="clear" w:color="auto" w:fill="auto"/>
            <w:noWrap/>
            <w:vAlign w:val="center"/>
          </w:tcPr>
          <w:p w14:paraId="1C14281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60</w:t>
            </w:r>
          </w:p>
        </w:tc>
        <w:tc>
          <w:tcPr>
            <w:tcW w:w="903" w:type="dxa"/>
            <w:tcBorders>
              <w:top w:val="nil"/>
              <w:left w:val="nil"/>
              <w:bottom w:val="single" w:color="auto" w:sz="4" w:space="0"/>
              <w:right w:val="single" w:color="auto" w:sz="4" w:space="0"/>
            </w:tcBorders>
            <w:shd w:val="clear" w:color="auto" w:fill="auto"/>
            <w:noWrap/>
            <w:vAlign w:val="center"/>
          </w:tcPr>
          <w:p w14:paraId="4C52F99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0.24</w:t>
            </w:r>
          </w:p>
        </w:tc>
        <w:tc>
          <w:tcPr>
            <w:tcW w:w="1074" w:type="dxa"/>
            <w:tcBorders>
              <w:top w:val="nil"/>
              <w:left w:val="nil"/>
              <w:bottom w:val="single" w:color="auto" w:sz="4" w:space="0"/>
              <w:right w:val="single" w:color="auto" w:sz="4" w:space="0"/>
            </w:tcBorders>
            <w:shd w:val="clear" w:color="auto" w:fill="auto"/>
            <w:noWrap/>
            <w:vAlign w:val="center"/>
          </w:tcPr>
          <w:p w14:paraId="263DB34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1.36</w:t>
            </w:r>
          </w:p>
        </w:tc>
        <w:tc>
          <w:tcPr>
            <w:tcW w:w="903" w:type="dxa"/>
            <w:tcBorders>
              <w:top w:val="nil"/>
              <w:left w:val="nil"/>
              <w:bottom w:val="single" w:color="auto" w:sz="4" w:space="0"/>
              <w:right w:val="single" w:color="auto" w:sz="4" w:space="0"/>
            </w:tcBorders>
            <w:shd w:val="clear" w:color="auto" w:fill="auto"/>
            <w:noWrap/>
            <w:vAlign w:val="center"/>
          </w:tcPr>
          <w:p w14:paraId="28147993">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1.6</w:t>
            </w:r>
          </w:p>
        </w:tc>
      </w:tr>
      <w:tr w14:paraId="7E94BE5F">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auto" w:sz="4" w:space="0"/>
              <w:right w:val="single" w:color="auto" w:sz="4" w:space="0"/>
            </w:tcBorders>
            <w:vAlign w:val="center"/>
          </w:tcPr>
          <w:p w14:paraId="7E1776A5">
            <w:pPr>
              <w:spacing w:line="240" w:lineRule="auto"/>
              <w:ind w:firstLine="0" w:firstLineChars="0"/>
              <w:rPr>
                <w:rFonts w:hint="eastAsia" w:ascii="宋体" w:hAnsi="宋体" w:eastAsia="宋体"/>
                <w:sz w:val="20"/>
                <w:szCs w:val="20"/>
              </w:rPr>
            </w:pPr>
          </w:p>
        </w:tc>
        <w:tc>
          <w:tcPr>
            <w:tcW w:w="2160" w:type="dxa"/>
            <w:tcBorders>
              <w:top w:val="nil"/>
              <w:left w:val="nil"/>
              <w:bottom w:val="single" w:color="auto" w:sz="4" w:space="0"/>
              <w:right w:val="single" w:color="auto" w:sz="4" w:space="0"/>
            </w:tcBorders>
            <w:shd w:val="clear" w:color="auto" w:fill="auto"/>
            <w:noWrap/>
            <w:vAlign w:val="center"/>
          </w:tcPr>
          <w:p w14:paraId="652F899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生态修复</w:t>
            </w:r>
          </w:p>
        </w:tc>
        <w:tc>
          <w:tcPr>
            <w:tcW w:w="960" w:type="dxa"/>
            <w:tcBorders>
              <w:top w:val="nil"/>
              <w:left w:val="nil"/>
              <w:bottom w:val="single" w:color="auto" w:sz="4" w:space="0"/>
              <w:right w:val="single" w:color="auto" w:sz="4" w:space="0"/>
            </w:tcBorders>
            <w:shd w:val="clear" w:color="auto" w:fill="auto"/>
            <w:noWrap/>
            <w:vAlign w:val="center"/>
          </w:tcPr>
          <w:p w14:paraId="6BBEEE4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960" w:type="dxa"/>
            <w:tcBorders>
              <w:top w:val="nil"/>
              <w:left w:val="nil"/>
              <w:bottom w:val="single" w:color="auto" w:sz="4" w:space="0"/>
              <w:right w:val="single" w:color="auto" w:sz="4" w:space="0"/>
            </w:tcBorders>
            <w:shd w:val="clear" w:color="auto" w:fill="auto"/>
            <w:noWrap/>
            <w:vAlign w:val="center"/>
          </w:tcPr>
          <w:p w14:paraId="16C7F40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47</w:t>
            </w:r>
          </w:p>
        </w:tc>
        <w:tc>
          <w:tcPr>
            <w:tcW w:w="960" w:type="dxa"/>
            <w:tcBorders>
              <w:top w:val="nil"/>
              <w:left w:val="nil"/>
              <w:bottom w:val="single" w:color="auto" w:sz="4" w:space="0"/>
              <w:right w:val="single" w:color="auto" w:sz="4" w:space="0"/>
            </w:tcBorders>
            <w:shd w:val="clear" w:color="auto" w:fill="auto"/>
            <w:noWrap/>
            <w:vAlign w:val="center"/>
          </w:tcPr>
          <w:p w14:paraId="0FE8BEE1">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59</w:t>
            </w:r>
          </w:p>
        </w:tc>
        <w:tc>
          <w:tcPr>
            <w:tcW w:w="928" w:type="dxa"/>
            <w:tcBorders>
              <w:top w:val="nil"/>
              <w:left w:val="nil"/>
              <w:bottom w:val="single" w:color="auto" w:sz="4" w:space="0"/>
              <w:right w:val="single" w:color="auto" w:sz="4" w:space="0"/>
            </w:tcBorders>
            <w:shd w:val="clear" w:color="auto" w:fill="auto"/>
            <w:noWrap/>
            <w:vAlign w:val="center"/>
          </w:tcPr>
          <w:p w14:paraId="6EEF828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w:t>
            </w:r>
          </w:p>
        </w:tc>
        <w:tc>
          <w:tcPr>
            <w:tcW w:w="922" w:type="dxa"/>
            <w:tcBorders>
              <w:top w:val="nil"/>
              <w:left w:val="nil"/>
              <w:bottom w:val="single" w:color="auto" w:sz="4" w:space="0"/>
              <w:right w:val="single" w:color="auto" w:sz="4" w:space="0"/>
            </w:tcBorders>
            <w:shd w:val="clear" w:color="auto" w:fill="auto"/>
            <w:noWrap/>
            <w:vAlign w:val="center"/>
          </w:tcPr>
          <w:p w14:paraId="756F1EC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960" w:type="dxa"/>
            <w:tcBorders>
              <w:top w:val="nil"/>
              <w:left w:val="nil"/>
              <w:bottom w:val="single" w:color="auto" w:sz="4" w:space="0"/>
              <w:right w:val="single" w:color="auto" w:sz="4" w:space="0"/>
            </w:tcBorders>
            <w:shd w:val="clear" w:color="auto" w:fill="auto"/>
            <w:noWrap/>
            <w:vAlign w:val="center"/>
          </w:tcPr>
          <w:p w14:paraId="42FC98E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960" w:type="dxa"/>
            <w:tcBorders>
              <w:top w:val="nil"/>
              <w:left w:val="nil"/>
              <w:bottom w:val="single" w:color="auto" w:sz="4" w:space="0"/>
              <w:right w:val="single" w:color="auto" w:sz="4" w:space="0"/>
            </w:tcBorders>
            <w:shd w:val="clear" w:color="auto" w:fill="auto"/>
            <w:noWrap/>
            <w:vAlign w:val="center"/>
          </w:tcPr>
          <w:p w14:paraId="6F81A87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47</w:t>
            </w:r>
          </w:p>
        </w:tc>
        <w:tc>
          <w:tcPr>
            <w:tcW w:w="960" w:type="dxa"/>
            <w:tcBorders>
              <w:top w:val="nil"/>
              <w:left w:val="nil"/>
              <w:bottom w:val="single" w:color="auto" w:sz="4" w:space="0"/>
              <w:right w:val="single" w:color="auto" w:sz="4" w:space="0"/>
            </w:tcBorders>
            <w:shd w:val="clear" w:color="auto" w:fill="auto"/>
            <w:noWrap/>
            <w:vAlign w:val="center"/>
          </w:tcPr>
          <w:p w14:paraId="5C287D9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59</w:t>
            </w:r>
          </w:p>
        </w:tc>
        <w:tc>
          <w:tcPr>
            <w:tcW w:w="903" w:type="dxa"/>
            <w:tcBorders>
              <w:top w:val="nil"/>
              <w:left w:val="nil"/>
              <w:bottom w:val="single" w:color="auto" w:sz="4" w:space="0"/>
              <w:right w:val="single" w:color="auto" w:sz="4" w:space="0"/>
            </w:tcBorders>
            <w:shd w:val="clear" w:color="auto" w:fill="auto"/>
            <w:noWrap/>
            <w:vAlign w:val="center"/>
          </w:tcPr>
          <w:p w14:paraId="1867426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1.2</w:t>
            </w:r>
          </w:p>
        </w:tc>
        <w:tc>
          <w:tcPr>
            <w:tcW w:w="1074" w:type="dxa"/>
            <w:tcBorders>
              <w:top w:val="nil"/>
              <w:left w:val="nil"/>
              <w:bottom w:val="single" w:color="auto" w:sz="4" w:space="0"/>
              <w:right w:val="single" w:color="auto" w:sz="4" w:space="0"/>
            </w:tcBorders>
            <w:shd w:val="clear" w:color="auto" w:fill="auto"/>
            <w:noWrap/>
            <w:vAlign w:val="center"/>
          </w:tcPr>
          <w:p w14:paraId="4C6B51D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4.7</w:t>
            </w:r>
          </w:p>
        </w:tc>
        <w:tc>
          <w:tcPr>
            <w:tcW w:w="903" w:type="dxa"/>
            <w:tcBorders>
              <w:top w:val="nil"/>
              <w:left w:val="nil"/>
              <w:bottom w:val="single" w:color="auto" w:sz="4" w:space="0"/>
              <w:right w:val="single" w:color="auto" w:sz="4" w:space="0"/>
            </w:tcBorders>
            <w:shd w:val="clear" w:color="auto" w:fill="auto"/>
            <w:noWrap/>
            <w:vAlign w:val="center"/>
          </w:tcPr>
          <w:p w14:paraId="4C30936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5.9</w:t>
            </w:r>
          </w:p>
        </w:tc>
      </w:tr>
      <w:tr w14:paraId="247668AB">
        <w:tblPrEx>
          <w:tblCellMar>
            <w:top w:w="0" w:type="dxa"/>
            <w:left w:w="108" w:type="dxa"/>
            <w:bottom w:w="0" w:type="dxa"/>
            <w:right w:w="108" w:type="dxa"/>
          </w:tblCellMar>
        </w:tblPrEx>
        <w:trPr>
          <w:trHeight w:val="280" w:hRule="atLeast"/>
        </w:trPr>
        <w:tc>
          <w:tcPr>
            <w:tcW w:w="1030" w:type="dxa"/>
            <w:vMerge w:val="continue"/>
            <w:tcBorders>
              <w:top w:val="single" w:color="auto" w:sz="4" w:space="0"/>
              <w:left w:val="single" w:color="auto" w:sz="4" w:space="0"/>
              <w:bottom w:val="single" w:color="auto" w:sz="4" w:space="0"/>
              <w:right w:val="single" w:color="auto" w:sz="4" w:space="0"/>
            </w:tcBorders>
            <w:vAlign w:val="center"/>
          </w:tcPr>
          <w:p w14:paraId="2B58336E">
            <w:pPr>
              <w:spacing w:line="240" w:lineRule="auto"/>
              <w:ind w:firstLine="0" w:firstLineChars="0"/>
              <w:rPr>
                <w:rFonts w:hint="eastAsia" w:ascii="宋体" w:hAnsi="宋体" w:eastAsia="宋体"/>
                <w:sz w:val="20"/>
                <w:szCs w:val="20"/>
              </w:rPr>
            </w:pPr>
          </w:p>
        </w:tc>
        <w:tc>
          <w:tcPr>
            <w:tcW w:w="2160" w:type="dxa"/>
            <w:tcBorders>
              <w:top w:val="nil"/>
              <w:left w:val="nil"/>
              <w:bottom w:val="single" w:color="auto" w:sz="4" w:space="0"/>
              <w:right w:val="single" w:color="auto" w:sz="4" w:space="0"/>
            </w:tcBorders>
            <w:shd w:val="clear" w:color="auto" w:fill="auto"/>
            <w:noWrap/>
            <w:vAlign w:val="center"/>
          </w:tcPr>
          <w:p w14:paraId="71B9D29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土地整治工程</w:t>
            </w:r>
          </w:p>
        </w:tc>
        <w:tc>
          <w:tcPr>
            <w:tcW w:w="960" w:type="dxa"/>
            <w:tcBorders>
              <w:top w:val="nil"/>
              <w:left w:val="nil"/>
              <w:bottom w:val="single" w:color="auto" w:sz="4" w:space="0"/>
              <w:right w:val="single" w:color="auto" w:sz="4" w:space="0"/>
            </w:tcBorders>
            <w:shd w:val="clear" w:color="auto" w:fill="auto"/>
            <w:noWrap/>
            <w:vAlign w:val="center"/>
          </w:tcPr>
          <w:p w14:paraId="00D187B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w:t>
            </w:r>
          </w:p>
        </w:tc>
        <w:tc>
          <w:tcPr>
            <w:tcW w:w="960" w:type="dxa"/>
            <w:tcBorders>
              <w:top w:val="nil"/>
              <w:left w:val="nil"/>
              <w:bottom w:val="single" w:color="auto" w:sz="4" w:space="0"/>
              <w:right w:val="single" w:color="auto" w:sz="4" w:space="0"/>
            </w:tcBorders>
            <w:shd w:val="clear" w:color="auto" w:fill="auto"/>
            <w:noWrap/>
            <w:vAlign w:val="center"/>
          </w:tcPr>
          <w:p w14:paraId="015101D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960" w:type="dxa"/>
            <w:tcBorders>
              <w:top w:val="nil"/>
              <w:left w:val="nil"/>
              <w:bottom w:val="single" w:color="auto" w:sz="4" w:space="0"/>
              <w:right w:val="single" w:color="auto" w:sz="4" w:space="0"/>
            </w:tcBorders>
            <w:shd w:val="clear" w:color="auto" w:fill="auto"/>
            <w:noWrap/>
            <w:vAlign w:val="center"/>
          </w:tcPr>
          <w:p w14:paraId="1BC0D7C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14</w:t>
            </w:r>
          </w:p>
        </w:tc>
        <w:tc>
          <w:tcPr>
            <w:tcW w:w="928" w:type="dxa"/>
            <w:tcBorders>
              <w:top w:val="nil"/>
              <w:left w:val="nil"/>
              <w:bottom w:val="single" w:color="auto" w:sz="4" w:space="0"/>
              <w:right w:val="single" w:color="auto" w:sz="4" w:space="0"/>
            </w:tcBorders>
            <w:shd w:val="clear" w:color="auto" w:fill="auto"/>
            <w:noWrap/>
            <w:vAlign w:val="center"/>
          </w:tcPr>
          <w:p w14:paraId="50228228">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100</w:t>
            </w:r>
          </w:p>
        </w:tc>
        <w:tc>
          <w:tcPr>
            <w:tcW w:w="922" w:type="dxa"/>
            <w:tcBorders>
              <w:top w:val="nil"/>
              <w:left w:val="nil"/>
              <w:bottom w:val="single" w:color="auto" w:sz="4" w:space="0"/>
              <w:right w:val="single" w:color="auto" w:sz="4" w:space="0"/>
            </w:tcBorders>
            <w:shd w:val="clear" w:color="auto" w:fill="auto"/>
            <w:noWrap/>
            <w:vAlign w:val="center"/>
          </w:tcPr>
          <w:p w14:paraId="56E82510">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960" w:type="dxa"/>
            <w:tcBorders>
              <w:top w:val="nil"/>
              <w:left w:val="nil"/>
              <w:bottom w:val="single" w:color="auto" w:sz="4" w:space="0"/>
              <w:right w:val="single" w:color="auto" w:sz="4" w:space="0"/>
            </w:tcBorders>
            <w:shd w:val="clear" w:color="auto" w:fill="auto"/>
            <w:noWrap/>
            <w:vAlign w:val="center"/>
          </w:tcPr>
          <w:p w14:paraId="22E2C7F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w:t>
            </w:r>
          </w:p>
        </w:tc>
        <w:tc>
          <w:tcPr>
            <w:tcW w:w="960" w:type="dxa"/>
            <w:tcBorders>
              <w:top w:val="nil"/>
              <w:left w:val="nil"/>
              <w:bottom w:val="single" w:color="auto" w:sz="4" w:space="0"/>
              <w:right w:val="single" w:color="auto" w:sz="4" w:space="0"/>
            </w:tcBorders>
            <w:shd w:val="clear" w:color="auto" w:fill="auto"/>
            <w:noWrap/>
            <w:vAlign w:val="center"/>
          </w:tcPr>
          <w:p w14:paraId="711DC01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10</w:t>
            </w:r>
          </w:p>
        </w:tc>
        <w:tc>
          <w:tcPr>
            <w:tcW w:w="960" w:type="dxa"/>
            <w:tcBorders>
              <w:top w:val="nil"/>
              <w:left w:val="nil"/>
              <w:bottom w:val="single" w:color="auto" w:sz="4" w:space="0"/>
              <w:right w:val="single" w:color="auto" w:sz="4" w:space="0"/>
            </w:tcBorders>
            <w:shd w:val="clear" w:color="auto" w:fill="auto"/>
            <w:noWrap/>
            <w:vAlign w:val="center"/>
          </w:tcPr>
          <w:p w14:paraId="1D602EFE">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14</w:t>
            </w:r>
          </w:p>
        </w:tc>
        <w:tc>
          <w:tcPr>
            <w:tcW w:w="903" w:type="dxa"/>
            <w:tcBorders>
              <w:top w:val="nil"/>
              <w:left w:val="nil"/>
              <w:bottom w:val="single" w:color="auto" w:sz="4" w:space="0"/>
              <w:right w:val="single" w:color="auto" w:sz="4" w:space="0"/>
            </w:tcBorders>
            <w:shd w:val="clear" w:color="auto" w:fill="auto"/>
            <w:noWrap/>
            <w:vAlign w:val="center"/>
          </w:tcPr>
          <w:p w14:paraId="0DF795ED">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0.4</w:t>
            </w:r>
          </w:p>
        </w:tc>
        <w:tc>
          <w:tcPr>
            <w:tcW w:w="1074" w:type="dxa"/>
            <w:tcBorders>
              <w:top w:val="nil"/>
              <w:left w:val="nil"/>
              <w:bottom w:val="single" w:color="auto" w:sz="4" w:space="0"/>
              <w:right w:val="single" w:color="auto" w:sz="4" w:space="0"/>
            </w:tcBorders>
            <w:shd w:val="clear" w:color="auto" w:fill="auto"/>
            <w:noWrap/>
            <w:vAlign w:val="center"/>
          </w:tcPr>
          <w:p w14:paraId="6E3F5BCB">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w:t>
            </w:r>
          </w:p>
        </w:tc>
        <w:tc>
          <w:tcPr>
            <w:tcW w:w="903" w:type="dxa"/>
            <w:tcBorders>
              <w:top w:val="nil"/>
              <w:left w:val="nil"/>
              <w:bottom w:val="single" w:color="auto" w:sz="4" w:space="0"/>
              <w:right w:val="single" w:color="auto" w:sz="4" w:space="0"/>
            </w:tcBorders>
            <w:shd w:val="clear" w:color="auto" w:fill="auto"/>
            <w:noWrap/>
            <w:vAlign w:val="center"/>
          </w:tcPr>
          <w:p w14:paraId="0FB16B84">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1.4</w:t>
            </w:r>
          </w:p>
        </w:tc>
      </w:tr>
      <w:tr w14:paraId="57C79DB3">
        <w:tblPrEx>
          <w:tblCellMar>
            <w:top w:w="0" w:type="dxa"/>
            <w:left w:w="108" w:type="dxa"/>
            <w:bottom w:w="0" w:type="dxa"/>
            <w:right w:w="108" w:type="dxa"/>
          </w:tblCellMar>
        </w:tblPrEx>
        <w:trPr>
          <w:trHeight w:val="280" w:hRule="atLeast"/>
        </w:trPr>
        <w:tc>
          <w:tcPr>
            <w:tcW w:w="3190"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6D9A270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合计</w:t>
            </w:r>
          </w:p>
        </w:tc>
        <w:tc>
          <w:tcPr>
            <w:tcW w:w="960" w:type="dxa"/>
            <w:tcBorders>
              <w:top w:val="nil"/>
              <w:left w:val="nil"/>
              <w:bottom w:val="single" w:color="auto" w:sz="4" w:space="0"/>
              <w:right w:val="single" w:color="auto" w:sz="4" w:space="0"/>
            </w:tcBorders>
            <w:shd w:val="clear" w:color="auto" w:fill="auto"/>
            <w:noWrap/>
            <w:vAlign w:val="center"/>
          </w:tcPr>
          <w:p w14:paraId="4DD95A77">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439</w:t>
            </w:r>
          </w:p>
        </w:tc>
        <w:tc>
          <w:tcPr>
            <w:tcW w:w="960" w:type="dxa"/>
            <w:tcBorders>
              <w:top w:val="nil"/>
              <w:left w:val="nil"/>
              <w:bottom w:val="single" w:color="auto" w:sz="4" w:space="0"/>
              <w:right w:val="single" w:color="auto" w:sz="4" w:space="0"/>
            </w:tcBorders>
            <w:shd w:val="clear" w:color="auto" w:fill="auto"/>
            <w:noWrap/>
            <w:vAlign w:val="center"/>
          </w:tcPr>
          <w:p w14:paraId="2670765A">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1812</w:t>
            </w:r>
          </w:p>
        </w:tc>
        <w:tc>
          <w:tcPr>
            <w:tcW w:w="960" w:type="dxa"/>
            <w:tcBorders>
              <w:top w:val="nil"/>
              <w:left w:val="nil"/>
              <w:bottom w:val="single" w:color="auto" w:sz="4" w:space="0"/>
              <w:right w:val="single" w:color="auto" w:sz="4" w:space="0"/>
            </w:tcBorders>
            <w:shd w:val="clear" w:color="auto" w:fill="auto"/>
            <w:noWrap/>
            <w:vAlign w:val="center"/>
          </w:tcPr>
          <w:p w14:paraId="43791C7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2251</w:t>
            </w:r>
          </w:p>
        </w:tc>
        <w:tc>
          <w:tcPr>
            <w:tcW w:w="928" w:type="dxa"/>
            <w:tcBorders>
              <w:top w:val="nil"/>
              <w:left w:val="nil"/>
              <w:bottom w:val="single" w:color="auto" w:sz="4" w:space="0"/>
              <w:right w:val="single" w:color="auto" w:sz="4" w:space="0"/>
            </w:tcBorders>
            <w:shd w:val="clear" w:color="auto" w:fill="auto"/>
            <w:noWrap/>
            <w:vAlign w:val="center"/>
          </w:tcPr>
          <w:p w14:paraId="184686F5">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22" w:type="dxa"/>
            <w:tcBorders>
              <w:top w:val="nil"/>
              <w:left w:val="nil"/>
              <w:bottom w:val="single" w:color="auto" w:sz="4" w:space="0"/>
              <w:right w:val="single" w:color="auto" w:sz="4" w:space="0"/>
            </w:tcBorders>
            <w:shd w:val="clear" w:color="auto" w:fill="auto"/>
            <w:noWrap/>
            <w:vAlign w:val="center"/>
          </w:tcPr>
          <w:p w14:paraId="64B42A8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　</w:t>
            </w:r>
          </w:p>
        </w:tc>
        <w:tc>
          <w:tcPr>
            <w:tcW w:w="960" w:type="dxa"/>
            <w:tcBorders>
              <w:top w:val="nil"/>
              <w:left w:val="nil"/>
              <w:bottom w:val="single" w:color="auto" w:sz="4" w:space="0"/>
              <w:right w:val="single" w:color="auto" w:sz="4" w:space="0"/>
            </w:tcBorders>
            <w:shd w:val="clear" w:color="auto" w:fill="auto"/>
            <w:noWrap/>
            <w:vAlign w:val="center"/>
          </w:tcPr>
          <w:p w14:paraId="6ED0B92F">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867</w:t>
            </w:r>
          </w:p>
        </w:tc>
        <w:tc>
          <w:tcPr>
            <w:tcW w:w="960" w:type="dxa"/>
            <w:tcBorders>
              <w:top w:val="nil"/>
              <w:left w:val="nil"/>
              <w:bottom w:val="single" w:color="auto" w:sz="4" w:space="0"/>
              <w:right w:val="single" w:color="auto" w:sz="4" w:space="0"/>
            </w:tcBorders>
            <w:shd w:val="clear" w:color="auto" w:fill="auto"/>
            <w:noWrap/>
            <w:vAlign w:val="center"/>
          </w:tcPr>
          <w:p w14:paraId="585D441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3592</w:t>
            </w:r>
          </w:p>
        </w:tc>
        <w:tc>
          <w:tcPr>
            <w:tcW w:w="960" w:type="dxa"/>
            <w:tcBorders>
              <w:top w:val="nil"/>
              <w:left w:val="nil"/>
              <w:bottom w:val="single" w:color="auto" w:sz="4" w:space="0"/>
              <w:right w:val="single" w:color="auto" w:sz="4" w:space="0"/>
            </w:tcBorders>
            <w:shd w:val="clear" w:color="auto" w:fill="auto"/>
            <w:noWrap/>
            <w:vAlign w:val="center"/>
          </w:tcPr>
          <w:p w14:paraId="0D0A4F06">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4459</w:t>
            </w:r>
          </w:p>
        </w:tc>
        <w:tc>
          <w:tcPr>
            <w:tcW w:w="903" w:type="dxa"/>
            <w:tcBorders>
              <w:top w:val="nil"/>
              <w:left w:val="nil"/>
              <w:bottom w:val="single" w:color="auto" w:sz="4" w:space="0"/>
              <w:right w:val="single" w:color="auto" w:sz="4" w:space="0"/>
            </w:tcBorders>
            <w:shd w:val="clear" w:color="auto" w:fill="auto"/>
            <w:noWrap/>
            <w:vAlign w:val="center"/>
          </w:tcPr>
          <w:p w14:paraId="5F8647C9">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85.84</w:t>
            </w:r>
          </w:p>
        </w:tc>
        <w:tc>
          <w:tcPr>
            <w:tcW w:w="1074" w:type="dxa"/>
            <w:tcBorders>
              <w:top w:val="nil"/>
              <w:left w:val="nil"/>
              <w:bottom w:val="single" w:color="auto" w:sz="4" w:space="0"/>
              <w:right w:val="single" w:color="auto" w:sz="4" w:space="0"/>
            </w:tcBorders>
            <w:shd w:val="clear" w:color="auto" w:fill="auto"/>
            <w:noWrap/>
            <w:vAlign w:val="center"/>
          </w:tcPr>
          <w:p w14:paraId="3D7CC31C">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354.66</w:t>
            </w:r>
          </w:p>
        </w:tc>
        <w:tc>
          <w:tcPr>
            <w:tcW w:w="903" w:type="dxa"/>
            <w:tcBorders>
              <w:top w:val="nil"/>
              <w:left w:val="nil"/>
              <w:bottom w:val="single" w:color="auto" w:sz="4" w:space="0"/>
              <w:right w:val="single" w:color="auto" w:sz="4" w:space="0"/>
            </w:tcBorders>
            <w:shd w:val="clear" w:color="auto" w:fill="auto"/>
            <w:noWrap/>
            <w:vAlign w:val="center"/>
          </w:tcPr>
          <w:p w14:paraId="7655E1E2">
            <w:pPr>
              <w:spacing w:line="240" w:lineRule="auto"/>
              <w:ind w:firstLine="0" w:firstLineChars="0"/>
              <w:jc w:val="center"/>
              <w:rPr>
                <w:rFonts w:hint="eastAsia" w:ascii="宋体" w:hAnsi="宋体" w:eastAsia="宋体"/>
                <w:sz w:val="20"/>
                <w:szCs w:val="20"/>
              </w:rPr>
            </w:pPr>
            <w:r>
              <w:rPr>
                <w:rFonts w:hint="eastAsia" w:ascii="宋体" w:hAnsi="宋体" w:eastAsia="宋体"/>
                <w:sz w:val="20"/>
                <w:szCs w:val="20"/>
              </w:rPr>
              <w:t>440.5</w:t>
            </w:r>
          </w:p>
        </w:tc>
      </w:tr>
    </w:tbl>
    <w:p w14:paraId="00C47614">
      <w:pPr>
        <w:pStyle w:val="18"/>
        <w:tabs>
          <w:tab w:val="left" w:pos="3468"/>
        </w:tabs>
        <w:adjustRightInd w:val="0"/>
        <w:snapToGrid w:val="0"/>
        <w:spacing w:before="3" w:after="40"/>
        <w:ind w:firstLine="0" w:firstLineChars="0"/>
        <w:rPr>
          <w:rFonts w:cs="Times New Roman"/>
          <w:b/>
        </w:rPr>
      </w:pPr>
    </w:p>
    <w:p w14:paraId="383A86D8">
      <w:pPr>
        <w:pStyle w:val="44"/>
        <w:spacing w:before="120" w:after="120"/>
        <w:rPr>
          <w:rFonts w:eastAsia="仿宋_GB2312" w:cs="Times New Roman"/>
        </w:rPr>
        <w:sectPr>
          <w:pgSz w:w="16840" w:h="11907" w:orient="landscape"/>
          <w:pgMar w:top="1440" w:right="1797" w:bottom="1440" w:left="1797" w:header="851" w:footer="992" w:gutter="0"/>
          <w:cols w:space="720" w:num="1"/>
          <w:docGrid w:linePitch="312" w:charSpace="0"/>
        </w:sectPr>
      </w:pPr>
    </w:p>
    <w:p w14:paraId="7C2D49A0">
      <w:pPr>
        <w:pStyle w:val="44"/>
        <w:spacing w:before="120" w:after="120"/>
        <w:rPr>
          <w:rFonts w:eastAsia="仿宋_GB2312" w:cs="Times New Roman"/>
        </w:rPr>
      </w:pPr>
      <w:bookmarkStart w:id="194" w:name="_Toc150724309"/>
      <w:bookmarkStart w:id="195" w:name="_Toc150724310"/>
      <w:r>
        <w:rPr>
          <w:rFonts w:eastAsia="仿宋_GB2312" w:cs="Times New Roman"/>
        </w:rPr>
        <w:t>10.2 经济效益</w:t>
      </w:r>
      <w:bookmarkEnd w:id="194"/>
    </w:p>
    <w:p w14:paraId="461671A0">
      <w:pPr>
        <w:pStyle w:val="376"/>
        <w:adjustRightInd w:val="0"/>
        <w:ind w:firstLine="480"/>
        <w:rPr>
          <w:color w:val="auto"/>
        </w:rPr>
      </w:pPr>
      <w:r>
        <w:rPr>
          <w:rFonts w:hint="eastAsia"/>
          <w:color w:val="auto"/>
        </w:rPr>
        <w:t>按照林草年增产效益为</w:t>
      </w:r>
      <w:r>
        <w:rPr>
          <w:rFonts w:hint="eastAsia"/>
          <w:color w:val="auto"/>
          <w:lang w:eastAsia="zh-CN"/>
        </w:rPr>
        <w:t>2</w:t>
      </w:r>
      <w:r>
        <w:rPr>
          <w:color w:val="auto"/>
        </w:rPr>
        <w:t>00</w:t>
      </w:r>
      <w:r>
        <w:rPr>
          <w:rFonts w:hint="eastAsia"/>
          <w:color w:val="auto"/>
        </w:rPr>
        <w:t>元</w:t>
      </w:r>
      <w:r>
        <w:rPr>
          <w:color w:val="auto"/>
        </w:rPr>
        <w:t>/hm</w:t>
      </w:r>
      <w:r>
        <w:rPr>
          <w:color w:val="auto"/>
          <w:vertAlign w:val="superscript"/>
        </w:rPr>
        <w:t>2</w:t>
      </w:r>
      <w:r>
        <w:rPr>
          <w:rFonts w:hint="eastAsia"/>
          <w:color w:val="auto"/>
        </w:rPr>
        <w:t>、封育治理年增产效益</w:t>
      </w:r>
      <w:r>
        <w:rPr>
          <w:color w:val="auto"/>
        </w:rPr>
        <w:t>100</w:t>
      </w:r>
      <w:r>
        <w:rPr>
          <w:rFonts w:hint="eastAsia"/>
          <w:color w:val="auto"/>
        </w:rPr>
        <w:t>元</w:t>
      </w:r>
      <w:r>
        <w:rPr>
          <w:color w:val="auto"/>
        </w:rPr>
        <w:t>/hm</w:t>
      </w:r>
      <w:r>
        <w:rPr>
          <w:color w:val="auto"/>
          <w:vertAlign w:val="superscript"/>
        </w:rPr>
        <w:t>2</w:t>
      </w:r>
      <w:r>
        <w:rPr>
          <w:rFonts w:hint="eastAsia"/>
          <w:color w:val="auto"/>
        </w:rPr>
        <w:t>的调查定额，同时考虑投入成本及后期管护费用等因素，水土保持工程的增产增收分摊系数取</w:t>
      </w:r>
      <w:r>
        <w:rPr>
          <w:color w:val="auto"/>
        </w:rPr>
        <w:t>0.6</w:t>
      </w:r>
      <w:r>
        <w:rPr>
          <w:rFonts w:hint="eastAsia"/>
          <w:color w:val="auto"/>
        </w:rPr>
        <w:t>。经测算，规划实施完成后，近期和远期每年分别约增加经济收入</w:t>
      </w:r>
      <w:r>
        <w:rPr>
          <w:rFonts w:hint="eastAsia"/>
          <w:color w:val="auto"/>
          <w:lang w:eastAsia="zh-CN"/>
        </w:rPr>
        <w:t>13.8</w:t>
      </w:r>
      <w:r>
        <w:rPr>
          <w:rFonts w:hint="eastAsia"/>
          <w:color w:val="auto"/>
        </w:rPr>
        <w:t>万元和</w:t>
      </w:r>
      <w:r>
        <w:rPr>
          <w:rFonts w:hint="eastAsia"/>
          <w:color w:val="auto"/>
          <w:lang w:eastAsia="zh-CN"/>
        </w:rPr>
        <w:t>54</w:t>
      </w:r>
      <w:r>
        <w:rPr>
          <w:rFonts w:hint="eastAsia"/>
          <w:color w:val="auto"/>
        </w:rPr>
        <w:t>万元。</w:t>
      </w:r>
    </w:p>
    <w:p w14:paraId="05271B05">
      <w:pPr>
        <w:pStyle w:val="44"/>
        <w:spacing w:before="120" w:after="120"/>
        <w:rPr>
          <w:rFonts w:eastAsia="仿宋_GB2312" w:cs="Times New Roman"/>
        </w:rPr>
      </w:pPr>
      <w:r>
        <w:rPr>
          <w:rFonts w:eastAsia="仿宋_GB2312" w:cs="Times New Roman"/>
        </w:rPr>
        <w:t>10.3 生态效益</w:t>
      </w:r>
      <w:bookmarkEnd w:id="195"/>
    </w:p>
    <w:p w14:paraId="484443F1">
      <w:pPr>
        <w:pStyle w:val="376"/>
        <w:adjustRightInd w:val="0"/>
        <w:ind w:firstLine="480"/>
        <w:rPr>
          <w:color w:val="auto"/>
        </w:rPr>
      </w:pPr>
      <w:r>
        <w:rPr>
          <w:color w:val="auto"/>
        </w:rPr>
        <w:t>（1）增加植被覆盖，改善生态环境。随着规划的实施，近期和远期提升森林覆盖率和灌草覆盖度，工程实施区林草种植面积显著增加，促进生物多样性和生态系统稳定性，可有效地改善生态环境，促进生态系统的良性运转。</w:t>
      </w:r>
    </w:p>
    <w:p w14:paraId="7DEF4612">
      <w:pPr>
        <w:pStyle w:val="376"/>
        <w:adjustRightInd w:val="0"/>
        <w:ind w:firstLine="480"/>
        <w:rPr>
          <w:color w:val="auto"/>
        </w:rPr>
      </w:pPr>
      <w:r>
        <w:rPr>
          <w:color w:val="auto"/>
        </w:rPr>
        <w:t>（2）减少泥沙下泄，减轻面源污染。规划期建设侵蚀沟治理工程，城郊型清洁小流域建设工程将有效减少土壤流失，缓解</w:t>
      </w:r>
      <w:r>
        <w:rPr>
          <w:color w:val="auto"/>
          <w:lang w:eastAsia="zh-CN"/>
        </w:rPr>
        <w:t>耕地</w:t>
      </w:r>
      <w:r>
        <w:rPr>
          <w:color w:val="auto"/>
        </w:rPr>
        <w:t>减少氮、磷、钾、有机质等物质的流失，减轻下游水质污染和水体富营养化，面源污染得到一定控制。</w:t>
      </w:r>
    </w:p>
    <w:p w14:paraId="5F60125B">
      <w:pPr>
        <w:pStyle w:val="18"/>
        <w:adjustRightInd w:val="0"/>
        <w:snapToGrid w:val="0"/>
        <w:ind w:right="119" w:firstLine="480"/>
        <w:rPr>
          <w:rFonts w:cs="Times New Roman"/>
        </w:rPr>
      </w:pPr>
      <w:r>
        <w:rPr>
          <w:rFonts w:cs="Times New Roman"/>
        </w:rPr>
        <w:t>（3）提高治理程度，共建生态文明。规划近期和远期分别完成水土流失治理面积</w:t>
      </w:r>
      <w:r>
        <w:rPr>
          <w:rFonts w:hint="eastAsia" w:cs="Times New Roman"/>
        </w:rPr>
        <w:t>24</w:t>
      </w:r>
      <w:r>
        <w:rPr>
          <w:rFonts w:cs="Times New Roman"/>
        </w:rPr>
        <w:t>km</w:t>
      </w:r>
      <w:r>
        <w:rPr>
          <w:rFonts w:cs="Times New Roman"/>
          <w:vertAlign w:val="superscript"/>
        </w:rPr>
        <w:t>2</w:t>
      </w:r>
      <w:r>
        <w:rPr>
          <w:rFonts w:cs="Times New Roman"/>
        </w:rPr>
        <w:t>和</w:t>
      </w:r>
      <w:r>
        <w:rPr>
          <w:rFonts w:hint="eastAsia" w:cs="Times New Roman"/>
        </w:rPr>
        <w:t>85</w:t>
      </w:r>
      <w:r>
        <w:rPr>
          <w:rFonts w:cs="Times New Roman"/>
        </w:rPr>
        <w:t>km</w:t>
      </w:r>
      <w:r>
        <w:rPr>
          <w:rFonts w:cs="Times New Roman"/>
          <w:vertAlign w:val="superscript"/>
        </w:rPr>
        <w:t>2</w:t>
      </w:r>
      <w:r>
        <w:rPr>
          <w:rFonts w:cs="Times New Roman"/>
        </w:rPr>
        <w:t>，各项措施全部实施完毕并达标正常发挥效益后，水土资源得到高效保护和利用，防灾减灾预防保护功能显著增强，水土保持生态文明建设取得长足进步。</w:t>
      </w:r>
    </w:p>
    <w:p w14:paraId="03AD039B">
      <w:pPr>
        <w:pStyle w:val="44"/>
        <w:spacing w:before="120" w:after="120"/>
        <w:rPr>
          <w:rFonts w:eastAsia="仿宋_GB2312" w:cs="Times New Roman"/>
        </w:rPr>
      </w:pPr>
      <w:bookmarkStart w:id="196" w:name="_Toc150724311"/>
      <w:r>
        <w:rPr>
          <w:rFonts w:eastAsia="仿宋_GB2312" w:cs="Times New Roman"/>
        </w:rPr>
        <w:t>10.4 社会效益</w:t>
      </w:r>
      <w:bookmarkEnd w:id="196"/>
    </w:p>
    <w:p w14:paraId="1F6FFCEB">
      <w:pPr>
        <w:pStyle w:val="18"/>
        <w:adjustRightInd w:val="0"/>
        <w:snapToGrid w:val="0"/>
        <w:ind w:right="119" w:firstLine="480"/>
        <w:rPr>
          <w:rFonts w:cs="Times New Roman"/>
        </w:rPr>
      </w:pPr>
      <w:r>
        <w:rPr>
          <w:rFonts w:cs="Times New Roman"/>
        </w:rPr>
        <w:t>（1）提高防灾减灾能力，保护公共安全。</w:t>
      </w:r>
    </w:p>
    <w:p w14:paraId="26469246">
      <w:pPr>
        <w:pStyle w:val="18"/>
        <w:adjustRightInd w:val="0"/>
        <w:snapToGrid w:val="0"/>
        <w:ind w:right="119" w:firstLine="480"/>
        <w:rPr>
          <w:rFonts w:cs="Times New Roman"/>
        </w:rPr>
      </w:pPr>
      <w:r>
        <w:rPr>
          <w:rFonts w:cs="Times New Roman"/>
        </w:rPr>
        <w:t>规划实施后各项水土保持措施蓄水保土效益的稳步发挥，将减少水土流失，提高水利工程的防洪减灾能力，有效减轻洪涝、干旱等自然灾害危害，对保护农田、基础设施和人民群众生命财产安全起到积极作用。通过水土保持防护体系的不断完善，层层设防，节节拦蓄，改变了水土流失的形成条件，使项目区达到泥不出沟，减轻了水土流失对土地的破坏，对人们生命财产和道路、企业的安全得到保障。</w:t>
      </w:r>
    </w:p>
    <w:p w14:paraId="7C66452B">
      <w:pPr>
        <w:pStyle w:val="18"/>
        <w:adjustRightInd w:val="0"/>
        <w:snapToGrid w:val="0"/>
        <w:ind w:right="119" w:firstLine="480"/>
        <w:rPr>
          <w:rFonts w:cs="Times New Roman"/>
        </w:rPr>
      </w:pPr>
      <w:r>
        <w:rPr>
          <w:rFonts w:cs="Times New Roman"/>
        </w:rPr>
        <w:t>（2）提高耕地质量，改善农业生产条件。</w:t>
      </w:r>
    </w:p>
    <w:p w14:paraId="7A78763B">
      <w:pPr>
        <w:pStyle w:val="18"/>
        <w:adjustRightInd w:val="0"/>
        <w:snapToGrid w:val="0"/>
        <w:ind w:right="119" w:firstLine="480"/>
        <w:rPr>
          <w:rFonts w:cs="Times New Roman"/>
        </w:rPr>
      </w:pPr>
      <w:r>
        <w:rPr>
          <w:rFonts w:cs="Times New Roman"/>
        </w:rPr>
        <w:t>通过平原区农田防护林建设，有效改善了农业生产条件，土地资源利用率、土地产出率、商品率和劳动生产率均大幅度地提高，保证粮食高产稳产，并带动当地油料、经济作物及果品产量大幅度增加，农业产值迅速提高，从而有更多的富余资金投入到农副产品加工，运输以及第三产业发展，将扩大劳动力就业的领域和途径。</w:t>
      </w:r>
    </w:p>
    <w:p w14:paraId="7A5CC01F">
      <w:pPr>
        <w:pStyle w:val="18"/>
        <w:adjustRightInd w:val="0"/>
        <w:snapToGrid w:val="0"/>
        <w:ind w:right="119" w:firstLine="480"/>
        <w:rPr>
          <w:rFonts w:cs="Times New Roman"/>
        </w:rPr>
      </w:pPr>
      <w:r>
        <w:rPr>
          <w:rFonts w:cs="Times New Roman"/>
        </w:rPr>
        <w:t>（3）改善农村生活环境。</w:t>
      </w:r>
    </w:p>
    <w:p w14:paraId="53436DDB">
      <w:pPr>
        <w:pStyle w:val="18"/>
        <w:adjustRightInd w:val="0"/>
        <w:snapToGrid w:val="0"/>
        <w:ind w:right="119" w:firstLine="480"/>
        <w:rPr>
          <w:rFonts w:cs="Times New Roman"/>
        </w:rPr>
      </w:pPr>
      <w:r>
        <w:rPr>
          <w:rFonts w:cs="Times New Roman"/>
        </w:rPr>
        <w:t>规划实施后，林草植被面积增加，生态环境有效改善，人口环境容量显著提高，人居安全得到有力保障，阜康市内的农场等生活环境大大改善，极大地提高了当地农民的生活质量，推动了当地生态旅游的发展和建设，也全面推动了农场经济繁荣稳定和社会和谐发展，促进区域全面建设小康社会。</w:t>
      </w:r>
    </w:p>
    <w:p w14:paraId="5CDA497E">
      <w:pPr>
        <w:pStyle w:val="18"/>
        <w:adjustRightInd w:val="0"/>
        <w:snapToGrid w:val="0"/>
        <w:ind w:right="119" w:firstLine="480"/>
        <w:rPr>
          <w:rFonts w:cs="Times New Roman"/>
        </w:rPr>
      </w:pPr>
      <w:r>
        <w:rPr>
          <w:rFonts w:cs="Times New Roman"/>
        </w:rPr>
        <w:t>（4）提高农民生产技能和管理水平。</w:t>
      </w:r>
    </w:p>
    <w:p w14:paraId="3D4245EF">
      <w:pPr>
        <w:pStyle w:val="18"/>
        <w:adjustRightInd w:val="0"/>
        <w:snapToGrid w:val="0"/>
        <w:ind w:right="119" w:firstLine="480"/>
        <w:rPr>
          <w:rFonts w:cs="Times New Roman"/>
        </w:rPr>
      </w:pPr>
      <w:r>
        <w:rPr>
          <w:rFonts w:cs="Times New Roman"/>
        </w:rPr>
        <w:t>在项目实施过程中，将有大批农民接受各级各类专业技术培训，熟练掌握一、两门实用技术，显著提高生产技能和管理水平，通过他们的"传，帮，带"，在规划治理区内广泛应用农业科学技术，提高广大农民的现代农业意识，并影响周围地区，起到典型引路和示范推广作用，收到良好的社会效果，使传统封闭的农业逐步向现代农业转化。通过发展养殖业、加工业、林果业等支柱产业，拓宽了群众收入渠道，群众收入显著增加，逐步奔向小康。</w:t>
      </w:r>
    </w:p>
    <w:p w14:paraId="3281AF87">
      <w:pPr>
        <w:pStyle w:val="44"/>
        <w:widowControl w:val="0"/>
        <w:spacing w:before="120" w:after="120"/>
        <w:rPr>
          <w:rFonts w:eastAsia="仿宋_GB2312" w:cs="Times New Roman"/>
        </w:rPr>
      </w:pPr>
      <w:bookmarkStart w:id="197" w:name="_Toc34820201"/>
      <w:bookmarkStart w:id="198" w:name="_Toc150724312"/>
      <w:r>
        <w:rPr>
          <w:rFonts w:eastAsia="仿宋_GB2312" w:cs="Times New Roman"/>
        </w:rPr>
        <w:t>10.5 社会管理与公共服务能力提升效果分析</w:t>
      </w:r>
      <w:bookmarkEnd w:id="197"/>
      <w:bookmarkEnd w:id="198"/>
    </w:p>
    <w:p w14:paraId="34378F62">
      <w:pPr>
        <w:pStyle w:val="18"/>
        <w:widowControl w:val="0"/>
        <w:adjustRightInd w:val="0"/>
        <w:snapToGrid w:val="0"/>
        <w:ind w:right="119" w:firstLine="480"/>
        <w:rPr>
          <w:rFonts w:cs="Times New Roman"/>
        </w:rPr>
      </w:pPr>
      <w:r>
        <w:rPr>
          <w:rFonts w:cs="Times New Roman"/>
        </w:rPr>
        <w:t>通过本轮规划的实施，可进一步完善水土保持相关法律法规，通过水土保持政府目标责任考核，强化了政府防治水土流失和改善生态的社会管理职能，形成比较完善的预防监督管理和监测评价体系。通过科技示范园、水土保持生态文明工程等基础平台建设，完善水土保持政策、规划、科技支撑、机构队伍体系，社会服务能力得到提高；配合上级水土保持基础信息平台和水土保持监督管理信息系统建设，实现水土保持信息化共享服务。规划的实施提高了政府的公信力，同时通过强化和完善水土保持执法监督，减少了可能发生的人为造成的水土流失事件，对阜康市的经济社会的发展具有积极的促进作用。</w:t>
      </w:r>
    </w:p>
    <w:p w14:paraId="52846510">
      <w:pPr>
        <w:pStyle w:val="18"/>
        <w:widowControl w:val="0"/>
        <w:adjustRightInd w:val="0"/>
        <w:snapToGrid w:val="0"/>
        <w:ind w:right="119" w:firstLine="480"/>
        <w:rPr>
          <w:rFonts w:cs="Times New Roman"/>
        </w:rPr>
      </w:pPr>
    </w:p>
    <w:p w14:paraId="3C25F513">
      <w:pPr>
        <w:pStyle w:val="18"/>
        <w:adjustRightInd w:val="0"/>
        <w:snapToGrid w:val="0"/>
        <w:ind w:right="119" w:firstLine="480"/>
        <w:rPr>
          <w:rFonts w:cs="Times New Roman"/>
        </w:rPr>
      </w:pPr>
    </w:p>
    <w:p w14:paraId="0ED9AFC5">
      <w:pPr>
        <w:pStyle w:val="2"/>
        <w:spacing w:before="120" w:after="120"/>
        <w:rPr>
          <w:rFonts w:eastAsia="仿宋_GB2312" w:cs="Times New Roman"/>
          <w:color w:val="auto"/>
        </w:rPr>
        <w:sectPr>
          <w:pgSz w:w="11907" w:h="16840"/>
          <w:pgMar w:top="1440" w:right="1797" w:bottom="1440" w:left="1797" w:header="851" w:footer="992" w:gutter="0"/>
          <w:cols w:space="720" w:num="1"/>
          <w:docGrid w:linePitch="312" w:charSpace="0"/>
        </w:sectPr>
      </w:pPr>
    </w:p>
    <w:p w14:paraId="4C1D328B">
      <w:pPr>
        <w:pStyle w:val="2"/>
        <w:spacing w:before="120" w:after="120"/>
        <w:rPr>
          <w:rFonts w:eastAsia="仿宋_GB2312" w:cs="Times New Roman"/>
          <w:color w:val="auto"/>
        </w:rPr>
      </w:pPr>
      <w:bookmarkStart w:id="199" w:name="_Toc150724313"/>
      <w:r>
        <w:rPr>
          <w:rFonts w:eastAsia="仿宋_GB2312" w:cs="Times New Roman"/>
          <w:color w:val="auto"/>
        </w:rPr>
        <w:t>11实施保障措施</w:t>
      </w:r>
      <w:bookmarkEnd w:id="199"/>
    </w:p>
    <w:p w14:paraId="1728E2D4">
      <w:pPr>
        <w:pStyle w:val="44"/>
        <w:spacing w:before="120" w:after="120"/>
        <w:rPr>
          <w:rFonts w:eastAsia="仿宋_GB2312" w:cs="Times New Roman"/>
        </w:rPr>
      </w:pPr>
      <w:bookmarkStart w:id="200" w:name="_Toc150724314"/>
      <w:r>
        <w:rPr>
          <w:rFonts w:eastAsia="仿宋_GB2312" w:cs="Times New Roman"/>
        </w:rPr>
        <w:t>11.1 组织管理保障</w:t>
      </w:r>
      <w:bookmarkEnd w:id="200"/>
    </w:p>
    <w:p w14:paraId="16929AD0">
      <w:pPr>
        <w:adjustRightInd w:val="0"/>
        <w:snapToGrid w:val="0"/>
        <w:ind w:firstLine="480"/>
        <w:rPr>
          <w:rFonts w:cs="Times New Roman"/>
        </w:rPr>
      </w:pPr>
      <w:r>
        <w:rPr>
          <w:rFonts w:cs="Times New Roman"/>
        </w:rPr>
        <w:t>在组织上，阜康市各部门及各级管理机构必须从经济和社会可持续发展的战略高度和执行基本国策的要求出发，充分认识水土保持的重要性和紧迫性，把水土保持工作列入政府工作的重要议事日程，切实加强领导。一是健全水土保持工作领导协调机构，强化统一领导和部门协作。阜康市人民政府应将水土保持规划编制领导小组常态化，并在阜康市成立水土保持规划实施管理办公室，具体负责规划近期工程的建设。</w:t>
      </w:r>
    </w:p>
    <w:p w14:paraId="1149CF18">
      <w:pPr>
        <w:adjustRightInd w:val="0"/>
        <w:snapToGrid w:val="0"/>
        <w:ind w:firstLine="480"/>
        <w:rPr>
          <w:rFonts w:cs="Times New Roman"/>
        </w:rPr>
      </w:pPr>
      <w:r>
        <w:rPr>
          <w:rFonts w:cs="Times New Roman"/>
        </w:rPr>
        <w:t>在工程管理上，认真贯彻执行《中华人民共和国水土保持法》和新疆维吾尔自治区实施《中华人民共和国水土保持法》办法，加强预防监督，建立完善的监督管理制度。进一步完善水土保持工程建管机制，在工程建设管理方面，对项目建设前期、招投标、实施方案、建设管理等各个阶段严格按照基本建设管理程序实施。一是按照基本建设项目管理要求，因地制宜地推行项目法人责任制，建设监理制和招标投标制，全面推行受益群众投工承诺制，认真履行合同制管理和项目建设公示制，推行工程质量保证终身制，保证水土保持建设工程的顺利进行。二是推进水土保持工程管理制度改革，巩固治理成果。针对治理成果管理中存在的产权不明，管理粗放等问题，以明晰所有权为核心，大力推进小型水土保持工程管理改革，搞活经营权，落实管理权，促进工程良性运行。以生态效益为主的工程也要探索建立授权经营，权责明确的管理体制与运营机制。工程建设过程中，项目主管单位及计划部门应及时向上级主管部门上报工程进度、资金使用情况及存在的问题。</w:t>
      </w:r>
    </w:p>
    <w:p w14:paraId="579A81AA">
      <w:pPr>
        <w:adjustRightInd w:val="0"/>
        <w:snapToGrid w:val="0"/>
        <w:ind w:firstLine="480"/>
        <w:rPr>
          <w:rFonts w:cs="Times New Roman"/>
        </w:rPr>
      </w:pPr>
      <w:r>
        <w:rPr>
          <w:rFonts w:cs="Times New Roman"/>
        </w:rPr>
        <w:t>在队伍建设上，建立一个适应水土保持事业快速发展的机构关系到水土保持工作开展的</w:t>
      </w:r>
      <w:r>
        <w:rPr>
          <w:rFonts w:hint="eastAsia" w:cs="Times New Roman"/>
          <w:lang w:eastAsia="zh-CN"/>
        </w:rPr>
        <w:t>成功与否</w:t>
      </w:r>
      <w:r>
        <w:rPr>
          <w:rFonts w:cs="Times New Roman"/>
        </w:rPr>
        <w:t>，应该不断完善和加强机构的队伍组织建设工作通过增加编制、充实人员，在保证经费的前提下，定期组织人员上岗培训，特别是对有审批权限的行业部门领导和具体工作人员的水土保持政策业务培训、水土保持监督管理队伍的培训及水土保持监测技术人员的培训的频次纳入培训计划，提高各级领导和工作人员的业务能力水平，加强纪律约束，使队伍的整体素质有较大的提高，为搞好水土保持监督管理工作提供强有力的组织保障。</w:t>
      </w:r>
    </w:p>
    <w:p w14:paraId="456BFB86">
      <w:pPr>
        <w:pStyle w:val="44"/>
        <w:spacing w:before="120" w:after="120"/>
        <w:rPr>
          <w:rFonts w:eastAsia="仿宋_GB2312" w:cs="Times New Roman"/>
        </w:rPr>
      </w:pPr>
      <w:bookmarkStart w:id="201" w:name="_Toc150724315"/>
      <w:r>
        <w:rPr>
          <w:rFonts w:eastAsia="仿宋_GB2312" w:cs="Times New Roman"/>
        </w:rPr>
        <w:t>11.2 政策制度保障</w:t>
      </w:r>
      <w:bookmarkEnd w:id="201"/>
    </w:p>
    <w:p w14:paraId="5A9D1E44">
      <w:pPr>
        <w:adjustRightInd w:val="0"/>
        <w:snapToGrid w:val="0"/>
        <w:ind w:firstLine="480"/>
        <w:rPr>
          <w:rFonts w:cs="Times New Roman"/>
        </w:rPr>
      </w:pPr>
      <w:r>
        <w:rPr>
          <w:rFonts w:cs="Times New Roman"/>
        </w:rPr>
        <w:t>在法律法规上，严格执行《水法》、《水土保持法》、《林业法》、《草原法》等相关的法律法规，贯彻落实《中华人民共和国水土保持法》和新疆维吾尔自治区实施《中华人民共和国水土保持法》办法，结合阜康市实际情况，有针对性地制定操作性强的配套地方性法规文件，建立健全水土保持法规体系和制度，大力提倡退耕还林、退耕还草、涵养水源、防治水土流失。</w:t>
      </w:r>
    </w:p>
    <w:p w14:paraId="589F07B2">
      <w:pPr>
        <w:adjustRightInd w:val="0"/>
        <w:snapToGrid w:val="0"/>
        <w:ind w:firstLine="480"/>
        <w:rPr>
          <w:rFonts w:cs="Times New Roman"/>
        </w:rPr>
      </w:pPr>
      <w:r>
        <w:rPr>
          <w:rFonts w:cs="Times New Roman"/>
        </w:rPr>
        <w:t>在制度建设上，进一步确定阜康市水土保持规划的法律地位，加强经济社会和生产建设活动严格执行水土保持有关制度规范；进一步完善劳动用工制度和产权确认制度，坚持水土保持建设的权、责、利统一和治、管、用结合，实行“谁治理、谁受益”，对集体个人承包治理的荒山、荒滩 的使用权，长期稳定不变；进一步完善发展成果考核评价体系。要按照生态文明建设要求。将资源消耗、水土流失和相应生态效益指标全面纳入地方各级党委政府考核评价体系中并加大权重；进一步健全市场机制体制和经济政策。对河流、草原等自然生态空间进行统一确权登记，加快自然资源及其产品价格改革，全面反映市场供求、资源稀缺程度、生态环境损害成本和修复效益。</w:t>
      </w:r>
    </w:p>
    <w:p w14:paraId="67F70E34">
      <w:pPr>
        <w:pStyle w:val="44"/>
        <w:spacing w:before="120" w:after="120"/>
        <w:rPr>
          <w:rFonts w:eastAsia="仿宋_GB2312" w:cs="Times New Roman"/>
        </w:rPr>
      </w:pPr>
      <w:bookmarkStart w:id="202" w:name="_Toc150724316"/>
      <w:r>
        <w:rPr>
          <w:rFonts w:eastAsia="仿宋_GB2312" w:cs="Times New Roman"/>
        </w:rPr>
        <w:t>11.3 体制机制保障</w:t>
      </w:r>
      <w:bookmarkEnd w:id="202"/>
    </w:p>
    <w:p w14:paraId="0BE8D93B">
      <w:pPr>
        <w:adjustRightInd w:val="0"/>
        <w:snapToGrid w:val="0"/>
        <w:ind w:firstLine="480"/>
        <w:jc w:val="both"/>
        <w:rPr>
          <w:rFonts w:cs="Times New Roman"/>
          <w:snapToGrid w:val="0"/>
          <w:kern w:val="144"/>
          <w:szCs w:val="28"/>
        </w:rPr>
      </w:pPr>
      <w:r>
        <w:rPr>
          <w:rFonts w:cs="Times New Roman"/>
          <w:snapToGrid w:val="0"/>
          <w:kern w:val="144"/>
          <w:szCs w:val="28"/>
        </w:rPr>
        <w:t>进一步完善水土保持工作的政绩考核制度。在水土流失重点预防区和重点治理区，逐步建立和完善各级水土保持目标责任制和考核奖惩制度，实行各级领导任期内水土保持目标考核制度，强化问政问责制，将水土保持作为重要指标纳入政绩考核体系。</w:t>
      </w:r>
    </w:p>
    <w:p w14:paraId="7EE254F7">
      <w:pPr>
        <w:adjustRightInd w:val="0"/>
        <w:snapToGrid w:val="0"/>
        <w:ind w:firstLine="480"/>
        <w:jc w:val="both"/>
        <w:rPr>
          <w:rFonts w:cs="Times New Roman"/>
          <w:snapToGrid w:val="0"/>
          <w:kern w:val="144"/>
          <w:szCs w:val="28"/>
        </w:rPr>
      </w:pPr>
      <w:r>
        <w:rPr>
          <w:rFonts w:cs="Times New Roman"/>
          <w:snapToGrid w:val="0"/>
          <w:kern w:val="144"/>
          <w:szCs w:val="28"/>
        </w:rPr>
        <w:t>完善水土流失综合防治奖励机制，在水土流失地区，鼓励社会力量通过承包、租赁、股份合作等多种形式参与水土保持工程建设，推行水土保持工程产权制度改革，落实水土保持工程的产权、管理权和使用权到单位或者个人，切实保护水土流失防治者的合法利益，鼓励集体、企业和个人投资治理水土流失，并给予技术支持和奖励补助政策，建立长效保障机制，调动各级政府和群众参与水土保持的积极性和主动性。</w:t>
      </w:r>
    </w:p>
    <w:p w14:paraId="4BE29233">
      <w:pPr>
        <w:adjustRightInd w:val="0"/>
        <w:snapToGrid w:val="0"/>
        <w:ind w:firstLine="480"/>
        <w:jc w:val="both"/>
        <w:rPr>
          <w:rFonts w:cs="Times New Roman"/>
          <w:szCs w:val="28"/>
        </w:rPr>
      </w:pPr>
      <w:r>
        <w:rPr>
          <w:rFonts w:cs="Times New Roman"/>
          <w:snapToGrid w:val="0"/>
          <w:kern w:val="144"/>
          <w:szCs w:val="28"/>
        </w:rPr>
        <w:t>推进公共参与和公共监督机制，水土保持生态建设是关乎全社会的事情，应采取各种积极有效的方式，拓宽社会公众参与水土保持的渠道并建立有效机制，推进水土保持信息定期公开制度，广泛征求公众意见，建立规范的水土保持舆论监督机制</w:t>
      </w:r>
      <w:r>
        <w:rPr>
          <w:rFonts w:cs="Times New Roman"/>
          <w:szCs w:val="28"/>
        </w:rPr>
        <w:t>。</w:t>
      </w:r>
    </w:p>
    <w:p w14:paraId="430C658C">
      <w:pPr>
        <w:pStyle w:val="44"/>
        <w:spacing w:before="120" w:after="120"/>
        <w:rPr>
          <w:rFonts w:eastAsia="仿宋_GB2312" w:cs="Times New Roman"/>
        </w:rPr>
      </w:pPr>
      <w:bookmarkStart w:id="203" w:name="_Toc150724317"/>
      <w:r>
        <w:rPr>
          <w:rFonts w:eastAsia="仿宋_GB2312" w:cs="Times New Roman"/>
        </w:rPr>
        <w:t>11.4 投入资金保障</w:t>
      </w:r>
      <w:bookmarkEnd w:id="203"/>
    </w:p>
    <w:p w14:paraId="4DA0870C">
      <w:pPr>
        <w:pStyle w:val="5"/>
        <w:rPr>
          <w:rFonts w:eastAsia="仿宋_GB2312"/>
        </w:rPr>
      </w:pPr>
      <w:r>
        <w:rPr>
          <w:rFonts w:eastAsia="仿宋_GB2312"/>
        </w:rPr>
        <w:t>11.4.1 投入保障</w:t>
      </w:r>
    </w:p>
    <w:p w14:paraId="2269B360">
      <w:pPr>
        <w:adjustRightInd w:val="0"/>
        <w:snapToGrid w:val="0"/>
        <w:ind w:firstLine="480"/>
        <w:jc w:val="both"/>
        <w:rPr>
          <w:rFonts w:cs="Times New Roman"/>
          <w:snapToGrid w:val="0"/>
          <w:kern w:val="144"/>
          <w:szCs w:val="28"/>
        </w:rPr>
      </w:pPr>
      <w:r>
        <w:rPr>
          <w:rFonts w:cs="Times New Roman"/>
          <w:snapToGrid w:val="0"/>
          <w:kern w:val="144"/>
          <w:szCs w:val="28"/>
        </w:rPr>
        <w:t>水土保持是一项投资较大，效益长远的公益性事业，按照有关法律法规的规定，把水土保持规划所确定的水土流失防治任务纳入当地国民经济和社会发展计划，不断增加对水土保持的投入。</w:t>
      </w:r>
    </w:p>
    <w:p w14:paraId="4C131F73">
      <w:pPr>
        <w:adjustRightInd w:val="0"/>
        <w:snapToGrid w:val="0"/>
        <w:ind w:firstLine="480"/>
        <w:jc w:val="both"/>
        <w:rPr>
          <w:rFonts w:cs="Times New Roman"/>
          <w:snapToGrid w:val="0"/>
          <w:kern w:val="144"/>
          <w:szCs w:val="28"/>
        </w:rPr>
      </w:pPr>
      <w:r>
        <w:rPr>
          <w:rFonts w:cs="Times New Roman"/>
          <w:snapToGrid w:val="0"/>
          <w:kern w:val="144"/>
          <w:szCs w:val="28"/>
        </w:rPr>
        <w:t>投资来源包括：阜康市涉及项目安排和规模、财政部门涉及投资、国土部门涉及土地整理和土地复垦、农业部门涉及土地面源污染治理、林业部门涉及植树造林和天然林保护及退耕还林等、环保部门涉及生态建设、农业综合开发部门开发整理土地等。水利部门水保工程资金包括国家投资（中央预算投资和国家重点水保项目投资）、省财政投资、市阜康市财政投资、社会资本及农民投劳投资等。</w:t>
      </w:r>
    </w:p>
    <w:p w14:paraId="14AA53C0">
      <w:pPr>
        <w:adjustRightInd w:val="0"/>
        <w:snapToGrid w:val="0"/>
        <w:ind w:firstLine="480"/>
        <w:jc w:val="both"/>
        <w:rPr>
          <w:rFonts w:cs="Times New Roman"/>
          <w:snapToGrid w:val="0"/>
          <w:kern w:val="144"/>
          <w:szCs w:val="28"/>
        </w:rPr>
      </w:pPr>
      <w:r>
        <w:rPr>
          <w:rFonts w:cs="Times New Roman"/>
          <w:snapToGrid w:val="0"/>
          <w:kern w:val="144"/>
          <w:szCs w:val="28"/>
        </w:rPr>
        <w:t>建立完善全社会多渠道水土保持投入的机制，制定优惠政策，鼓励群众投资投劳，充分调动社会各方面治理水土流失的积极性，吸引社会资金用于水土保持，形成全社会广泛参与治理水土流失的局面。具体投入保障措施包括以下几个方面：</w:t>
      </w:r>
    </w:p>
    <w:p w14:paraId="655B9F79">
      <w:pPr>
        <w:adjustRightInd w:val="0"/>
        <w:snapToGrid w:val="0"/>
        <w:ind w:firstLine="480"/>
        <w:jc w:val="both"/>
        <w:rPr>
          <w:rFonts w:cs="Times New Roman"/>
          <w:snapToGrid w:val="0"/>
          <w:kern w:val="144"/>
          <w:szCs w:val="28"/>
        </w:rPr>
      </w:pPr>
      <w:r>
        <w:rPr>
          <w:rFonts w:cs="Times New Roman"/>
          <w:snapToGrid w:val="0"/>
          <w:kern w:val="144"/>
          <w:szCs w:val="28"/>
        </w:rPr>
        <w:t>（1）阜康市水土保持规划经阜康市管委会批准后，纳入阜康市国民经济发展规划，统一实施。以水土保持规划为基础，合理使用相关项目资金，提高资金效率。</w:t>
      </w:r>
    </w:p>
    <w:p w14:paraId="0701E40A">
      <w:pPr>
        <w:adjustRightInd w:val="0"/>
        <w:snapToGrid w:val="0"/>
        <w:ind w:firstLine="480"/>
        <w:jc w:val="both"/>
        <w:rPr>
          <w:rFonts w:cs="Times New Roman"/>
          <w:snapToGrid w:val="0"/>
          <w:kern w:val="144"/>
          <w:szCs w:val="28"/>
        </w:rPr>
      </w:pPr>
      <w:r>
        <w:rPr>
          <w:rFonts w:cs="Times New Roman"/>
          <w:snapToGrid w:val="0"/>
          <w:kern w:val="144"/>
          <w:szCs w:val="28"/>
        </w:rPr>
        <w:t>（2）人为造成的水土流失应本着“谁破坏，谁治理”的原则由当事人负责；开办生产建设项目或者从事其他生产建设活动，损坏水土保持设施、地貌、植被，降低或丧失原有水土保持功能的，应当缴纳水土保持补偿费，专项用于水土流失预防和治理。</w:t>
      </w:r>
    </w:p>
    <w:p w14:paraId="6E960981">
      <w:pPr>
        <w:adjustRightInd w:val="0"/>
        <w:snapToGrid w:val="0"/>
        <w:ind w:firstLine="480"/>
        <w:jc w:val="both"/>
        <w:rPr>
          <w:rFonts w:cs="Times New Roman"/>
          <w:snapToGrid w:val="0"/>
          <w:kern w:val="144"/>
          <w:szCs w:val="28"/>
        </w:rPr>
      </w:pPr>
      <w:r>
        <w:rPr>
          <w:rFonts w:cs="Times New Roman"/>
          <w:snapToGrid w:val="0"/>
          <w:kern w:val="144"/>
          <w:szCs w:val="28"/>
        </w:rPr>
        <w:t>（3）建立社会和民间资本进入新机制，积极拓展水土保持投入渠道，鼓励和吸引社会和民间资本以合资、独资、参股、特许经营以及PPP等多种方式参与水土保持工作。</w:t>
      </w:r>
    </w:p>
    <w:p w14:paraId="0CF78AB5">
      <w:pPr>
        <w:pStyle w:val="5"/>
        <w:rPr>
          <w:rFonts w:eastAsia="仿宋_GB2312"/>
        </w:rPr>
      </w:pPr>
      <w:r>
        <w:rPr>
          <w:rFonts w:eastAsia="仿宋_GB2312"/>
        </w:rPr>
        <w:t>11.4.2 资金保障</w:t>
      </w:r>
    </w:p>
    <w:p w14:paraId="0F910A83">
      <w:pPr>
        <w:adjustRightInd w:val="0"/>
        <w:snapToGrid w:val="0"/>
        <w:ind w:firstLine="480"/>
        <w:jc w:val="both"/>
        <w:rPr>
          <w:rFonts w:cs="Times New Roman"/>
          <w:snapToGrid w:val="0"/>
          <w:kern w:val="144"/>
          <w:szCs w:val="28"/>
        </w:rPr>
      </w:pPr>
      <w:r>
        <w:rPr>
          <w:rFonts w:cs="Times New Roman"/>
          <w:snapToGrid w:val="0"/>
          <w:kern w:val="144"/>
          <w:szCs w:val="28"/>
        </w:rPr>
        <w:t>科学的资金投放与使用，对项目的顺利实施至关重要，为保证规划中各项方案和措施能够顺利实施，除了在组织上和技术上把好关外，还必须加强对资金的管理。</w:t>
      </w:r>
    </w:p>
    <w:p w14:paraId="4A4D0560">
      <w:pPr>
        <w:adjustRightInd w:val="0"/>
        <w:snapToGrid w:val="0"/>
        <w:ind w:firstLine="480"/>
        <w:jc w:val="both"/>
        <w:rPr>
          <w:rFonts w:cs="Times New Roman"/>
          <w:snapToGrid w:val="0"/>
          <w:kern w:val="144"/>
          <w:szCs w:val="28"/>
        </w:rPr>
      </w:pPr>
      <w:r>
        <w:rPr>
          <w:rFonts w:cs="Times New Roman"/>
          <w:snapToGrid w:val="0"/>
          <w:kern w:val="144"/>
          <w:szCs w:val="28"/>
        </w:rPr>
        <w:t>（1）建立健全资金管理、使用、监督制度，建设资金严格执行财务制度，要实行专款专用，专人负责，实行项目资金报账制度，严禁挤占挪用项目资金。各级财政和审计部门负责项目资金的监督和审计检查。</w:t>
      </w:r>
    </w:p>
    <w:p w14:paraId="07D42026">
      <w:pPr>
        <w:adjustRightInd w:val="0"/>
        <w:snapToGrid w:val="0"/>
        <w:ind w:firstLine="480"/>
        <w:jc w:val="both"/>
        <w:rPr>
          <w:rFonts w:cs="Times New Roman"/>
          <w:snapToGrid w:val="0"/>
          <w:kern w:val="144"/>
          <w:szCs w:val="28"/>
        </w:rPr>
      </w:pPr>
      <w:r>
        <w:rPr>
          <w:rFonts w:cs="Times New Roman"/>
          <w:snapToGrid w:val="0"/>
          <w:kern w:val="144"/>
          <w:szCs w:val="28"/>
        </w:rPr>
        <w:t>（2）</w:t>
      </w:r>
      <w:r>
        <w:rPr>
          <w:rFonts w:hint="eastAsia" w:cs="Times New Roman"/>
          <w:snapToGrid w:val="0"/>
          <w:kern w:val="144"/>
          <w:szCs w:val="28"/>
        </w:rPr>
        <w:t>优先申请中央、自治区、自治州专项资金予以补助。需本级财政落实的配套资金，按照相关资金管理办法由行业主管部门向党委、政府提交资金申请，待相关会议审定后执行</w:t>
      </w:r>
      <w:r>
        <w:rPr>
          <w:rFonts w:cs="Times New Roman"/>
          <w:snapToGrid w:val="0"/>
          <w:kern w:val="144"/>
          <w:szCs w:val="28"/>
        </w:rPr>
        <w:t>。</w:t>
      </w:r>
    </w:p>
    <w:p w14:paraId="6FE21756">
      <w:pPr>
        <w:adjustRightInd w:val="0"/>
        <w:snapToGrid w:val="0"/>
        <w:ind w:firstLine="480"/>
        <w:jc w:val="both"/>
        <w:rPr>
          <w:rFonts w:cs="Times New Roman"/>
          <w:szCs w:val="28"/>
          <w:lang w:val="zh-CN"/>
        </w:rPr>
      </w:pPr>
      <w:r>
        <w:rPr>
          <w:rFonts w:cs="Times New Roman"/>
          <w:snapToGrid w:val="0"/>
          <w:kern w:val="144"/>
          <w:szCs w:val="28"/>
        </w:rPr>
        <w:t>（3）财务监察部门及上级水行政主管部门应对阜康市专项资金的落实和使用情况进行监督管理，做好资金使用的预警工作，防患于未然，保证水土保持资金逐项落实</w:t>
      </w:r>
      <w:r>
        <w:rPr>
          <w:rFonts w:cs="Times New Roman"/>
          <w:szCs w:val="28"/>
          <w:lang w:val="zh-CN"/>
        </w:rPr>
        <w:t>。</w:t>
      </w:r>
    </w:p>
    <w:p w14:paraId="4FA62DA9">
      <w:pPr>
        <w:pStyle w:val="44"/>
        <w:spacing w:before="120" w:after="120"/>
        <w:rPr>
          <w:rFonts w:eastAsia="仿宋_GB2312" w:cs="Times New Roman"/>
        </w:rPr>
      </w:pPr>
      <w:bookmarkStart w:id="204" w:name="_Toc150724318"/>
      <w:r>
        <w:rPr>
          <w:rFonts w:eastAsia="仿宋_GB2312" w:cs="Times New Roman"/>
        </w:rPr>
        <w:t>11.5 科技创新保障</w:t>
      </w:r>
      <w:bookmarkEnd w:id="204"/>
    </w:p>
    <w:p w14:paraId="35328A21">
      <w:pPr>
        <w:adjustRightInd w:val="0"/>
        <w:snapToGrid w:val="0"/>
        <w:ind w:firstLine="480"/>
        <w:jc w:val="both"/>
        <w:rPr>
          <w:rFonts w:cs="Times New Roman"/>
          <w:snapToGrid w:val="0"/>
          <w:szCs w:val="28"/>
        </w:rPr>
      </w:pPr>
      <w:r>
        <w:rPr>
          <w:rFonts w:cs="Times New Roman"/>
          <w:snapToGrid w:val="0"/>
          <w:szCs w:val="28"/>
        </w:rPr>
        <w:t>一是加大科技研究，提高技术含量，遵照“科学技术必须面向经济建设，经济建设必须依靠科学技术”的指导思想，紧密围绕脱贫致富和改善生态环境的项目建设宗旨，以研究水土保持生态效益和综合治理技术为主要内容，以改善农民生产、生活条件，加快脱贫致富和发展经济为主攻目标，以提高水土保持生态效益、经济效益和社会效益为主要目的，以综合配套推广运用现代科技成果和先进技术为主要手段。根据</w:t>
      </w:r>
      <w:r>
        <w:rPr>
          <w:rFonts w:cs="Times New Roman"/>
          <w:snapToGrid w:val="0"/>
          <w:kern w:val="144"/>
          <w:szCs w:val="28"/>
        </w:rPr>
        <w:t>阜康市</w:t>
      </w:r>
      <w:r>
        <w:rPr>
          <w:rFonts w:cs="Times New Roman"/>
          <w:snapToGrid w:val="0"/>
          <w:szCs w:val="28"/>
        </w:rPr>
        <w:t>实际，结合已实施的项目，研究出</w:t>
      </w:r>
      <w:r>
        <w:rPr>
          <w:rFonts w:cs="Times New Roman"/>
          <w:snapToGrid w:val="0"/>
          <w:kern w:val="144"/>
          <w:szCs w:val="28"/>
        </w:rPr>
        <w:t>阜康市</w:t>
      </w:r>
      <w:r>
        <w:rPr>
          <w:rFonts w:cs="Times New Roman"/>
          <w:snapToGrid w:val="0"/>
          <w:szCs w:val="28"/>
        </w:rPr>
        <w:t>中小流域水土流失的综合治理模式和监测技术，同时，开展水土保持防治模式研究，建设水土保持科技示范阜康市，加大技术含量，从而提高水土保持综合防治工程的质量和防护效能。</w:t>
      </w:r>
    </w:p>
    <w:p w14:paraId="6EE9F6BE">
      <w:pPr>
        <w:adjustRightInd w:val="0"/>
        <w:snapToGrid w:val="0"/>
        <w:ind w:firstLine="480"/>
        <w:jc w:val="both"/>
        <w:rPr>
          <w:rFonts w:cs="Times New Roman"/>
          <w:snapToGrid w:val="0"/>
          <w:szCs w:val="28"/>
        </w:rPr>
      </w:pPr>
      <w:r>
        <w:rPr>
          <w:rFonts w:cs="Times New Roman"/>
          <w:snapToGrid w:val="0"/>
          <w:szCs w:val="28"/>
        </w:rPr>
        <w:t>二是新技术研究与推广，大力引进和推广新技术、新方法、新材料，进一步拓宽水土保持生态建设研究领域，积极与各科研单位、大专院校合作，选择一批适合</w:t>
      </w:r>
      <w:r>
        <w:rPr>
          <w:rFonts w:cs="Times New Roman"/>
          <w:snapToGrid w:val="0"/>
          <w:kern w:val="144"/>
          <w:szCs w:val="28"/>
        </w:rPr>
        <w:t>阜康市</w:t>
      </w:r>
      <w:r>
        <w:rPr>
          <w:rFonts w:cs="Times New Roman"/>
          <w:snapToGrid w:val="0"/>
          <w:szCs w:val="28"/>
        </w:rPr>
        <w:t>治理推广的生态环境建设研究项目，通过项目带动、技术推动、利益驱动，促使更多的、适应</w:t>
      </w:r>
      <w:r>
        <w:rPr>
          <w:rFonts w:cs="Times New Roman"/>
          <w:snapToGrid w:val="0"/>
          <w:kern w:val="144"/>
          <w:szCs w:val="28"/>
        </w:rPr>
        <w:t>阜康市</w:t>
      </w:r>
      <w:r>
        <w:rPr>
          <w:rFonts w:cs="Times New Roman"/>
          <w:snapToGrid w:val="0"/>
          <w:szCs w:val="28"/>
        </w:rPr>
        <w:t>推广的水土保持研究项目脱颖而出，充分发挥科技在生态建设中的作用。同时通过建设水土保持科技示范园，推广水土保持实用先进技术，探索综合治理，生态修复的新模式，为防治水土流失，生态环境建设起到典型示范作用。</w:t>
      </w:r>
    </w:p>
    <w:p w14:paraId="20ABC04D">
      <w:pPr>
        <w:adjustRightInd w:val="0"/>
        <w:snapToGrid w:val="0"/>
        <w:ind w:firstLine="480"/>
        <w:jc w:val="both"/>
        <w:rPr>
          <w:rFonts w:cs="Times New Roman"/>
          <w:snapToGrid w:val="0"/>
          <w:szCs w:val="28"/>
        </w:rPr>
      </w:pPr>
      <w:r>
        <w:rPr>
          <w:rFonts w:cs="Times New Roman"/>
          <w:snapToGrid w:val="0"/>
          <w:szCs w:val="28"/>
        </w:rPr>
        <w:t>三是注重人员培训，主要包括两方面的内容，一方面是对水土保持行业从事业务工作的技术人员的培训，高科技、新技术的发展速度非常快，作为各级水土保持部门的技术人员都要不断学习新技术、新观念和新思想，只有自己掌握了才能运用到实际工作中，在规划实施的漫长过程中技术人员承担着大量的规划、设计、施工和管理工作，学习和培训是一项长期而持久的工作，要采取各种培训形式，不断提高水土保持从业人员的技术水平；另一方面是对重点示范户和受益农民进行培训，通过培养一些典型示范户达到示范和推广作用，这些培训也是长期的、大量的，建议各级政府在组织实施规划时重视技术培训工作。</w:t>
      </w:r>
    </w:p>
    <w:p w14:paraId="77FD0563">
      <w:pPr>
        <w:pStyle w:val="44"/>
        <w:spacing w:before="120" w:after="120"/>
        <w:rPr>
          <w:rFonts w:eastAsia="仿宋_GB2312" w:cs="Times New Roman"/>
        </w:rPr>
      </w:pPr>
      <w:bookmarkStart w:id="205" w:name="_Toc150724319"/>
      <w:r>
        <w:rPr>
          <w:rFonts w:eastAsia="仿宋_GB2312" w:cs="Times New Roman"/>
        </w:rPr>
        <w:t>11.6 宣传教育保障</w:t>
      </w:r>
      <w:bookmarkEnd w:id="205"/>
    </w:p>
    <w:p w14:paraId="40C4A8BE">
      <w:pPr>
        <w:adjustRightInd w:val="0"/>
        <w:snapToGrid w:val="0"/>
        <w:ind w:firstLine="480"/>
        <w:jc w:val="both"/>
        <w:rPr>
          <w:rFonts w:cs="Times New Roman"/>
          <w:bCs/>
        </w:rPr>
      </w:pPr>
      <w:r>
        <w:rPr>
          <w:rFonts w:cs="Times New Roman"/>
          <w:bCs/>
        </w:rPr>
        <w:t>将水土保持知识纳入教育体系，强化水土保持科普、宣传和教育，提高全民的水土保持法制观念和生态文明意识，保障规划顺利实施。重点做好以下几项工作。</w:t>
      </w:r>
    </w:p>
    <w:p w14:paraId="538A4B94">
      <w:pPr>
        <w:adjustRightInd w:val="0"/>
        <w:snapToGrid w:val="0"/>
        <w:ind w:firstLine="480"/>
        <w:jc w:val="both"/>
        <w:rPr>
          <w:rFonts w:cs="Times New Roman"/>
          <w:bCs/>
        </w:rPr>
      </w:pPr>
      <w:r>
        <w:rPr>
          <w:rFonts w:cs="Times New Roman"/>
          <w:bCs/>
        </w:rPr>
        <w:t>一是完善宣传平台建设，重视广播、电视、报纸、期刊等传统信息传播方式，加强信息化时代网络和移动终端等新媒体宣传平台建设。</w:t>
      </w:r>
    </w:p>
    <w:p w14:paraId="7B823C56">
      <w:pPr>
        <w:adjustRightInd w:val="0"/>
        <w:snapToGrid w:val="0"/>
        <w:ind w:firstLine="480"/>
        <w:jc w:val="both"/>
        <w:rPr>
          <w:rFonts w:cs="Times New Roman"/>
          <w:bCs/>
        </w:rPr>
      </w:pPr>
      <w:r>
        <w:rPr>
          <w:rFonts w:cs="Times New Roman"/>
          <w:bCs/>
        </w:rPr>
        <w:t>二是利用世界水日、中国水周、水保法修订纪念日、新疆水土保持条例颁布纪念日等节点，制定水土保持宣传方案，开展水土保持国策宣传教育活动，做好宣传选题选材，提升宣传效果。</w:t>
      </w:r>
    </w:p>
    <w:p w14:paraId="4E51ABB3">
      <w:pPr>
        <w:adjustRightInd w:val="0"/>
        <w:snapToGrid w:val="0"/>
        <w:ind w:firstLine="480"/>
        <w:jc w:val="both"/>
        <w:rPr>
          <w:rFonts w:cs="Times New Roman"/>
          <w:bCs/>
        </w:rPr>
      </w:pPr>
      <w:r>
        <w:rPr>
          <w:rFonts w:cs="Times New Roman"/>
          <w:bCs/>
        </w:rPr>
        <w:t>三是研究制定不同受众的水保科普知识宣传教育材料，普及水土保持科学知识。</w:t>
      </w:r>
    </w:p>
    <w:p w14:paraId="2E34C0A1">
      <w:pPr>
        <w:adjustRightInd w:val="0"/>
        <w:snapToGrid w:val="0"/>
        <w:ind w:firstLine="480"/>
        <w:jc w:val="both"/>
        <w:rPr>
          <w:rFonts w:cs="Times New Roman"/>
          <w:bCs/>
        </w:rPr>
      </w:pPr>
      <w:r>
        <w:rPr>
          <w:rFonts w:cs="Times New Roman"/>
          <w:bCs/>
        </w:rPr>
        <w:t>四是推动水土保持科普教育进党校、进课堂、进机关、进社区、进乡村、进施工现场等。</w:t>
      </w:r>
    </w:p>
    <w:p w14:paraId="38CEA8B8">
      <w:pPr>
        <w:adjustRightInd w:val="0"/>
        <w:snapToGrid w:val="0"/>
        <w:ind w:firstLine="480"/>
        <w:jc w:val="both"/>
        <w:rPr>
          <w:rFonts w:cs="Times New Roman"/>
          <w:bCs/>
        </w:rPr>
      </w:pPr>
      <w:r>
        <w:rPr>
          <w:rFonts w:cs="Times New Roman"/>
          <w:bCs/>
        </w:rPr>
        <w:t>五是定期开展基层水土保持技术骨干科技培训，提高一线技术人员的业务水平和宣传意识，强化日常业务宣传，向社会公众方便迅捷地提供水土保持信息和技术服务。</w:t>
      </w:r>
    </w:p>
    <w:p w14:paraId="6B2B7894">
      <w:pPr>
        <w:adjustRightInd w:val="0"/>
        <w:snapToGrid w:val="0"/>
        <w:ind w:firstLine="480"/>
        <w:jc w:val="both"/>
        <w:rPr>
          <w:rFonts w:cs="Times New Roman"/>
          <w:bCs/>
        </w:rPr>
      </w:pPr>
    </w:p>
    <w:p w14:paraId="5DC03E8B">
      <w:pPr>
        <w:adjustRightInd w:val="0"/>
        <w:snapToGrid w:val="0"/>
        <w:ind w:firstLine="0" w:firstLineChars="0"/>
        <w:jc w:val="both"/>
        <w:rPr>
          <w:rFonts w:cs="Times New Roman"/>
          <w:b/>
          <w:bCs/>
        </w:rPr>
      </w:pPr>
    </w:p>
    <w:p w14:paraId="332C559B">
      <w:pPr>
        <w:adjustRightInd w:val="0"/>
        <w:snapToGrid w:val="0"/>
        <w:ind w:firstLine="0" w:firstLineChars="0"/>
        <w:jc w:val="both"/>
        <w:rPr>
          <w:rFonts w:cs="Times New Roman"/>
          <w:b/>
          <w:bCs/>
        </w:rPr>
      </w:pPr>
    </w:p>
    <w:p w14:paraId="46DCDF7E">
      <w:pPr>
        <w:adjustRightInd w:val="0"/>
        <w:snapToGrid w:val="0"/>
        <w:ind w:firstLine="0" w:firstLineChars="0"/>
        <w:jc w:val="both"/>
        <w:rPr>
          <w:rFonts w:cs="Times New Roman"/>
          <w:b/>
          <w:bCs/>
        </w:rPr>
      </w:pPr>
    </w:p>
    <w:p w14:paraId="6FA22798">
      <w:pPr>
        <w:adjustRightInd w:val="0"/>
        <w:snapToGrid w:val="0"/>
        <w:ind w:firstLine="0" w:firstLineChars="0"/>
        <w:jc w:val="both"/>
        <w:rPr>
          <w:rFonts w:cs="Times New Roman"/>
          <w:b/>
          <w:bCs/>
        </w:rPr>
        <w:sectPr>
          <w:pgSz w:w="11907" w:h="16840"/>
          <w:pgMar w:top="1440" w:right="1797" w:bottom="1440" w:left="1797" w:header="851" w:footer="992" w:gutter="0"/>
          <w:cols w:space="720" w:num="1"/>
          <w:docGrid w:linePitch="312" w:charSpace="0"/>
        </w:sectPr>
      </w:pPr>
    </w:p>
    <w:p w14:paraId="422A8B4F">
      <w:pPr>
        <w:adjustRightInd w:val="0"/>
        <w:snapToGrid w:val="0"/>
        <w:ind w:firstLine="0" w:firstLineChars="0"/>
        <w:jc w:val="both"/>
        <w:rPr>
          <w:rFonts w:cs="Times New Roman"/>
          <w:b/>
          <w:bCs/>
        </w:rPr>
      </w:pPr>
    </w:p>
    <w:p w14:paraId="752F2ABD">
      <w:pPr>
        <w:adjustRightInd w:val="0"/>
        <w:snapToGrid w:val="0"/>
        <w:ind w:firstLine="0" w:firstLineChars="0"/>
        <w:jc w:val="both"/>
        <w:rPr>
          <w:rFonts w:cs="Times New Roman"/>
          <w:b/>
          <w:bCs/>
        </w:rPr>
      </w:pPr>
    </w:p>
    <w:p w14:paraId="4655495F">
      <w:pPr>
        <w:adjustRightInd w:val="0"/>
        <w:snapToGrid w:val="0"/>
        <w:ind w:firstLine="0" w:firstLineChars="0"/>
        <w:jc w:val="both"/>
        <w:rPr>
          <w:rFonts w:cs="Times New Roman"/>
          <w:b/>
          <w:bCs/>
        </w:rPr>
      </w:pPr>
    </w:p>
    <w:p w14:paraId="50ECAC0F">
      <w:pPr>
        <w:adjustRightInd w:val="0"/>
        <w:snapToGrid w:val="0"/>
        <w:ind w:firstLine="0" w:firstLineChars="0"/>
        <w:jc w:val="both"/>
        <w:rPr>
          <w:rFonts w:cs="Times New Roman"/>
          <w:b/>
          <w:bCs/>
        </w:rPr>
      </w:pPr>
    </w:p>
    <w:p w14:paraId="2291A088">
      <w:pPr>
        <w:adjustRightInd w:val="0"/>
        <w:snapToGrid w:val="0"/>
        <w:ind w:firstLine="0" w:firstLineChars="0"/>
        <w:jc w:val="both"/>
        <w:rPr>
          <w:rFonts w:cs="Times New Roman"/>
          <w:b/>
          <w:bCs/>
        </w:rPr>
      </w:pPr>
    </w:p>
    <w:p w14:paraId="47C83628">
      <w:pPr>
        <w:adjustRightInd w:val="0"/>
        <w:snapToGrid w:val="0"/>
        <w:ind w:firstLine="0" w:firstLineChars="0"/>
        <w:jc w:val="both"/>
        <w:rPr>
          <w:rFonts w:cs="Times New Roman"/>
          <w:b/>
          <w:bCs/>
        </w:rPr>
      </w:pPr>
    </w:p>
    <w:p w14:paraId="66D27193">
      <w:pPr>
        <w:adjustRightInd w:val="0"/>
        <w:snapToGrid w:val="0"/>
        <w:ind w:firstLine="0" w:firstLineChars="0"/>
        <w:jc w:val="both"/>
        <w:rPr>
          <w:rFonts w:cs="Times New Roman"/>
          <w:b/>
          <w:bCs/>
        </w:rPr>
      </w:pPr>
    </w:p>
    <w:p w14:paraId="325BF476">
      <w:pPr>
        <w:adjustRightInd w:val="0"/>
        <w:snapToGrid w:val="0"/>
        <w:ind w:firstLine="0" w:firstLineChars="0"/>
        <w:jc w:val="both"/>
        <w:rPr>
          <w:rFonts w:cs="Times New Roman"/>
          <w:b/>
          <w:bCs/>
        </w:rPr>
      </w:pPr>
    </w:p>
    <w:p w14:paraId="0CBE2777">
      <w:pPr>
        <w:adjustRightInd w:val="0"/>
        <w:snapToGrid w:val="0"/>
        <w:ind w:firstLine="0" w:firstLineChars="0"/>
        <w:jc w:val="both"/>
        <w:rPr>
          <w:rFonts w:cs="Times New Roman"/>
          <w:b/>
          <w:bCs/>
        </w:rPr>
      </w:pPr>
    </w:p>
    <w:p w14:paraId="75FCB67A">
      <w:pPr>
        <w:adjustRightInd w:val="0"/>
        <w:snapToGrid w:val="0"/>
        <w:ind w:firstLine="0" w:firstLineChars="0"/>
        <w:jc w:val="both"/>
        <w:rPr>
          <w:rFonts w:cs="Times New Roman"/>
          <w:b/>
          <w:bCs/>
        </w:rPr>
      </w:pPr>
    </w:p>
    <w:p w14:paraId="7AF153A3">
      <w:pPr>
        <w:adjustRightInd w:val="0"/>
        <w:snapToGrid w:val="0"/>
        <w:ind w:firstLine="0" w:firstLineChars="0"/>
        <w:jc w:val="both"/>
        <w:rPr>
          <w:rFonts w:cs="Times New Roman"/>
          <w:b/>
          <w:bCs/>
        </w:rPr>
      </w:pPr>
    </w:p>
    <w:p w14:paraId="17229505">
      <w:pPr>
        <w:adjustRightInd w:val="0"/>
        <w:snapToGrid w:val="0"/>
        <w:ind w:firstLine="0" w:firstLineChars="0"/>
        <w:jc w:val="both"/>
        <w:rPr>
          <w:rFonts w:cs="Times New Roman"/>
          <w:b/>
          <w:bCs/>
        </w:rPr>
      </w:pPr>
    </w:p>
    <w:p w14:paraId="24BB9D96">
      <w:pPr>
        <w:tabs>
          <w:tab w:val="left" w:pos="1992"/>
        </w:tabs>
        <w:adjustRightInd w:val="0"/>
        <w:snapToGrid w:val="0"/>
        <w:ind w:firstLine="263" w:firstLineChars="49"/>
        <w:jc w:val="center"/>
        <w:rPr>
          <w:rFonts w:cs="Times New Roman"/>
          <w:spacing w:val="48"/>
          <w:sz w:val="44"/>
          <w:szCs w:val="44"/>
        </w:rPr>
      </w:pPr>
      <w:r>
        <w:rPr>
          <w:rFonts w:cs="Times New Roman"/>
          <w:b/>
          <w:spacing w:val="48"/>
          <w:sz w:val="44"/>
          <w:szCs w:val="44"/>
        </w:rPr>
        <w:t>阜康市</w:t>
      </w:r>
    </w:p>
    <w:p w14:paraId="4C9942E2">
      <w:pPr>
        <w:tabs>
          <w:tab w:val="left" w:pos="1992"/>
        </w:tabs>
        <w:adjustRightInd w:val="0"/>
        <w:snapToGrid w:val="0"/>
        <w:ind w:firstLine="283" w:firstLineChars="49"/>
        <w:jc w:val="center"/>
        <w:rPr>
          <w:rFonts w:cs="Times New Roman"/>
          <w:b/>
          <w:spacing w:val="48"/>
          <w:sz w:val="48"/>
          <w:szCs w:val="48"/>
        </w:rPr>
      </w:pPr>
      <w:r>
        <w:rPr>
          <w:rFonts w:cs="Times New Roman"/>
          <w:b/>
          <w:spacing w:val="48"/>
          <w:sz w:val="48"/>
          <w:szCs w:val="48"/>
        </w:rPr>
        <w:t>水土保持规划</w:t>
      </w:r>
      <w:r>
        <w:rPr>
          <w:rFonts w:cs="Times New Roman"/>
          <w:b/>
          <w:sz w:val="48"/>
          <w:szCs w:val="48"/>
        </w:rPr>
        <w:t>（202</w:t>
      </w:r>
      <w:r>
        <w:rPr>
          <w:rFonts w:hint="eastAsia" w:cs="Times New Roman"/>
          <w:b/>
          <w:sz w:val="48"/>
          <w:szCs w:val="48"/>
        </w:rPr>
        <w:t>4</w:t>
      </w:r>
      <w:r>
        <w:rPr>
          <w:rFonts w:cs="Times New Roman"/>
          <w:b/>
          <w:sz w:val="48"/>
          <w:szCs w:val="48"/>
        </w:rPr>
        <w:t>-2030）</w:t>
      </w:r>
    </w:p>
    <w:p w14:paraId="2EA7A534">
      <w:pPr>
        <w:adjustRightInd w:val="0"/>
        <w:snapToGrid w:val="0"/>
        <w:ind w:firstLine="1156"/>
        <w:jc w:val="center"/>
        <w:rPr>
          <w:rFonts w:cs="Times New Roman"/>
          <w:b/>
          <w:spacing w:val="48"/>
          <w:sz w:val="48"/>
          <w:szCs w:val="48"/>
        </w:rPr>
      </w:pPr>
      <w:r>
        <w:rPr>
          <w:rFonts w:cs="Times New Roman"/>
          <w:b/>
          <w:spacing w:val="48"/>
          <w:sz w:val="48"/>
          <w:szCs w:val="48"/>
        </w:rPr>
        <w:t>附表</w:t>
      </w:r>
    </w:p>
    <w:p w14:paraId="70799235">
      <w:pPr>
        <w:adjustRightInd w:val="0"/>
        <w:snapToGrid w:val="0"/>
        <w:ind w:firstLine="720"/>
        <w:jc w:val="center"/>
        <w:rPr>
          <w:rFonts w:cs="Times New Roman"/>
          <w:sz w:val="36"/>
          <w:szCs w:val="36"/>
        </w:rPr>
      </w:pPr>
    </w:p>
    <w:p w14:paraId="02EADEB0">
      <w:pPr>
        <w:adjustRightInd w:val="0"/>
        <w:snapToGrid w:val="0"/>
        <w:ind w:firstLine="600"/>
        <w:jc w:val="center"/>
        <w:rPr>
          <w:rFonts w:cs="Times New Roman"/>
          <w:sz w:val="30"/>
          <w:szCs w:val="30"/>
        </w:rPr>
      </w:pPr>
    </w:p>
    <w:p w14:paraId="076DBAEA">
      <w:pPr>
        <w:adjustRightInd w:val="0"/>
        <w:snapToGrid w:val="0"/>
        <w:ind w:firstLine="600"/>
        <w:jc w:val="center"/>
        <w:rPr>
          <w:rFonts w:cs="Times New Roman"/>
          <w:sz w:val="30"/>
          <w:szCs w:val="30"/>
        </w:rPr>
      </w:pPr>
    </w:p>
    <w:p w14:paraId="17A86699">
      <w:pPr>
        <w:adjustRightInd w:val="0"/>
        <w:snapToGrid w:val="0"/>
        <w:ind w:firstLine="600"/>
        <w:jc w:val="center"/>
        <w:rPr>
          <w:rFonts w:cs="Times New Roman"/>
          <w:sz w:val="30"/>
          <w:szCs w:val="30"/>
        </w:rPr>
      </w:pPr>
    </w:p>
    <w:p w14:paraId="3274BFE9">
      <w:pPr>
        <w:adjustRightInd w:val="0"/>
        <w:snapToGrid w:val="0"/>
        <w:ind w:firstLine="600"/>
        <w:jc w:val="center"/>
        <w:rPr>
          <w:rFonts w:cs="Times New Roman"/>
          <w:sz w:val="30"/>
          <w:szCs w:val="30"/>
        </w:rPr>
      </w:pPr>
    </w:p>
    <w:p w14:paraId="43F30B0C">
      <w:pPr>
        <w:adjustRightInd w:val="0"/>
        <w:snapToGrid w:val="0"/>
        <w:ind w:firstLine="600"/>
        <w:jc w:val="center"/>
        <w:rPr>
          <w:rFonts w:cs="Times New Roman"/>
          <w:sz w:val="30"/>
          <w:szCs w:val="30"/>
        </w:rPr>
      </w:pPr>
    </w:p>
    <w:p w14:paraId="2E42A46A">
      <w:pPr>
        <w:adjustRightInd w:val="0"/>
        <w:snapToGrid w:val="0"/>
        <w:ind w:firstLine="600"/>
        <w:jc w:val="center"/>
        <w:rPr>
          <w:rFonts w:cs="Times New Roman"/>
          <w:sz w:val="30"/>
          <w:szCs w:val="30"/>
        </w:rPr>
      </w:pPr>
    </w:p>
    <w:p w14:paraId="5DFBB2CC">
      <w:pPr>
        <w:adjustRightInd w:val="0"/>
        <w:snapToGrid w:val="0"/>
        <w:ind w:firstLine="600"/>
        <w:jc w:val="center"/>
        <w:rPr>
          <w:rFonts w:cs="Times New Roman"/>
          <w:sz w:val="30"/>
          <w:szCs w:val="30"/>
        </w:rPr>
      </w:pPr>
    </w:p>
    <w:p w14:paraId="1C071FC4">
      <w:pPr>
        <w:adjustRightInd w:val="0"/>
        <w:snapToGrid w:val="0"/>
        <w:ind w:firstLine="600"/>
        <w:jc w:val="center"/>
        <w:rPr>
          <w:rFonts w:cs="Times New Roman"/>
          <w:sz w:val="30"/>
          <w:szCs w:val="30"/>
        </w:rPr>
      </w:pPr>
    </w:p>
    <w:p w14:paraId="585A6C02">
      <w:pPr>
        <w:adjustRightInd w:val="0"/>
        <w:snapToGrid w:val="0"/>
        <w:ind w:firstLine="600"/>
        <w:jc w:val="center"/>
        <w:rPr>
          <w:rFonts w:cs="Times New Roman"/>
          <w:sz w:val="30"/>
          <w:szCs w:val="30"/>
        </w:rPr>
      </w:pPr>
    </w:p>
    <w:p w14:paraId="1FEE5F59">
      <w:pPr>
        <w:adjustRightInd w:val="0"/>
        <w:snapToGrid w:val="0"/>
        <w:ind w:firstLine="600"/>
        <w:jc w:val="center"/>
        <w:rPr>
          <w:rFonts w:cs="Times New Roman"/>
          <w:sz w:val="30"/>
          <w:szCs w:val="30"/>
        </w:rPr>
      </w:pPr>
    </w:p>
    <w:p w14:paraId="16CC8BE9">
      <w:pPr>
        <w:adjustRightInd w:val="0"/>
        <w:snapToGrid w:val="0"/>
        <w:ind w:firstLine="600"/>
        <w:jc w:val="center"/>
        <w:rPr>
          <w:rFonts w:cs="Times New Roman"/>
          <w:sz w:val="30"/>
          <w:szCs w:val="30"/>
        </w:rPr>
      </w:pPr>
    </w:p>
    <w:p w14:paraId="4020346C">
      <w:pPr>
        <w:widowControl w:val="0"/>
        <w:autoSpaceDE w:val="0"/>
        <w:autoSpaceDN w:val="0"/>
        <w:adjustRightInd w:val="0"/>
        <w:snapToGrid w:val="0"/>
        <w:spacing w:line="240" w:lineRule="auto"/>
        <w:ind w:firstLine="0" w:firstLineChars="0"/>
        <w:jc w:val="both"/>
        <w:rPr>
          <w:rFonts w:ascii="仿宋_GB2312" w:cs="Times New Roman"/>
          <w:sz w:val="28"/>
          <w:szCs w:val="28"/>
        </w:rPr>
      </w:pPr>
      <w:r>
        <w:rPr>
          <w:rFonts w:hint="eastAsia" w:ascii="仿宋_GB2312" w:cs="Times New Roman"/>
          <w:sz w:val="28"/>
          <w:szCs w:val="28"/>
          <w:lang w:val="zh-CN"/>
        </w:rPr>
        <w:t>附表一</w:t>
      </w:r>
      <w:r>
        <w:rPr>
          <w:rFonts w:hint="eastAsia" w:ascii="仿宋_GB2312" w:cs="Times New Roman"/>
          <w:sz w:val="28"/>
          <w:szCs w:val="28"/>
        </w:rPr>
        <w:t xml:space="preserve"> </w:t>
      </w:r>
      <w:r>
        <w:rPr>
          <w:rFonts w:hint="eastAsia" w:ascii="仿宋_GB2312" w:cs="Times New Roman"/>
          <w:sz w:val="28"/>
          <w:szCs w:val="28"/>
          <w:lang w:val="zh-CN"/>
        </w:rPr>
        <w:t>气象要素特征表</w:t>
      </w:r>
    </w:p>
    <w:tbl>
      <w:tblPr>
        <w:tblStyle w:val="48"/>
        <w:tblW w:w="4999" w:type="pct"/>
        <w:tblInd w:w="0" w:type="dxa"/>
        <w:tblLayout w:type="autofit"/>
        <w:tblCellMar>
          <w:top w:w="0" w:type="dxa"/>
          <w:left w:w="108" w:type="dxa"/>
          <w:bottom w:w="0" w:type="dxa"/>
          <w:right w:w="108" w:type="dxa"/>
        </w:tblCellMar>
      </w:tblPr>
      <w:tblGrid>
        <w:gridCol w:w="1898"/>
        <w:gridCol w:w="946"/>
        <w:gridCol w:w="946"/>
        <w:gridCol w:w="946"/>
        <w:gridCol w:w="946"/>
        <w:gridCol w:w="947"/>
        <w:gridCol w:w="947"/>
        <w:gridCol w:w="951"/>
      </w:tblGrid>
      <w:tr w14:paraId="3B0B367B">
        <w:tblPrEx>
          <w:tblCellMar>
            <w:top w:w="0" w:type="dxa"/>
            <w:left w:w="108" w:type="dxa"/>
            <w:bottom w:w="0" w:type="dxa"/>
            <w:right w:w="108" w:type="dxa"/>
          </w:tblCellMar>
        </w:tblPrEx>
        <w:trPr>
          <w:trHeight w:val="151" w:hRule="atLeast"/>
        </w:trPr>
        <w:tc>
          <w:tcPr>
            <w:tcW w:w="1113" w:type="pct"/>
            <w:tcBorders>
              <w:top w:val="single" w:color="auto" w:sz="4" w:space="0"/>
              <w:left w:val="single" w:color="auto" w:sz="4" w:space="0"/>
              <w:bottom w:val="single" w:color="auto" w:sz="4" w:space="0"/>
              <w:right w:val="single" w:color="auto" w:sz="4" w:space="0"/>
            </w:tcBorders>
            <w:vAlign w:val="center"/>
          </w:tcPr>
          <w:p w14:paraId="3A94BDEC">
            <w:pPr>
              <w:spacing w:line="240" w:lineRule="auto"/>
              <w:ind w:firstLine="0" w:firstLineChars="0"/>
              <w:jc w:val="center"/>
              <w:rPr>
                <w:rFonts w:ascii="仿宋_GB2312" w:cs="Times New Roman"/>
                <w:sz w:val="21"/>
                <w:szCs w:val="21"/>
              </w:rPr>
            </w:pPr>
            <w:r>
              <w:rPr>
                <w:rFonts w:hint="eastAsia" w:ascii="仿宋_GB2312" w:cs="Times New Roman"/>
                <w:sz w:val="21"/>
                <w:szCs w:val="21"/>
              </w:rPr>
              <w:t>项  目</w:t>
            </w:r>
          </w:p>
        </w:tc>
        <w:tc>
          <w:tcPr>
            <w:tcW w:w="555" w:type="pct"/>
            <w:tcBorders>
              <w:top w:val="single" w:color="auto" w:sz="4" w:space="0"/>
              <w:left w:val="nil"/>
              <w:bottom w:val="single" w:color="auto" w:sz="4" w:space="0"/>
              <w:right w:val="single" w:color="auto" w:sz="4" w:space="0"/>
            </w:tcBorders>
            <w:vAlign w:val="center"/>
          </w:tcPr>
          <w:p w14:paraId="7746E1FE">
            <w:pPr>
              <w:spacing w:line="240" w:lineRule="auto"/>
              <w:ind w:firstLine="0" w:firstLineChars="0"/>
              <w:jc w:val="center"/>
              <w:rPr>
                <w:rFonts w:ascii="仿宋_GB2312" w:cs="Times New Roman"/>
                <w:sz w:val="21"/>
                <w:szCs w:val="21"/>
              </w:rPr>
            </w:pPr>
            <w:r>
              <w:rPr>
                <w:rFonts w:hint="eastAsia" w:ascii="仿宋_GB2312" w:cs="Times New Roman"/>
                <w:sz w:val="21"/>
                <w:szCs w:val="21"/>
              </w:rPr>
              <w:t>1月</w:t>
            </w:r>
          </w:p>
        </w:tc>
        <w:tc>
          <w:tcPr>
            <w:tcW w:w="555" w:type="pct"/>
            <w:tcBorders>
              <w:top w:val="single" w:color="auto" w:sz="4" w:space="0"/>
              <w:left w:val="nil"/>
              <w:bottom w:val="single" w:color="auto" w:sz="4" w:space="0"/>
              <w:right w:val="single" w:color="auto" w:sz="4" w:space="0"/>
            </w:tcBorders>
            <w:vAlign w:val="center"/>
          </w:tcPr>
          <w:p w14:paraId="7558D69D">
            <w:pPr>
              <w:spacing w:line="240" w:lineRule="auto"/>
              <w:ind w:firstLine="0" w:firstLineChars="0"/>
              <w:jc w:val="center"/>
              <w:rPr>
                <w:rFonts w:ascii="仿宋_GB2312" w:cs="Times New Roman"/>
                <w:sz w:val="21"/>
                <w:szCs w:val="21"/>
              </w:rPr>
            </w:pPr>
            <w:r>
              <w:rPr>
                <w:rFonts w:hint="eastAsia" w:ascii="仿宋_GB2312" w:cs="Times New Roman"/>
                <w:sz w:val="21"/>
                <w:szCs w:val="21"/>
              </w:rPr>
              <w:t>2月</w:t>
            </w:r>
          </w:p>
        </w:tc>
        <w:tc>
          <w:tcPr>
            <w:tcW w:w="555" w:type="pct"/>
            <w:tcBorders>
              <w:top w:val="single" w:color="auto" w:sz="4" w:space="0"/>
              <w:left w:val="nil"/>
              <w:bottom w:val="single" w:color="auto" w:sz="4" w:space="0"/>
              <w:right w:val="single" w:color="auto" w:sz="4" w:space="0"/>
            </w:tcBorders>
            <w:vAlign w:val="center"/>
          </w:tcPr>
          <w:p w14:paraId="6C2E4349">
            <w:pPr>
              <w:spacing w:line="240" w:lineRule="auto"/>
              <w:ind w:firstLine="0" w:firstLineChars="0"/>
              <w:jc w:val="center"/>
              <w:rPr>
                <w:rFonts w:ascii="仿宋_GB2312" w:cs="Times New Roman"/>
                <w:sz w:val="21"/>
                <w:szCs w:val="21"/>
              </w:rPr>
            </w:pPr>
            <w:r>
              <w:rPr>
                <w:rFonts w:hint="eastAsia" w:ascii="仿宋_GB2312" w:cs="Times New Roman"/>
                <w:sz w:val="21"/>
                <w:szCs w:val="21"/>
              </w:rPr>
              <w:t>3月</w:t>
            </w:r>
          </w:p>
        </w:tc>
        <w:tc>
          <w:tcPr>
            <w:tcW w:w="555" w:type="pct"/>
            <w:tcBorders>
              <w:top w:val="single" w:color="auto" w:sz="4" w:space="0"/>
              <w:left w:val="nil"/>
              <w:bottom w:val="single" w:color="auto" w:sz="4" w:space="0"/>
              <w:right w:val="single" w:color="auto" w:sz="4" w:space="0"/>
            </w:tcBorders>
            <w:vAlign w:val="center"/>
          </w:tcPr>
          <w:p w14:paraId="45D84A45">
            <w:pPr>
              <w:spacing w:line="240" w:lineRule="auto"/>
              <w:ind w:firstLine="0" w:firstLineChars="0"/>
              <w:jc w:val="center"/>
              <w:rPr>
                <w:rFonts w:ascii="仿宋_GB2312" w:cs="Times New Roman"/>
                <w:sz w:val="21"/>
                <w:szCs w:val="21"/>
              </w:rPr>
            </w:pPr>
            <w:r>
              <w:rPr>
                <w:rFonts w:hint="eastAsia" w:ascii="仿宋_GB2312" w:cs="Times New Roman"/>
                <w:sz w:val="21"/>
                <w:szCs w:val="21"/>
              </w:rPr>
              <w:t>4月</w:t>
            </w:r>
          </w:p>
        </w:tc>
        <w:tc>
          <w:tcPr>
            <w:tcW w:w="555" w:type="pct"/>
            <w:tcBorders>
              <w:top w:val="single" w:color="auto" w:sz="4" w:space="0"/>
              <w:left w:val="nil"/>
              <w:bottom w:val="single" w:color="auto" w:sz="4" w:space="0"/>
              <w:right w:val="single" w:color="auto" w:sz="4" w:space="0"/>
            </w:tcBorders>
            <w:vAlign w:val="center"/>
          </w:tcPr>
          <w:p w14:paraId="15A6118F">
            <w:pPr>
              <w:spacing w:line="240" w:lineRule="auto"/>
              <w:ind w:firstLine="0" w:firstLineChars="0"/>
              <w:jc w:val="center"/>
              <w:rPr>
                <w:rFonts w:ascii="仿宋_GB2312" w:cs="Times New Roman"/>
                <w:sz w:val="21"/>
                <w:szCs w:val="21"/>
              </w:rPr>
            </w:pPr>
            <w:r>
              <w:rPr>
                <w:rFonts w:hint="eastAsia" w:ascii="仿宋_GB2312" w:cs="Times New Roman"/>
                <w:sz w:val="21"/>
                <w:szCs w:val="21"/>
              </w:rPr>
              <w:t>5月</w:t>
            </w:r>
          </w:p>
        </w:tc>
        <w:tc>
          <w:tcPr>
            <w:tcW w:w="555" w:type="pct"/>
            <w:tcBorders>
              <w:top w:val="single" w:color="auto" w:sz="4" w:space="0"/>
              <w:left w:val="nil"/>
              <w:bottom w:val="single" w:color="auto" w:sz="4" w:space="0"/>
              <w:right w:val="single" w:color="auto" w:sz="4" w:space="0"/>
            </w:tcBorders>
            <w:vAlign w:val="center"/>
          </w:tcPr>
          <w:p w14:paraId="1EFC6249">
            <w:pPr>
              <w:spacing w:line="240" w:lineRule="auto"/>
              <w:ind w:firstLine="0" w:firstLineChars="0"/>
              <w:jc w:val="center"/>
              <w:rPr>
                <w:rFonts w:ascii="仿宋_GB2312" w:cs="Times New Roman"/>
                <w:sz w:val="21"/>
                <w:szCs w:val="21"/>
              </w:rPr>
            </w:pPr>
            <w:r>
              <w:rPr>
                <w:rFonts w:hint="eastAsia" w:ascii="仿宋_GB2312" w:cs="Times New Roman"/>
                <w:sz w:val="21"/>
                <w:szCs w:val="21"/>
              </w:rPr>
              <w:t>6月</w:t>
            </w:r>
          </w:p>
        </w:tc>
        <w:tc>
          <w:tcPr>
            <w:tcW w:w="555" w:type="pct"/>
            <w:tcBorders>
              <w:top w:val="single" w:color="auto" w:sz="4" w:space="0"/>
              <w:left w:val="nil"/>
              <w:bottom w:val="single" w:color="auto" w:sz="4" w:space="0"/>
              <w:right w:val="single" w:color="auto" w:sz="4" w:space="0"/>
            </w:tcBorders>
            <w:vAlign w:val="center"/>
          </w:tcPr>
          <w:p w14:paraId="53533AFF">
            <w:pPr>
              <w:spacing w:line="240" w:lineRule="auto"/>
              <w:ind w:firstLine="0" w:firstLineChars="0"/>
              <w:jc w:val="center"/>
              <w:rPr>
                <w:rFonts w:ascii="仿宋_GB2312" w:cs="Times New Roman"/>
                <w:sz w:val="21"/>
                <w:szCs w:val="21"/>
              </w:rPr>
            </w:pPr>
            <w:r>
              <w:rPr>
                <w:rFonts w:hint="eastAsia" w:ascii="仿宋_GB2312" w:cs="Times New Roman"/>
                <w:sz w:val="21"/>
                <w:szCs w:val="21"/>
              </w:rPr>
              <w:t>7月</w:t>
            </w:r>
          </w:p>
        </w:tc>
      </w:tr>
      <w:tr w14:paraId="0605BD0E">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3835F177">
            <w:pPr>
              <w:spacing w:line="240" w:lineRule="auto"/>
              <w:ind w:firstLine="0" w:firstLineChars="0"/>
              <w:jc w:val="center"/>
              <w:rPr>
                <w:rFonts w:ascii="仿宋_GB2312" w:cs="Times New Roman"/>
                <w:sz w:val="21"/>
                <w:szCs w:val="21"/>
              </w:rPr>
            </w:pPr>
            <w:r>
              <w:rPr>
                <w:rFonts w:hint="eastAsia" w:ascii="仿宋_GB2312" w:cs="Times New Roman"/>
                <w:sz w:val="21"/>
                <w:szCs w:val="21"/>
              </w:rPr>
              <w:t>气温（℃）</w:t>
            </w:r>
          </w:p>
        </w:tc>
        <w:tc>
          <w:tcPr>
            <w:tcW w:w="555" w:type="pct"/>
            <w:tcBorders>
              <w:top w:val="nil"/>
              <w:left w:val="nil"/>
              <w:bottom w:val="single" w:color="auto" w:sz="4" w:space="0"/>
              <w:right w:val="single" w:color="auto" w:sz="4" w:space="0"/>
            </w:tcBorders>
            <w:vAlign w:val="center"/>
          </w:tcPr>
          <w:p w14:paraId="087D2179">
            <w:pPr>
              <w:spacing w:line="240" w:lineRule="auto"/>
              <w:ind w:firstLine="0" w:firstLineChars="0"/>
              <w:jc w:val="center"/>
              <w:rPr>
                <w:rFonts w:ascii="仿宋_GB2312" w:cs="Times New Roman"/>
                <w:sz w:val="21"/>
                <w:szCs w:val="21"/>
              </w:rPr>
            </w:pPr>
            <w:r>
              <w:rPr>
                <w:rFonts w:hint="eastAsia" w:ascii="仿宋_GB2312" w:cs="Times New Roman"/>
                <w:sz w:val="21"/>
                <w:szCs w:val="21"/>
              </w:rPr>
              <w:t>-15.9</w:t>
            </w:r>
          </w:p>
        </w:tc>
        <w:tc>
          <w:tcPr>
            <w:tcW w:w="555" w:type="pct"/>
            <w:tcBorders>
              <w:top w:val="nil"/>
              <w:left w:val="nil"/>
              <w:bottom w:val="single" w:color="auto" w:sz="4" w:space="0"/>
              <w:right w:val="single" w:color="auto" w:sz="4" w:space="0"/>
            </w:tcBorders>
            <w:vAlign w:val="center"/>
          </w:tcPr>
          <w:p w14:paraId="4379DE1F">
            <w:pPr>
              <w:spacing w:line="240" w:lineRule="auto"/>
              <w:ind w:firstLine="0" w:firstLineChars="0"/>
              <w:jc w:val="center"/>
              <w:rPr>
                <w:rFonts w:ascii="仿宋_GB2312" w:cs="Times New Roman"/>
                <w:sz w:val="21"/>
                <w:szCs w:val="21"/>
              </w:rPr>
            </w:pPr>
            <w:r>
              <w:rPr>
                <w:rFonts w:hint="eastAsia" w:ascii="仿宋_GB2312" w:cs="Times New Roman"/>
                <w:sz w:val="21"/>
                <w:szCs w:val="21"/>
              </w:rPr>
              <w:t>-11.9</w:t>
            </w:r>
          </w:p>
        </w:tc>
        <w:tc>
          <w:tcPr>
            <w:tcW w:w="555" w:type="pct"/>
            <w:tcBorders>
              <w:top w:val="nil"/>
              <w:left w:val="nil"/>
              <w:bottom w:val="single" w:color="auto" w:sz="4" w:space="0"/>
              <w:right w:val="single" w:color="auto" w:sz="4" w:space="0"/>
            </w:tcBorders>
            <w:vAlign w:val="center"/>
          </w:tcPr>
          <w:p w14:paraId="354B29D2">
            <w:pPr>
              <w:spacing w:line="240" w:lineRule="auto"/>
              <w:ind w:firstLine="0" w:firstLineChars="0"/>
              <w:jc w:val="center"/>
              <w:rPr>
                <w:rFonts w:ascii="仿宋_GB2312" w:cs="Times New Roman"/>
                <w:sz w:val="21"/>
                <w:szCs w:val="21"/>
              </w:rPr>
            </w:pPr>
            <w:r>
              <w:rPr>
                <w:rFonts w:hint="eastAsia" w:ascii="仿宋_GB2312" w:cs="Times New Roman"/>
                <w:sz w:val="21"/>
                <w:szCs w:val="21"/>
              </w:rPr>
              <w:t>0.1</w:t>
            </w:r>
          </w:p>
        </w:tc>
        <w:tc>
          <w:tcPr>
            <w:tcW w:w="555" w:type="pct"/>
            <w:tcBorders>
              <w:top w:val="nil"/>
              <w:left w:val="nil"/>
              <w:bottom w:val="single" w:color="auto" w:sz="4" w:space="0"/>
              <w:right w:val="single" w:color="auto" w:sz="4" w:space="0"/>
            </w:tcBorders>
            <w:vAlign w:val="center"/>
          </w:tcPr>
          <w:p w14:paraId="1F903FF9">
            <w:pPr>
              <w:spacing w:line="240" w:lineRule="auto"/>
              <w:ind w:firstLine="0" w:firstLineChars="0"/>
              <w:jc w:val="center"/>
              <w:rPr>
                <w:rFonts w:ascii="仿宋_GB2312" w:cs="Times New Roman"/>
                <w:sz w:val="21"/>
                <w:szCs w:val="21"/>
              </w:rPr>
            </w:pPr>
            <w:r>
              <w:rPr>
                <w:rFonts w:hint="eastAsia" w:ascii="仿宋_GB2312" w:cs="Times New Roman"/>
                <w:sz w:val="21"/>
                <w:szCs w:val="21"/>
              </w:rPr>
              <w:t>12.1</w:t>
            </w:r>
          </w:p>
        </w:tc>
        <w:tc>
          <w:tcPr>
            <w:tcW w:w="555" w:type="pct"/>
            <w:tcBorders>
              <w:top w:val="nil"/>
              <w:left w:val="nil"/>
              <w:bottom w:val="single" w:color="auto" w:sz="4" w:space="0"/>
              <w:right w:val="single" w:color="auto" w:sz="4" w:space="0"/>
            </w:tcBorders>
            <w:vAlign w:val="center"/>
          </w:tcPr>
          <w:p w14:paraId="7BF2EF65">
            <w:pPr>
              <w:spacing w:line="240" w:lineRule="auto"/>
              <w:ind w:firstLine="0" w:firstLineChars="0"/>
              <w:jc w:val="center"/>
              <w:rPr>
                <w:rFonts w:ascii="仿宋_GB2312" w:cs="Times New Roman"/>
                <w:sz w:val="21"/>
                <w:szCs w:val="21"/>
              </w:rPr>
            </w:pPr>
            <w:r>
              <w:rPr>
                <w:rFonts w:hint="eastAsia" w:ascii="仿宋_GB2312" w:cs="Times New Roman"/>
                <w:sz w:val="21"/>
                <w:szCs w:val="21"/>
              </w:rPr>
              <w:t>19</w:t>
            </w:r>
          </w:p>
        </w:tc>
        <w:tc>
          <w:tcPr>
            <w:tcW w:w="555" w:type="pct"/>
            <w:tcBorders>
              <w:top w:val="nil"/>
              <w:left w:val="nil"/>
              <w:bottom w:val="single" w:color="auto" w:sz="4" w:space="0"/>
              <w:right w:val="single" w:color="auto" w:sz="4" w:space="0"/>
            </w:tcBorders>
            <w:vAlign w:val="center"/>
          </w:tcPr>
          <w:p w14:paraId="31D701E2">
            <w:pPr>
              <w:spacing w:line="240" w:lineRule="auto"/>
              <w:ind w:firstLine="0" w:firstLineChars="0"/>
              <w:jc w:val="center"/>
              <w:rPr>
                <w:rFonts w:ascii="仿宋_GB2312" w:cs="Times New Roman"/>
                <w:sz w:val="21"/>
                <w:szCs w:val="21"/>
              </w:rPr>
            </w:pPr>
            <w:r>
              <w:rPr>
                <w:rFonts w:hint="eastAsia" w:ascii="仿宋_GB2312" w:cs="Times New Roman"/>
                <w:sz w:val="21"/>
                <w:szCs w:val="21"/>
              </w:rPr>
              <w:t>24</w:t>
            </w:r>
          </w:p>
        </w:tc>
        <w:tc>
          <w:tcPr>
            <w:tcW w:w="555" w:type="pct"/>
            <w:tcBorders>
              <w:top w:val="nil"/>
              <w:left w:val="nil"/>
              <w:bottom w:val="single" w:color="auto" w:sz="4" w:space="0"/>
              <w:right w:val="single" w:color="auto" w:sz="4" w:space="0"/>
            </w:tcBorders>
            <w:vAlign w:val="center"/>
          </w:tcPr>
          <w:p w14:paraId="20700F40">
            <w:pPr>
              <w:spacing w:line="240" w:lineRule="auto"/>
              <w:ind w:firstLine="0" w:firstLineChars="0"/>
              <w:jc w:val="center"/>
              <w:rPr>
                <w:rFonts w:ascii="仿宋_GB2312" w:cs="Times New Roman"/>
                <w:sz w:val="21"/>
                <w:szCs w:val="21"/>
              </w:rPr>
            </w:pPr>
            <w:r>
              <w:rPr>
                <w:rFonts w:hint="eastAsia" w:ascii="仿宋_GB2312" w:cs="Times New Roman"/>
                <w:sz w:val="21"/>
                <w:szCs w:val="21"/>
              </w:rPr>
              <w:t>25.4</w:t>
            </w:r>
          </w:p>
        </w:tc>
      </w:tr>
      <w:tr w14:paraId="2E97E6F5">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25327B68">
            <w:pPr>
              <w:spacing w:line="240" w:lineRule="auto"/>
              <w:ind w:firstLine="0" w:firstLineChars="0"/>
              <w:jc w:val="center"/>
              <w:rPr>
                <w:rFonts w:ascii="仿宋_GB2312" w:cs="Times New Roman"/>
                <w:sz w:val="21"/>
                <w:szCs w:val="21"/>
              </w:rPr>
            </w:pPr>
            <w:r>
              <w:rPr>
                <w:rFonts w:hint="eastAsia" w:ascii="仿宋_GB2312" w:cs="Times New Roman"/>
                <w:sz w:val="21"/>
                <w:szCs w:val="21"/>
              </w:rPr>
              <w:t>降水量（mm）</w:t>
            </w:r>
          </w:p>
        </w:tc>
        <w:tc>
          <w:tcPr>
            <w:tcW w:w="555" w:type="pct"/>
            <w:tcBorders>
              <w:top w:val="nil"/>
              <w:left w:val="nil"/>
              <w:bottom w:val="single" w:color="auto" w:sz="4" w:space="0"/>
              <w:right w:val="single" w:color="auto" w:sz="4" w:space="0"/>
            </w:tcBorders>
            <w:vAlign w:val="center"/>
          </w:tcPr>
          <w:p w14:paraId="1CB51CE6">
            <w:pPr>
              <w:spacing w:line="240" w:lineRule="auto"/>
              <w:ind w:firstLine="0" w:firstLineChars="0"/>
              <w:jc w:val="center"/>
              <w:rPr>
                <w:rFonts w:ascii="仿宋_GB2312" w:cs="Times New Roman"/>
                <w:sz w:val="21"/>
                <w:szCs w:val="21"/>
              </w:rPr>
            </w:pPr>
            <w:r>
              <w:rPr>
                <w:rFonts w:hint="eastAsia" w:ascii="仿宋_GB2312" w:cs="Times New Roman"/>
                <w:sz w:val="21"/>
                <w:szCs w:val="21"/>
              </w:rPr>
              <w:t>7.7</w:t>
            </w:r>
          </w:p>
        </w:tc>
        <w:tc>
          <w:tcPr>
            <w:tcW w:w="555" w:type="pct"/>
            <w:tcBorders>
              <w:top w:val="nil"/>
              <w:left w:val="nil"/>
              <w:bottom w:val="single" w:color="auto" w:sz="4" w:space="0"/>
              <w:right w:val="single" w:color="auto" w:sz="4" w:space="0"/>
            </w:tcBorders>
            <w:vAlign w:val="center"/>
          </w:tcPr>
          <w:p w14:paraId="6B226E68">
            <w:pPr>
              <w:spacing w:line="240" w:lineRule="auto"/>
              <w:ind w:firstLine="0" w:firstLineChars="0"/>
              <w:jc w:val="center"/>
              <w:rPr>
                <w:rFonts w:ascii="仿宋_GB2312" w:cs="Times New Roman"/>
                <w:sz w:val="21"/>
                <w:szCs w:val="21"/>
              </w:rPr>
            </w:pPr>
            <w:r>
              <w:rPr>
                <w:rFonts w:hint="eastAsia" w:ascii="仿宋_GB2312" w:cs="Times New Roman"/>
                <w:sz w:val="21"/>
                <w:szCs w:val="21"/>
              </w:rPr>
              <w:t>7.2</w:t>
            </w:r>
          </w:p>
        </w:tc>
        <w:tc>
          <w:tcPr>
            <w:tcW w:w="555" w:type="pct"/>
            <w:tcBorders>
              <w:top w:val="nil"/>
              <w:left w:val="nil"/>
              <w:bottom w:val="single" w:color="auto" w:sz="4" w:space="0"/>
              <w:right w:val="single" w:color="auto" w:sz="4" w:space="0"/>
            </w:tcBorders>
            <w:vAlign w:val="center"/>
          </w:tcPr>
          <w:p w14:paraId="22F2773B">
            <w:pPr>
              <w:spacing w:line="240" w:lineRule="auto"/>
              <w:ind w:firstLine="0" w:firstLineChars="0"/>
              <w:jc w:val="center"/>
              <w:rPr>
                <w:rFonts w:ascii="仿宋_GB2312" w:cs="Times New Roman"/>
                <w:sz w:val="21"/>
                <w:szCs w:val="21"/>
              </w:rPr>
            </w:pPr>
            <w:r>
              <w:rPr>
                <w:rFonts w:hint="eastAsia" w:ascii="仿宋_GB2312" w:cs="Times New Roman"/>
                <w:sz w:val="21"/>
                <w:szCs w:val="21"/>
              </w:rPr>
              <w:t>11.6</w:t>
            </w:r>
          </w:p>
        </w:tc>
        <w:tc>
          <w:tcPr>
            <w:tcW w:w="555" w:type="pct"/>
            <w:tcBorders>
              <w:top w:val="nil"/>
              <w:left w:val="nil"/>
              <w:bottom w:val="single" w:color="auto" w:sz="4" w:space="0"/>
              <w:right w:val="single" w:color="auto" w:sz="4" w:space="0"/>
            </w:tcBorders>
            <w:vAlign w:val="center"/>
          </w:tcPr>
          <w:p w14:paraId="4AD4D831">
            <w:pPr>
              <w:spacing w:line="240" w:lineRule="auto"/>
              <w:ind w:firstLine="0" w:firstLineChars="0"/>
              <w:jc w:val="center"/>
              <w:rPr>
                <w:rFonts w:ascii="仿宋_GB2312" w:cs="Times New Roman"/>
                <w:sz w:val="21"/>
                <w:szCs w:val="21"/>
              </w:rPr>
            </w:pPr>
            <w:r>
              <w:rPr>
                <w:rFonts w:hint="eastAsia" w:ascii="仿宋_GB2312" w:cs="Times New Roman"/>
                <w:sz w:val="21"/>
                <w:szCs w:val="21"/>
              </w:rPr>
              <w:t>29.1</w:t>
            </w:r>
          </w:p>
        </w:tc>
        <w:tc>
          <w:tcPr>
            <w:tcW w:w="555" w:type="pct"/>
            <w:tcBorders>
              <w:top w:val="nil"/>
              <w:left w:val="nil"/>
              <w:bottom w:val="single" w:color="auto" w:sz="4" w:space="0"/>
              <w:right w:val="single" w:color="auto" w:sz="4" w:space="0"/>
            </w:tcBorders>
            <w:vAlign w:val="center"/>
          </w:tcPr>
          <w:p w14:paraId="6276ADC2">
            <w:pPr>
              <w:spacing w:line="240" w:lineRule="auto"/>
              <w:ind w:firstLine="0" w:firstLineChars="0"/>
              <w:jc w:val="center"/>
              <w:rPr>
                <w:rFonts w:ascii="仿宋_GB2312" w:cs="Times New Roman"/>
                <w:sz w:val="21"/>
                <w:szCs w:val="21"/>
              </w:rPr>
            </w:pPr>
            <w:r>
              <w:rPr>
                <w:rFonts w:hint="eastAsia" w:ascii="仿宋_GB2312" w:cs="Times New Roman"/>
                <w:sz w:val="21"/>
                <w:szCs w:val="21"/>
              </w:rPr>
              <w:t>33.4</w:t>
            </w:r>
          </w:p>
        </w:tc>
        <w:tc>
          <w:tcPr>
            <w:tcW w:w="555" w:type="pct"/>
            <w:tcBorders>
              <w:top w:val="nil"/>
              <w:left w:val="nil"/>
              <w:bottom w:val="single" w:color="auto" w:sz="4" w:space="0"/>
              <w:right w:val="single" w:color="auto" w:sz="4" w:space="0"/>
            </w:tcBorders>
            <w:vAlign w:val="center"/>
          </w:tcPr>
          <w:p w14:paraId="7DF4E322">
            <w:pPr>
              <w:spacing w:line="240" w:lineRule="auto"/>
              <w:ind w:firstLine="0" w:firstLineChars="0"/>
              <w:jc w:val="center"/>
              <w:rPr>
                <w:rFonts w:ascii="仿宋_GB2312" w:cs="Times New Roman"/>
                <w:sz w:val="21"/>
                <w:szCs w:val="21"/>
              </w:rPr>
            </w:pPr>
            <w:r>
              <w:rPr>
                <w:rFonts w:hint="eastAsia" w:ascii="仿宋_GB2312" w:cs="Times New Roman"/>
                <w:sz w:val="21"/>
                <w:szCs w:val="21"/>
              </w:rPr>
              <w:t>26.7</w:t>
            </w:r>
          </w:p>
        </w:tc>
        <w:tc>
          <w:tcPr>
            <w:tcW w:w="555" w:type="pct"/>
            <w:tcBorders>
              <w:top w:val="nil"/>
              <w:left w:val="nil"/>
              <w:bottom w:val="single" w:color="auto" w:sz="4" w:space="0"/>
              <w:right w:val="single" w:color="auto" w:sz="4" w:space="0"/>
            </w:tcBorders>
            <w:vAlign w:val="center"/>
          </w:tcPr>
          <w:p w14:paraId="36BA92A0">
            <w:pPr>
              <w:spacing w:line="240" w:lineRule="auto"/>
              <w:ind w:firstLine="0" w:firstLineChars="0"/>
              <w:jc w:val="center"/>
              <w:rPr>
                <w:rFonts w:ascii="仿宋_GB2312" w:cs="Times New Roman"/>
                <w:sz w:val="21"/>
                <w:szCs w:val="21"/>
              </w:rPr>
            </w:pPr>
            <w:r>
              <w:rPr>
                <w:rFonts w:hint="eastAsia" w:ascii="仿宋_GB2312" w:cs="Times New Roman"/>
                <w:sz w:val="21"/>
                <w:szCs w:val="21"/>
              </w:rPr>
              <w:t>32.4</w:t>
            </w:r>
          </w:p>
        </w:tc>
      </w:tr>
      <w:tr w14:paraId="7198EE91">
        <w:tblPrEx>
          <w:tblCellMar>
            <w:top w:w="0" w:type="dxa"/>
            <w:left w:w="108" w:type="dxa"/>
            <w:bottom w:w="0" w:type="dxa"/>
            <w:right w:w="108" w:type="dxa"/>
          </w:tblCellMar>
        </w:tblPrEx>
        <w:trPr>
          <w:trHeight w:val="121" w:hRule="atLeast"/>
        </w:trPr>
        <w:tc>
          <w:tcPr>
            <w:tcW w:w="1113" w:type="pct"/>
            <w:tcBorders>
              <w:top w:val="nil"/>
              <w:left w:val="single" w:color="auto" w:sz="4" w:space="0"/>
              <w:bottom w:val="single" w:color="auto" w:sz="4" w:space="0"/>
              <w:right w:val="single" w:color="auto" w:sz="4" w:space="0"/>
            </w:tcBorders>
            <w:vAlign w:val="center"/>
          </w:tcPr>
          <w:p w14:paraId="14840EE3">
            <w:pPr>
              <w:spacing w:line="240" w:lineRule="auto"/>
              <w:ind w:firstLine="0" w:firstLineChars="0"/>
              <w:jc w:val="center"/>
              <w:rPr>
                <w:rFonts w:ascii="仿宋_GB2312" w:cs="Times New Roman"/>
                <w:sz w:val="21"/>
                <w:szCs w:val="21"/>
              </w:rPr>
            </w:pPr>
            <w:r>
              <w:rPr>
                <w:rFonts w:hint="eastAsia" w:ascii="仿宋_GB2312" w:cs="Times New Roman"/>
                <w:sz w:val="21"/>
                <w:szCs w:val="21"/>
              </w:rPr>
              <w:t>蒸发量（mm）</w:t>
            </w:r>
          </w:p>
        </w:tc>
        <w:tc>
          <w:tcPr>
            <w:tcW w:w="555" w:type="pct"/>
            <w:tcBorders>
              <w:top w:val="nil"/>
              <w:left w:val="nil"/>
              <w:bottom w:val="single" w:color="auto" w:sz="4" w:space="0"/>
              <w:right w:val="single" w:color="auto" w:sz="4" w:space="0"/>
            </w:tcBorders>
            <w:vAlign w:val="center"/>
          </w:tcPr>
          <w:p w14:paraId="293BD1B0">
            <w:pPr>
              <w:spacing w:line="240" w:lineRule="auto"/>
              <w:ind w:firstLine="0" w:firstLineChars="0"/>
              <w:jc w:val="center"/>
              <w:rPr>
                <w:rFonts w:ascii="仿宋_GB2312" w:cs="Times New Roman"/>
                <w:sz w:val="21"/>
                <w:szCs w:val="21"/>
              </w:rPr>
            </w:pPr>
            <w:r>
              <w:rPr>
                <w:rFonts w:hint="eastAsia" w:ascii="仿宋_GB2312" w:cs="Times New Roman"/>
                <w:sz w:val="21"/>
                <w:szCs w:val="21"/>
              </w:rPr>
              <w:t>6.7</w:t>
            </w:r>
          </w:p>
        </w:tc>
        <w:tc>
          <w:tcPr>
            <w:tcW w:w="555" w:type="pct"/>
            <w:tcBorders>
              <w:top w:val="nil"/>
              <w:left w:val="nil"/>
              <w:bottom w:val="single" w:color="auto" w:sz="4" w:space="0"/>
              <w:right w:val="single" w:color="auto" w:sz="4" w:space="0"/>
            </w:tcBorders>
            <w:vAlign w:val="center"/>
          </w:tcPr>
          <w:p w14:paraId="76E821C1">
            <w:pPr>
              <w:spacing w:line="240" w:lineRule="auto"/>
              <w:ind w:firstLine="0" w:firstLineChars="0"/>
              <w:jc w:val="center"/>
              <w:rPr>
                <w:rFonts w:ascii="仿宋_GB2312" w:cs="Times New Roman"/>
                <w:sz w:val="21"/>
                <w:szCs w:val="21"/>
              </w:rPr>
            </w:pPr>
            <w:r>
              <w:rPr>
                <w:rFonts w:hint="eastAsia" w:ascii="仿宋_GB2312" w:cs="Times New Roman"/>
                <w:sz w:val="21"/>
                <w:szCs w:val="21"/>
              </w:rPr>
              <w:t>13.4</w:t>
            </w:r>
          </w:p>
        </w:tc>
        <w:tc>
          <w:tcPr>
            <w:tcW w:w="555" w:type="pct"/>
            <w:tcBorders>
              <w:top w:val="nil"/>
              <w:left w:val="nil"/>
              <w:bottom w:val="single" w:color="auto" w:sz="4" w:space="0"/>
              <w:right w:val="single" w:color="auto" w:sz="4" w:space="0"/>
            </w:tcBorders>
            <w:vAlign w:val="center"/>
          </w:tcPr>
          <w:p w14:paraId="4263DAA1">
            <w:pPr>
              <w:spacing w:line="240" w:lineRule="auto"/>
              <w:ind w:firstLine="0" w:firstLineChars="0"/>
              <w:jc w:val="center"/>
              <w:rPr>
                <w:rFonts w:ascii="仿宋_GB2312" w:cs="Times New Roman"/>
                <w:sz w:val="21"/>
                <w:szCs w:val="21"/>
              </w:rPr>
            </w:pPr>
            <w:r>
              <w:rPr>
                <w:rFonts w:hint="eastAsia" w:ascii="仿宋_GB2312" w:cs="Times New Roman"/>
                <w:sz w:val="21"/>
                <w:szCs w:val="21"/>
              </w:rPr>
              <w:t>61.2</w:t>
            </w:r>
          </w:p>
        </w:tc>
        <w:tc>
          <w:tcPr>
            <w:tcW w:w="555" w:type="pct"/>
            <w:tcBorders>
              <w:top w:val="nil"/>
              <w:left w:val="nil"/>
              <w:bottom w:val="single" w:color="auto" w:sz="4" w:space="0"/>
              <w:right w:val="single" w:color="auto" w:sz="4" w:space="0"/>
            </w:tcBorders>
            <w:vAlign w:val="center"/>
          </w:tcPr>
          <w:p w14:paraId="0BC73386">
            <w:pPr>
              <w:spacing w:line="240" w:lineRule="auto"/>
              <w:ind w:firstLine="0" w:firstLineChars="0"/>
              <w:jc w:val="center"/>
              <w:rPr>
                <w:rFonts w:ascii="仿宋_GB2312" w:cs="Times New Roman"/>
                <w:sz w:val="21"/>
                <w:szCs w:val="21"/>
              </w:rPr>
            </w:pPr>
            <w:r>
              <w:rPr>
                <w:rFonts w:hint="eastAsia" w:ascii="仿宋_GB2312" w:cs="Times New Roman"/>
                <w:sz w:val="21"/>
                <w:szCs w:val="21"/>
              </w:rPr>
              <w:t>175.8</w:t>
            </w:r>
          </w:p>
        </w:tc>
        <w:tc>
          <w:tcPr>
            <w:tcW w:w="555" w:type="pct"/>
            <w:tcBorders>
              <w:top w:val="nil"/>
              <w:left w:val="nil"/>
              <w:bottom w:val="single" w:color="auto" w:sz="4" w:space="0"/>
              <w:right w:val="single" w:color="auto" w:sz="4" w:space="0"/>
            </w:tcBorders>
            <w:vAlign w:val="center"/>
          </w:tcPr>
          <w:p w14:paraId="741057C5">
            <w:pPr>
              <w:spacing w:line="240" w:lineRule="auto"/>
              <w:ind w:firstLine="0" w:firstLineChars="0"/>
              <w:jc w:val="center"/>
              <w:rPr>
                <w:rFonts w:ascii="仿宋_GB2312" w:cs="Times New Roman"/>
                <w:sz w:val="21"/>
                <w:szCs w:val="21"/>
              </w:rPr>
            </w:pPr>
            <w:r>
              <w:rPr>
                <w:rFonts w:hint="eastAsia" w:ascii="仿宋_GB2312" w:cs="Times New Roman"/>
                <w:sz w:val="21"/>
                <w:szCs w:val="21"/>
              </w:rPr>
              <w:t>247.5</w:t>
            </w:r>
          </w:p>
        </w:tc>
        <w:tc>
          <w:tcPr>
            <w:tcW w:w="555" w:type="pct"/>
            <w:tcBorders>
              <w:top w:val="nil"/>
              <w:left w:val="nil"/>
              <w:bottom w:val="single" w:color="auto" w:sz="4" w:space="0"/>
              <w:right w:val="single" w:color="auto" w:sz="4" w:space="0"/>
            </w:tcBorders>
            <w:vAlign w:val="center"/>
          </w:tcPr>
          <w:p w14:paraId="32041455">
            <w:pPr>
              <w:spacing w:line="240" w:lineRule="auto"/>
              <w:ind w:firstLine="0" w:firstLineChars="0"/>
              <w:jc w:val="center"/>
              <w:rPr>
                <w:rFonts w:ascii="仿宋_GB2312" w:cs="Times New Roman"/>
                <w:sz w:val="21"/>
                <w:szCs w:val="21"/>
              </w:rPr>
            </w:pPr>
            <w:r>
              <w:rPr>
                <w:rFonts w:hint="eastAsia" w:ascii="仿宋_GB2312" w:cs="Times New Roman"/>
                <w:sz w:val="21"/>
                <w:szCs w:val="21"/>
              </w:rPr>
              <w:t>285.4</w:t>
            </w:r>
          </w:p>
        </w:tc>
        <w:tc>
          <w:tcPr>
            <w:tcW w:w="555" w:type="pct"/>
            <w:tcBorders>
              <w:top w:val="nil"/>
              <w:left w:val="nil"/>
              <w:bottom w:val="single" w:color="auto" w:sz="4" w:space="0"/>
              <w:right w:val="single" w:color="auto" w:sz="4" w:space="0"/>
            </w:tcBorders>
            <w:vAlign w:val="center"/>
          </w:tcPr>
          <w:p w14:paraId="618CCCC8">
            <w:pPr>
              <w:spacing w:line="240" w:lineRule="auto"/>
              <w:ind w:firstLine="0" w:firstLineChars="0"/>
              <w:jc w:val="center"/>
              <w:rPr>
                <w:rFonts w:ascii="仿宋_GB2312" w:cs="Times New Roman"/>
                <w:sz w:val="21"/>
                <w:szCs w:val="21"/>
              </w:rPr>
            </w:pPr>
            <w:r>
              <w:rPr>
                <w:rFonts w:hint="eastAsia" w:ascii="仿宋_GB2312" w:cs="Times New Roman"/>
                <w:sz w:val="21"/>
                <w:szCs w:val="21"/>
              </w:rPr>
              <w:t>281.4</w:t>
            </w:r>
          </w:p>
        </w:tc>
      </w:tr>
      <w:tr w14:paraId="470F701E">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13052FAF">
            <w:pPr>
              <w:spacing w:line="240" w:lineRule="auto"/>
              <w:ind w:firstLine="0" w:firstLineChars="0"/>
              <w:jc w:val="center"/>
              <w:rPr>
                <w:rFonts w:ascii="仿宋_GB2312" w:cs="Times New Roman"/>
                <w:sz w:val="21"/>
                <w:szCs w:val="21"/>
              </w:rPr>
            </w:pPr>
            <w:r>
              <w:rPr>
                <w:rFonts w:hint="eastAsia" w:ascii="仿宋_GB2312" w:cs="Times New Roman"/>
                <w:sz w:val="21"/>
                <w:szCs w:val="21"/>
              </w:rPr>
              <w:t>项  目</w:t>
            </w:r>
          </w:p>
        </w:tc>
        <w:tc>
          <w:tcPr>
            <w:tcW w:w="555" w:type="pct"/>
            <w:tcBorders>
              <w:top w:val="nil"/>
              <w:left w:val="nil"/>
              <w:bottom w:val="single" w:color="auto" w:sz="4" w:space="0"/>
              <w:right w:val="single" w:color="auto" w:sz="4" w:space="0"/>
            </w:tcBorders>
            <w:vAlign w:val="center"/>
          </w:tcPr>
          <w:p w14:paraId="4902FB8E">
            <w:pPr>
              <w:spacing w:line="240" w:lineRule="auto"/>
              <w:ind w:firstLine="0" w:firstLineChars="0"/>
              <w:jc w:val="center"/>
              <w:rPr>
                <w:rFonts w:ascii="仿宋_GB2312" w:cs="Times New Roman"/>
                <w:sz w:val="21"/>
                <w:szCs w:val="21"/>
              </w:rPr>
            </w:pPr>
            <w:r>
              <w:rPr>
                <w:rFonts w:hint="eastAsia" w:ascii="仿宋_GB2312" w:cs="Times New Roman"/>
                <w:sz w:val="21"/>
                <w:szCs w:val="21"/>
              </w:rPr>
              <w:t>8月</w:t>
            </w:r>
          </w:p>
        </w:tc>
        <w:tc>
          <w:tcPr>
            <w:tcW w:w="555" w:type="pct"/>
            <w:tcBorders>
              <w:top w:val="nil"/>
              <w:left w:val="nil"/>
              <w:bottom w:val="single" w:color="auto" w:sz="4" w:space="0"/>
              <w:right w:val="single" w:color="auto" w:sz="4" w:space="0"/>
            </w:tcBorders>
            <w:vAlign w:val="center"/>
          </w:tcPr>
          <w:p w14:paraId="12794C28">
            <w:pPr>
              <w:spacing w:line="240" w:lineRule="auto"/>
              <w:ind w:firstLine="0" w:firstLineChars="0"/>
              <w:jc w:val="center"/>
              <w:rPr>
                <w:rFonts w:ascii="仿宋_GB2312" w:cs="Times New Roman"/>
                <w:sz w:val="21"/>
                <w:szCs w:val="21"/>
              </w:rPr>
            </w:pPr>
            <w:r>
              <w:rPr>
                <w:rFonts w:hint="eastAsia" w:ascii="仿宋_GB2312" w:cs="Times New Roman"/>
                <w:sz w:val="21"/>
                <w:szCs w:val="21"/>
              </w:rPr>
              <w:t>9月</w:t>
            </w:r>
          </w:p>
        </w:tc>
        <w:tc>
          <w:tcPr>
            <w:tcW w:w="555" w:type="pct"/>
            <w:tcBorders>
              <w:top w:val="nil"/>
              <w:left w:val="nil"/>
              <w:bottom w:val="single" w:color="auto" w:sz="4" w:space="0"/>
              <w:right w:val="single" w:color="auto" w:sz="4" w:space="0"/>
            </w:tcBorders>
            <w:vAlign w:val="center"/>
          </w:tcPr>
          <w:p w14:paraId="526B5EA4">
            <w:pPr>
              <w:spacing w:line="240" w:lineRule="auto"/>
              <w:ind w:firstLine="0" w:firstLineChars="0"/>
              <w:jc w:val="center"/>
              <w:rPr>
                <w:rFonts w:ascii="仿宋_GB2312" w:cs="Times New Roman"/>
                <w:sz w:val="21"/>
                <w:szCs w:val="21"/>
              </w:rPr>
            </w:pPr>
            <w:r>
              <w:rPr>
                <w:rFonts w:hint="eastAsia" w:ascii="仿宋_GB2312" w:cs="Times New Roman"/>
                <w:sz w:val="21"/>
                <w:szCs w:val="21"/>
              </w:rPr>
              <w:t>10月</w:t>
            </w:r>
          </w:p>
        </w:tc>
        <w:tc>
          <w:tcPr>
            <w:tcW w:w="555" w:type="pct"/>
            <w:tcBorders>
              <w:top w:val="nil"/>
              <w:left w:val="nil"/>
              <w:bottom w:val="single" w:color="auto" w:sz="4" w:space="0"/>
              <w:right w:val="single" w:color="auto" w:sz="4" w:space="0"/>
            </w:tcBorders>
            <w:vAlign w:val="center"/>
          </w:tcPr>
          <w:p w14:paraId="7C1A97AF">
            <w:pPr>
              <w:spacing w:line="240" w:lineRule="auto"/>
              <w:ind w:firstLine="0" w:firstLineChars="0"/>
              <w:jc w:val="center"/>
              <w:rPr>
                <w:rFonts w:ascii="仿宋_GB2312" w:cs="Times New Roman"/>
                <w:sz w:val="21"/>
                <w:szCs w:val="21"/>
              </w:rPr>
            </w:pPr>
            <w:r>
              <w:rPr>
                <w:rFonts w:hint="eastAsia" w:ascii="仿宋_GB2312" w:cs="Times New Roman"/>
                <w:sz w:val="21"/>
                <w:szCs w:val="21"/>
              </w:rPr>
              <w:t>11月</w:t>
            </w:r>
          </w:p>
        </w:tc>
        <w:tc>
          <w:tcPr>
            <w:tcW w:w="555" w:type="pct"/>
            <w:tcBorders>
              <w:top w:val="nil"/>
              <w:left w:val="nil"/>
              <w:bottom w:val="single" w:color="auto" w:sz="4" w:space="0"/>
              <w:right w:val="single" w:color="auto" w:sz="4" w:space="0"/>
            </w:tcBorders>
            <w:vAlign w:val="center"/>
          </w:tcPr>
          <w:p w14:paraId="233A1A2C">
            <w:pPr>
              <w:spacing w:line="240" w:lineRule="auto"/>
              <w:ind w:firstLine="0" w:firstLineChars="0"/>
              <w:jc w:val="center"/>
              <w:rPr>
                <w:rFonts w:ascii="仿宋_GB2312" w:cs="Times New Roman"/>
                <w:sz w:val="21"/>
                <w:szCs w:val="21"/>
              </w:rPr>
            </w:pPr>
            <w:r>
              <w:rPr>
                <w:rFonts w:hint="eastAsia" w:ascii="仿宋_GB2312" w:cs="Times New Roman"/>
                <w:sz w:val="21"/>
                <w:szCs w:val="21"/>
              </w:rPr>
              <w:t>12月</w:t>
            </w:r>
          </w:p>
        </w:tc>
        <w:tc>
          <w:tcPr>
            <w:tcW w:w="1110" w:type="pct"/>
            <w:gridSpan w:val="2"/>
            <w:tcBorders>
              <w:top w:val="single" w:color="auto" w:sz="4" w:space="0"/>
              <w:left w:val="nil"/>
              <w:bottom w:val="single" w:color="auto" w:sz="4" w:space="0"/>
              <w:right w:val="single" w:color="auto" w:sz="4" w:space="0"/>
            </w:tcBorders>
            <w:vAlign w:val="center"/>
          </w:tcPr>
          <w:p w14:paraId="070ADEBB">
            <w:pPr>
              <w:spacing w:line="240" w:lineRule="auto"/>
              <w:ind w:firstLine="0" w:firstLineChars="0"/>
              <w:jc w:val="center"/>
              <w:rPr>
                <w:rFonts w:ascii="仿宋_GB2312" w:cs="Times New Roman"/>
                <w:sz w:val="21"/>
                <w:szCs w:val="21"/>
              </w:rPr>
            </w:pPr>
            <w:r>
              <w:rPr>
                <w:rFonts w:hint="eastAsia" w:ascii="仿宋_GB2312" w:cs="Times New Roman"/>
                <w:sz w:val="21"/>
                <w:szCs w:val="21"/>
              </w:rPr>
              <w:t>年</w:t>
            </w:r>
          </w:p>
        </w:tc>
      </w:tr>
      <w:tr w14:paraId="32A38A60">
        <w:tblPrEx>
          <w:tblCellMar>
            <w:top w:w="0" w:type="dxa"/>
            <w:left w:w="108" w:type="dxa"/>
            <w:bottom w:w="0" w:type="dxa"/>
            <w:right w:w="108" w:type="dxa"/>
          </w:tblCellMar>
        </w:tblPrEx>
        <w:trPr>
          <w:trHeight w:val="102" w:hRule="atLeast"/>
        </w:trPr>
        <w:tc>
          <w:tcPr>
            <w:tcW w:w="1113" w:type="pct"/>
            <w:tcBorders>
              <w:top w:val="nil"/>
              <w:left w:val="single" w:color="auto" w:sz="4" w:space="0"/>
              <w:bottom w:val="single" w:color="auto" w:sz="4" w:space="0"/>
              <w:right w:val="single" w:color="auto" w:sz="4" w:space="0"/>
            </w:tcBorders>
            <w:vAlign w:val="center"/>
          </w:tcPr>
          <w:p w14:paraId="364D13FA">
            <w:pPr>
              <w:spacing w:line="240" w:lineRule="auto"/>
              <w:ind w:firstLine="0" w:firstLineChars="0"/>
              <w:jc w:val="center"/>
              <w:rPr>
                <w:rFonts w:ascii="仿宋_GB2312" w:cs="Times New Roman"/>
                <w:sz w:val="21"/>
                <w:szCs w:val="21"/>
              </w:rPr>
            </w:pPr>
            <w:r>
              <w:rPr>
                <w:rFonts w:hint="eastAsia" w:ascii="仿宋_GB2312" w:cs="Times New Roman"/>
                <w:sz w:val="21"/>
                <w:szCs w:val="21"/>
              </w:rPr>
              <w:t>气温（℃）</w:t>
            </w:r>
          </w:p>
        </w:tc>
        <w:tc>
          <w:tcPr>
            <w:tcW w:w="555" w:type="pct"/>
            <w:tcBorders>
              <w:top w:val="nil"/>
              <w:left w:val="nil"/>
              <w:bottom w:val="single" w:color="auto" w:sz="4" w:space="0"/>
              <w:right w:val="single" w:color="auto" w:sz="4" w:space="0"/>
            </w:tcBorders>
            <w:vAlign w:val="center"/>
          </w:tcPr>
          <w:p w14:paraId="460438EF">
            <w:pPr>
              <w:spacing w:line="240" w:lineRule="auto"/>
              <w:ind w:firstLine="0" w:firstLineChars="0"/>
              <w:jc w:val="center"/>
              <w:rPr>
                <w:rFonts w:ascii="仿宋_GB2312" w:cs="Times New Roman"/>
                <w:sz w:val="21"/>
                <w:szCs w:val="21"/>
              </w:rPr>
            </w:pPr>
            <w:r>
              <w:rPr>
                <w:rFonts w:hint="eastAsia" w:ascii="仿宋_GB2312" w:cs="Times New Roman"/>
                <w:sz w:val="21"/>
                <w:szCs w:val="21"/>
              </w:rPr>
              <w:t>23.7</w:t>
            </w:r>
          </w:p>
        </w:tc>
        <w:tc>
          <w:tcPr>
            <w:tcW w:w="555" w:type="pct"/>
            <w:tcBorders>
              <w:top w:val="nil"/>
              <w:left w:val="nil"/>
              <w:bottom w:val="single" w:color="auto" w:sz="4" w:space="0"/>
              <w:right w:val="single" w:color="auto" w:sz="4" w:space="0"/>
            </w:tcBorders>
            <w:vAlign w:val="center"/>
          </w:tcPr>
          <w:p w14:paraId="2B08FDDF">
            <w:pPr>
              <w:spacing w:line="240" w:lineRule="auto"/>
              <w:ind w:firstLine="0" w:firstLineChars="0"/>
              <w:jc w:val="center"/>
              <w:rPr>
                <w:rFonts w:ascii="仿宋_GB2312" w:cs="Times New Roman"/>
                <w:sz w:val="21"/>
                <w:szCs w:val="21"/>
              </w:rPr>
            </w:pPr>
            <w:r>
              <w:rPr>
                <w:rFonts w:hint="eastAsia" w:ascii="仿宋_GB2312" w:cs="Times New Roman"/>
                <w:sz w:val="21"/>
                <w:szCs w:val="21"/>
              </w:rPr>
              <w:t>17.7</w:t>
            </w:r>
          </w:p>
        </w:tc>
        <w:tc>
          <w:tcPr>
            <w:tcW w:w="555" w:type="pct"/>
            <w:tcBorders>
              <w:top w:val="nil"/>
              <w:left w:val="nil"/>
              <w:bottom w:val="single" w:color="auto" w:sz="4" w:space="0"/>
              <w:right w:val="single" w:color="auto" w:sz="4" w:space="0"/>
            </w:tcBorders>
            <w:vAlign w:val="center"/>
          </w:tcPr>
          <w:p w14:paraId="13000DB6">
            <w:pPr>
              <w:spacing w:line="240" w:lineRule="auto"/>
              <w:ind w:firstLine="0" w:firstLineChars="0"/>
              <w:jc w:val="center"/>
              <w:rPr>
                <w:rFonts w:ascii="仿宋_GB2312" w:cs="Times New Roman"/>
                <w:sz w:val="21"/>
                <w:szCs w:val="21"/>
              </w:rPr>
            </w:pPr>
            <w:r>
              <w:rPr>
                <w:rFonts w:hint="eastAsia" w:ascii="仿宋_GB2312" w:cs="Times New Roman"/>
                <w:sz w:val="21"/>
                <w:szCs w:val="21"/>
              </w:rPr>
              <w:t>8.8</w:t>
            </w:r>
          </w:p>
        </w:tc>
        <w:tc>
          <w:tcPr>
            <w:tcW w:w="555" w:type="pct"/>
            <w:tcBorders>
              <w:top w:val="nil"/>
              <w:left w:val="nil"/>
              <w:bottom w:val="single" w:color="auto" w:sz="4" w:space="0"/>
              <w:right w:val="single" w:color="auto" w:sz="4" w:space="0"/>
            </w:tcBorders>
            <w:vAlign w:val="center"/>
          </w:tcPr>
          <w:p w14:paraId="041AAD5A">
            <w:pPr>
              <w:spacing w:line="240" w:lineRule="auto"/>
              <w:ind w:firstLine="0" w:firstLineChars="0"/>
              <w:jc w:val="center"/>
              <w:rPr>
                <w:rFonts w:ascii="仿宋_GB2312" w:cs="Times New Roman"/>
                <w:sz w:val="21"/>
                <w:szCs w:val="21"/>
              </w:rPr>
            </w:pPr>
            <w:r>
              <w:rPr>
                <w:rFonts w:hint="eastAsia" w:ascii="仿宋_GB2312" w:cs="Times New Roman"/>
                <w:sz w:val="21"/>
                <w:szCs w:val="21"/>
              </w:rPr>
              <w:t>-1.8</w:t>
            </w:r>
          </w:p>
        </w:tc>
        <w:tc>
          <w:tcPr>
            <w:tcW w:w="555" w:type="pct"/>
            <w:tcBorders>
              <w:top w:val="nil"/>
              <w:left w:val="nil"/>
              <w:bottom w:val="single" w:color="auto" w:sz="4" w:space="0"/>
              <w:right w:val="single" w:color="auto" w:sz="4" w:space="0"/>
            </w:tcBorders>
            <w:vAlign w:val="center"/>
          </w:tcPr>
          <w:p w14:paraId="0E790BF2">
            <w:pPr>
              <w:spacing w:line="240" w:lineRule="auto"/>
              <w:ind w:firstLine="0" w:firstLineChars="0"/>
              <w:jc w:val="center"/>
              <w:rPr>
                <w:rFonts w:ascii="仿宋_GB2312" w:cs="Times New Roman"/>
                <w:sz w:val="21"/>
                <w:szCs w:val="21"/>
              </w:rPr>
            </w:pPr>
            <w:r>
              <w:rPr>
                <w:rFonts w:hint="eastAsia" w:ascii="仿宋_GB2312" w:cs="Times New Roman"/>
                <w:sz w:val="21"/>
                <w:szCs w:val="21"/>
              </w:rPr>
              <w:t>-12.4</w:t>
            </w:r>
          </w:p>
        </w:tc>
        <w:tc>
          <w:tcPr>
            <w:tcW w:w="1110" w:type="pct"/>
            <w:gridSpan w:val="2"/>
            <w:tcBorders>
              <w:top w:val="single" w:color="auto" w:sz="4" w:space="0"/>
              <w:left w:val="nil"/>
              <w:bottom w:val="single" w:color="auto" w:sz="4" w:space="0"/>
              <w:right w:val="single" w:color="auto" w:sz="4" w:space="0"/>
            </w:tcBorders>
            <w:vAlign w:val="center"/>
          </w:tcPr>
          <w:p w14:paraId="54CC09DF">
            <w:pPr>
              <w:spacing w:line="240" w:lineRule="auto"/>
              <w:ind w:firstLine="0" w:firstLineChars="0"/>
              <w:jc w:val="center"/>
              <w:rPr>
                <w:rFonts w:ascii="仿宋_GB2312" w:cs="Times New Roman"/>
                <w:sz w:val="21"/>
                <w:szCs w:val="21"/>
              </w:rPr>
            </w:pPr>
            <w:r>
              <w:rPr>
                <w:rFonts w:hint="eastAsia" w:ascii="仿宋_GB2312" w:cs="Times New Roman"/>
                <w:sz w:val="21"/>
                <w:szCs w:val="21"/>
              </w:rPr>
              <w:t>7.4</w:t>
            </w:r>
          </w:p>
        </w:tc>
      </w:tr>
      <w:tr w14:paraId="4729867B">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470060F6">
            <w:pPr>
              <w:spacing w:line="240" w:lineRule="auto"/>
              <w:ind w:firstLine="0" w:firstLineChars="0"/>
              <w:jc w:val="center"/>
              <w:rPr>
                <w:rFonts w:ascii="仿宋_GB2312" w:cs="Times New Roman"/>
                <w:sz w:val="21"/>
                <w:szCs w:val="21"/>
              </w:rPr>
            </w:pPr>
            <w:r>
              <w:rPr>
                <w:rFonts w:hint="eastAsia" w:ascii="仿宋_GB2312" w:cs="Times New Roman"/>
                <w:sz w:val="21"/>
                <w:szCs w:val="21"/>
              </w:rPr>
              <w:t>降水量（mm）</w:t>
            </w:r>
          </w:p>
        </w:tc>
        <w:tc>
          <w:tcPr>
            <w:tcW w:w="555" w:type="pct"/>
            <w:tcBorders>
              <w:top w:val="nil"/>
              <w:left w:val="nil"/>
              <w:bottom w:val="single" w:color="auto" w:sz="4" w:space="0"/>
              <w:right w:val="single" w:color="auto" w:sz="4" w:space="0"/>
            </w:tcBorders>
            <w:vAlign w:val="center"/>
          </w:tcPr>
          <w:p w14:paraId="7494A045">
            <w:pPr>
              <w:spacing w:line="240" w:lineRule="auto"/>
              <w:ind w:firstLine="0" w:firstLineChars="0"/>
              <w:jc w:val="center"/>
              <w:rPr>
                <w:rFonts w:ascii="仿宋_GB2312" w:cs="Times New Roman"/>
                <w:sz w:val="21"/>
                <w:szCs w:val="21"/>
              </w:rPr>
            </w:pPr>
            <w:r>
              <w:rPr>
                <w:rFonts w:hint="eastAsia" w:ascii="仿宋_GB2312" w:cs="Times New Roman"/>
                <w:sz w:val="21"/>
                <w:szCs w:val="21"/>
              </w:rPr>
              <w:t>23.3</w:t>
            </w:r>
          </w:p>
        </w:tc>
        <w:tc>
          <w:tcPr>
            <w:tcW w:w="555" w:type="pct"/>
            <w:tcBorders>
              <w:top w:val="nil"/>
              <w:left w:val="nil"/>
              <w:bottom w:val="single" w:color="auto" w:sz="4" w:space="0"/>
              <w:right w:val="single" w:color="auto" w:sz="4" w:space="0"/>
            </w:tcBorders>
            <w:vAlign w:val="center"/>
          </w:tcPr>
          <w:p w14:paraId="04D56E48">
            <w:pPr>
              <w:spacing w:line="240" w:lineRule="auto"/>
              <w:ind w:firstLine="0" w:firstLineChars="0"/>
              <w:jc w:val="center"/>
              <w:rPr>
                <w:rFonts w:ascii="仿宋_GB2312" w:cs="Times New Roman"/>
                <w:sz w:val="21"/>
                <w:szCs w:val="21"/>
              </w:rPr>
            </w:pPr>
            <w:r>
              <w:rPr>
                <w:rFonts w:hint="eastAsia" w:ascii="仿宋_GB2312" w:cs="Times New Roman"/>
                <w:sz w:val="21"/>
                <w:szCs w:val="21"/>
              </w:rPr>
              <w:t>20.9</w:t>
            </w:r>
          </w:p>
        </w:tc>
        <w:tc>
          <w:tcPr>
            <w:tcW w:w="555" w:type="pct"/>
            <w:tcBorders>
              <w:top w:val="nil"/>
              <w:left w:val="nil"/>
              <w:bottom w:val="single" w:color="auto" w:sz="4" w:space="0"/>
              <w:right w:val="single" w:color="auto" w:sz="4" w:space="0"/>
            </w:tcBorders>
            <w:vAlign w:val="center"/>
          </w:tcPr>
          <w:p w14:paraId="0AF47356">
            <w:pPr>
              <w:spacing w:line="240" w:lineRule="auto"/>
              <w:ind w:firstLine="0" w:firstLineChars="0"/>
              <w:jc w:val="center"/>
              <w:rPr>
                <w:rFonts w:ascii="仿宋_GB2312" w:cs="Times New Roman"/>
                <w:sz w:val="21"/>
                <w:szCs w:val="21"/>
              </w:rPr>
            </w:pPr>
            <w:r>
              <w:rPr>
                <w:rFonts w:hint="eastAsia" w:ascii="仿宋_GB2312" w:cs="Times New Roman"/>
                <w:sz w:val="21"/>
                <w:szCs w:val="21"/>
              </w:rPr>
              <w:t>21</w:t>
            </w:r>
          </w:p>
        </w:tc>
        <w:tc>
          <w:tcPr>
            <w:tcW w:w="555" w:type="pct"/>
            <w:tcBorders>
              <w:top w:val="nil"/>
              <w:left w:val="nil"/>
              <w:bottom w:val="single" w:color="auto" w:sz="4" w:space="0"/>
              <w:right w:val="single" w:color="auto" w:sz="4" w:space="0"/>
            </w:tcBorders>
            <w:vAlign w:val="center"/>
          </w:tcPr>
          <w:p w14:paraId="5EF9600A">
            <w:pPr>
              <w:spacing w:line="240" w:lineRule="auto"/>
              <w:ind w:firstLine="0" w:firstLineChars="0"/>
              <w:jc w:val="center"/>
              <w:rPr>
                <w:rFonts w:ascii="仿宋_GB2312" w:cs="Times New Roman"/>
                <w:sz w:val="21"/>
                <w:szCs w:val="21"/>
              </w:rPr>
            </w:pPr>
            <w:r>
              <w:rPr>
                <w:rFonts w:hint="eastAsia" w:ascii="仿宋_GB2312" w:cs="Times New Roman"/>
                <w:sz w:val="21"/>
                <w:szCs w:val="21"/>
              </w:rPr>
              <w:t>14.7</w:t>
            </w:r>
          </w:p>
        </w:tc>
        <w:tc>
          <w:tcPr>
            <w:tcW w:w="555" w:type="pct"/>
            <w:tcBorders>
              <w:top w:val="nil"/>
              <w:left w:val="nil"/>
              <w:bottom w:val="single" w:color="auto" w:sz="4" w:space="0"/>
              <w:right w:val="single" w:color="auto" w:sz="4" w:space="0"/>
            </w:tcBorders>
            <w:vAlign w:val="center"/>
          </w:tcPr>
          <w:p w14:paraId="1FE64982">
            <w:pPr>
              <w:spacing w:line="240" w:lineRule="auto"/>
              <w:ind w:firstLine="0" w:firstLineChars="0"/>
              <w:jc w:val="center"/>
              <w:rPr>
                <w:rFonts w:ascii="仿宋_GB2312" w:cs="Times New Roman"/>
                <w:sz w:val="21"/>
                <w:szCs w:val="21"/>
              </w:rPr>
            </w:pPr>
            <w:r>
              <w:rPr>
                <w:rFonts w:hint="eastAsia" w:ascii="仿宋_GB2312" w:cs="Times New Roman"/>
                <w:sz w:val="21"/>
                <w:szCs w:val="21"/>
              </w:rPr>
              <w:t>9.6</w:t>
            </w:r>
          </w:p>
        </w:tc>
        <w:tc>
          <w:tcPr>
            <w:tcW w:w="1110" w:type="pct"/>
            <w:gridSpan w:val="2"/>
            <w:tcBorders>
              <w:top w:val="single" w:color="auto" w:sz="4" w:space="0"/>
              <w:left w:val="nil"/>
              <w:bottom w:val="single" w:color="auto" w:sz="4" w:space="0"/>
              <w:right w:val="single" w:color="auto" w:sz="4" w:space="0"/>
            </w:tcBorders>
            <w:vAlign w:val="center"/>
          </w:tcPr>
          <w:p w14:paraId="609ECCF4">
            <w:pPr>
              <w:spacing w:line="240" w:lineRule="auto"/>
              <w:ind w:firstLine="0" w:firstLineChars="0"/>
              <w:jc w:val="center"/>
              <w:rPr>
                <w:rFonts w:ascii="仿宋_GB2312" w:cs="Times New Roman"/>
                <w:sz w:val="21"/>
                <w:szCs w:val="21"/>
              </w:rPr>
            </w:pPr>
            <w:r>
              <w:rPr>
                <w:rFonts w:hint="eastAsia" w:ascii="仿宋_GB2312" w:cs="Times New Roman"/>
                <w:sz w:val="21"/>
                <w:szCs w:val="21"/>
              </w:rPr>
              <w:t>237.6</w:t>
            </w:r>
          </w:p>
        </w:tc>
      </w:tr>
      <w:tr w14:paraId="61D59813">
        <w:tblPrEx>
          <w:tblCellMar>
            <w:top w:w="0" w:type="dxa"/>
            <w:left w:w="108" w:type="dxa"/>
            <w:bottom w:w="0" w:type="dxa"/>
            <w:right w:w="108" w:type="dxa"/>
          </w:tblCellMar>
        </w:tblPrEx>
        <w:trPr>
          <w:trHeight w:val="285" w:hRule="atLeast"/>
        </w:trPr>
        <w:tc>
          <w:tcPr>
            <w:tcW w:w="1113" w:type="pct"/>
            <w:tcBorders>
              <w:top w:val="nil"/>
              <w:left w:val="single" w:color="auto" w:sz="4" w:space="0"/>
              <w:bottom w:val="single" w:color="auto" w:sz="4" w:space="0"/>
              <w:right w:val="single" w:color="auto" w:sz="4" w:space="0"/>
            </w:tcBorders>
            <w:vAlign w:val="center"/>
          </w:tcPr>
          <w:p w14:paraId="1F18EE5C">
            <w:pPr>
              <w:spacing w:line="240" w:lineRule="auto"/>
              <w:ind w:firstLine="0" w:firstLineChars="0"/>
              <w:jc w:val="center"/>
              <w:rPr>
                <w:rFonts w:ascii="仿宋_GB2312" w:cs="Times New Roman"/>
                <w:sz w:val="21"/>
                <w:szCs w:val="21"/>
              </w:rPr>
            </w:pPr>
            <w:r>
              <w:rPr>
                <w:rFonts w:hint="eastAsia" w:ascii="仿宋_GB2312" w:cs="Times New Roman"/>
                <w:sz w:val="21"/>
                <w:szCs w:val="21"/>
              </w:rPr>
              <w:t>蒸发量（mm）</w:t>
            </w:r>
          </w:p>
        </w:tc>
        <w:tc>
          <w:tcPr>
            <w:tcW w:w="555" w:type="pct"/>
            <w:tcBorders>
              <w:top w:val="nil"/>
              <w:left w:val="nil"/>
              <w:bottom w:val="single" w:color="auto" w:sz="4" w:space="0"/>
              <w:right w:val="single" w:color="auto" w:sz="4" w:space="0"/>
            </w:tcBorders>
            <w:vAlign w:val="center"/>
          </w:tcPr>
          <w:p w14:paraId="1A7CF273">
            <w:pPr>
              <w:spacing w:line="240" w:lineRule="auto"/>
              <w:ind w:firstLine="0" w:firstLineChars="0"/>
              <w:jc w:val="center"/>
              <w:rPr>
                <w:rFonts w:ascii="仿宋_GB2312" w:cs="Times New Roman"/>
                <w:sz w:val="21"/>
                <w:szCs w:val="21"/>
              </w:rPr>
            </w:pPr>
            <w:r>
              <w:rPr>
                <w:rFonts w:hint="eastAsia" w:ascii="仿宋_GB2312" w:cs="Times New Roman"/>
                <w:sz w:val="21"/>
                <w:szCs w:val="21"/>
              </w:rPr>
              <w:t>253.4</w:t>
            </w:r>
          </w:p>
        </w:tc>
        <w:tc>
          <w:tcPr>
            <w:tcW w:w="555" w:type="pct"/>
            <w:tcBorders>
              <w:top w:val="nil"/>
              <w:left w:val="nil"/>
              <w:bottom w:val="single" w:color="auto" w:sz="4" w:space="0"/>
              <w:right w:val="single" w:color="auto" w:sz="4" w:space="0"/>
            </w:tcBorders>
            <w:vAlign w:val="center"/>
          </w:tcPr>
          <w:p w14:paraId="466DF401">
            <w:pPr>
              <w:spacing w:line="240" w:lineRule="auto"/>
              <w:ind w:firstLine="0" w:firstLineChars="0"/>
              <w:jc w:val="center"/>
              <w:rPr>
                <w:rFonts w:ascii="仿宋_GB2312" w:cs="Times New Roman"/>
                <w:sz w:val="21"/>
                <w:szCs w:val="21"/>
              </w:rPr>
            </w:pPr>
            <w:r>
              <w:rPr>
                <w:rFonts w:hint="eastAsia" w:ascii="仿宋_GB2312" w:cs="Times New Roman"/>
                <w:sz w:val="21"/>
                <w:szCs w:val="21"/>
              </w:rPr>
              <w:t>176.5</w:t>
            </w:r>
          </w:p>
        </w:tc>
        <w:tc>
          <w:tcPr>
            <w:tcW w:w="555" w:type="pct"/>
            <w:tcBorders>
              <w:top w:val="nil"/>
              <w:left w:val="nil"/>
              <w:bottom w:val="single" w:color="auto" w:sz="4" w:space="0"/>
              <w:right w:val="single" w:color="auto" w:sz="4" w:space="0"/>
            </w:tcBorders>
            <w:vAlign w:val="center"/>
          </w:tcPr>
          <w:p w14:paraId="0336961F">
            <w:pPr>
              <w:spacing w:line="240" w:lineRule="auto"/>
              <w:ind w:firstLine="0" w:firstLineChars="0"/>
              <w:jc w:val="center"/>
              <w:rPr>
                <w:rFonts w:ascii="仿宋_GB2312" w:cs="Times New Roman"/>
                <w:sz w:val="21"/>
                <w:szCs w:val="21"/>
              </w:rPr>
            </w:pPr>
            <w:r>
              <w:rPr>
                <w:rFonts w:hint="eastAsia" w:ascii="仿宋_GB2312" w:cs="Times New Roman"/>
                <w:sz w:val="21"/>
                <w:szCs w:val="21"/>
              </w:rPr>
              <w:t>88.7</w:t>
            </w:r>
          </w:p>
        </w:tc>
        <w:tc>
          <w:tcPr>
            <w:tcW w:w="555" w:type="pct"/>
            <w:tcBorders>
              <w:top w:val="nil"/>
              <w:left w:val="nil"/>
              <w:bottom w:val="single" w:color="auto" w:sz="4" w:space="0"/>
              <w:right w:val="single" w:color="auto" w:sz="4" w:space="0"/>
            </w:tcBorders>
            <w:vAlign w:val="center"/>
          </w:tcPr>
          <w:p w14:paraId="6029C8E0">
            <w:pPr>
              <w:spacing w:line="240" w:lineRule="auto"/>
              <w:ind w:firstLine="0" w:firstLineChars="0"/>
              <w:jc w:val="center"/>
              <w:rPr>
                <w:rFonts w:ascii="仿宋_GB2312" w:cs="Times New Roman"/>
                <w:sz w:val="21"/>
                <w:szCs w:val="21"/>
              </w:rPr>
            </w:pPr>
            <w:r>
              <w:rPr>
                <w:rFonts w:hint="eastAsia" w:ascii="仿宋_GB2312" w:cs="Times New Roman"/>
                <w:sz w:val="21"/>
                <w:szCs w:val="21"/>
              </w:rPr>
              <w:t>24</w:t>
            </w:r>
          </w:p>
        </w:tc>
        <w:tc>
          <w:tcPr>
            <w:tcW w:w="555" w:type="pct"/>
            <w:tcBorders>
              <w:top w:val="nil"/>
              <w:left w:val="nil"/>
              <w:bottom w:val="single" w:color="auto" w:sz="4" w:space="0"/>
              <w:right w:val="single" w:color="auto" w:sz="4" w:space="0"/>
            </w:tcBorders>
            <w:vAlign w:val="center"/>
          </w:tcPr>
          <w:p w14:paraId="3E0C1A43">
            <w:pPr>
              <w:spacing w:line="240" w:lineRule="auto"/>
              <w:ind w:firstLine="0" w:firstLineChars="0"/>
              <w:jc w:val="center"/>
              <w:rPr>
                <w:rFonts w:ascii="仿宋_GB2312" w:cs="Times New Roman"/>
                <w:sz w:val="21"/>
                <w:szCs w:val="21"/>
              </w:rPr>
            </w:pPr>
            <w:r>
              <w:rPr>
                <w:rFonts w:hint="eastAsia" w:ascii="仿宋_GB2312" w:cs="Times New Roman"/>
                <w:sz w:val="21"/>
                <w:szCs w:val="21"/>
              </w:rPr>
              <w:t>6.7</w:t>
            </w:r>
          </w:p>
        </w:tc>
        <w:tc>
          <w:tcPr>
            <w:tcW w:w="1110" w:type="pct"/>
            <w:gridSpan w:val="2"/>
            <w:tcBorders>
              <w:top w:val="single" w:color="auto" w:sz="4" w:space="0"/>
              <w:left w:val="nil"/>
              <w:bottom w:val="single" w:color="auto" w:sz="4" w:space="0"/>
              <w:right w:val="single" w:color="auto" w:sz="4" w:space="0"/>
            </w:tcBorders>
            <w:vAlign w:val="center"/>
          </w:tcPr>
          <w:p w14:paraId="7158417F">
            <w:pPr>
              <w:spacing w:line="240" w:lineRule="auto"/>
              <w:ind w:firstLine="0" w:firstLineChars="0"/>
              <w:jc w:val="center"/>
              <w:rPr>
                <w:rFonts w:ascii="仿宋_GB2312" w:cs="Times New Roman"/>
                <w:sz w:val="21"/>
                <w:szCs w:val="21"/>
              </w:rPr>
            </w:pPr>
            <w:r>
              <w:rPr>
                <w:rFonts w:hint="eastAsia" w:ascii="仿宋_GB2312" w:cs="Times New Roman"/>
                <w:sz w:val="21"/>
                <w:szCs w:val="21"/>
              </w:rPr>
              <w:t>1620.7</w:t>
            </w:r>
          </w:p>
        </w:tc>
      </w:tr>
      <w:tr w14:paraId="31E42247">
        <w:tblPrEx>
          <w:tblCellMar>
            <w:top w:w="0" w:type="dxa"/>
            <w:left w:w="108" w:type="dxa"/>
            <w:bottom w:w="0" w:type="dxa"/>
            <w:right w:w="108" w:type="dxa"/>
          </w:tblCellMar>
        </w:tblPrEx>
        <w:trPr>
          <w:trHeight w:val="285"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5A380351">
            <w:pPr>
              <w:spacing w:line="240" w:lineRule="auto"/>
              <w:ind w:firstLine="0" w:firstLineChars="0"/>
              <w:rPr>
                <w:rFonts w:ascii="仿宋_GB2312" w:cs="Times New Roman"/>
                <w:sz w:val="21"/>
                <w:szCs w:val="21"/>
              </w:rPr>
            </w:pPr>
            <w:r>
              <w:rPr>
                <w:rFonts w:hint="eastAsia" w:ascii="仿宋_GB2312" w:cs="Times New Roman"/>
                <w:sz w:val="21"/>
                <w:szCs w:val="21"/>
              </w:rPr>
              <w:t>资料系列：平均气温、降水量、蒸发量1981-2020年。</w:t>
            </w:r>
          </w:p>
        </w:tc>
      </w:tr>
    </w:tbl>
    <w:p w14:paraId="3136F136">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2A5020E7">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附表二 阜康市社会经济现状表</w:t>
      </w:r>
    </w:p>
    <w:tbl>
      <w:tblPr>
        <w:tblStyle w:val="48"/>
        <w:tblW w:w="5000" w:type="pct"/>
        <w:tblInd w:w="0" w:type="dxa"/>
        <w:tblLayout w:type="autofit"/>
        <w:tblCellMar>
          <w:top w:w="0" w:type="dxa"/>
          <w:left w:w="108" w:type="dxa"/>
          <w:bottom w:w="0" w:type="dxa"/>
          <w:right w:w="108" w:type="dxa"/>
        </w:tblCellMar>
      </w:tblPr>
      <w:tblGrid>
        <w:gridCol w:w="2053"/>
        <w:gridCol w:w="1897"/>
        <w:gridCol w:w="1916"/>
        <w:gridCol w:w="2663"/>
      </w:tblGrid>
      <w:tr w14:paraId="5510416B">
        <w:tblPrEx>
          <w:tblCellMar>
            <w:top w:w="0" w:type="dxa"/>
            <w:left w:w="108" w:type="dxa"/>
            <w:bottom w:w="0" w:type="dxa"/>
            <w:right w:w="108" w:type="dxa"/>
          </w:tblCellMar>
        </w:tblPrEx>
        <w:trPr>
          <w:trHeight w:val="300" w:hRule="atLeast"/>
        </w:trPr>
        <w:tc>
          <w:tcPr>
            <w:tcW w:w="120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E4C2BD8">
            <w:pPr>
              <w:spacing w:line="240" w:lineRule="auto"/>
              <w:ind w:firstLine="0" w:firstLineChars="0"/>
              <w:jc w:val="center"/>
              <w:rPr>
                <w:rFonts w:ascii="仿宋_GB2312" w:cs="Times New Roman"/>
                <w:sz w:val="20"/>
                <w:szCs w:val="20"/>
              </w:rPr>
            </w:pPr>
            <w:r>
              <w:rPr>
                <w:rFonts w:hint="eastAsia" w:ascii="仿宋_GB2312" w:cs="Times New Roman"/>
                <w:sz w:val="20"/>
                <w:szCs w:val="20"/>
              </w:rPr>
              <w:t>行政区划</w:t>
            </w:r>
          </w:p>
        </w:tc>
        <w:tc>
          <w:tcPr>
            <w:tcW w:w="1115" w:type="pct"/>
            <w:tcBorders>
              <w:top w:val="single" w:color="auto" w:sz="4" w:space="0"/>
              <w:left w:val="nil"/>
              <w:bottom w:val="single" w:color="auto" w:sz="4" w:space="0"/>
              <w:right w:val="single" w:color="auto" w:sz="4" w:space="0"/>
            </w:tcBorders>
            <w:shd w:val="clear" w:color="auto" w:fill="auto"/>
            <w:noWrap/>
            <w:vAlign w:val="center"/>
          </w:tcPr>
          <w:p w14:paraId="5B3ADAAE">
            <w:pPr>
              <w:spacing w:line="240" w:lineRule="auto"/>
              <w:ind w:firstLine="0" w:firstLineChars="0"/>
              <w:jc w:val="center"/>
              <w:rPr>
                <w:rFonts w:ascii="仿宋_GB2312" w:cs="Times New Roman"/>
                <w:sz w:val="20"/>
                <w:szCs w:val="20"/>
              </w:rPr>
            </w:pPr>
            <w:r>
              <w:rPr>
                <w:rFonts w:hint="eastAsia" w:ascii="仿宋_GB2312" w:cs="Times New Roman"/>
                <w:sz w:val="20"/>
                <w:szCs w:val="20"/>
              </w:rPr>
              <w:t>人口数（万人）</w:t>
            </w:r>
          </w:p>
        </w:tc>
        <w:tc>
          <w:tcPr>
            <w:tcW w:w="1115" w:type="pct"/>
            <w:tcBorders>
              <w:top w:val="single" w:color="auto" w:sz="4" w:space="0"/>
              <w:left w:val="nil"/>
              <w:bottom w:val="single" w:color="auto" w:sz="4" w:space="0"/>
              <w:right w:val="single" w:color="auto" w:sz="4" w:space="0"/>
            </w:tcBorders>
            <w:shd w:val="clear" w:color="auto" w:fill="auto"/>
            <w:noWrap/>
            <w:vAlign w:val="center"/>
          </w:tcPr>
          <w:p w14:paraId="7BE41D8C">
            <w:pPr>
              <w:spacing w:line="240" w:lineRule="auto"/>
              <w:ind w:firstLine="0" w:firstLineChars="0"/>
              <w:jc w:val="center"/>
              <w:rPr>
                <w:rFonts w:ascii="仿宋_GB2312" w:cs="Times New Roman"/>
                <w:sz w:val="20"/>
                <w:szCs w:val="20"/>
              </w:rPr>
            </w:pPr>
            <w:r>
              <w:rPr>
                <w:rFonts w:hint="eastAsia" w:ascii="仿宋_GB2312" w:cs="Times New Roman"/>
                <w:sz w:val="20"/>
                <w:szCs w:val="20"/>
              </w:rPr>
              <w:t>人均收入（元/人）</w:t>
            </w:r>
          </w:p>
        </w:tc>
        <w:tc>
          <w:tcPr>
            <w:tcW w:w="1563" w:type="pct"/>
            <w:tcBorders>
              <w:top w:val="single" w:color="auto" w:sz="4" w:space="0"/>
              <w:left w:val="nil"/>
              <w:bottom w:val="single" w:color="auto" w:sz="4" w:space="0"/>
              <w:right w:val="single" w:color="auto" w:sz="4" w:space="0"/>
            </w:tcBorders>
            <w:shd w:val="clear" w:color="auto" w:fill="auto"/>
            <w:noWrap/>
            <w:vAlign w:val="center"/>
          </w:tcPr>
          <w:p w14:paraId="794E89FA">
            <w:pPr>
              <w:spacing w:line="240" w:lineRule="auto"/>
              <w:ind w:firstLine="0" w:firstLineChars="0"/>
              <w:jc w:val="center"/>
              <w:rPr>
                <w:rFonts w:ascii="仿宋_GB2312" w:cs="Times New Roman"/>
                <w:sz w:val="20"/>
                <w:szCs w:val="20"/>
              </w:rPr>
            </w:pPr>
            <w:r>
              <w:rPr>
                <w:rFonts w:hint="eastAsia" w:ascii="仿宋_GB2312" w:cs="Times New Roman"/>
                <w:sz w:val="20"/>
                <w:szCs w:val="20"/>
              </w:rPr>
              <w:t>地区生产总值GDP（亿元）</w:t>
            </w:r>
          </w:p>
        </w:tc>
      </w:tr>
      <w:tr w14:paraId="1B7C6AFA">
        <w:tblPrEx>
          <w:tblCellMar>
            <w:top w:w="0" w:type="dxa"/>
            <w:left w:w="108" w:type="dxa"/>
            <w:bottom w:w="0" w:type="dxa"/>
            <w:right w:w="108" w:type="dxa"/>
          </w:tblCellMar>
        </w:tblPrEx>
        <w:trPr>
          <w:trHeight w:val="300" w:hRule="atLeast"/>
        </w:trPr>
        <w:tc>
          <w:tcPr>
            <w:tcW w:w="1206" w:type="pct"/>
            <w:tcBorders>
              <w:top w:val="nil"/>
              <w:left w:val="single" w:color="auto" w:sz="4" w:space="0"/>
              <w:bottom w:val="single" w:color="auto" w:sz="4" w:space="0"/>
              <w:right w:val="single" w:color="auto" w:sz="4" w:space="0"/>
            </w:tcBorders>
            <w:shd w:val="clear" w:color="auto" w:fill="auto"/>
            <w:noWrap/>
            <w:vAlign w:val="center"/>
          </w:tcPr>
          <w:p w14:paraId="6BAA7A9D">
            <w:pPr>
              <w:spacing w:line="240" w:lineRule="auto"/>
              <w:ind w:firstLine="0" w:firstLineChars="0"/>
              <w:jc w:val="center"/>
              <w:rPr>
                <w:rFonts w:ascii="仿宋_GB2312" w:cs="Times New Roman"/>
                <w:sz w:val="20"/>
                <w:szCs w:val="20"/>
              </w:rPr>
            </w:pPr>
            <w:r>
              <w:rPr>
                <w:rFonts w:hint="eastAsia" w:ascii="仿宋_GB2312" w:cs="Times New Roman"/>
                <w:sz w:val="20"/>
                <w:szCs w:val="20"/>
              </w:rPr>
              <w:t>阜康市</w:t>
            </w:r>
          </w:p>
        </w:tc>
        <w:tc>
          <w:tcPr>
            <w:tcW w:w="1115" w:type="pct"/>
            <w:tcBorders>
              <w:top w:val="nil"/>
              <w:left w:val="nil"/>
              <w:bottom w:val="single" w:color="auto" w:sz="4" w:space="0"/>
              <w:right w:val="single" w:color="auto" w:sz="4" w:space="0"/>
            </w:tcBorders>
            <w:shd w:val="clear" w:color="auto" w:fill="auto"/>
            <w:noWrap/>
            <w:vAlign w:val="center"/>
          </w:tcPr>
          <w:p w14:paraId="062EC396">
            <w:pPr>
              <w:spacing w:line="240" w:lineRule="auto"/>
              <w:ind w:firstLine="0" w:firstLineChars="0"/>
              <w:jc w:val="center"/>
              <w:rPr>
                <w:rFonts w:ascii="仿宋_GB2312" w:cs="Times New Roman"/>
                <w:sz w:val="20"/>
                <w:szCs w:val="20"/>
              </w:rPr>
            </w:pPr>
            <w:r>
              <w:rPr>
                <w:rFonts w:hint="eastAsia" w:ascii="仿宋_GB2312" w:cs="Times New Roman"/>
                <w:sz w:val="20"/>
                <w:szCs w:val="20"/>
              </w:rPr>
              <w:t>13.12</w:t>
            </w:r>
          </w:p>
        </w:tc>
        <w:tc>
          <w:tcPr>
            <w:tcW w:w="1115" w:type="pct"/>
            <w:tcBorders>
              <w:top w:val="nil"/>
              <w:left w:val="nil"/>
              <w:bottom w:val="single" w:color="auto" w:sz="4" w:space="0"/>
              <w:right w:val="single" w:color="auto" w:sz="4" w:space="0"/>
            </w:tcBorders>
            <w:shd w:val="clear" w:color="auto" w:fill="auto"/>
            <w:noWrap/>
            <w:vAlign w:val="center"/>
          </w:tcPr>
          <w:p w14:paraId="4B12105B">
            <w:pPr>
              <w:spacing w:line="240" w:lineRule="auto"/>
              <w:ind w:firstLine="0" w:firstLineChars="0"/>
              <w:jc w:val="center"/>
              <w:rPr>
                <w:rFonts w:ascii="仿宋_GB2312" w:cs="Times New Roman"/>
                <w:sz w:val="20"/>
                <w:szCs w:val="20"/>
              </w:rPr>
            </w:pPr>
            <w:r>
              <w:rPr>
                <w:rFonts w:hint="eastAsia" w:ascii="仿宋_GB2312" w:cs="Times New Roman"/>
                <w:sz w:val="20"/>
                <w:szCs w:val="20"/>
              </w:rPr>
              <w:t>40694</w:t>
            </w:r>
          </w:p>
        </w:tc>
        <w:tc>
          <w:tcPr>
            <w:tcW w:w="1563" w:type="pct"/>
            <w:tcBorders>
              <w:top w:val="nil"/>
              <w:left w:val="nil"/>
              <w:bottom w:val="single" w:color="auto" w:sz="4" w:space="0"/>
              <w:right w:val="single" w:color="auto" w:sz="4" w:space="0"/>
            </w:tcBorders>
            <w:shd w:val="clear" w:color="auto" w:fill="auto"/>
            <w:noWrap/>
            <w:vAlign w:val="center"/>
          </w:tcPr>
          <w:p w14:paraId="0F0A5C1D">
            <w:pPr>
              <w:spacing w:line="240" w:lineRule="auto"/>
              <w:ind w:firstLine="0" w:firstLineChars="0"/>
              <w:jc w:val="center"/>
              <w:rPr>
                <w:rFonts w:ascii="仿宋_GB2312" w:cs="Times New Roman"/>
                <w:sz w:val="20"/>
                <w:szCs w:val="20"/>
              </w:rPr>
            </w:pPr>
            <w:r>
              <w:rPr>
                <w:rFonts w:hint="eastAsia" w:ascii="仿宋_GB2312" w:cs="Times New Roman"/>
                <w:sz w:val="20"/>
                <w:szCs w:val="20"/>
              </w:rPr>
              <w:t>267.65</w:t>
            </w:r>
          </w:p>
        </w:tc>
      </w:tr>
    </w:tbl>
    <w:p w14:paraId="4BFD433E">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4E097897">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附表四            阜康市土地坡度组成表（不含兵团，单位（km</w:t>
      </w:r>
      <w:r>
        <w:rPr>
          <w:rFonts w:hint="eastAsia" w:ascii="仿宋_GB2312" w:cs="Times New Roman"/>
          <w:sz w:val="28"/>
          <w:szCs w:val="28"/>
          <w:vertAlign w:val="superscript"/>
          <w:lang w:val="zh-CN"/>
        </w:rPr>
        <w:t>2</w:t>
      </w:r>
      <w:r>
        <w:rPr>
          <w:rFonts w:hint="eastAsia" w:ascii="仿宋_GB2312" w:cs="Times New Roman"/>
          <w:sz w:val="28"/>
          <w:szCs w:val="28"/>
          <w:lang w:val="zh-CN"/>
        </w:rPr>
        <w:t>））</w:t>
      </w:r>
    </w:p>
    <w:tbl>
      <w:tblPr>
        <w:tblStyle w:val="48"/>
        <w:tblW w:w="5000" w:type="pct"/>
        <w:tblInd w:w="0" w:type="dxa"/>
        <w:tblLayout w:type="autofit"/>
        <w:tblCellMar>
          <w:top w:w="0" w:type="dxa"/>
          <w:left w:w="108" w:type="dxa"/>
          <w:bottom w:w="0" w:type="dxa"/>
          <w:right w:w="108" w:type="dxa"/>
        </w:tblCellMar>
      </w:tblPr>
      <w:tblGrid>
        <w:gridCol w:w="1705"/>
        <w:gridCol w:w="1706"/>
        <w:gridCol w:w="1706"/>
        <w:gridCol w:w="1706"/>
        <w:gridCol w:w="1706"/>
      </w:tblGrid>
      <w:tr w14:paraId="6440EC67">
        <w:trPr>
          <w:trHeight w:val="290" w:hRule="atLeast"/>
        </w:trPr>
        <w:tc>
          <w:tcPr>
            <w:tcW w:w="1000" w:type="pct"/>
            <w:tcBorders>
              <w:top w:val="single" w:color="auto" w:sz="8" w:space="0"/>
              <w:left w:val="single" w:color="auto" w:sz="8" w:space="0"/>
              <w:bottom w:val="single" w:color="auto" w:sz="8" w:space="0"/>
              <w:right w:val="single" w:color="auto" w:sz="8" w:space="0"/>
            </w:tcBorders>
            <w:shd w:val="clear" w:color="auto" w:fill="auto"/>
            <w:noWrap/>
            <w:vAlign w:val="center"/>
          </w:tcPr>
          <w:p w14:paraId="22234745">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坡度</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3E71E56D">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w:t>
            </w:r>
            <w:r>
              <w:rPr>
                <w:rFonts w:hint="eastAsia" w:ascii="仿宋_GB2312" w:cs="Times New Roman"/>
                <w:color w:val="000000"/>
                <w:sz w:val="20"/>
                <w:szCs w:val="20"/>
              </w:rPr>
              <w:t>5°</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327B6BC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w:t>
            </w:r>
            <w:r>
              <w:rPr>
                <w:rFonts w:hint="eastAsia" w:ascii="仿宋_GB2312" w:cs="Times New Roman"/>
                <w:color w:val="000000"/>
                <w:sz w:val="20"/>
                <w:szCs w:val="20"/>
              </w:rPr>
              <w:t>10°</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43E186D5">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w:t>
            </w:r>
            <w:r>
              <w:rPr>
                <w:rFonts w:hint="eastAsia" w:ascii="仿宋_GB2312" w:cs="Times New Roman"/>
                <w:color w:val="000000"/>
                <w:sz w:val="20"/>
                <w:szCs w:val="20"/>
              </w:rPr>
              <w:t>15°</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3DFE6A4D">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合计</w:t>
            </w:r>
          </w:p>
        </w:tc>
      </w:tr>
      <w:tr w14:paraId="2514874D">
        <w:tblPrEx>
          <w:tblCellMar>
            <w:top w:w="0" w:type="dxa"/>
            <w:left w:w="108" w:type="dxa"/>
            <w:bottom w:w="0" w:type="dxa"/>
            <w:right w:w="108" w:type="dxa"/>
          </w:tblCellMar>
        </w:tblPrEx>
        <w:trPr>
          <w:trHeight w:val="290" w:hRule="atLeast"/>
        </w:trPr>
        <w:tc>
          <w:tcPr>
            <w:tcW w:w="1000" w:type="pct"/>
            <w:tcBorders>
              <w:top w:val="nil"/>
              <w:left w:val="single" w:color="auto" w:sz="8" w:space="0"/>
              <w:bottom w:val="single" w:color="auto" w:sz="8" w:space="0"/>
              <w:right w:val="single" w:color="auto" w:sz="8" w:space="0"/>
            </w:tcBorders>
            <w:shd w:val="clear" w:color="auto" w:fill="auto"/>
            <w:noWrap/>
            <w:vAlign w:val="center"/>
          </w:tcPr>
          <w:p w14:paraId="29BA22DB">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面积</w:t>
            </w:r>
          </w:p>
        </w:tc>
        <w:tc>
          <w:tcPr>
            <w:tcW w:w="1000" w:type="pct"/>
            <w:tcBorders>
              <w:top w:val="nil"/>
              <w:left w:val="nil"/>
              <w:bottom w:val="single" w:color="auto" w:sz="8" w:space="0"/>
              <w:right w:val="single" w:color="auto" w:sz="8" w:space="0"/>
            </w:tcBorders>
            <w:shd w:val="clear" w:color="auto" w:fill="auto"/>
            <w:noWrap/>
            <w:vAlign w:val="center"/>
          </w:tcPr>
          <w:p w14:paraId="64D7F390">
            <w:pPr>
              <w:spacing w:line="240" w:lineRule="auto"/>
              <w:ind w:firstLine="0" w:firstLineChars="0"/>
              <w:jc w:val="center"/>
              <w:rPr>
                <w:rFonts w:ascii="仿宋_GB2312" w:cs="Times New Roman"/>
                <w:color w:val="000000"/>
                <w:sz w:val="20"/>
                <w:szCs w:val="20"/>
              </w:rPr>
            </w:pPr>
            <w:r>
              <w:rPr>
                <w:rFonts w:hint="eastAsia" w:ascii="仿宋_GB2312" w:cs="Times New Roman"/>
                <w:color w:val="000000"/>
                <w:sz w:val="20"/>
                <w:szCs w:val="20"/>
              </w:rPr>
              <w:t>5982.7</w:t>
            </w:r>
          </w:p>
        </w:tc>
        <w:tc>
          <w:tcPr>
            <w:tcW w:w="1000" w:type="pct"/>
            <w:tcBorders>
              <w:top w:val="nil"/>
              <w:left w:val="nil"/>
              <w:bottom w:val="single" w:color="auto" w:sz="8" w:space="0"/>
              <w:right w:val="single" w:color="auto" w:sz="8" w:space="0"/>
            </w:tcBorders>
            <w:shd w:val="clear" w:color="auto" w:fill="auto"/>
            <w:noWrap/>
            <w:vAlign w:val="center"/>
          </w:tcPr>
          <w:p w14:paraId="4BA7CA81">
            <w:pPr>
              <w:spacing w:line="240" w:lineRule="auto"/>
              <w:ind w:firstLine="0" w:firstLineChars="0"/>
              <w:jc w:val="center"/>
              <w:rPr>
                <w:rFonts w:ascii="仿宋_GB2312" w:cs="Times New Roman"/>
                <w:color w:val="000000"/>
                <w:sz w:val="20"/>
                <w:szCs w:val="20"/>
              </w:rPr>
            </w:pPr>
            <w:r>
              <w:rPr>
                <w:rFonts w:hint="eastAsia" w:ascii="仿宋_GB2312" w:cs="Times New Roman"/>
                <w:color w:val="000000"/>
                <w:sz w:val="20"/>
                <w:szCs w:val="20"/>
              </w:rPr>
              <w:t>203.65</w:t>
            </w:r>
          </w:p>
        </w:tc>
        <w:tc>
          <w:tcPr>
            <w:tcW w:w="1000" w:type="pct"/>
            <w:tcBorders>
              <w:top w:val="nil"/>
              <w:left w:val="nil"/>
              <w:bottom w:val="single" w:color="auto" w:sz="8" w:space="0"/>
              <w:right w:val="single" w:color="auto" w:sz="8" w:space="0"/>
            </w:tcBorders>
            <w:shd w:val="clear" w:color="auto" w:fill="auto"/>
            <w:noWrap/>
            <w:vAlign w:val="center"/>
          </w:tcPr>
          <w:p w14:paraId="7F10A5FA">
            <w:pPr>
              <w:spacing w:line="240" w:lineRule="auto"/>
              <w:ind w:firstLine="0" w:firstLineChars="0"/>
              <w:jc w:val="center"/>
              <w:rPr>
                <w:rFonts w:ascii="仿宋_GB2312" w:cs="Times New Roman"/>
                <w:color w:val="000000"/>
                <w:sz w:val="20"/>
                <w:szCs w:val="20"/>
              </w:rPr>
            </w:pPr>
            <w:r>
              <w:rPr>
                <w:rFonts w:hint="eastAsia" w:ascii="仿宋_GB2312" w:cs="Times New Roman"/>
                <w:color w:val="000000"/>
                <w:sz w:val="20"/>
                <w:szCs w:val="20"/>
              </w:rPr>
              <w:t>2032.76</w:t>
            </w:r>
          </w:p>
        </w:tc>
        <w:tc>
          <w:tcPr>
            <w:tcW w:w="1000" w:type="pct"/>
            <w:tcBorders>
              <w:top w:val="nil"/>
              <w:left w:val="nil"/>
              <w:bottom w:val="single" w:color="auto" w:sz="8" w:space="0"/>
              <w:right w:val="single" w:color="auto" w:sz="8" w:space="0"/>
            </w:tcBorders>
            <w:shd w:val="clear" w:color="auto" w:fill="auto"/>
            <w:noWrap/>
            <w:vAlign w:val="center"/>
          </w:tcPr>
          <w:p w14:paraId="3CBC7656">
            <w:pPr>
              <w:spacing w:line="240" w:lineRule="auto"/>
              <w:ind w:firstLine="0" w:firstLineChars="0"/>
              <w:jc w:val="center"/>
              <w:rPr>
                <w:rFonts w:ascii="仿宋_GB2312" w:cs="Times New Roman"/>
                <w:color w:val="000000"/>
                <w:sz w:val="20"/>
                <w:szCs w:val="20"/>
              </w:rPr>
            </w:pPr>
            <w:r>
              <w:rPr>
                <w:rFonts w:hint="eastAsia" w:ascii="仿宋_GB2312" w:cs="Times New Roman"/>
                <w:color w:val="000000"/>
                <w:sz w:val="20"/>
                <w:szCs w:val="20"/>
              </w:rPr>
              <w:t>8219.11</w:t>
            </w:r>
          </w:p>
        </w:tc>
      </w:tr>
    </w:tbl>
    <w:p w14:paraId="05CD87A3">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38D93DD3">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附表五               阜康市耕地坡度组成表（单位（km</w:t>
      </w:r>
      <w:r>
        <w:rPr>
          <w:rFonts w:hint="eastAsia" w:ascii="仿宋_GB2312" w:cs="Times New Roman"/>
          <w:sz w:val="28"/>
          <w:szCs w:val="28"/>
          <w:vertAlign w:val="superscript"/>
          <w:lang w:val="zh-CN"/>
        </w:rPr>
        <w:t>2</w:t>
      </w:r>
      <w:r>
        <w:rPr>
          <w:rFonts w:hint="eastAsia" w:ascii="仿宋_GB2312" w:cs="Times New Roman"/>
          <w:sz w:val="28"/>
          <w:szCs w:val="28"/>
          <w:lang w:val="zh-CN"/>
        </w:rPr>
        <w:t>））</w:t>
      </w:r>
    </w:p>
    <w:tbl>
      <w:tblPr>
        <w:tblStyle w:val="48"/>
        <w:tblW w:w="5000" w:type="pct"/>
        <w:tblInd w:w="0" w:type="dxa"/>
        <w:tblLayout w:type="autofit"/>
        <w:tblCellMar>
          <w:top w:w="0" w:type="dxa"/>
          <w:left w:w="108" w:type="dxa"/>
          <w:bottom w:w="0" w:type="dxa"/>
          <w:right w:w="108" w:type="dxa"/>
        </w:tblCellMar>
      </w:tblPr>
      <w:tblGrid>
        <w:gridCol w:w="1705"/>
        <w:gridCol w:w="1706"/>
        <w:gridCol w:w="1706"/>
        <w:gridCol w:w="1706"/>
        <w:gridCol w:w="1706"/>
      </w:tblGrid>
      <w:tr w14:paraId="64534020">
        <w:tblPrEx>
          <w:tblCellMar>
            <w:top w:w="0" w:type="dxa"/>
            <w:left w:w="108" w:type="dxa"/>
            <w:bottom w:w="0" w:type="dxa"/>
            <w:right w:w="108" w:type="dxa"/>
          </w:tblCellMar>
        </w:tblPrEx>
        <w:trPr>
          <w:trHeight w:val="290" w:hRule="atLeast"/>
        </w:trPr>
        <w:tc>
          <w:tcPr>
            <w:tcW w:w="1000" w:type="pct"/>
            <w:tcBorders>
              <w:top w:val="single" w:color="auto" w:sz="8" w:space="0"/>
              <w:left w:val="single" w:color="auto" w:sz="8" w:space="0"/>
              <w:bottom w:val="single" w:color="auto" w:sz="8" w:space="0"/>
              <w:right w:val="single" w:color="auto" w:sz="8" w:space="0"/>
            </w:tcBorders>
            <w:shd w:val="clear" w:color="auto" w:fill="auto"/>
            <w:noWrap/>
            <w:vAlign w:val="center"/>
          </w:tcPr>
          <w:p w14:paraId="012597AE">
            <w:pPr>
              <w:spacing w:line="240" w:lineRule="auto"/>
              <w:ind w:firstLine="0" w:firstLineChars="0"/>
              <w:jc w:val="center"/>
              <w:rPr>
                <w:rFonts w:hint="eastAsia" w:ascii="仿宋_GB2312" w:hAnsi="宋体"/>
                <w:sz w:val="20"/>
                <w:szCs w:val="20"/>
              </w:rPr>
            </w:pPr>
            <w:r>
              <w:rPr>
                <w:rFonts w:hint="eastAsia" w:ascii="仿宋_GB2312" w:hAnsi="宋体"/>
                <w:sz w:val="20"/>
                <w:szCs w:val="20"/>
              </w:rPr>
              <w:t>坡度</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1A38A164">
            <w:pPr>
              <w:spacing w:line="240" w:lineRule="auto"/>
              <w:ind w:firstLine="0" w:firstLineChars="0"/>
              <w:jc w:val="center"/>
              <w:rPr>
                <w:rFonts w:hint="eastAsia" w:ascii="仿宋_GB2312" w:hAnsi="宋体"/>
                <w:sz w:val="20"/>
                <w:szCs w:val="20"/>
              </w:rPr>
            </w:pPr>
            <w:r>
              <w:rPr>
                <w:rFonts w:hint="eastAsia" w:ascii="仿宋_GB2312" w:hAnsi="宋体"/>
                <w:sz w:val="20"/>
                <w:szCs w:val="20"/>
              </w:rPr>
              <w:t>＜</w:t>
            </w:r>
            <w:r>
              <w:rPr>
                <w:rFonts w:hint="eastAsia" w:ascii="仿宋_GB2312" w:cs="Times New Roman"/>
                <w:sz w:val="20"/>
                <w:szCs w:val="20"/>
              </w:rPr>
              <w:t>5°</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09942F22">
            <w:pPr>
              <w:spacing w:line="240" w:lineRule="auto"/>
              <w:ind w:firstLine="0" w:firstLineChars="0"/>
              <w:jc w:val="center"/>
              <w:rPr>
                <w:rFonts w:hint="eastAsia" w:ascii="仿宋_GB2312" w:hAnsi="宋体"/>
                <w:sz w:val="20"/>
                <w:szCs w:val="20"/>
              </w:rPr>
            </w:pPr>
            <w:r>
              <w:rPr>
                <w:rFonts w:hint="eastAsia" w:ascii="仿宋_GB2312" w:hAnsi="宋体"/>
                <w:sz w:val="20"/>
                <w:szCs w:val="20"/>
              </w:rPr>
              <w:t>＜</w:t>
            </w:r>
            <w:r>
              <w:rPr>
                <w:rFonts w:hint="eastAsia" w:ascii="仿宋_GB2312" w:cs="Times New Roman"/>
                <w:sz w:val="20"/>
                <w:szCs w:val="20"/>
              </w:rPr>
              <w:t>10°</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14E0D401">
            <w:pPr>
              <w:spacing w:line="240" w:lineRule="auto"/>
              <w:ind w:firstLine="0" w:firstLineChars="0"/>
              <w:jc w:val="center"/>
              <w:rPr>
                <w:rFonts w:hint="eastAsia" w:ascii="仿宋_GB2312" w:hAnsi="宋体"/>
                <w:sz w:val="20"/>
                <w:szCs w:val="20"/>
              </w:rPr>
            </w:pPr>
            <w:r>
              <w:rPr>
                <w:rFonts w:hint="eastAsia" w:ascii="仿宋_GB2312" w:hAnsi="宋体"/>
                <w:sz w:val="20"/>
                <w:szCs w:val="20"/>
              </w:rPr>
              <w:t>＜</w:t>
            </w:r>
            <w:r>
              <w:rPr>
                <w:rFonts w:hint="eastAsia" w:ascii="仿宋_GB2312" w:cs="Times New Roman"/>
                <w:sz w:val="20"/>
                <w:szCs w:val="20"/>
              </w:rPr>
              <w:t>15°</w:t>
            </w:r>
          </w:p>
        </w:tc>
        <w:tc>
          <w:tcPr>
            <w:tcW w:w="1000" w:type="pct"/>
            <w:tcBorders>
              <w:top w:val="single" w:color="auto" w:sz="8" w:space="0"/>
              <w:left w:val="nil"/>
              <w:bottom w:val="single" w:color="auto" w:sz="8" w:space="0"/>
              <w:right w:val="single" w:color="auto" w:sz="8" w:space="0"/>
            </w:tcBorders>
            <w:shd w:val="clear" w:color="auto" w:fill="auto"/>
            <w:noWrap/>
            <w:vAlign w:val="center"/>
          </w:tcPr>
          <w:p w14:paraId="1031DF61">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r>
      <w:tr w14:paraId="2B6DA65C">
        <w:tblPrEx>
          <w:tblCellMar>
            <w:top w:w="0" w:type="dxa"/>
            <w:left w:w="108" w:type="dxa"/>
            <w:bottom w:w="0" w:type="dxa"/>
            <w:right w:w="108" w:type="dxa"/>
          </w:tblCellMar>
        </w:tblPrEx>
        <w:trPr>
          <w:trHeight w:val="290" w:hRule="atLeast"/>
        </w:trPr>
        <w:tc>
          <w:tcPr>
            <w:tcW w:w="1000" w:type="pct"/>
            <w:tcBorders>
              <w:top w:val="nil"/>
              <w:left w:val="single" w:color="auto" w:sz="8" w:space="0"/>
              <w:bottom w:val="single" w:color="auto" w:sz="8" w:space="0"/>
              <w:right w:val="single" w:color="auto" w:sz="8" w:space="0"/>
            </w:tcBorders>
            <w:shd w:val="clear" w:color="auto" w:fill="auto"/>
            <w:noWrap/>
            <w:vAlign w:val="center"/>
          </w:tcPr>
          <w:p w14:paraId="68CFF070">
            <w:pPr>
              <w:spacing w:line="240" w:lineRule="auto"/>
              <w:ind w:firstLine="0" w:firstLineChars="0"/>
              <w:jc w:val="center"/>
              <w:rPr>
                <w:rFonts w:hint="eastAsia" w:ascii="仿宋_GB2312" w:hAnsi="宋体"/>
                <w:sz w:val="20"/>
                <w:szCs w:val="20"/>
              </w:rPr>
            </w:pPr>
            <w:r>
              <w:rPr>
                <w:rFonts w:hint="eastAsia" w:ascii="仿宋_GB2312" w:hAnsi="宋体"/>
                <w:sz w:val="20"/>
                <w:szCs w:val="20"/>
              </w:rPr>
              <w:t>面积</w:t>
            </w:r>
          </w:p>
        </w:tc>
        <w:tc>
          <w:tcPr>
            <w:tcW w:w="1000" w:type="pct"/>
            <w:tcBorders>
              <w:top w:val="nil"/>
              <w:left w:val="nil"/>
              <w:bottom w:val="single" w:color="auto" w:sz="8" w:space="0"/>
              <w:right w:val="single" w:color="auto" w:sz="8" w:space="0"/>
            </w:tcBorders>
            <w:shd w:val="clear" w:color="auto" w:fill="auto"/>
            <w:noWrap/>
            <w:vAlign w:val="center"/>
          </w:tcPr>
          <w:p w14:paraId="0C47F4EC">
            <w:pPr>
              <w:spacing w:line="240" w:lineRule="auto"/>
              <w:ind w:firstLine="0" w:firstLineChars="0"/>
              <w:jc w:val="center"/>
              <w:rPr>
                <w:rFonts w:ascii="仿宋_GB2312" w:cs="Times New Roman"/>
                <w:sz w:val="20"/>
                <w:szCs w:val="20"/>
              </w:rPr>
            </w:pPr>
            <w:r>
              <w:rPr>
                <w:rFonts w:hint="eastAsia" w:ascii="仿宋_GB2312" w:cs="Times New Roman"/>
                <w:sz w:val="20"/>
                <w:szCs w:val="20"/>
              </w:rPr>
              <w:t>418.59</w:t>
            </w:r>
          </w:p>
        </w:tc>
        <w:tc>
          <w:tcPr>
            <w:tcW w:w="1000" w:type="pct"/>
            <w:tcBorders>
              <w:top w:val="nil"/>
              <w:left w:val="nil"/>
              <w:bottom w:val="single" w:color="auto" w:sz="8" w:space="0"/>
              <w:right w:val="single" w:color="auto" w:sz="8" w:space="0"/>
            </w:tcBorders>
            <w:shd w:val="clear" w:color="auto" w:fill="auto"/>
            <w:noWrap/>
            <w:vAlign w:val="center"/>
          </w:tcPr>
          <w:p w14:paraId="3F8BBB5B">
            <w:pPr>
              <w:spacing w:line="240" w:lineRule="auto"/>
              <w:ind w:firstLine="0" w:firstLineChars="0"/>
              <w:jc w:val="center"/>
              <w:rPr>
                <w:rFonts w:ascii="仿宋_GB2312" w:cs="Times New Roman"/>
                <w:sz w:val="20"/>
                <w:szCs w:val="20"/>
              </w:rPr>
            </w:pPr>
            <w:r>
              <w:rPr>
                <w:rFonts w:hint="eastAsia" w:ascii="仿宋_GB2312" w:cs="Times New Roman"/>
                <w:sz w:val="20"/>
                <w:szCs w:val="20"/>
              </w:rPr>
              <w:t>162.5</w:t>
            </w:r>
          </w:p>
        </w:tc>
        <w:tc>
          <w:tcPr>
            <w:tcW w:w="1000" w:type="pct"/>
            <w:tcBorders>
              <w:top w:val="nil"/>
              <w:left w:val="nil"/>
              <w:bottom w:val="single" w:color="auto" w:sz="8" w:space="0"/>
              <w:right w:val="single" w:color="auto" w:sz="8" w:space="0"/>
            </w:tcBorders>
            <w:shd w:val="clear" w:color="auto" w:fill="auto"/>
            <w:noWrap/>
            <w:vAlign w:val="center"/>
          </w:tcPr>
          <w:p w14:paraId="6E9F5FAF">
            <w:pPr>
              <w:spacing w:line="240" w:lineRule="auto"/>
              <w:ind w:firstLine="0" w:firstLineChars="0"/>
              <w:jc w:val="center"/>
              <w:rPr>
                <w:rFonts w:ascii="仿宋_GB2312" w:cs="Times New Roman"/>
                <w:sz w:val="20"/>
                <w:szCs w:val="20"/>
              </w:rPr>
            </w:pPr>
            <w:r>
              <w:rPr>
                <w:rFonts w:hint="eastAsia" w:ascii="仿宋_GB2312" w:cs="Times New Roman"/>
                <w:sz w:val="20"/>
                <w:szCs w:val="20"/>
              </w:rPr>
              <w:t>0.88</w:t>
            </w:r>
          </w:p>
        </w:tc>
        <w:tc>
          <w:tcPr>
            <w:tcW w:w="1000" w:type="pct"/>
            <w:tcBorders>
              <w:top w:val="nil"/>
              <w:left w:val="nil"/>
              <w:bottom w:val="single" w:color="auto" w:sz="8" w:space="0"/>
              <w:right w:val="single" w:color="auto" w:sz="8" w:space="0"/>
            </w:tcBorders>
            <w:shd w:val="clear" w:color="auto" w:fill="auto"/>
            <w:noWrap/>
            <w:vAlign w:val="center"/>
          </w:tcPr>
          <w:p w14:paraId="73269D4E">
            <w:pPr>
              <w:spacing w:line="240" w:lineRule="auto"/>
              <w:ind w:firstLine="0" w:firstLineChars="0"/>
              <w:jc w:val="center"/>
              <w:rPr>
                <w:rFonts w:ascii="仿宋_GB2312" w:cs="Times New Roman"/>
                <w:sz w:val="20"/>
                <w:szCs w:val="20"/>
              </w:rPr>
            </w:pPr>
            <w:r>
              <w:rPr>
                <w:rFonts w:hint="eastAsia" w:ascii="仿宋_GB2312" w:cs="Times New Roman"/>
                <w:sz w:val="20"/>
                <w:szCs w:val="20"/>
              </w:rPr>
              <w:t>581.97</w:t>
            </w:r>
          </w:p>
        </w:tc>
      </w:tr>
    </w:tbl>
    <w:p w14:paraId="2893D5FD">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4A851816">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附表六               2022年阜康市水土流失现状表（含兵团）</w:t>
      </w:r>
    </w:p>
    <w:tbl>
      <w:tblPr>
        <w:tblStyle w:val="4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8"/>
        <w:gridCol w:w="1218"/>
        <w:gridCol w:w="1218"/>
        <w:gridCol w:w="1218"/>
        <w:gridCol w:w="1332"/>
        <w:gridCol w:w="1107"/>
        <w:gridCol w:w="1218"/>
      </w:tblGrid>
      <w:tr w14:paraId="0C05A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714" w:type="pct"/>
            <w:shd w:val="clear" w:color="auto" w:fill="auto"/>
            <w:vAlign w:val="center"/>
          </w:tcPr>
          <w:p w14:paraId="6EF9E146">
            <w:pPr>
              <w:spacing w:line="240" w:lineRule="auto"/>
              <w:ind w:firstLine="0" w:firstLineChars="0"/>
              <w:jc w:val="center"/>
              <w:rPr>
                <w:rFonts w:hint="eastAsia" w:ascii="仿宋_GB2312" w:hAnsi="宋体"/>
                <w:sz w:val="21"/>
                <w:szCs w:val="21"/>
              </w:rPr>
            </w:pPr>
            <w:r>
              <w:rPr>
                <w:rFonts w:hint="eastAsia" w:ascii="仿宋_GB2312" w:hAnsi="宋体"/>
                <w:sz w:val="21"/>
                <w:szCs w:val="21"/>
              </w:rPr>
              <w:t>侵蚀类型</w:t>
            </w:r>
          </w:p>
        </w:tc>
        <w:tc>
          <w:tcPr>
            <w:tcW w:w="714" w:type="pct"/>
            <w:shd w:val="clear" w:color="auto" w:fill="auto"/>
            <w:vAlign w:val="center"/>
          </w:tcPr>
          <w:p w14:paraId="0344401B">
            <w:pPr>
              <w:spacing w:line="240" w:lineRule="auto"/>
              <w:ind w:firstLine="0" w:firstLineChars="0"/>
              <w:jc w:val="center"/>
              <w:rPr>
                <w:rFonts w:hint="eastAsia" w:ascii="仿宋_GB2312" w:hAnsi="宋体"/>
                <w:sz w:val="21"/>
                <w:szCs w:val="21"/>
              </w:rPr>
            </w:pPr>
            <w:r>
              <w:rPr>
                <w:rFonts w:hint="eastAsia" w:ascii="仿宋_GB2312" w:hAnsi="宋体"/>
                <w:sz w:val="21"/>
                <w:szCs w:val="21"/>
              </w:rPr>
              <w:t>轻度侵蚀</w:t>
            </w:r>
          </w:p>
        </w:tc>
        <w:tc>
          <w:tcPr>
            <w:tcW w:w="714" w:type="pct"/>
            <w:shd w:val="clear" w:color="auto" w:fill="auto"/>
            <w:vAlign w:val="center"/>
          </w:tcPr>
          <w:p w14:paraId="6C5C0115">
            <w:pPr>
              <w:spacing w:line="240" w:lineRule="auto"/>
              <w:ind w:firstLine="0" w:firstLineChars="0"/>
              <w:jc w:val="center"/>
              <w:rPr>
                <w:rFonts w:hint="eastAsia" w:ascii="仿宋_GB2312" w:hAnsi="宋体"/>
                <w:sz w:val="21"/>
                <w:szCs w:val="21"/>
              </w:rPr>
            </w:pPr>
            <w:r>
              <w:rPr>
                <w:rFonts w:hint="eastAsia" w:ascii="仿宋_GB2312" w:hAnsi="宋体"/>
                <w:sz w:val="21"/>
                <w:szCs w:val="21"/>
              </w:rPr>
              <w:t>中度侵蚀</w:t>
            </w:r>
          </w:p>
        </w:tc>
        <w:tc>
          <w:tcPr>
            <w:tcW w:w="714" w:type="pct"/>
            <w:shd w:val="clear" w:color="auto" w:fill="auto"/>
            <w:vAlign w:val="center"/>
          </w:tcPr>
          <w:p w14:paraId="20A26218">
            <w:pPr>
              <w:spacing w:line="240" w:lineRule="auto"/>
              <w:ind w:firstLine="0" w:firstLineChars="0"/>
              <w:jc w:val="center"/>
              <w:rPr>
                <w:rFonts w:hint="eastAsia" w:ascii="仿宋_GB2312" w:hAnsi="宋体"/>
                <w:sz w:val="21"/>
                <w:szCs w:val="21"/>
              </w:rPr>
            </w:pPr>
            <w:r>
              <w:rPr>
                <w:rFonts w:hint="eastAsia" w:ascii="仿宋_GB2312" w:hAnsi="宋体"/>
                <w:sz w:val="21"/>
                <w:szCs w:val="21"/>
              </w:rPr>
              <w:t>强烈侵蚀</w:t>
            </w:r>
          </w:p>
        </w:tc>
        <w:tc>
          <w:tcPr>
            <w:tcW w:w="781" w:type="pct"/>
            <w:shd w:val="clear" w:color="auto" w:fill="auto"/>
            <w:vAlign w:val="center"/>
          </w:tcPr>
          <w:p w14:paraId="1099E6A6">
            <w:pPr>
              <w:spacing w:line="240" w:lineRule="auto"/>
              <w:ind w:firstLine="0" w:firstLineChars="0"/>
              <w:jc w:val="center"/>
              <w:rPr>
                <w:rFonts w:hint="eastAsia" w:ascii="仿宋_GB2312" w:hAnsi="宋体"/>
                <w:sz w:val="21"/>
                <w:szCs w:val="21"/>
              </w:rPr>
            </w:pPr>
            <w:r>
              <w:rPr>
                <w:rFonts w:hint="eastAsia" w:ascii="仿宋_GB2312" w:hAnsi="宋体"/>
                <w:sz w:val="21"/>
                <w:szCs w:val="21"/>
              </w:rPr>
              <w:t>极强烈侵蚀</w:t>
            </w:r>
          </w:p>
        </w:tc>
        <w:tc>
          <w:tcPr>
            <w:tcW w:w="649" w:type="pct"/>
            <w:shd w:val="clear" w:color="auto" w:fill="auto"/>
            <w:vAlign w:val="center"/>
          </w:tcPr>
          <w:p w14:paraId="7B321D0F">
            <w:pPr>
              <w:spacing w:line="240" w:lineRule="auto"/>
              <w:ind w:firstLine="0" w:firstLineChars="0"/>
              <w:jc w:val="center"/>
              <w:rPr>
                <w:rFonts w:hint="eastAsia" w:ascii="仿宋_GB2312" w:hAnsi="宋体"/>
                <w:sz w:val="21"/>
                <w:szCs w:val="21"/>
              </w:rPr>
            </w:pPr>
            <w:r>
              <w:rPr>
                <w:rFonts w:hint="eastAsia" w:ascii="仿宋_GB2312" w:hAnsi="宋体"/>
                <w:sz w:val="21"/>
                <w:szCs w:val="21"/>
              </w:rPr>
              <w:t>剧烈侵蚀</w:t>
            </w:r>
          </w:p>
        </w:tc>
        <w:tc>
          <w:tcPr>
            <w:tcW w:w="714" w:type="pct"/>
            <w:shd w:val="clear" w:color="auto" w:fill="auto"/>
            <w:vAlign w:val="center"/>
          </w:tcPr>
          <w:p w14:paraId="4C91AF7A">
            <w:pPr>
              <w:spacing w:line="240" w:lineRule="auto"/>
              <w:ind w:firstLine="0" w:firstLineChars="0"/>
              <w:jc w:val="center"/>
              <w:rPr>
                <w:rFonts w:hint="eastAsia" w:ascii="仿宋_GB2312" w:hAnsi="宋体"/>
                <w:sz w:val="21"/>
                <w:szCs w:val="21"/>
              </w:rPr>
            </w:pPr>
            <w:r>
              <w:rPr>
                <w:rFonts w:hint="eastAsia" w:ascii="仿宋_GB2312" w:hAnsi="宋体"/>
                <w:sz w:val="21"/>
                <w:szCs w:val="21"/>
              </w:rPr>
              <w:t>合计</w:t>
            </w:r>
          </w:p>
        </w:tc>
      </w:tr>
      <w:tr w14:paraId="73BDF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714" w:type="pct"/>
            <w:shd w:val="clear" w:color="auto" w:fill="auto"/>
            <w:vAlign w:val="center"/>
          </w:tcPr>
          <w:p w14:paraId="509F479A">
            <w:pPr>
              <w:spacing w:line="240" w:lineRule="auto"/>
              <w:ind w:firstLine="0" w:firstLineChars="0"/>
              <w:jc w:val="center"/>
              <w:rPr>
                <w:rFonts w:hint="eastAsia" w:ascii="仿宋_GB2312" w:hAnsi="宋体"/>
                <w:sz w:val="21"/>
                <w:szCs w:val="21"/>
              </w:rPr>
            </w:pPr>
            <w:r>
              <w:rPr>
                <w:rFonts w:hint="eastAsia" w:ascii="仿宋_GB2312" w:hAnsi="宋体"/>
                <w:sz w:val="21"/>
                <w:szCs w:val="21"/>
              </w:rPr>
              <w:t>水力侵蚀</w:t>
            </w:r>
          </w:p>
        </w:tc>
        <w:tc>
          <w:tcPr>
            <w:tcW w:w="714" w:type="pct"/>
            <w:shd w:val="clear" w:color="auto" w:fill="auto"/>
            <w:vAlign w:val="center"/>
          </w:tcPr>
          <w:p w14:paraId="098AC4A0">
            <w:pPr>
              <w:spacing w:line="240" w:lineRule="auto"/>
              <w:ind w:firstLine="0" w:firstLineChars="0"/>
              <w:jc w:val="center"/>
              <w:rPr>
                <w:rFonts w:ascii="仿宋_GB2312" w:cs="Times New Roman"/>
                <w:sz w:val="21"/>
                <w:szCs w:val="21"/>
              </w:rPr>
            </w:pPr>
            <w:r>
              <w:rPr>
                <w:rFonts w:hint="eastAsia" w:ascii="仿宋_GB2312" w:cs="Times New Roman"/>
                <w:sz w:val="21"/>
                <w:szCs w:val="21"/>
              </w:rPr>
              <w:t>391.16</w:t>
            </w:r>
          </w:p>
        </w:tc>
        <w:tc>
          <w:tcPr>
            <w:tcW w:w="714" w:type="pct"/>
            <w:shd w:val="clear" w:color="auto" w:fill="auto"/>
            <w:vAlign w:val="center"/>
          </w:tcPr>
          <w:p w14:paraId="2BA5F442">
            <w:pPr>
              <w:spacing w:line="240" w:lineRule="auto"/>
              <w:ind w:firstLine="0" w:firstLineChars="0"/>
              <w:jc w:val="center"/>
              <w:rPr>
                <w:rFonts w:ascii="仿宋_GB2312" w:cs="Times New Roman"/>
                <w:sz w:val="21"/>
                <w:szCs w:val="21"/>
              </w:rPr>
            </w:pPr>
            <w:r>
              <w:rPr>
                <w:rFonts w:hint="eastAsia" w:ascii="仿宋_GB2312" w:cs="Times New Roman"/>
                <w:sz w:val="21"/>
                <w:szCs w:val="21"/>
              </w:rPr>
              <w:t>161.08</w:t>
            </w:r>
          </w:p>
        </w:tc>
        <w:tc>
          <w:tcPr>
            <w:tcW w:w="714" w:type="pct"/>
            <w:shd w:val="clear" w:color="auto" w:fill="auto"/>
            <w:vAlign w:val="center"/>
          </w:tcPr>
          <w:p w14:paraId="1898626B">
            <w:pPr>
              <w:spacing w:line="240" w:lineRule="auto"/>
              <w:ind w:firstLine="0" w:firstLineChars="0"/>
              <w:jc w:val="center"/>
              <w:rPr>
                <w:rFonts w:ascii="仿宋_GB2312" w:cs="Times New Roman"/>
                <w:sz w:val="21"/>
                <w:szCs w:val="21"/>
              </w:rPr>
            </w:pPr>
            <w:r>
              <w:rPr>
                <w:rFonts w:hint="eastAsia" w:ascii="仿宋_GB2312" w:cs="Times New Roman"/>
                <w:sz w:val="21"/>
                <w:szCs w:val="21"/>
              </w:rPr>
              <w:t>59.24</w:t>
            </w:r>
          </w:p>
        </w:tc>
        <w:tc>
          <w:tcPr>
            <w:tcW w:w="781" w:type="pct"/>
            <w:shd w:val="clear" w:color="auto" w:fill="auto"/>
            <w:vAlign w:val="center"/>
          </w:tcPr>
          <w:p w14:paraId="29045F91">
            <w:pPr>
              <w:spacing w:line="240" w:lineRule="auto"/>
              <w:ind w:firstLine="0" w:firstLineChars="0"/>
              <w:jc w:val="center"/>
              <w:rPr>
                <w:rFonts w:ascii="仿宋_GB2312" w:cs="Times New Roman"/>
                <w:sz w:val="21"/>
                <w:szCs w:val="21"/>
              </w:rPr>
            </w:pPr>
            <w:r>
              <w:rPr>
                <w:rFonts w:hint="eastAsia" w:ascii="仿宋_GB2312" w:cs="Times New Roman"/>
                <w:sz w:val="21"/>
                <w:szCs w:val="21"/>
              </w:rPr>
              <w:t>31.16</w:t>
            </w:r>
          </w:p>
        </w:tc>
        <w:tc>
          <w:tcPr>
            <w:tcW w:w="649" w:type="pct"/>
            <w:shd w:val="clear" w:color="auto" w:fill="auto"/>
            <w:vAlign w:val="center"/>
          </w:tcPr>
          <w:p w14:paraId="27D2F619">
            <w:pPr>
              <w:spacing w:line="240" w:lineRule="auto"/>
              <w:ind w:firstLine="0" w:firstLineChars="0"/>
              <w:jc w:val="center"/>
              <w:rPr>
                <w:rFonts w:ascii="仿宋_GB2312" w:cs="Times New Roman"/>
                <w:sz w:val="21"/>
                <w:szCs w:val="21"/>
              </w:rPr>
            </w:pPr>
            <w:r>
              <w:rPr>
                <w:rFonts w:hint="eastAsia" w:ascii="仿宋_GB2312" w:cs="Times New Roman"/>
                <w:sz w:val="21"/>
                <w:szCs w:val="21"/>
              </w:rPr>
              <w:t>4.46</w:t>
            </w:r>
          </w:p>
        </w:tc>
        <w:tc>
          <w:tcPr>
            <w:tcW w:w="714" w:type="pct"/>
            <w:shd w:val="clear" w:color="auto" w:fill="auto"/>
            <w:vAlign w:val="center"/>
          </w:tcPr>
          <w:p w14:paraId="6337EE4D">
            <w:pPr>
              <w:spacing w:line="240" w:lineRule="auto"/>
              <w:ind w:firstLine="0" w:firstLineChars="0"/>
              <w:jc w:val="center"/>
              <w:rPr>
                <w:rFonts w:ascii="仿宋_GB2312" w:cs="Times New Roman"/>
                <w:sz w:val="21"/>
                <w:szCs w:val="21"/>
              </w:rPr>
            </w:pPr>
            <w:r>
              <w:rPr>
                <w:rFonts w:hint="eastAsia" w:ascii="仿宋_GB2312" w:cs="Times New Roman"/>
                <w:sz w:val="21"/>
                <w:szCs w:val="21"/>
              </w:rPr>
              <w:t>653.98</w:t>
            </w:r>
          </w:p>
        </w:tc>
      </w:tr>
      <w:tr w14:paraId="0E9EA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714" w:type="pct"/>
            <w:shd w:val="clear" w:color="auto" w:fill="auto"/>
            <w:vAlign w:val="center"/>
          </w:tcPr>
          <w:p w14:paraId="5A8416BE">
            <w:pPr>
              <w:spacing w:line="240" w:lineRule="auto"/>
              <w:ind w:firstLine="0" w:firstLineChars="0"/>
              <w:jc w:val="center"/>
              <w:rPr>
                <w:rFonts w:hint="eastAsia" w:ascii="仿宋_GB2312" w:hAnsi="宋体"/>
                <w:sz w:val="21"/>
                <w:szCs w:val="21"/>
              </w:rPr>
            </w:pPr>
            <w:r>
              <w:rPr>
                <w:rFonts w:hint="eastAsia" w:ascii="仿宋_GB2312" w:hAnsi="宋体"/>
                <w:sz w:val="21"/>
                <w:szCs w:val="21"/>
              </w:rPr>
              <w:t>风力侵蚀</w:t>
            </w:r>
          </w:p>
        </w:tc>
        <w:tc>
          <w:tcPr>
            <w:tcW w:w="714" w:type="pct"/>
            <w:shd w:val="clear" w:color="auto" w:fill="auto"/>
            <w:vAlign w:val="center"/>
          </w:tcPr>
          <w:p w14:paraId="1869670B">
            <w:pPr>
              <w:spacing w:line="240" w:lineRule="auto"/>
              <w:ind w:firstLine="0" w:firstLineChars="0"/>
              <w:jc w:val="center"/>
              <w:rPr>
                <w:rFonts w:ascii="仿宋_GB2312" w:cs="Times New Roman"/>
                <w:sz w:val="21"/>
                <w:szCs w:val="21"/>
              </w:rPr>
            </w:pPr>
            <w:r>
              <w:rPr>
                <w:rFonts w:hint="eastAsia" w:ascii="仿宋_GB2312" w:cs="Times New Roman"/>
                <w:sz w:val="21"/>
                <w:szCs w:val="21"/>
              </w:rPr>
              <w:t>1813.44</w:t>
            </w:r>
          </w:p>
        </w:tc>
        <w:tc>
          <w:tcPr>
            <w:tcW w:w="714" w:type="pct"/>
            <w:shd w:val="clear" w:color="auto" w:fill="auto"/>
            <w:vAlign w:val="center"/>
          </w:tcPr>
          <w:p w14:paraId="1EA2D9AE">
            <w:pPr>
              <w:spacing w:line="240" w:lineRule="auto"/>
              <w:ind w:firstLine="0" w:firstLineChars="0"/>
              <w:jc w:val="center"/>
              <w:rPr>
                <w:rFonts w:ascii="仿宋_GB2312" w:cs="Times New Roman"/>
                <w:sz w:val="21"/>
                <w:szCs w:val="21"/>
              </w:rPr>
            </w:pPr>
            <w:r>
              <w:rPr>
                <w:rFonts w:hint="eastAsia" w:ascii="仿宋_GB2312" w:cs="Times New Roman"/>
                <w:sz w:val="21"/>
                <w:szCs w:val="21"/>
              </w:rPr>
              <w:t>78.33</w:t>
            </w:r>
          </w:p>
        </w:tc>
        <w:tc>
          <w:tcPr>
            <w:tcW w:w="714" w:type="pct"/>
            <w:shd w:val="clear" w:color="auto" w:fill="auto"/>
            <w:vAlign w:val="center"/>
          </w:tcPr>
          <w:p w14:paraId="6885A307">
            <w:pPr>
              <w:spacing w:line="240" w:lineRule="auto"/>
              <w:ind w:firstLine="0" w:firstLineChars="0"/>
              <w:jc w:val="center"/>
              <w:rPr>
                <w:rFonts w:ascii="仿宋_GB2312" w:cs="Times New Roman"/>
                <w:sz w:val="21"/>
                <w:szCs w:val="21"/>
              </w:rPr>
            </w:pPr>
            <w:r>
              <w:rPr>
                <w:rFonts w:hint="eastAsia" w:ascii="仿宋_GB2312" w:cs="Times New Roman"/>
                <w:sz w:val="21"/>
                <w:szCs w:val="21"/>
              </w:rPr>
              <w:t>3341.3</w:t>
            </w:r>
          </w:p>
        </w:tc>
        <w:tc>
          <w:tcPr>
            <w:tcW w:w="781" w:type="pct"/>
            <w:shd w:val="clear" w:color="auto" w:fill="auto"/>
            <w:vAlign w:val="center"/>
          </w:tcPr>
          <w:p w14:paraId="69CC33EF">
            <w:pPr>
              <w:spacing w:line="240" w:lineRule="auto"/>
              <w:ind w:firstLine="0" w:firstLineChars="0"/>
              <w:jc w:val="center"/>
              <w:rPr>
                <w:rFonts w:ascii="仿宋_GB2312" w:cs="Times New Roman"/>
                <w:sz w:val="21"/>
                <w:szCs w:val="21"/>
              </w:rPr>
            </w:pPr>
            <w:r>
              <w:rPr>
                <w:rFonts w:hint="eastAsia" w:ascii="仿宋_GB2312" w:cs="Times New Roman"/>
                <w:sz w:val="21"/>
                <w:szCs w:val="21"/>
              </w:rPr>
              <w:t>717.88</w:t>
            </w:r>
          </w:p>
        </w:tc>
        <w:tc>
          <w:tcPr>
            <w:tcW w:w="649" w:type="pct"/>
            <w:shd w:val="clear" w:color="auto" w:fill="auto"/>
            <w:vAlign w:val="center"/>
          </w:tcPr>
          <w:p w14:paraId="59F14358">
            <w:pPr>
              <w:spacing w:line="240" w:lineRule="auto"/>
              <w:ind w:firstLine="0" w:firstLineChars="0"/>
              <w:jc w:val="center"/>
              <w:rPr>
                <w:rFonts w:ascii="仿宋_GB2312" w:cs="Times New Roman"/>
                <w:sz w:val="21"/>
                <w:szCs w:val="21"/>
              </w:rPr>
            </w:pPr>
            <w:r>
              <w:rPr>
                <w:rFonts w:hint="eastAsia" w:ascii="仿宋_GB2312" w:cs="Times New Roman"/>
                <w:sz w:val="21"/>
                <w:szCs w:val="21"/>
              </w:rPr>
              <w:t>0.32</w:t>
            </w:r>
          </w:p>
        </w:tc>
        <w:tc>
          <w:tcPr>
            <w:tcW w:w="714" w:type="pct"/>
            <w:shd w:val="clear" w:color="auto" w:fill="auto"/>
            <w:vAlign w:val="center"/>
          </w:tcPr>
          <w:p w14:paraId="17B179E9">
            <w:pPr>
              <w:spacing w:line="240" w:lineRule="auto"/>
              <w:ind w:firstLine="0" w:firstLineChars="0"/>
              <w:jc w:val="center"/>
              <w:rPr>
                <w:rFonts w:ascii="仿宋_GB2312" w:cs="Times New Roman"/>
                <w:sz w:val="21"/>
                <w:szCs w:val="21"/>
              </w:rPr>
            </w:pPr>
            <w:r>
              <w:rPr>
                <w:rFonts w:hint="eastAsia" w:ascii="仿宋_GB2312" w:cs="Times New Roman"/>
                <w:sz w:val="21"/>
                <w:szCs w:val="21"/>
              </w:rPr>
              <w:t>5951.27</w:t>
            </w:r>
          </w:p>
        </w:tc>
      </w:tr>
      <w:tr w14:paraId="6BF17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286" w:type="pct"/>
            <w:gridSpan w:val="6"/>
            <w:shd w:val="clear" w:color="auto" w:fill="auto"/>
            <w:vAlign w:val="center"/>
          </w:tcPr>
          <w:p w14:paraId="7827F3C5">
            <w:pPr>
              <w:spacing w:line="240" w:lineRule="auto"/>
              <w:ind w:firstLine="0" w:firstLineChars="0"/>
              <w:jc w:val="center"/>
              <w:rPr>
                <w:rFonts w:hint="eastAsia" w:ascii="仿宋_GB2312" w:hAnsi="宋体"/>
                <w:sz w:val="21"/>
                <w:szCs w:val="21"/>
              </w:rPr>
            </w:pPr>
            <w:r>
              <w:rPr>
                <w:rFonts w:hint="eastAsia" w:ascii="仿宋_GB2312" w:hAnsi="宋体"/>
                <w:sz w:val="21"/>
                <w:szCs w:val="21"/>
              </w:rPr>
              <w:t>合计</w:t>
            </w:r>
          </w:p>
        </w:tc>
        <w:tc>
          <w:tcPr>
            <w:tcW w:w="714" w:type="pct"/>
            <w:shd w:val="clear" w:color="auto" w:fill="auto"/>
            <w:vAlign w:val="center"/>
          </w:tcPr>
          <w:p w14:paraId="2FBFCB92">
            <w:pPr>
              <w:spacing w:line="240" w:lineRule="auto"/>
              <w:ind w:firstLine="0" w:firstLineChars="0"/>
              <w:jc w:val="center"/>
              <w:rPr>
                <w:rFonts w:ascii="仿宋_GB2312" w:cs="Times New Roman"/>
                <w:sz w:val="21"/>
                <w:szCs w:val="21"/>
              </w:rPr>
            </w:pPr>
            <w:r>
              <w:rPr>
                <w:rFonts w:hint="eastAsia" w:ascii="仿宋_GB2312" w:cs="Times New Roman"/>
                <w:sz w:val="21"/>
                <w:szCs w:val="21"/>
              </w:rPr>
              <w:t>6598.37</w:t>
            </w:r>
          </w:p>
        </w:tc>
      </w:tr>
    </w:tbl>
    <w:p w14:paraId="2931062C">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23D07445">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0F2FEF81">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3D03EB26">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5A60EEFD">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53BD461D">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1F379716">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32ABE496">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75139A1C">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sectPr>
          <w:footerReference r:id="rId14" w:type="default"/>
          <w:pgSz w:w="11907" w:h="16840"/>
          <w:pgMar w:top="1440" w:right="1797" w:bottom="1440" w:left="1797" w:header="851" w:footer="992" w:gutter="0"/>
          <w:cols w:space="720" w:num="1"/>
          <w:docGrid w:linePitch="312" w:charSpace="0"/>
        </w:sectPr>
      </w:pPr>
    </w:p>
    <w:p w14:paraId="3E630E81">
      <w:pPr>
        <w:widowControl w:val="0"/>
        <w:autoSpaceDE w:val="0"/>
        <w:autoSpaceDN w:val="0"/>
        <w:adjustRightInd w:val="0"/>
        <w:snapToGrid w:val="0"/>
        <w:spacing w:line="240" w:lineRule="auto"/>
        <w:ind w:firstLine="1960" w:firstLineChars="700"/>
        <w:jc w:val="both"/>
        <w:rPr>
          <w:rFonts w:ascii="仿宋_GB2312" w:cs="Times New Roman"/>
          <w:sz w:val="28"/>
          <w:szCs w:val="28"/>
          <w:lang w:val="zh-CN"/>
        </w:rPr>
      </w:pPr>
      <w:r>
        <w:rPr>
          <w:rFonts w:hint="eastAsia" w:ascii="仿宋_GB2312" w:cs="Times New Roman"/>
          <w:sz w:val="28"/>
          <w:szCs w:val="28"/>
          <w:lang w:val="zh-CN"/>
        </w:rPr>
        <w:t>附表三             土地利用现状表（不含兵团） （单位：公顷）</w:t>
      </w:r>
    </w:p>
    <w:tbl>
      <w:tblPr>
        <w:tblStyle w:val="48"/>
        <w:tblW w:w="5000" w:type="pct"/>
        <w:tblInd w:w="0" w:type="dxa"/>
        <w:tblLayout w:type="autofit"/>
        <w:tblCellMar>
          <w:top w:w="0" w:type="dxa"/>
          <w:left w:w="108" w:type="dxa"/>
          <w:bottom w:w="0" w:type="dxa"/>
          <w:right w:w="108" w:type="dxa"/>
        </w:tblCellMar>
      </w:tblPr>
      <w:tblGrid>
        <w:gridCol w:w="1830"/>
        <w:gridCol w:w="1023"/>
        <w:gridCol w:w="933"/>
        <w:gridCol w:w="754"/>
        <w:gridCol w:w="1023"/>
        <w:gridCol w:w="1023"/>
        <w:gridCol w:w="754"/>
        <w:gridCol w:w="843"/>
        <w:gridCol w:w="843"/>
        <w:gridCol w:w="754"/>
        <w:gridCol w:w="843"/>
        <w:gridCol w:w="843"/>
        <w:gridCol w:w="933"/>
        <w:gridCol w:w="933"/>
        <w:gridCol w:w="844"/>
      </w:tblGrid>
      <w:tr w14:paraId="41E0F90B">
        <w:tblPrEx>
          <w:tblCellMar>
            <w:top w:w="0" w:type="dxa"/>
            <w:left w:w="108" w:type="dxa"/>
            <w:bottom w:w="0" w:type="dxa"/>
            <w:right w:w="108" w:type="dxa"/>
          </w:tblCellMar>
        </w:tblPrEx>
        <w:trPr>
          <w:trHeight w:val="720" w:hRule="atLeast"/>
        </w:trPr>
        <w:tc>
          <w:tcPr>
            <w:tcW w:w="563" w:type="pct"/>
            <w:tcBorders>
              <w:top w:val="single" w:color="auto" w:sz="4" w:space="0"/>
              <w:left w:val="single" w:color="auto" w:sz="4" w:space="0"/>
              <w:bottom w:val="single" w:color="auto" w:sz="4" w:space="0"/>
              <w:right w:val="single" w:color="auto" w:sz="4" w:space="0"/>
            </w:tcBorders>
            <w:shd w:val="clear" w:color="auto" w:fill="auto"/>
            <w:vAlign w:val="center"/>
          </w:tcPr>
          <w:p w14:paraId="5BFC272A">
            <w:pPr>
              <w:spacing w:line="240" w:lineRule="auto"/>
              <w:ind w:firstLine="0" w:firstLineChars="0"/>
              <w:jc w:val="center"/>
              <w:rPr>
                <w:rFonts w:hint="eastAsia" w:ascii="仿宋_GB2312" w:hAnsi="宋体"/>
                <w:sz w:val="18"/>
                <w:szCs w:val="18"/>
              </w:rPr>
            </w:pPr>
            <w:r>
              <w:rPr>
                <w:rFonts w:hint="eastAsia" w:ascii="仿宋_GB2312" w:hAnsi="宋体"/>
                <w:sz w:val="18"/>
                <w:szCs w:val="18"/>
              </w:rPr>
              <w:t>行政区域</w:t>
            </w:r>
          </w:p>
        </w:tc>
        <w:tc>
          <w:tcPr>
            <w:tcW w:w="394" w:type="pct"/>
            <w:tcBorders>
              <w:top w:val="single" w:color="auto" w:sz="4" w:space="0"/>
              <w:left w:val="nil"/>
              <w:bottom w:val="single" w:color="auto" w:sz="4" w:space="0"/>
              <w:right w:val="single" w:color="auto" w:sz="4" w:space="0"/>
            </w:tcBorders>
            <w:shd w:val="clear" w:color="auto" w:fill="auto"/>
            <w:vAlign w:val="center"/>
          </w:tcPr>
          <w:p w14:paraId="7377526B">
            <w:pPr>
              <w:spacing w:line="240" w:lineRule="auto"/>
              <w:ind w:firstLine="0" w:firstLineChars="0"/>
              <w:jc w:val="center"/>
              <w:rPr>
                <w:rFonts w:hint="eastAsia" w:ascii="仿宋_GB2312" w:hAnsi="宋体"/>
                <w:sz w:val="18"/>
                <w:szCs w:val="18"/>
              </w:rPr>
            </w:pPr>
            <w:r>
              <w:rPr>
                <w:rFonts w:hint="eastAsia" w:ascii="仿宋_GB2312" w:hAnsi="宋体"/>
                <w:sz w:val="18"/>
                <w:szCs w:val="18"/>
              </w:rPr>
              <w:t>国土调查总面积（不含兵团）</w:t>
            </w:r>
          </w:p>
        </w:tc>
        <w:tc>
          <w:tcPr>
            <w:tcW w:w="314" w:type="pct"/>
            <w:tcBorders>
              <w:top w:val="single" w:color="auto" w:sz="4" w:space="0"/>
              <w:left w:val="nil"/>
              <w:bottom w:val="single" w:color="auto" w:sz="4" w:space="0"/>
              <w:right w:val="single" w:color="auto" w:sz="4" w:space="0"/>
            </w:tcBorders>
            <w:shd w:val="clear" w:color="auto" w:fill="auto"/>
            <w:vAlign w:val="center"/>
          </w:tcPr>
          <w:p w14:paraId="43A1BCBF">
            <w:pPr>
              <w:spacing w:line="240" w:lineRule="auto"/>
              <w:ind w:firstLine="0" w:firstLineChars="0"/>
              <w:jc w:val="center"/>
              <w:rPr>
                <w:rFonts w:hint="eastAsia" w:ascii="仿宋_GB2312" w:hAnsi="宋体"/>
                <w:sz w:val="18"/>
                <w:szCs w:val="18"/>
              </w:rPr>
            </w:pPr>
            <w:r>
              <w:rPr>
                <w:rFonts w:hint="eastAsia" w:ascii="仿宋_GB2312" w:hAnsi="宋体"/>
                <w:sz w:val="18"/>
                <w:szCs w:val="18"/>
              </w:rPr>
              <w:t>耕地</w:t>
            </w:r>
          </w:p>
        </w:tc>
        <w:tc>
          <w:tcPr>
            <w:tcW w:w="305" w:type="pct"/>
            <w:tcBorders>
              <w:top w:val="single" w:color="auto" w:sz="4" w:space="0"/>
              <w:left w:val="nil"/>
              <w:bottom w:val="single" w:color="auto" w:sz="4" w:space="0"/>
              <w:right w:val="single" w:color="auto" w:sz="4" w:space="0"/>
            </w:tcBorders>
            <w:shd w:val="clear" w:color="auto" w:fill="auto"/>
            <w:vAlign w:val="center"/>
          </w:tcPr>
          <w:p w14:paraId="2ED2B831">
            <w:pPr>
              <w:spacing w:line="240" w:lineRule="auto"/>
              <w:ind w:firstLine="0" w:firstLineChars="0"/>
              <w:jc w:val="center"/>
              <w:rPr>
                <w:rFonts w:hint="eastAsia" w:ascii="仿宋_GB2312" w:hAnsi="宋体"/>
                <w:sz w:val="18"/>
                <w:szCs w:val="18"/>
              </w:rPr>
            </w:pPr>
            <w:r>
              <w:rPr>
                <w:rFonts w:hint="eastAsia" w:ascii="仿宋_GB2312" w:hAnsi="宋体"/>
                <w:sz w:val="18"/>
                <w:szCs w:val="18"/>
              </w:rPr>
              <w:t>园用</w:t>
            </w:r>
          </w:p>
        </w:tc>
        <w:tc>
          <w:tcPr>
            <w:tcW w:w="335" w:type="pct"/>
            <w:tcBorders>
              <w:top w:val="single" w:color="auto" w:sz="4" w:space="0"/>
              <w:left w:val="nil"/>
              <w:bottom w:val="single" w:color="auto" w:sz="4" w:space="0"/>
              <w:right w:val="single" w:color="auto" w:sz="4" w:space="0"/>
            </w:tcBorders>
            <w:shd w:val="clear" w:color="auto" w:fill="auto"/>
            <w:vAlign w:val="center"/>
          </w:tcPr>
          <w:p w14:paraId="64F0EA3E">
            <w:pPr>
              <w:spacing w:line="240" w:lineRule="auto"/>
              <w:ind w:firstLine="0" w:firstLineChars="0"/>
              <w:jc w:val="center"/>
              <w:rPr>
                <w:rFonts w:hint="eastAsia" w:ascii="仿宋_GB2312" w:hAnsi="宋体"/>
                <w:sz w:val="18"/>
                <w:szCs w:val="18"/>
              </w:rPr>
            </w:pPr>
            <w:r>
              <w:rPr>
                <w:rFonts w:hint="eastAsia" w:ascii="仿宋_GB2312" w:hAnsi="宋体"/>
                <w:sz w:val="18"/>
                <w:szCs w:val="18"/>
              </w:rPr>
              <w:t>林地</w:t>
            </w:r>
          </w:p>
        </w:tc>
        <w:tc>
          <w:tcPr>
            <w:tcW w:w="335" w:type="pct"/>
            <w:tcBorders>
              <w:top w:val="single" w:color="auto" w:sz="4" w:space="0"/>
              <w:left w:val="nil"/>
              <w:bottom w:val="single" w:color="auto" w:sz="4" w:space="0"/>
              <w:right w:val="single" w:color="auto" w:sz="4" w:space="0"/>
            </w:tcBorders>
            <w:shd w:val="clear" w:color="auto" w:fill="auto"/>
            <w:vAlign w:val="center"/>
          </w:tcPr>
          <w:p w14:paraId="09574071">
            <w:pPr>
              <w:spacing w:line="240" w:lineRule="auto"/>
              <w:ind w:firstLine="0" w:firstLineChars="0"/>
              <w:jc w:val="center"/>
              <w:rPr>
                <w:rFonts w:hint="eastAsia" w:ascii="仿宋_GB2312" w:hAnsi="宋体"/>
                <w:sz w:val="18"/>
                <w:szCs w:val="18"/>
              </w:rPr>
            </w:pPr>
            <w:r>
              <w:rPr>
                <w:rFonts w:hint="eastAsia" w:ascii="仿宋_GB2312" w:hAnsi="宋体"/>
                <w:sz w:val="18"/>
                <w:szCs w:val="18"/>
              </w:rPr>
              <w:t>草地</w:t>
            </w:r>
          </w:p>
        </w:tc>
        <w:tc>
          <w:tcPr>
            <w:tcW w:w="305" w:type="pct"/>
            <w:tcBorders>
              <w:top w:val="single" w:color="auto" w:sz="4" w:space="0"/>
              <w:left w:val="nil"/>
              <w:bottom w:val="single" w:color="auto" w:sz="4" w:space="0"/>
              <w:right w:val="single" w:color="auto" w:sz="4" w:space="0"/>
            </w:tcBorders>
            <w:shd w:val="clear" w:color="auto" w:fill="auto"/>
            <w:vAlign w:val="center"/>
          </w:tcPr>
          <w:p w14:paraId="734FE273">
            <w:pPr>
              <w:spacing w:line="240" w:lineRule="auto"/>
              <w:ind w:firstLine="0" w:firstLineChars="0"/>
              <w:jc w:val="center"/>
              <w:rPr>
                <w:rFonts w:hint="eastAsia" w:ascii="仿宋_GB2312" w:hAnsi="宋体"/>
                <w:sz w:val="18"/>
                <w:szCs w:val="18"/>
              </w:rPr>
            </w:pPr>
            <w:r>
              <w:rPr>
                <w:rFonts w:hint="eastAsia" w:ascii="仿宋_GB2312" w:hAnsi="宋体"/>
                <w:sz w:val="18"/>
                <w:szCs w:val="18"/>
              </w:rPr>
              <w:t>商业服务业用地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5AAF46D8">
            <w:pPr>
              <w:spacing w:line="240" w:lineRule="auto"/>
              <w:ind w:firstLine="0" w:firstLineChars="0"/>
              <w:jc w:val="center"/>
              <w:rPr>
                <w:rFonts w:hint="eastAsia" w:ascii="仿宋_GB2312" w:hAnsi="宋体"/>
                <w:sz w:val="18"/>
                <w:szCs w:val="18"/>
              </w:rPr>
            </w:pPr>
            <w:r>
              <w:rPr>
                <w:rFonts w:hint="eastAsia" w:ascii="仿宋_GB2312" w:hAnsi="宋体"/>
                <w:sz w:val="18"/>
                <w:szCs w:val="18"/>
              </w:rPr>
              <w:t>工矿用地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113DAA0F">
            <w:pPr>
              <w:spacing w:line="240" w:lineRule="auto"/>
              <w:ind w:firstLine="0" w:firstLineChars="0"/>
              <w:jc w:val="center"/>
              <w:rPr>
                <w:rFonts w:hint="eastAsia" w:ascii="仿宋_GB2312" w:hAnsi="宋体"/>
                <w:sz w:val="18"/>
                <w:szCs w:val="18"/>
              </w:rPr>
            </w:pPr>
            <w:r>
              <w:rPr>
                <w:rFonts w:hint="eastAsia" w:ascii="仿宋_GB2312" w:hAnsi="宋体"/>
                <w:sz w:val="18"/>
                <w:szCs w:val="18"/>
              </w:rPr>
              <w:t>住宅用地</w:t>
            </w:r>
          </w:p>
        </w:tc>
        <w:tc>
          <w:tcPr>
            <w:tcW w:w="305" w:type="pct"/>
            <w:tcBorders>
              <w:top w:val="single" w:color="auto" w:sz="4" w:space="0"/>
              <w:left w:val="nil"/>
              <w:bottom w:val="single" w:color="auto" w:sz="4" w:space="0"/>
              <w:right w:val="single" w:color="auto" w:sz="4" w:space="0"/>
            </w:tcBorders>
            <w:shd w:val="clear" w:color="auto" w:fill="auto"/>
            <w:vAlign w:val="center"/>
          </w:tcPr>
          <w:p w14:paraId="05B1AFE9">
            <w:pPr>
              <w:spacing w:line="240" w:lineRule="auto"/>
              <w:ind w:firstLine="0" w:firstLineChars="0"/>
              <w:jc w:val="center"/>
              <w:rPr>
                <w:rFonts w:hint="eastAsia" w:ascii="仿宋_GB2312" w:hAnsi="宋体"/>
                <w:sz w:val="18"/>
                <w:szCs w:val="18"/>
              </w:rPr>
            </w:pPr>
            <w:r>
              <w:rPr>
                <w:rFonts w:hint="eastAsia" w:ascii="仿宋_GB2312" w:hAnsi="宋体"/>
                <w:sz w:val="18"/>
                <w:szCs w:val="18"/>
              </w:rPr>
              <w:t>公共管理与公共服务用地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0CB62270">
            <w:pPr>
              <w:spacing w:line="240" w:lineRule="auto"/>
              <w:ind w:firstLine="0" w:firstLineChars="0"/>
              <w:jc w:val="center"/>
              <w:rPr>
                <w:rFonts w:hint="eastAsia" w:ascii="仿宋_GB2312" w:hAnsi="宋体"/>
                <w:sz w:val="18"/>
                <w:szCs w:val="18"/>
              </w:rPr>
            </w:pPr>
            <w:r>
              <w:rPr>
                <w:rFonts w:hint="eastAsia" w:ascii="仿宋_GB2312" w:hAnsi="宋体"/>
                <w:sz w:val="18"/>
                <w:szCs w:val="18"/>
              </w:rPr>
              <w:t>特殊用地</w:t>
            </w:r>
          </w:p>
        </w:tc>
        <w:tc>
          <w:tcPr>
            <w:tcW w:w="310" w:type="pct"/>
            <w:tcBorders>
              <w:top w:val="single" w:color="auto" w:sz="4" w:space="0"/>
              <w:left w:val="nil"/>
              <w:bottom w:val="single" w:color="auto" w:sz="4" w:space="0"/>
              <w:right w:val="single" w:color="auto" w:sz="4" w:space="0"/>
            </w:tcBorders>
            <w:shd w:val="clear" w:color="auto" w:fill="auto"/>
            <w:vAlign w:val="center"/>
          </w:tcPr>
          <w:p w14:paraId="4253DD48">
            <w:pPr>
              <w:spacing w:line="240" w:lineRule="auto"/>
              <w:ind w:firstLine="0" w:firstLineChars="0"/>
              <w:jc w:val="center"/>
              <w:rPr>
                <w:rFonts w:hint="eastAsia" w:ascii="仿宋_GB2312" w:hAnsi="宋体"/>
                <w:sz w:val="18"/>
                <w:szCs w:val="18"/>
              </w:rPr>
            </w:pPr>
            <w:r>
              <w:rPr>
                <w:rFonts w:hint="eastAsia" w:ascii="仿宋_GB2312" w:hAnsi="宋体"/>
                <w:sz w:val="18"/>
                <w:szCs w:val="18"/>
              </w:rPr>
              <w:t>交通运输用地</w:t>
            </w:r>
          </w:p>
        </w:tc>
        <w:tc>
          <w:tcPr>
            <w:tcW w:w="314" w:type="pct"/>
            <w:tcBorders>
              <w:top w:val="single" w:color="auto" w:sz="4" w:space="0"/>
              <w:left w:val="nil"/>
              <w:bottom w:val="single" w:color="auto" w:sz="4" w:space="0"/>
              <w:right w:val="single" w:color="auto" w:sz="4" w:space="0"/>
            </w:tcBorders>
            <w:shd w:val="clear" w:color="auto" w:fill="auto"/>
            <w:vAlign w:val="center"/>
          </w:tcPr>
          <w:p w14:paraId="265CEEA5">
            <w:pPr>
              <w:spacing w:line="240" w:lineRule="auto"/>
              <w:ind w:firstLine="0" w:firstLineChars="0"/>
              <w:jc w:val="center"/>
              <w:rPr>
                <w:rFonts w:hint="eastAsia" w:ascii="仿宋_GB2312" w:hAnsi="宋体"/>
                <w:sz w:val="18"/>
                <w:szCs w:val="18"/>
              </w:rPr>
            </w:pPr>
            <w:r>
              <w:rPr>
                <w:rFonts w:hint="eastAsia" w:ascii="仿宋_GB2312" w:hAnsi="宋体"/>
                <w:sz w:val="18"/>
                <w:szCs w:val="18"/>
              </w:rPr>
              <w:t>水域及水利设施用地</w:t>
            </w:r>
          </w:p>
        </w:tc>
        <w:tc>
          <w:tcPr>
            <w:tcW w:w="314" w:type="pct"/>
            <w:tcBorders>
              <w:top w:val="single" w:color="auto" w:sz="4" w:space="0"/>
              <w:left w:val="nil"/>
              <w:bottom w:val="single" w:color="auto" w:sz="4" w:space="0"/>
              <w:right w:val="single" w:color="auto" w:sz="4" w:space="0"/>
            </w:tcBorders>
            <w:shd w:val="clear" w:color="auto" w:fill="auto"/>
            <w:vAlign w:val="center"/>
          </w:tcPr>
          <w:p w14:paraId="563C0176">
            <w:pPr>
              <w:spacing w:line="240" w:lineRule="auto"/>
              <w:ind w:firstLine="0" w:firstLineChars="0"/>
              <w:jc w:val="center"/>
              <w:rPr>
                <w:rFonts w:hint="eastAsia" w:ascii="仿宋_GB2312" w:hAnsi="宋体"/>
                <w:sz w:val="18"/>
                <w:szCs w:val="18"/>
              </w:rPr>
            </w:pPr>
            <w:r>
              <w:rPr>
                <w:rFonts w:hint="eastAsia" w:ascii="仿宋_GB2312" w:hAnsi="宋体"/>
                <w:sz w:val="18"/>
                <w:szCs w:val="18"/>
              </w:rPr>
              <w:t>其他土地</w:t>
            </w:r>
          </w:p>
        </w:tc>
        <w:tc>
          <w:tcPr>
            <w:tcW w:w="278" w:type="pct"/>
            <w:tcBorders>
              <w:top w:val="single" w:color="auto" w:sz="4" w:space="0"/>
              <w:left w:val="nil"/>
              <w:bottom w:val="single" w:color="auto" w:sz="4" w:space="0"/>
              <w:right w:val="single" w:color="auto" w:sz="4" w:space="0"/>
            </w:tcBorders>
            <w:shd w:val="clear" w:color="auto" w:fill="auto"/>
            <w:vAlign w:val="center"/>
          </w:tcPr>
          <w:p w14:paraId="5710FDAF">
            <w:pPr>
              <w:spacing w:line="240" w:lineRule="auto"/>
              <w:ind w:firstLine="0" w:firstLineChars="0"/>
              <w:jc w:val="center"/>
              <w:rPr>
                <w:rFonts w:hint="eastAsia" w:ascii="仿宋_GB2312" w:hAnsi="宋体"/>
                <w:sz w:val="18"/>
                <w:szCs w:val="18"/>
              </w:rPr>
            </w:pPr>
            <w:r>
              <w:rPr>
                <w:rFonts w:hint="eastAsia" w:ascii="仿宋_GB2312" w:hAnsi="宋体"/>
                <w:sz w:val="18"/>
                <w:szCs w:val="18"/>
              </w:rPr>
              <w:t>湿地</w:t>
            </w:r>
          </w:p>
        </w:tc>
      </w:tr>
      <w:tr w14:paraId="477BD34E">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vAlign w:val="center"/>
          </w:tcPr>
          <w:p w14:paraId="6EBEE5FF">
            <w:pPr>
              <w:spacing w:line="240" w:lineRule="auto"/>
              <w:ind w:firstLine="0" w:firstLineChars="0"/>
              <w:jc w:val="center"/>
              <w:rPr>
                <w:rFonts w:hint="eastAsia" w:ascii="仿宋_GB2312" w:hAnsi="宋体"/>
                <w:b/>
                <w:bCs/>
                <w:sz w:val="18"/>
                <w:szCs w:val="18"/>
              </w:rPr>
            </w:pPr>
            <w:r>
              <w:rPr>
                <w:rFonts w:hint="eastAsia" w:ascii="仿宋_GB2312" w:hAnsi="宋体"/>
                <w:b/>
                <w:bCs/>
                <w:sz w:val="18"/>
                <w:szCs w:val="18"/>
              </w:rPr>
              <w:t>阜康市</w:t>
            </w:r>
          </w:p>
        </w:tc>
        <w:tc>
          <w:tcPr>
            <w:tcW w:w="394" w:type="pct"/>
            <w:tcBorders>
              <w:top w:val="nil"/>
              <w:left w:val="nil"/>
              <w:bottom w:val="single" w:color="auto" w:sz="4" w:space="0"/>
              <w:right w:val="single" w:color="auto" w:sz="4" w:space="0"/>
            </w:tcBorders>
            <w:shd w:val="clear" w:color="auto" w:fill="auto"/>
            <w:vAlign w:val="center"/>
          </w:tcPr>
          <w:p w14:paraId="2C8A6106">
            <w:pPr>
              <w:spacing w:line="240" w:lineRule="auto"/>
              <w:ind w:firstLine="0" w:firstLineChars="0"/>
              <w:jc w:val="center"/>
              <w:rPr>
                <w:rFonts w:ascii="仿宋_GB2312" w:cs="Times New Roman"/>
                <w:sz w:val="18"/>
                <w:szCs w:val="18"/>
              </w:rPr>
            </w:pPr>
            <w:r>
              <w:rPr>
                <w:rFonts w:hint="eastAsia" w:ascii="仿宋_GB2312" w:cs="Times New Roman"/>
                <w:sz w:val="18"/>
                <w:szCs w:val="18"/>
              </w:rPr>
              <w:t>821911.21</w:t>
            </w:r>
          </w:p>
        </w:tc>
        <w:tc>
          <w:tcPr>
            <w:tcW w:w="314" w:type="pct"/>
            <w:tcBorders>
              <w:top w:val="nil"/>
              <w:left w:val="nil"/>
              <w:bottom w:val="single" w:color="auto" w:sz="4" w:space="0"/>
              <w:right w:val="single" w:color="auto" w:sz="4" w:space="0"/>
            </w:tcBorders>
            <w:shd w:val="clear" w:color="auto" w:fill="auto"/>
            <w:vAlign w:val="center"/>
          </w:tcPr>
          <w:p w14:paraId="53B8E08C">
            <w:pPr>
              <w:spacing w:line="240" w:lineRule="auto"/>
              <w:ind w:firstLine="0" w:firstLineChars="0"/>
              <w:jc w:val="center"/>
              <w:rPr>
                <w:rFonts w:ascii="仿宋_GB2312" w:cs="Times New Roman"/>
                <w:sz w:val="18"/>
                <w:szCs w:val="18"/>
              </w:rPr>
            </w:pPr>
            <w:r>
              <w:rPr>
                <w:rFonts w:hint="eastAsia" w:ascii="仿宋_GB2312" w:cs="Times New Roman"/>
                <w:sz w:val="18"/>
                <w:szCs w:val="18"/>
              </w:rPr>
              <w:t>58196.96</w:t>
            </w:r>
          </w:p>
        </w:tc>
        <w:tc>
          <w:tcPr>
            <w:tcW w:w="305" w:type="pct"/>
            <w:tcBorders>
              <w:top w:val="nil"/>
              <w:left w:val="nil"/>
              <w:bottom w:val="single" w:color="auto" w:sz="4" w:space="0"/>
              <w:right w:val="single" w:color="auto" w:sz="4" w:space="0"/>
            </w:tcBorders>
            <w:shd w:val="clear" w:color="auto" w:fill="auto"/>
            <w:vAlign w:val="center"/>
          </w:tcPr>
          <w:p w14:paraId="768B2BA1">
            <w:pPr>
              <w:spacing w:line="240" w:lineRule="auto"/>
              <w:ind w:firstLine="0" w:firstLineChars="0"/>
              <w:jc w:val="center"/>
              <w:rPr>
                <w:rFonts w:ascii="仿宋_GB2312" w:cs="Times New Roman"/>
                <w:sz w:val="18"/>
                <w:szCs w:val="18"/>
              </w:rPr>
            </w:pPr>
            <w:r>
              <w:rPr>
                <w:rFonts w:hint="eastAsia" w:ascii="仿宋_GB2312" w:cs="Times New Roman"/>
                <w:sz w:val="18"/>
                <w:szCs w:val="18"/>
              </w:rPr>
              <w:t>837.23</w:t>
            </w:r>
          </w:p>
        </w:tc>
        <w:tc>
          <w:tcPr>
            <w:tcW w:w="335" w:type="pct"/>
            <w:tcBorders>
              <w:top w:val="nil"/>
              <w:left w:val="nil"/>
              <w:bottom w:val="single" w:color="auto" w:sz="4" w:space="0"/>
              <w:right w:val="single" w:color="auto" w:sz="4" w:space="0"/>
            </w:tcBorders>
            <w:shd w:val="clear" w:color="auto" w:fill="auto"/>
            <w:vAlign w:val="center"/>
          </w:tcPr>
          <w:p w14:paraId="5415B859">
            <w:pPr>
              <w:spacing w:line="240" w:lineRule="auto"/>
              <w:ind w:firstLine="0" w:firstLineChars="0"/>
              <w:jc w:val="center"/>
              <w:rPr>
                <w:rFonts w:ascii="仿宋_GB2312" w:cs="Times New Roman"/>
                <w:sz w:val="18"/>
                <w:szCs w:val="18"/>
              </w:rPr>
            </w:pPr>
            <w:r>
              <w:rPr>
                <w:rFonts w:hint="eastAsia" w:ascii="仿宋_GB2312" w:cs="Times New Roman"/>
                <w:sz w:val="18"/>
                <w:szCs w:val="18"/>
              </w:rPr>
              <w:t>216688.68</w:t>
            </w:r>
          </w:p>
        </w:tc>
        <w:tc>
          <w:tcPr>
            <w:tcW w:w="335" w:type="pct"/>
            <w:tcBorders>
              <w:top w:val="nil"/>
              <w:left w:val="nil"/>
              <w:bottom w:val="single" w:color="auto" w:sz="4" w:space="0"/>
              <w:right w:val="single" w:color="auto" w:sz="4" w:space="0"/>
            </w:tcBorders>
            <w:shd w:val="clear" w:color="auto" w:fill="auto"/>
            <w:vAlign w:val="center"/>
          </w:tcPr>
          <w:p w14:paraId="604E07B8">
            <w:pPr>
              <w:spacing w:line="240" w:lineRule="auto"/>
              <w:ind w:firstLine="0" w:firstLineChars="0"/>
              <w:jc w:val="center"/>
              <w:rPr>
                <w:rFonts w:ascii="仿宋_GB2312" w:cs="Times New Roman"/>
                <w:sz w:val="18"/>
                <w:szCs w:val="18"/>
              </w:rPr>
            </w:pPr>
            <w:r>
              <w:rPr>
                <w:rFonts w:hint="eastAsia" w:ascii="仿宋_GB2312" w:cs="Times New Roman"/>
                <w:sz w:val="18"/>
                <w:szCs w:val="18"/>
              </w:rPr>
              <w:t>473654.29</w:t>
            </w:r>
          </w:p>
        </w:tc>
        <w:tc>
          <w:tcPr>
            <w:tcW w:w="305" w:type="pct"/>
            <w:tcBorders>
              <w:top w:val="nil"/>
              <w:left w:val="nil"/>
              <w:bottom w:val="single" w:color="auto" w:sz="4" w:space="0"/>
              <w:right w:val="single" w:color="auto" w:sz="4" w:space="0"/>
            </w:tcBorders>
            <w:shd w:val="clear" w:color="auto" w:fill="auto"/>
            <w:vAlign w:val="center"/>
          </w:tcPr>
          <w:p w14:paraId="2C8B126F">
            <w:pPr>
              <w:spacing w:line="240" w:lineRule="auto"/>
              <w:ind w:firstLine="0" w:firstLineChars="0"/>
              <w:jc w:val="center"/>
              <w:rPr>
                <w:rFonts w:ascii="仿宋_GB2312" w:cs="Times New Roman"/>
                <w:sz w:val="18"/>
                <w:szCs w:val="18"/>
              </w:rPr>
            </w:pPr>
            <w:r>
              <w:rPr>
                <w:rFonts w:hint="eastAsia" w:ascii="仿宋_GB2312" w:cs="Times New Roman"/>
                <w:sz w:val="18"/>
                <w:szCs w:val="18"/>
              </w:rPr>
              <w:t>793.76</w:t>
            </w:r>
          </w:p>
        </w:tc>
        <w:tc>
          <w:tcPr>
            <w:tcW w:w="310" w:type="pct"/>
            <w:tcBorders>
              <w:top w:val="nil"/>
              <w:left w:val="nil"/>
              <w:bottom w:val="single" w:color="auto" w:sz="4" w:space="0"/>
              <w:right w:val="single" w:color="auto" w:sz="4" w:space="0"/>
            </w:tcBorders>
            <w:shd w:val="clear" w:color="auto" w:fill="auto"/>
            <w:vAlign w:val="center"/>
          </w:tcPr>
          <w:p w14:paraId="6E4EF813">
            <w:pPr>
              <w:spacing w:line="240" w:lineRule="auto"/>
              <w:ind w:firstLine="0" w:firstLineChars="0"/>
              <w:jc w:val="center"/>
              <w:rPr>
                <w:rFonts w:ascii="仿宋_GB2312" w:cs="Times New Roman"/>
                <w:sz w:val="18"/>
                <w:szCs w:val="18"/>
              </w:rPr>
            </w:pPr>
            <w:r>
              <w:rPr>
                <w:rFonts w:hint="eastAsia" w:ascii="仿宋_GB2312" w:cs="Times New Roman"/>
                <w:sz w:val="18"/>
                <w:szCs w:val="18"/>
              </w:rPr>
              <w:t>8369.94</w:t>
            </w:r>
          </w:p>
        </w:tc>
        <w:tc>
          <w:tcPr>
            <w:tcW w:w="310" w:type="pct"/>
            <w:tcBorders>
              <w:top w:val="nil"/>
              <w:left w:val="nil"/>
              <w:bottom w:val="single" w:color="auto" w:sz="4" w:space="0"/>
              <w:right w:val="single" w:color="auto" w:sz="4" w:space="0"/>
            </w:tcBorders>
            <w:shd w:val="clear" w:color="auto" w:fill="auto"/>
            <w:vAlign w:val="center"/>
          </w:tcPr>
          <w:p w14:paraId="668FE33E">
            <w:pPr>
              <w:spacing w:line="240" w:lineRule="auto"/>
              <w:ind w:firstLine="0" w:firstLineChars="0"/>
              <w:jc w:val="center"/>
              <w:rPr>
                <w:rFonts w:ascii="仿宋_GB2312" w:cs="Times New Roman"/>
                <w:sz w:val="18"/>
                <w:szCs w:val="18"/>
              </w:rPr>
            </w:pPr>
            <w:r>
              <w:rPr>
                <w:rFonts w:hint="eastAsia" w:ascii="仿宋_GB2312" w:cs="Times New Roman"/>
                <w:sz w:val="18"/>
                <w:szCs w:val="18"/>
              </w:rPr>
              <w:t>3954.57</w:t>
            </w:r>
          </w:p>
        </w:tc>
        <w:tc>
          <w:tcPr>
            <w:tcW w:w="305" w:type="pct"/>
            <w:tcBorders>
              <w:top w:val="nil"/>
              <w:left w:val="nil"/>
              <w:bottom w:val="single" w:color="auto" w:sz="4" w:space="0"/>
              <w:right w:val="single" w:color="auto" w:sz="4" w:space="0"/>
            </w:tcBorders>
            <w:shd w:val="clear" w:color="auto" w:fill="auto"/>
            <w:vAlign w:val="center"/>
          </w:tcPr>
          <w:p w14:paraId="390DA28E">
            <w:pPr>
              <w:spacing w:line="240" w:lineRule="auto"/>
              <w:ind w:firstLine="0" w:firstLineChars="0"/>
              <w:jc w:val="center"/>
              <w:rPr>
                <w:rFonts w:ascii="仿宋_GB2312" w:cs="Times New Roman"/>
                <w:sz w:val="18"/>
                <w:szCs w:val="18"/>
              </w:rPr>
            </w:pPr>
            <w:r>
              <w:rPr>
                <w:rFonts w:hint="eastAsia" w:ascii="仿宋_GB2312" w:cs="Times New Roman"/>
                <w:sz w:val="18"/>
                <w:szCs w:val="18"/>
              </w:rPr>
              <w:t>805.64</w:t>
            </w:r>
          </w:p>
        </w:tc>
        <w:tc>
          <w:tcPr>
            <w:tcW w:w="310" w:type="pct"/>
            <w:tcBorders>
              <w:top w:val="nil"/>
              <w:left w:val="nil"/>
              <w:bottom w:val="single" w:color="auto" w:sz="4" w:space="0"/>
              <w:right w:val="single" w:color="auto" w:sz="4" w:space="0"/>
            </w:tcBorders>
            <w:shd w:val="clear" w:color="auto" w:fill="auto"/>
            <w:vAlign w:val="center"/>
          </w:tcPr>
          <w:p w14:paraId="5B22040A">
            <w:pPr>
              <w:spacing w:line="240" w:lineRule="auto"/>
              <w:ind w:firstLine="0" w:firstLineChars="0"/>
              <w:jc w:val="center"/>
              <w:rPr>
                <w:rFonts w:ascii="仿宋_GB2312" w:cs="Times New Roman"/>
                <w:sz w:val="18"/>
                <w:szCs w:val="18"/>
              </w:rPr>
            </w:pPr>
            <w:r>
              <w:rPr>
                <w:rFonts w:hint="eastAsia" w:ascii="仿宋_GB2312" w:cs="Times New Roman"/>
                <w:sz w:val="18"/>
                <w:szCs w:val="18"/>
              </w:rPr>
              <w:t>1090.99</w:t>
            </w:r>
          </w:p>
        </w:tc>
        <w:tc>
          <w:tcPr>
            <w:tcW w:w="310" w:type="pct"/>
            <w:tcBorders>
              <w:top w:val="nil"/>
              <w:left w:val="nil"/>
              <w:bottom w:val="single" w:color="auto" w:sz="4" w:space="0"/>
              <w:right w:val="single" w:color="auto" w:sz="4" w:space="0"/>
            </w:tcBorders>
            <w:shd w:val="clear" w:color="auto" w:fill="auto"/>
            <w:vAlign w:val="center"/>
          </w:tcPr>
          <w:p w14:paraId="4301E766">
            <w:pPr>
              <w:spacing w:line="240" w:lineRule="auto"/>
              <w:ind w:firstLine="0" w:firstLineChars="0"/>
              <w:jc w:val="center"/>
              <w:rPr>
                <w:rFonts w:ascii="仿宋_GB2312" w:cs="Times New Roman"/>
                <w:sz w:val="18"/>
                <w:szCs w:val="18"/>
              </w:rPr>
            </w:pPr>
            <w:r>
              <w:rPr>
                <w:rFonts w:hint="eastAsia" w:ascii="仿宋_GB2312" w:cs="Times New Roman"/>
                <w:sz w:val="18"/>
                <w:szCs w:val="18"/>
              </w:rPr>
              <w:t>6704.86</w:t>
            </w:r>
          </w:p>
        </w:tc>
        <w:tc>
          <w:tcPr>
            <w:tcW w:w="314" w:type="pct"/>
            <w:tcBorders>
              <w:top w:val="nil"/>
              <w:left w:val="nil"/>
              <w:bottom w:val="single" w:color="auto" w:sz="4" w:space="0"/>
              <w:right w:val="single" w:color="auto" w:sz="4" w:space="0"/>
            </w:tcBorders>
            <w:shd w:val="clear" w:color="auto" w:fill="auto"/>
            <w:vAlign w:val="center"/>
          </w:tcPr>
          <w:p w14:paraId="3B16FFE2">
            <w:pPr>
              <w:spacing w:line="240" w:lineRule="auto"/>
              <w:ind w:firstLine="0" w:firstLineChars="0"/>
              <w:jc w:val="center"/>
              <w:rPr>
                <w:rFonts w:ascii="仿宋_GB2312" w:cs="Times New Roman"/>
                <w:sz w:val="18"/>
                <w:szCs w:val="18"/>
              </w:rPr>
            </w:pPr>
            <w:r>
              <w:rPr>
                <w:rFonts w:hint="eastAsia" w:ascii="仿宋_GB2312" w:cs="Times New Roman"/>
                <w:sz w:val="18"/>
                <w:szCs w:val="18"/>
              </w:rPr>
              <w:t>13671.05</w:t>
            </w:r>
          </w:p>
        </w:tc>
        <w:tc>
          <w:tcPr>
            <w:tcW w:w="314" w:type="pct"/>
            <w:tcBorders>
              <w:top w:val="nil"/>
              <w:left w:val="nil"/>
              <w:bottom w:val="single" w:color="auto" w:sz="4" w:space="0"/>
              <w:right w:val="single" w:color="auto" w:sz="4" w:space="0"/>
            </w:tcBorders>
            <w:shd w:val="clear" w:color="auto" w:fill="auto"/>
            <w:vAlign w:val="center"/>
          </w:tcPr>
          <w:p w14:paraId="7C63540B">
            <w:pPr>
              <w:spacing w:line="240" w:lineRule="auto"/>
              <w:ind w:firstLine="0" w:firstLineChars="0"/>
              <w:jc w:val="center"/>
              <w:rPr>
                <w:rFonts w:ascii="仿宋_GB2312" w:cs="Times New Roman"/>
                <w:sz w:val="18"/>
                <w:szCs w:val="18"/>
              </w:rPr>
            </w:pPr>
            <w:r>
              <w:rPr>
                <w:rFonts w:hint="eastAsia" w:ascii="仿宋_GB2312" w:cs="Times New Roman"/>
                <w:sz w:val="18"/>
                <w:szCs w:val="18"/>
              </w:rPr>
              <w:t>35322.2</w:t>
            </w:r>
          </w:p>
        </w:tc>
        <w:tc>
          <w:tcPr>
            <w:tcW w:w="278" w:type="pct"/>
            <w:tcBorders>
              <w:top w:val="nil"/>
              <w:left w:val="nil"/>
              <w:bottom w:val="single" w:color="auto" w:sz="4" w:space="0"/>
              <w:right w:val="single" w:color="auto" w:sz="4" w:space="0"/>
            </w:tcBorders>
            <w:shd w:val="clear" w:color="auto" w:fill="auto"/>
            <w:vAlign w:val="center"/>
          </w:tcPr>
          <w:p w14:paraId="099C2D20">
            <w:pPr>
              <w:spacing w:line="240" w:lineRule="auto"/>
              <w:ind w:firstLine="0" w:firstLineChars="0"/>
              <w:jc w:val="center"/>
              <w:rPr>
                <w:rFonts w:ascii="仿宋_GB2312" w:cs="Times New Roman"/>
                <w:sz w:val="18"/>
                <w:szCs w:val="18"/>
              </w:rPr>
            </w:pPr>
            <w:r>
              <w:rPr>
                <w:rFonts w:hint="eastAsia" w:ascii="仿宋_GB2312" w:cs="Times New Roman"/>
                <w:sz w:val="18"/>
                <w:szCs w:val="18"/>
              </w:rPr>
              <w:t>1821.04</w:t>
            </w:r>
          </w:p>
        </w:tc>
      </w:tr>
      <w:tr w14:paraId="5AA8BEE4">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74663764">
            <w:pPr>
              <w:spacing w:line="240" w:lineRule="auto"/>
              <w:ind w:firstLine="0" w:firstLineChars="0"/>
              <w:jc w:val="center"/>
              <w:rPr>
                <w:rFonts w:hint="eastAsia" w:ascii="仿宋_GB2312" w:hAnsi="宋体"/>
                <w:sz w:val="18"/>
                <w:szCs w:val="18"/>
              </w:rPr>
            </w:pPr>
            <w:r>
              <w:rPr>
                <w:rFonts w:hint="eastAsia" w:ascii="仿宋_GB2312" w:hAnsi="宋体"/>
                <w:sz w:val="18"/>
                <w:szCs w:val="18"/>
              </w:rPr>
              <w:t>准东办事处</w:t>
            </w:r>
          </w:p>
        </w:tc>
        <w:tc>
          <w:tcPr>
            <w:tcW w:w="394" w:type="pct"/>
            <w:tcBorders>
              <w:top w:val="nil"/>
              <w:left w:val="nil"/>
              <w:bottom w:val="single" w:color="auto" w:sz="4" w:space="0"/>
              <w:right w:val="single" w:color="auto" w:sz="4" w:space="0"/>
            </w:tcBorders>
            <w:shd w:val="clear" w:color="auto" w:fill="auto"/>
            <w:noWrap/>
            <w:vAlign w:val="center"/>
          </w:tcPr>
          <w:p w14:paraId="1067F24A">
            <w:pPr>
              <w:spacing w:line="240" w:lineRule="auto"/>
              <w:ind w:firstLine="0" w:firstLineChars="0"/>
              <w:jc w:val="center"/>
              <w:rPr>
                <w:rFonts w:ascii="仿宋_GB2312" w:cs="Times New Roman"/>
                <w:sz w:val="18"/>
                <w:szCs w:val="18"/>
              </w:rPr>
            </w:pPr>
            <w:r>
              <w:rPr>
                <w:rFonts w:hint="eastAsia" w:ascii="仿宋_GB2312" w:cs="Times New Roman"/>
                <w:sz w:val="18"/>
                <w:szCs w:val="18"/>
              </w:rPr>
              <w:t>1065.85</w:t>
            </w:r>
          </w:p>
        </w:tc>
        <w:tc>
          <w:tcPr>
            <w:tcW w:w="314" w:type="pct"/>
            <w:tcBorders>
              <w:top w:val="nil"/>
              <w:left w:val="nil"/>
              <w:bottom w:val="single" w:color="auto" w:sz="4" w:space="0"/>
              <w:right w:val="single" w:color="auto" w:sz="4" w:space="0"/>
            </w:tcBorders>
            <w:shd w:val="clear" w:color="auto" w:fill="auto"/>
            <w:noWrap/>
            <w:vAlign w:val="center"/>
          </w:tcPr>
          <w:p w14:paraId="7EC6B734">
            <w:pPr>
              <w:spacing w:line="240" w:lineRule="auto"/>
              <w:ind w:firstLine="0" w:firstLineChars="0"/>
              <w:jc w:val="center"/>
              <w:rPr>
                <w:rFonts w:ascii="仿宋_GB2312" w:cs="Times New Roman"/>
                <w:sz w:val="18"/>
                <w:szCs w:val="18"/>
              </w:rPr>
            </w:pPr>
            <w:r>
              <w:rPr>
                <w:rFonts w:hint="eastAsia" w:ascii="仿宋_GB2312" w:cs="Times New Roman"/>
                <w:sz w:val="18"/>
                <w:szCs w:val="18"/>
              </w:rPr>
              <w:t>11.34</w:t>
            </w:r>
          </w:p>
        </w:tc>
        <w:tc>
          <w:tcPr>
            <w:tcW w:w="305" w:type="pct"/>
            <w:tcBorders>
              <w:top w:val="nil"/>
              <w:left w:val="nil"/>
              <w:bottom w:val="single" w:color="auto" w:sz="4" w:space="0"/>
              <w:right w:val="single" w:color="auto" w:sz="4" w:space="0"/>
            </w:tcBorders>
            <w:shd w:val="clear" w:color="auto" w:fill="auto"/>
            <w:noWrap/>
            <w:vAlign w:val="center"/>
          </w:tcPr>
          <w:p w14:paraId="286F3A2E">
            <w:pPr>
              <w:spacing w:line="240" w:lineRule="auto"/>
              <w:ind w:firstLine="0" w:firstLineChars="0"/>
              <w:jc w:val="center"/>
              <w:rPr>
                <w:rFonts w:ascii="仿宋_GB2312" w:cs="Times New Roman"/>
                <w:sz w:val="18"/>
                <w:szCs w:val="18"/>
              </w:rPr>
            </w:pPr>
            <w:r>
              <w:rPr>
                <w:rFonts w:hint="eastAsia" w:ascii="仿宋_GB2312" w:cs="Times New Roman"/>
                <w:sz w:val="18"/>
                <w:szCs w:val="18"/>
              </w:rPr>
              <w:t>0</w:t>
            </w:r>
          </w:p>
        </w:tc>
        <w:tc>
          <w:tcPr>
            <w:tcW w:w="335" w:type="pct"/>
            <w:tcBorders>
              <w:top w:val="nil"/>
              <w:left w:val="nil"/>
              <w:bottom w:val="single" w:color="auto" w:sz="4" w:space="0"/>
              <w:right w:val="single" w:color="auto" w:sz="4" w:space="0"/>
            </w:tcBorders>
            <w:shd w:val="clear" w:color="auto" w:fill="auto"/>
            <w:noWrap/>
            <w:vAlign w:val="center"/>
          </w:tcPr>
          <w:p w14:paraId="4E17CCF4">
            <w:pPr>
              <w:spacing w:line="240" w:lineRule="auto"/>
              <w:ind w:firstLine="0" w:firstLineChars="0"/>
              <w:jc w:val="center"/>
              <w:rPr>
                <w:rFonts w:ascii="仿宋_GB2312" w:cs="Times New Roman"/>
                <w:sz w:val="18"/>
                <w:szCs w:val="18"/>
              </w:rPr>
            </w:pPr>
            <w:r>
              <w:rPr>
                <w:rFonts w:hint="eastAsia" w:ascii="仿宋_GB2312" w:cs="Times New Roman"/>
                <w:sz w:val="18"/>
                <w:szCs w:val="18"/>
              </w:rPr>
              <w:t>267.23</w:t>
            </w:r>
          </w:p>
        </w:tc>
        <w:tc>
          <w:tcPr>
            <w:tcW w:w="335" w:type="pct"/>
            <w:tcBorders>
              <w:top w:val="nil"/>
              <w:left w:val="nil"/>
              <w:bottom w:val="single" w:color="auto" w:sz="4" w:space="0"/>
              <w:right w:val="single" w:color="auto" w:sz="4" w:space="0"/>
            </w:tcBorders>
            <w:shd w:val="clear" w:color="auto" w:fill="auto"/>
            <w:noWrap/>
            <w:vAlign w:val="center"/>
          </w:tcPr>
          <w:p w14:paraId="021E891B">
            <w:pPr>
              <w:spacing w:line="240" w:lineRule="auto"/>
              <w:ind w:firstLine="0" w:firstLineChars="0"/>
              <w:jc w:val="center"/>
              <w:rPr>
                <w:rFonts w:ascii="仿宋_GB2312" w:cs="Times New Roman"/>
                <w:sz w:val="18"/>
                <w:szCs w:val="18"/>
              </w:rPr>
            </w:pPr>
            <w:r>
              <w:rPr>
                <w:rFonts w:hint="eastAsia" w:ascii="仿宋_GB2312" w:cs="Times New Roman"/>
                <w:sz w:val="18"/>
                <w:szCs w:val="18"/>
              </w:rPr>
              <w:t>170.73</w:t>
            </w:r>
          </w:p>
        </w:tc>
        <w:tc>
          <w:tcPr>
            <w:tcW w:w="305" w:type="pct"/>
            <w:tcBorders>
              <w:top w:val="nil"/>
              <w:left w:val="nil"/>
              <w:bottom w:val="single" w:color="auto" w:sz="4" w:space="0"/>
              <w:right w:val="single" w:color="auto" w:sz="4" w:space="0"/>
            </w:tcBorders>
            <w:shd w:val="clear" w:color="auto" w:fill="auto"/>
            <w:noWrap/>
            <w:vAlign w:val="center"/>
          </w:tcPr>
          <w:p w14:paraId="687E89D4">
            <w:pPr>
              <w:spacing w:line="240" w:lineRule="auto"/>
              <w:ind w:firstLine="0" w:firstLineChars="0"/>
              <w:jc w:val="center"/>
              <w:rPr>
                <w:rFonts w:ascii="仿宋_GB2312" w:cs="Times New Roman"/>
                <w:sz w:val="18"/>
                <w:szCs w:val="18"/>
              </w:rPr>
            </w:pPr>
            <w:r>
              <w:rPr>
                <w:rFonts w:hint="eastAsia" w:ascii="仿宋_GB2312" w:cs="Times New Roman"/>
                <w:sz w:val="18"/>
                <w:szCs w:val="18"/>
              </w:rPr>
              <w:t>97.57</w:t>
            </w:r>
          </w:p>
        </w:tc>
        <w:tc>
          <w:tcPr>
            <w:tcW w:w="310" w:type="pct"/>
            <w:tcBorders>
              <w:top w:val="nil"/>
              <w:left w:val="nil"/>
              <w:bottom w:val="single" w:color="auto" w:sz="4" w:space="0"/>
              <w:right w:val="single" w:color="auto" w:sz="4" w:space="0"/>
            </w:tcBorders>
            <w:shd w:val="clear" w:color="auto" w:fill="auto"/>
            <w:noWrap/>
            <w:vAlign w:val="center"/>
          </w:tcPr>
          <w:p w14:paraId="597A6C9F">
            <w:pPr>
              <w:spacing w:line="240" w:lineRule="auto"/>
              <w:ind w:firstLine="0" w:firstLineChars="0"/>
              <w:jc w:val="center"/>
              <w:rPr>
                <w:rFonts w:ascii="仿宋_GB2312" w:cs="Times New Roman"/>
                <w:sz w:val="18"/>
                <w:szCs w:val="18"/>
              </w:rPr>
            </w:pPr>
            <w:r>
              <w:rPr>
                <w:rFonts w:hint="eastAsia" w:ascii="仿宋_GB2312" w:cs="Times New Roman"/>
                <w:sz w:val="18"/>
                <w:szCs w:val="18"/>
              </w:rPr>
              <w:t>138.82</w:t>
            </w:r>
          </w:p>
        </w:tc>
        <w:tc>
          <w:tcPr>
            <w:tcW w:w="310" w:type="pct"/>
            <w:tcBorders>
              <w:top w:val="nil"/>
              <w:left w:val="nil"/>
              <w:bottom w:val="single" w:color="auto" w:sz="4" w:space="0"/>
              <w:right w:val="single" w:color="auto" w:sz="4" w:space="0"/>
            </w:tcBorders>
            <w:shd w:val="clear" w:color="auto" w:fill="auto"/>
            <w:noWrap/>
            <w:vAlign w:val="center"/>
          </w:tcPr>
          <w:p w14:paraId="48A6021A">
            <w:pPr>
              <w:spacing w:line="240" w:lineRule="auto"/>
              <w:ind w:firstLine="0" w:firstLineChars="0"/>
              <w:jc w:val="center"/>
              <w:rPr>
                <w:rFonts w:ascii="仿宋_GB2312" w:cs="Times New Roman"/>
                <w:sz w:val="18"/>
                <w:szCs w:val="18"/>
              </w:rPr>
            </w:pPr>
            <w:r>
              <w:rPr>
                <w:rFonts w:hint="eastAsia" w:ascii="仿宋_GB2312" w:cs="Times New Roman"/>
                <w:sz w:val="18"/>
                <w:szCs w:val="18"/>
              </w:rPr>
              <w:t>106.72</w:t>
            </w:r>
          </w:p>
        </w:tc>
        <w:tc>
          <w:tcPr>
            <w:tcW w:w="305" w:type="pct"/>
            <w:tcBorders>
              <w:top w:val="nil"/>
              <w:left w:val="nil"/>
              <w:bottom w:val="single" w:color="auto" w:sz="4" w:space="0"/>
              <w:right w:val="single" w:color="auto" w:sz="4" w:space="0"/>
            </w:tcBorders>
            <w:shd w:val="clear" w:color="auto" w:fill="auto"/>
            <w:noWrap/>
            <w:vAlign w:val="center"/>
          </w:tcPr>
          <w:p w14:paraId="23AB8054">
            <w:pPr>
              <w:spacing w:line="240" w:lineRule="auto"/>
              <w:ind w:firstLine="0" w:firstLineChars="0"/>
              <w:jc w:val="center"/>
              <w:rPr>
                <w:rFonts w:ascii="仿宋_GB2312" w:cs="Times New Roman"/>
                <w:sz w:val="18"/>
                <w:szCs w:val="18"/>
              </w:rPr>
            </w:pPr>
            <w:r>
              <w:rPr>
                <w:rFonts w:hint="eastAsia" w:ascii="仿宋_GB2312" w:cs="Times New Roman"/>
                <w:sz w:val="18"/>
                <w:szCs w:val="18"/>
              </w:rPr>
              <w:t>133.55</w:t>
            </w:r>
          </w:p>
        </w:tc>
        <w:tc>
          <w:tcPr>
            <w:tcW w:w="310" w:type="pct"/>
            <w:tcBorders>
              <w:top w:val="nil"/>
              <w:left w:val="nil"/>
              <w:bottom w:val="single" w:color="auto" w:sz="4" w:space="0"/>
              <w:right w:val="single" w:color="auto" w:sz="4" w:space="0"/>
            </w:tcBorders>
            <w:shd w:val="clear" w:color="auto" w:fill="auto"/>
            <w:noWrap/>
            <w:vAlign w:val="center"/>
          </w:tcPr>
          <w:p w14:paraId="0566EB0A">
            <w:pPr>
              <w:spacing w:line="240" w:lineRule="auto"/>
              <w:ind w:firstLine="0" w:firstLineChars="0"/>
              <w:jc w:val="center"/>
              <w:rPr>
                <w:rFonts w:ascii="仿宋_GB2312" w:cs="Times New Roman"/>
                <w:sz w:val="18"/>
                <w:szCs w:val="18"/>
              </w:rPr>
            </w:pPr>
            <w:r>
              <w:rPr>
                <w:rFonts w:hint="eastAsia" w:ascii="仿宋_GB2312" w:cs="Times New Roman"/>
                <w:sz w:val="18"/>
                <w:szCs w:val="18"/>
              </w:rPr>
              <w:t>4</w:t>
            </w:r>
          </w:p>
        </w:tc>
        <w:tc>
          <w:tcPr>
            <w:tcW w:w="310" w:type="pct"/>
            <w:tcBorders>
              <w:top w:val="nil"/>
              <w:left w:val="nil"/>
              <w:bottom w:val="single" w:color="auto" w:sz="4" w:space="0"/>
              <w:right w:val="single" w:color="auto" w:sz="4" w:space="0"/>
            </w:tcBorders>
            <w:shd w:val="clear" w:color="auto" w:fill="auto"/>
            <w:noWrap/>
            <w:vAlign w:val="center"/>
          </w:tcPr>
          <w:p w14:paraId="58538DE9">
            <w:pPr>
              <w:spacing w:line="240" w:lineRule="auto"/>
              <w:ind w:firstLine="0" w:firstLineChars="0"/>
              <w:jc w:val="center"/>
              <w:rPr>
                <w:rFonts w:ascii="仿宋_GB2312" w:cs="Times New Roman"/>
                <w:sz w:val="18"/>
                <w:szCs w:val="18"/>
              </w:rPr>
            </w:pPr>
            <w:r>
              <w:rPr>
                <w:rFonts w:hint="eastAsia" w:ascii="仿宋_GB2312" w:cs="Times New Roman"/>
                <w:sz w:val="18"/>
                <w:szCs w:val="18"/>
              </w:rPr>
              <w:t>83.19</w:t>
            </w:r>
          </w:p>
        </w:tc>
        <w:tc>
          <w:tcPr>
            <w:tcW w:w="314" w:type="pct"/>
            <w:tcBorders>
              <w:top w:val="nil"/>
              <w:left w:val="nil"/>
              <w:bottom w:val="single" w:color="auto" w:sz="4" w:space="0"/>
              <w:right w:val="single" w:color="auto" w:sz="4" w:space="0"/>
            </w:tcBorders>
            <w:shd w:val="clear" w:color="auto" w:fill="auto"/>
            <w:noWrap/>
            <w:vAlign w:val="center"/>
          </w:tcPr>
          <w:p w14:paraId="18781517">
            <w:pPr>
              <w:spacing w:line="240" w:lineRule="auto"/>
              <w:ind w:firstLine="0" w:firstLineChars="0"/>
              <w:jc w:val="center"/>
              <w:rPr>
                <w:rFonts w:ascii="仿宋_GB2312" w:cs="Times New Roman"/>
                <w:sz w:val="18"/>
                <w:szCs w:val="18"/>
              </w:rPr>
            </w:pPr>
            <w:r>
              <w:rPr>
                <w:rFonts w:hint="eastAsia" w:ascii="仿宋_GB2312" w:cs="Times New Roman"/>
                <w:sz w:val="18"/>
                <w:szCs w:val="18"/>
              </w:rPr>
              <w:t>52.29</w:t>
            </w:r>
          </w:p>
        </w:tc>
        <w:tc>
          <w:tcPr>
            <w:tcW w:w="314" w:type="pct"/>
            <w:tcBorders>
              <w:top w:val="nil"/>
              <w:left w:val="nil"/>
              <w:bottom w:val="single" w:color="auto" w:sz="4" w:space="0"/>
              <w:right w:val="single" w:color="auto" w:sz="4" w:space="0"/>
            </w:tcBorders>
            <w:shd w:val="clear" w:color="auto" w:fill="auto"/>
            <w:noWrap/>
            <w:vAlign w:val="center"/>
          </w:tcPr>
          <w:p w14:paraId="51CDC6FB">
            <w:pPr>
              <w:spacing w:line="240" w:lineRule="auto"/>
              <w:ind w:firstLine="0" w:firstLineChars="0"/>
              <w:jc w:val="center"/>
              <w:rPr>
                <w:rFonts w:ascii="仿宋_GB2312" w:cs="Times New Roman"/>
                <w:sz w:val="18"/>
                <w:szCs w:val="18"/>
              </w:rPr>
            </w:pPr>
            <w:r>
              <w:rPr>
                <w:rFonts w:hint="eastAsia" w:ascii="仿宋_GB2312" w:cs="Times New Roman"/>
                <w:sz w:val="18"/>
                <w:szCs w:val="18"/>
              </w:rPr>
              <w:t>0.41</w:t>
            </w:r>
          </w:p>
        </w:tc>
        <w:tc>
          <w:tcPr>
            <w:tcW w:w="278" w:type="pct"/>
            <w:tcBorders>
              <w:top w:val="nil"/>
              <w:left w:val="nil"/>
              <w:bottom w:val="single" w:color="auto" w:sz="4" w:space="0"/>
              <w:right w:val="single" w:color="auto" w:sz="4" w:space="0"/>
            </w:tcBorders>
            <w:shd w:val="clear" w:color="auto" w:fill="auto"/>
            <w:vAlign w:val="center"/>
          </w:tcPr>
          <w:p w14:paraId="5E576ACA">
            <w:pPr>
              <w:spacing w:line="240" w:lineRule="auto"/>
              <w:ind w:firstLine="0" w:firstLineChars="0"/>
              <w:jc w:val="center"/>
              <w:rPr>
                <w:rFonts w:ascii="仿宋_GB2312" w:cs="Times New Roman"/>
                <w:sz w:val="18"/>
                <w:szCs w:val="18"/>
              </w:rPr>
            </w:pPr>
            <w:r>
              <w:rPr>
                <w:rFonts w:hint="eastAsia" w:ascii="仿宋_GB2312" w:cs="Times New Roman"/>
                <w:sz w:val="18"/>
                <w:szCs w:val="18"/>
              </w:rPr>
              <w:t>0</w:t>
            </w:r>
          </w:p>
        </w:tc>
      </w:tr>
      <w:tr w14:paraId="664AA168">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16B0262B">
            <w:pPr>
              <w:spacing w:line="240" w:lineRule="auto"/>
              <w:ind w:firstLine="0" w:firstLineChars="0"/>
              <w:jc w:val="center"/>
              <w:rPr>
                <w:rFonts w:hint="eastAsia" w:ascii="仿宋_GB2312" w:hAnsi="宋体"/>
                <w:sz w:val="18"/>
                <w:szCs w:val="18"/>
              </w:rPr>
            </w:pPr>
            <w:r>
              <w:rPr>
                <w:rFonts w:hint="eastAsia" w:ascii="仿宋_GB2312" w:hAnsi="宋体"/>
                <w:sz w:val="18"/>
                <w:szCs w:val="18"/>
              </w:rPr>
              <w:t>甘河子镇</w:t>
            </w:r>
          </w:p>
        </w:tc>
        <w:tc>
          <w:tcPr>
            <w:tcW w:w="394" w:type="pct"/>
            <w:tcBorders>
              <w:top w:val="nil"/>
              <w:left w:val="nil"/>
              <w:bottom w:val="single" w:color="auto" w:sz="4" w:space="0"/>
              <w:right w:val="single" w:color="auto" w:sz="4" w:space="0"/>
            </w:tcBorders>
            <w:shd w:val="clear" w:color="auto" w:fill="auto"/>
            <w:noWrap/>
            <w:vAlign w:val="center"/>
          </w:tcPr>
          <w:p w14:paraId="7EB50454">
            <w:pPr>
              <w:spacing w:line="240" w:lineRule="auto"/>
              <w:ind w:firstLine="0" w:firstLineChars="0"/>
              <w:jc w:val="center"/>
              <w:rPr>
                <w:rFonts w:ascii="仿宋_GB2312" w:cs="Times New Roman"/>
                <w:sz w:val="18"/>
                <w:szCs w:val="18"/>
              </w:rPr>
            </w:pPr>
            <w:r>
              <w:rPr>
                <w:rFonts w:hint="eastAsia" w:ascii="仿宋_GB2312" w:cs="Times New Roman"/>
                <w:sz w:val="18"/>
                <w:szCs w:val="18"/>
              </w:rPr>
              <w:t>423.75</w:t>
            </w:r>
          </w:p>
        </w:tc>
        <w:tc>
          <w:tcPr>
            <w:tcW w:w="314" w:type="pct"/>
            <w:tcBorders>
              <w:top w:val="nil"/>
              <w:left w:val="nil"/>
              <w:bottom w:val="single" w:color="auto" w:sz="4" w:space="0"/>
              <w:right w:val="single" w:color="auto" w:sz="4" w:space="0"/>
            </w:tcBorders>
            <w:shd w:val="clear" w:color="auto" w:fill="auto"/>
            <w:noWrap/>
            <w:vAlign w:val="center"/>
          </w:tcPr>
          <w:p w14:paraId="0173FA03">
            <w:pPr>
              <w:spacing w:line="240" w:lineRule="auto"/>
              <w:ind w:firstLine="0" w:firstLineChars="0"/>
              <w:jc w:val="center"/>
              <w:rPr>
                <w:rFonts w:ascii="仿宋_GB2312" w:cs="Times New Roman"/>
                <w:sz w:val="18"/>
                <w:szCs w:val="18"/>
              </w:rPr>
            </w:pPr>
            <w:r>
              <w:rPr>
                <w:rFonts w:hint="eastAsia" w:ascii="仿宋_GB2312" w:cs="Times New Roman"/>
                <w:sz w:val="18"/>
                <w:szCs w:val="18"/>
              </w:rPr>
              <w:t>23.53</w:t>
            </w:r>
          </w:p>
        </w:tc>
        <w:tc>
          <w:tcPr>
            <w:tcW w:w="305" w:type="pct"/>
            <w:tcBorders>
              <w:top w:val="nil"/>
              <w:left w:val="nil"/>
              <w:bottom w:val="single" w:color="auto" w:sz="4" w:space="0"/>
              <w:right w:val="single" w:color="auto" w:sz="4" w:space="0"/>
            </w:tcBorders>
            <w:shd w:val="clear" w:color="auto" w:fill="auto"/>
            <w:noWrap/>
            <w:vAlign w:val="center"/>
          </w:tcPr>
          <w:p w14:paraId="594B035B">
            <w:pPr>
              <w:spacing w:line="240" w:lineRule="auto"/>
              <w:ind w:firstLine="0" w:firstLineChars="0"/>
              <w:jc w:val="center"/>
              <w:rPr>
                <w:rFonts w:ascii="仿宋_GB2312" w:cs="Times New Roman"/>
                <w:sz w:val="18"/>
                <w:szCs w:val="18"/>
              </w:rPr>
            </w:pPr>
            <w:r>
              <w:rPr>
                <w:rFonts w:hint="eastAsia" w:ascii="仿宋_GB2312" w:cs="Times New Roman"/>
                <w:sz w:val="18"/>
                <w:szCs w:val="18"/>
              </w:rPr>
              <w:t>0</w:t>
            </w:r>
          </w:p>
        </w:tc>
        <w:tc>
          <w:tcPr>
            <w:tcW w:w="335" w:type="pct"/>
            <w:tcBorders>
              <w:top w:val="nil"/>
              <w:left w:val="nil"/>
              <w:bottom w:val="single" w:color="auto" w:sz="4" w:space="0"/>
              <w:right w:val="single" w:color="auto" w:sz="4" w:space="0"/>
            </w:tcBorders>
            <w:shd w:val="clear" w:color="auto" w:fill="auto"/>
            <w:noWrap/>
            <w:vAlign w:val="center"/>
          </w:tcPr>
          <w:p w14:paraId="2DCC91BA">
            <w:pPr>
              <w:spacing w:line="240" w:lineRule="auto"/>
              <w:ind w:firstLine="0" w:firstLineChars="0"/>
              <w:jc w:val="center"/>
              <w:rPr>
                <w:rFonts w:ascii="仿宋_GB2312" w:cs="Times New Roman"/>
                <w:sz w:val="18"/>
                <w:szCs w:val="18"/>
              </w:rPr>
            </w:pPr>
            <w:r>
              <w:rPr>
                <w:rFonts w:hint="eastAsia" w:ascii="仿宋_GB2312" w:cs="Times New Roman"/>
                <w:sz w:val="18"/>
                <w:szCs w:val="18"/>
              </w:rPr>
              <w:t>31.44</w:t>
            </w:r>
          </w:p>
        </w:tc>
        <w:tc>
          <w:tcPr>
            <w:tcW w:w="335" w:type="pct"/>
            <w:tcBorders>
              <w:top w:val="nil"/>
              <w:left w:val="nil"/>
              <w:bottom w:val="single" w:color="auto" w:sz="4" w:space="0"/>
              <w:right w:val="single" w:color="auto" w:sz="4" w:space="0"/>
            </w:tcBorders>
            <w:shd w:val="clear" w:color="auto" w:fill="auto"/>
            <w:noWrap/>
            <w:vAlign w:val="center"/>
          </w:tcPr>
          <w:p w14:paraId="1BFF5F72">
            <w:pPr>
              <w:spacing w:line="240" w:lineRule="auto"/>
              <w:ind w:firstLine="0" w:firstLineChars="0"/>
              <w:jc w:val="center"/>
              <w:rPr>
                <w:rFonts w:ascii="仿宋_GB2312" w:cs="Times New Roman"/>
                <w:sz w:val="18"/>
                <w:szCs w:val="18"/>
              </w:rPr>
            </w:pPr>
            <w:r>
              <w:rPr>
                <w:rFonts w:hint="eastAsia" w:ascii="仿宋_GB2312" w:cs="Times New Roman"/>
                <w:sz w:val="18"/>
                <w:szCs w:val="18"/>
              </w:rPr>
              <w:t>104.58</w:t>
            </w:r>
          </w:p>
        </w:tc>
        <w:tc>
          <w:tcPr>
            <w:tcW w:w="305" w:type="pct"/>
            <w:tcBorders>
              <w:top w:val="nil"/>
              <w:left w:val="nil"/>
              <w:bottom w:val="single" w:color="auto" w:sz="4" w:space="0"/>
              <w:right w:val="single" w:color="auto" w:sz="4" w:space="0"/>
            </w:tcBorders>
            <w:shd w:val="clear" w:color="auto" w:fill="auto"/>
            <w:noWrap/>
            <w:vAlign w:val="center"/>
          </w:tcPr>
          <w:p w14:paraId="2EFD47D8">
            <w:pPr>
              <w:spacing w:line="240" w:lineRule="auto"/>
              <w:ind w:firstLine="0" w:firstLineChars="0"/>
              <w:jc w:val="center"/>
              <w:rPr>
                <w:rFonts w:ascii="仿宋_GB2312" w:cs="Times New Roman"/>
                <w:sz w:val="18"/>
                <w:szCs w:val="18"/>
              </w:rPr>
            </w:pPr>
            <w:r>
              <w:rPr>
                <w:rFonts w:hint="eastAsia" w:ascii="仿宋_GB2312" w:cs="Times New Roman"/>
                <w:sz w:val="18"/>
                <w:szCs w:val="18"/>
              </w:rPr>
              <w:t>7.72</w:t>
            </w:r>
          </w:p>
        </w:tc>
        <w:tc>
          <w:tcPr>
            <w:tcW w:w="310" w:type="pct"/>
            <w:tcBorders>
              <w:top w:val="nil"/>
              <w:left w:val="nil"/>
              <w:bottom w:val="single" w:color="auto" w:sz="4" w:space="0"/>
              <w:right w:val="single" w:color="auto" w:sz="4" w:space="0"/>
            </w:tcBorders>
            <w:shd w:val="clear" w:color="auto" w:fill="auto"/>
            <w:noWrap/>
            <w:vAlign w:val="center"/>
          </w:tcPr>
          <w:p w14:paraId="45BA027C">
            <w:pPr>
              <w:spacing w:line="240" w:lineRule="auto"/>
              <w:ind w:firstLine="0" w:firstLineChars="0"/>
              <w:jc w:val="center"/>
              <w:rPr>
                <w:rFonts w:ascii="仿宋_GB2312" w:cs="Times New Roman"/>
                <w:sz w:val="18"/>
                <w:szCs w:val="18"/>
              </w:rPr>
            </w:pPr>
            <w:r>
              <w:rPr>
                <w:rFonts w:hint="eastAsia" w:ascii="仿宋_GB2312" w:cs="Times New Roman"/>
                <w:sz w:val="18"/>
                <w:szCs w:val="18"/>
              </w:rPr>
              <w:t>77.01</w:t>
            </w:r>
          </w:p>
        </w:tc>
        <w:tc>
          <w:tcPr>
            <w:tcW w:w="310" w:type="pct"/>
            <w:tcBorders>
              <w:top w:val="nil"/>
              <w:left w:val="nil"/>
              <w:bottom w:val="single" w:color="auto" w:sz="4" w:space="0"/>
              <w:right w:val="single" w:color="auto" w:sz="4" w:space="0"/>
            </w:tcBorders>
            <w:shd w:val="clear" w:color="auto" w:fill="auto"/>
            <w:noWrap/>
            <w:vAlign w:val="center"/>
          </w:tcPr>
          <w:p w14:paraId="0BFE20CC">
            <w:pPr>
              <w:spacing w:line="240" w:lineRule="auto"/>
              <w:ind w:firstLine="0" w:firstLineChars="0"/>
              <w:jc w:val="center"/>
              <w:rPr>
                <w:rFonts w:ascii="仿宋_GB2312" w:cs="Times New Roman"/>
                <w:sz w:val="18"/>
                <w:szCs w:val="18"/>
              </w:rPr>
            </w:pPr>
            <w:r>
              <w:rPr>
                <w:rFonts w:hint="eastAsia" w:ascii="仿宋_GB2312" w:cs="Times New Roman"/>
                <w:sz w:val="18"/>
                <w:szCs w:val="18"/>
              </w:rPr>
              <w:t>74.87</w:t>
            </w:r>
          </w:p>
        </w:tc>
        <w:tc>
          <w:tcPr>
            <w:tcW w:w="305" w:type="pct"/>
            <w:tcBorders>
              <w:top w:val="nil"/>
              <w:left w:val="nil"/>
              <w:bottom w:val="single" w:color="auto" w:sz="4" w:space="0"/>
              <w:right w:val="single" w:color="auto" w:sz="4" w:space="0"/>
            </w:tcBorders>
            <w:shd w:val="clear" w:color="auto" w:fill="auto"/>
            <w:noWrap/>
            <w:vAlign w:val="center"/>
          </w:tcPr>
          <w:p w14:paraId="2F3CEC1B">
            <w:pPr>
              <w:spacing w:line="240" w:lineRule="auto"/>
              <w:ind w:firstLine="0" w:firstLineChars="0"/>
              <w:jc w:val="center"/>
              <w:rPr>
                <w:rFonts w:ascii="仿宋_GB2312" w:cs="Times New Roman"/>
                <w:sz w:val="18"/>
                <w:szCs w:val="18"/>
              </w:rPr>
            </w:pPr>
            <w:r>
              <w:rPr>
                <w:rFonts w:hint="eastAsia" w:ascii="仿宋_GB2312" w:cs="Times New Roman"/>
                <w:sz w:val="18"/>
                <w:szCs w:val="18"/>
              </w:rPr>
              <w:t>30.51</w:t>
            </w:r>
          </w:p>
        </w:tc>
        <w:tc>
          <w:tcPr>
            <w:tcW w:w="310" w:type="pct"/>
            <w:tcBorders>
              <w:top w:val="nil"/>
              <w:left w:val="nil"/>
              <w:bottom w:val="single" w:color="auto" w:sz="4" w:space="0"/>
              <w:right w:val="single" w:color="auto" w:sz="4" w:space="0"/>
            </w:tcBorders>
            <w:shd w:val="clear" w:color="auto" w:fill="auto"/>
            <w:noWrap/>
            <w:vAlign w:val="center"/>
          </w:tcPr>
          <w:p w14:paraId="4F3A91E9">
            <w:pPr>
              <w:spacing w:line="240" w:lineRule="auto"/>
              <w:ind w:firstLine="0" w:firstLineChars="0"/>
              <w:jc w:val="center"/>
              <w:rPr>
                <w:rFonts w:ascii="仿宋_GB2312" w:cs="Times New Roman"/>
                <w:sz w:val="18"/>
                <w:szCs w:val="18"/>
              </w:rPr>
            </w:pPr>
            <w:r>
              <w:rPr>
                <w:rFonts w:hint="eastAsia" w:ascii="仿宋_GB2312" w:cs="Times New Roman"/>
                <w:sz w:val="18"/>
                <w:szCs w:val="18"/>
              </w:rPr>
              <w:t>2.19</w:t>
            </w:r>
          </w:p>
        </w:tc>
        <w:tc>
          <w:tcPr>
            <w:tcW w:w="310" w:type="pct"/>
            <w:tcBorders>
              <w:top w:val="nil"/>
              <w:left w:val="nil"/>
              <w:bottom w:val="single" w:color="auto" w:sz="4" w:space="0"/>
              <w:right w:val="single" w:color="auto" w:sz="4" w:space="0"/>
            </w:tcBorders>
            <w:shd w:val="clear" w:color="auto" w:fill="auto"/>
            <w:noWrap/>
            <w:vAlign w:val="center"/>
          </w:tcPr>
          <w:p w14:paraId="14FC8A23">
            <w:pPr>
              <w:spacing w:line="240" w:lineRule="auto"/>
              <w:ind w:firstLine="0" w:firstLineChars="0"/>
              <w:jc w:val="center"/>
              <w:rPr>
                <w:rFonts w:ascii="仿宋_GB2312" w:cs="Times New Roman"/>
                <w:sz w:val="18"/>
                <w:szCs w:val="18"/>
              </w:rPr>
            </w:pPr>
            <w:r>
              <w:rPr>
                <w:rFonts w:hint="eastAsia" w:ascii="仿宋_GB2312" w:cs="Times New Roman"/>
                <w:sz w:val="18"/>
                <w:szCs w:val="18"/>
              </w:rPr>
              <w:t>28.36</w:t>
            </w:r>
          </w:p>
        </w:tc>
        <w:tc>
          <w:tcPr>
            <w:tcW w:w="314" w:type="pct"/>
            <w:tcBorders>
              <w:top w:val="nil"/>
              <w:left w:val="nil"/>
              <w:bottom w:val="single" w:color="auto" w:sz="4" w:space="0"/>
              <w:right w:val="single" w:color="auto" w:sz="4" w:space="0"/>
            </w:tcBorders>
            <w:shd w:val="clear" w:color="auto" w:fill="auto"/>
            <w:noWrap/>
            <w:vAlign w:val="center"/>
          </w:tcPr>
          <w:p w14:paraId="374C292C">
            <w:pPr>
              <w:spacing w:line="240" w:lineRule="auto"/>
              <w:ind w:firstLine="0" w:firstLineChars="0"/>
              <w:jc w:val="center"/>
              <w:rPr>
                <w:rFonts w:ascii="仿宋_GB2312" w:cs="Times New Roman"/>
                <w:sz w:val="18"/>
                <w:szCs w:val="18"/>
              </w:rPr>
            </w:pPr>
            <w:r>
              <w:rPr>
                <w:rFonts w:hint="eastAsia" w:ascii="仿宋_GB2312" w:cs="Times New Roman"/>
                <w:sz w:val="18"/>
                <w:szCs w:val="18"/>
              </w:rPr>
              <w:t>13.3</w:t>
            </w:r>
          </w:p>
        </w:tc>
        <w:tc>
          <w:tcPr>
            <w:tcW w:w="314" w:type="pct"/>
            <w:tcBorders>
              <w:top w:val="nil"/>
              <w:left w:val="nil"/>
              <w:bottom w:val="single" w:color="auto" w:sz="4" w:space="0"/>
              <w:right w:val="single" w:color="auto" w:sz="4" w:space="0"/>
            </w:tcBorders>
            <w:shd w:val="clear" w:color="auto" w:fill="auto"/>
            <w:noWrap/>
            <w:vAlign w:val="center"/>
          </w:tcPr>
          <w:p w14:paraId="7FD44942">
            <w:pPr>
              <w:spacing w:line="240" w:lineRule="auto"/>
              <w:ind w:firstLine="0" w:firstLineChars="0"/>
              <w:jc w:val="center"/>
              <w:rPr>
                <w:rFonts w:ascii="仿宋_GB2312" w:cs="Times New Roman"/>
                <w:sz w:val="18"/>
                <w:szCs w:val="18"/>
              </w:rPr>
            </w:pPr>
            <w:r>
              <w:rPr>
                <w:rFonts w:hint="eastAsia" w:ascii="仿宋_GB2312" w:cs="Times New Roman"/>
                <w:sz w:val="18"/>
                <w:szCs w:val="18"/>
              </w:rPr>
              <w:t>8.26</w:t>
            </w:r>
          </w:p>
        </w:tc>
        <w:tc>
          <w:tcPr>
            <w:tcW w:w="278" w:type="pct"/>
            <w:tcBorders>
              <w:top w:val="nil"/>
              <w:left w:val="nil"/>
              <w:bottom w:val="single" w:color="auto" w:sz="4" w:space="0"/>
              <w:right w:val="single" w:color="auto" w:sz="4" w:space="0"/>
            </w:tcBorders>
            <w:shd w:val="clear" w:color="auto" w:fill="auto"/>
            <w:vAlign w:val="center"/>
          </w:tcPr>
          <w:p w14:paraId="0E0B65BC">
            <w:pPr>
              <w:spacing w:line="240" w:lineRule="auto"/>
              <w:ind w:firstLine="0" w:firstLineChars="0"/>
              <w:jc w:val="center"/>
              <w:rPr>
                <w:rFonts w:ascii="仿宋_GB2312" w:cs="Times New Roman"/>
                <w:sz w:val="18"/>
                <w:szCs w:val="18"/>
              </w:rPr>
            </w:pPr>
            <w:r>
              <w:rPr>
                <w:rFonts w:hint="eastAsia" w:ascii="仿宋_GB2312" w:cs="Times New Roman"/>
                <w:sz w:val="18"/>
                <w:szCs w:val="18"/>
              </w:rPr>
              <w:t>21.98</w:t>
            </w:r>
          </w:p>
        </w:tc>
      </w:tr>
      <w:tr w14:paraId="341D13EE">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581EF0E4">
            <w:pPr>
              <w:spacing w:line="240" w:lineRule="auto"/>
              <w:ind w:firstLine="0" w:firstLineChars="0"/>
              <w:jc w:val="center"/>
              <w:rPr>
                <w:rFonts w:hint="eastAsia" w:ascii="仿宋_GB2312" w:hAnsi="宋体"/>
                <w:sz w:val="18"/>
                <w:szCs w:val="18"/>
              </w:rPr>
            </w:pPr>
            <w:r>
              <w:rPr>
                <w:rFonts w:hint="eastAsia" w:ascii="仿宋_GB2312" w:hAnsi="宋体"/>
                <w:sz w:val="18"/>
                <w:szCs w:val="18"/>
              </w:rPr>
              <w:t>城关镇</w:t>
            </w:r>
          </w:p>
        </w:tc>
        <w:tc>
          <w:tcPr>
            <w:tcW w:w="394" w:type="pct"/>
            <w:tcBorders>
              <w:top w:val="nil"/>
              <w:left w:val="nil"/>
              <w:bottom w:val="single" w:color="auto" w:sz="4" w:space="0"/>
              <w:right w:val="single" w:color="auto" w:sz="4" w:space="0"/>
            </w:tcBorders>
            <w:shd w:val="clear" w:color="auto" w:fill="auto"/>
            <w:noWrap/>
            <w:vAlign w:val="center"/>
          </w:tcPr>
          <w:p w14:paraId="360C3A10">
            <w:pPr>
              <w:spacing w:line="240" w:lineRule="auto"/>
              <w:ind w:firstLine="0" w:firstLineChars="0"/>
              <w:jc w:val="center"/>
              <w:rPr>
                <w:rFonts w:ascii="仿宋_GB2312" w:cs="Times New Roman"/>
                <w:sz w:val="18"/>
                <w:szCs w:val="18"/>
              </w:rPr>
            </w:pPr>
            <w:r>
              <w:rPr>
                <w:rFonts w:hint="eastAsia" w:ascii="仿宋_GB2312" w:cs="Times New Roman"/>
                <w:sz w:val="18"/>
                <w:szCs w:val="18"/>
              </w:rPr>
              <w:t>8330.97</w:t>
            </w:r>
          </w:p>
        </w:tc>
        <w:tc>
          <w:tcPr>
            <w:tcW w:w="314" w:type="pct"/>
            <w:tcBorders>
              <w:top w:val="nil"/>
              <w:left w:val="nil"/>
              <w:bottom w:val="single" w:color="auto" w:sz="4" w:space="0"/>
              <w:right w:val="single" w:color="auto" w:sz="4" w:space="0"/>
            </w:tcBorders>
            <w:shd w:val="clear" w:color="auto" w:fill="auto"/>
            <w:noWrap/>
            <w:vAlign w:val="center"/>
          </w:tcPr>
          <w:p w14:paraId="0E1C4C7C">
            <w:pPr>
              <w:spacing w:line="240" w:lineRule="auto"/>
              <w:ind w:firstLine="0" w:firstLineChars="0"/>
              <w:jc w:val="center"/>
              <w:rPr>
                <w:rFonts w:ascii="仿宋_GB2312" w:cs="Times New Roman"/>
                <w:sz w:val="18"/>
                <w:szCs w:val="18"/>
              </w:rPr>
            </w:pPr>
            <w:r>
              <w:rPr>
                <w:rFonts w:hint="eastAsia" w:ascii="仿宋_GB2312" w:cs="Times New Roman"/>
                <w:sz w:val="18"/>
                <w:szCs w:val="18"/>
              </w:rPr>
              <w:t>3036.51</w:t>
            </w:r>
          </w:p>
        </w:tc>
        <w:tc>
          <w:tcPr>
            <w:tcW w:w="305" w:type="pct"/>
            <w:tcBorders>
              <w:top w:val="nil"/>
              <w:left w:val="nil"/>
              <w:bottom w:val="single" w:color="auto" w:sz="4" w:space="0"/>
              <w:right w:val="single" w:color="auto" w:sz="4" w:space="0"/>
            </w:tcBorders>
            <w:shd w:val="clear" w:color="auto" w:fill="auto"/>
            <w:noWrap/>
            <w:vAlign w:val="center"/>
          </w:tcPr>
          <w:p w14:paraId="6EAEEE43">
            <w:pPr>
              <w:spacing w:line="240" w:lineRule="auto"/>
              <w:ind w:firstLine="0" w:firstLineChars="0"/>
              <w:jc w:val="center"/>
              <w:rPr>
                <w:rFonts w:ascii="仿宋_GB2312" w:cs="Times New Roman"/>
                <w:sz w:val="18"/>
                <w:szCs w:val="18"/>
              </w:rPr>
            </w:pPr>
            <w:r>
              <w:rPr>
                <w:rFonts w:hint="eastAsia" w:ascii="仿宋_GB2312" w:cs="Times New Roman"/>
                <w:sz w:val="18"/>
                <w:szCs w:val="18"/>
              </w:rPr>
              <w:t>108.87</w:t>
            </w:r>
          </w:p>
        </w:tc>
        <w:tc>
          <w:tcPr>
            <w:tcW w:w="335" w:type="pct"/>
            <w:tcBorders>
              <w:top w:val="nil"/>
              <w:left w:val="nil"/>
              <w:bottom w:val="single" w:color="auto" w:sz="4" w:space="0"/>
              <w:right w:val="single" w:color="auto" w:sz="4" w:space="0"/>
            </w:tcBorders>
            <w:shd w:val="clear" w:color="auto" w:fill="auto"/>
            <w:noWrap/>
            <w:vAlign w:val="center"/>
          </w:tcPr>
          <w:p w14:paraId="47F7698A">
            <w:pPr>
              <w:spacing w:line="240" w:lineRule="auto"/>
              <w:ind w:firstLine="0" w:firstLineChars="0"/>
              <w:jc w:val="center"/>
              <w:rPr>
                <w:rFonts w:ascii="仿宋_GB2312" w:cs="Times New Roman"/>
                <w:sz w:val="18"/>
                <w:szCs w:val="18"/>
              </w:rPr>
            </w:pPr>
            <w:r>
              <w:rPr>
                <w:rFonts w:hint="eastAsia" w:ascii="仿宋_GB2312" w:cs="Times New Roman"/>
                <w:sz w:val="18"/>
                <w:szCs w:val="18"/>
              </w:rPr>
              <w:t>1966.77</w:t>
            </w:r>
          </w:p>
        </w:tc>
        <w:tc>
          <w:tcPr>
            <w:tcW w:w="335" w:type="pct"/>
            <w:tcBorders>
              <w:top w:val="nil"/>
              <w:left w:val="nil"/>
              <w:bottom w:val="single" w:color="auto" w:sz="4" w:space="0"/>
              <w:right w:val="single" w:color="auto" w:sz="4" w:space="0"/>
            </w:tcBorders>
            <w:shd w:val="clear" w:color="auto" w:fill="auto"/>
            <w:noWrap/>
            <w:vAlign w:val="center"/>
          </w:tcPr>
          <w:p w14:paraId="7998ADDE">
            <w:pPr>
              <w:spacing w:line="240" w:lineRule="auto"/>
              <w:ind w:firstLine="0" w:firstLineChars="0"/>
              <w:jc w:val="center"/>
              <w:rPr>
                <w:rFonts w:ascii="仿宋_GB2312" w:cs="Times New Roman"/>
                <w:sz w:val="18"/>
                <w:szCs w:val="18"/>
              </w:rPr>
            </w:pPr>
            <w:r>
              <w:rPr>
                <w:rFonts w:hint="eastAsia" w:ascii="仿宋_GB2312" w:cs="Times New Roman"/>
                <w:sz w:val="18"/>
                <w:szCs w:val="18"/>
              </w:rPr>
              <w:t>472.74</w:t>
            </w:r>
          </w:p>
        </w:tc>
        <w:tc>
          <w:tcPr>
            <w:tcW w:w="305" w:type="pct"/>
            <w:tcBorders>
              <w:top w:val="nil"/>
              <w:left w:val="nil"/>
              <w:bottom w:val="single" w:color="auto" w:sz="4" w:space="0"/>
              <w:right w:val="single" w:color="auto" w:sz="4" w:space="0"/>
            </w:tcBorders>
            <w:shd w:val="clear" w:color="auto" w:fill="auto"/>
            <w:noWrap/>
            <w:vAlign w:val="center"/>
          </w:tcPr>
          <w:p w14:paraId="71531C93">
            <w:pPr>
              <w:spacing w:line="240" w:lineRule="auto"/>
              <w:ind w:firstLine="0" w:firstLineChars="0"/>
              <w:jc w:val="center"/>
              <w:rPr>
                <w:rFonts w:ascii="仿宋_GB2312" w:cs="Times New Roman"/>
                <w:sz w:val="18"/>
                <w:szCs w:val="18"/>
              </w:rPr>
            </w:pPr>
            <w:r>
              <w:rPr>
                <w:rFonts w:hint="eastAsia" w:ascii="仿宋_GB2312" w:cs="Times New Roman"/>
                <w:sz w:val="18"/>
                <w:szCs w:val="18"/>
              </w:rPr>
              <w:t>223.51</w:t>
            </w:r>
          </w:p>
        </w:tc>
        <w:tc>
          <w:tcPr>
            <w:tcW w:w="310" w:type="pct"/>
            <w:tcBorders>
              <w:top w:val="nil"/>
              <w:left w:val="nil"/>
              <w:bottom w:val="single" w:color="auto" w:sz="4" w:space="0"/>
              <w:right w:val="single" w:color="auto" w:sz="4" w:space="0"/>
            </w:tcBorders>
            <w:shd w:val="clear" w:color="auto" w:fill="auto"/>
            <w:noWrap/>
            <w:vAlign w:val="center"/>
          </w:tcPr>
          <w:p w14:paraId="1C7C2838">
            <w:pPr>
              <w:spacing w:line="240" w:lineRule="auto"/>
              <w:ind w:firstLine="0" w:firstLineChars="0"/>
              <w:jc w:val="center"/>
              <w:rPr>
                <w:rFonts w:ascii="仿宋_GB2312" w:cs="Times New Roman"/>
                <w:sz w:val="18"/>
                <w:szCs w:val="18"/>
              </w:rPr>
            </w:pPr>
            <w:r>
              <w:rPr>
                <w:rFonts w:hint="eastAsia" w:ascii="仿宋_GB2312" w:cs="Times New Roman"/>
                <w:sz w:val="18"/>
                <w:szCs w:val="18"/>
              </w:rPr>
              <w:t>98.06</w:t>
            </w:r>
          </w:p>
        </w:tc>
        <w:tc>
          <w:tcPr>
            <w:tcW w:w="310" w:type="pct"/>
            <w:tcBorders>
              <w:top w:val="nil"/>
              <w:left w:val="nil"/>
              <w:bottom w:val="single" w:color="auto" w:sz="4" w:space="0"/>
              <w:right w:val="single" w:color="auto" w:sz="4" w:space="0"/>
            </w:tcBorders>
            <w:shd w:val="clear" w:color="auto" w:fill="auto"/>
            <w:noWrap/>
            <w:vAlign w:val="center"/>
          </w:tcPr>
          <w:p w14:paraId="621FA6B6">
            <w:pPr>
              <w:spacing w:line="240" w:lineRule="auto"/>
              <w:ind w:firstLine="0" w:firstLineChars="0"/>
              <w:jc w:val="center"/>
              <w:rPr>
                <w:rFonts w:ascii="仿宋_GB2312" w:cs="Times New Roman"/>
                <w:sz w:val="18"/>
                <w:szCs w:val="18"/>
              </w:rPr>
            </w:pPr>
            <w:r>
              <w:rPr>
                <w:rFonts w:hint="eastAsia" w:ascii="仿宋_GB2312" w:cs="Times New Roman"/>
                <w:sz w:val="18"/>
                <w:szCs w:val="18"/>
              </w:rPr>
              <w:t>883.42</w:t>
            </w:r>
          </w:p>
        </w:tc>
        <w:tc>
          <w:tcPr>
            <w:tcW w:w="305" w:type="pct"/>
            <w:tcBorders>
              <w:top w:val="nil"/>
              <w:left w:val="nil"/>
              <w:bottom w:val="single" w:color="auto" w:sz="4" w:space="0"/>
              <w:right w:val="single" w:color="auto" w:sz="4" w:space="0"/>
            </w:tcBorders>
            <w:shd w:val="clear" w:color="auto" w:fill="auto"/>
            <w:noWrap/>
            <w:vAlign w:val="center"/>
          </w:tcPr>
          <w:p w14:paraId="734B810F">
            <w:pPr>
              <w:spacing w:line="240" w:lineRule="auto"/>
              <w:ind w:firstLine="0" w:firstLineChars="0"/>
              <w:jc w:val="center"/>
              <w:rPr>
                <w:rFonts w:ascii="仿宋_GB2312" w:cs="Times New Roman"/>
                <w:sz w:val="18"/>
                <w:szCs w:val="18"/>
              </w:rPr>
            </w:pPr>
            <w:r>
              <w:rPr>
                <w:rFonts w:hint="eastAsia" w:ascii="仿宋_GB2312" w:cs="Times New Roman"/>
                <w:sz w:val="18"/>
                <w:szCs w:val="18"/>
              </w:rPr>
              <w:t>337.58</w:t>
            </w:r>
          </w:p>
        </w:tc>
        <w:tc>
          <w:tcPr>
            <w:tcW w:w="310" w:type="pct"/>
            <w:tcBorders>
              <w:top w:val="nil"/>
              <w:left w:val="nil"/>
              <w:bottom w:val="single" w:color="auto" w:sz="4" w:space="0"/>
              <w:right w:val="single" w:color="auto" w:sz="4" w:space="0"/>
            </w:tcBorders>
            <w:shd w:val="clear" w:color="auto" w:fill="auto"/>
            <w:noWrap/>
            <w:vAlign w:val="center"/>
          </w:tcPr>
          <w:p w14:paraId="32A320B3">
            <w:pPr>
              <w:spacing w:line="240" w:lineRule="auto"/>
              <w:ind w:firstLine="0" w:firstLineChars="0"/>
              <w:jc w:val="center"/>
              <w:rPr>
                <w:rFonts w:ascii="仿宋_GB2312" w:cs="Times New Roman"/>
                <w:sz w:val="18"/>
                <w:szCs w:val="18"/>
              </w:rPr>
            </w:pPr>
            <w:r>
              <w:rPr>
                <w:rFonts w:hint="eastAsia" w:ascii="仿宋_GB2312" w:cs="Times New Roman"/>
                <w:sz w:val="18"/>
                <w:szCs w:val="18"/>
              </w:rPr>
              <w:t>125.35</w:t>
            </w:r>
          </w:p>
        </w:tc>
        <w:tc>
          <w:tcPr>
            <w:tcW w:w="310" w:type="pct"/>
            <w:tcBorders>
              <w:top w:val="nil"/>
              <w:left w:val="nil"/>
              <w:bottom w:val="single" w:color="auto" w:sz="4" w:space="0"/>
              <w:right w:val="single" w:color="auto" w:sz="4" w:space="0"/>
            </w:tcBorders>
            <w:shd w:val="clear" w:color="auto" w:fill="auto"/>
            <w:noWrap/>
            <w:vAlign w:val="center"/>
          </w:tcPr>
          <w:p w14:paraId="372A3D6F">
            <w:pPr>
              <w:spacing w:line="240" w:lineRule="auto"/>
              <w:ind w:firstLine="0" w:firstLineChars="0"/>
              <w:jc w:val="center"/>
              <w:rPr>
                <w:rFonts w:ascii="仿宋_GB2312" w:cs="Times New Roman"/>
                <w:sz w:val="18"/>
                <w:szCs w:val="18"/>
              </w:rPr>
            </w:pPr>
            <w:r>
              <w:rPr>
                <w:rFonts w:hint="eastAsia" w:ascii="仿宋_GB2312" w:cs="Times New Roman"/>
                <w:sz w:val="18"/>
                <w:szCs w:val="18"/>
              </w:rPr>
              <w:t>726.41</w:t>
            </w:r>
          </w:p>
        </w:tc>
        <w:tc>
          <w:tcPr>
            <w:tcW w:w="314" w:type="pct"/>
            <w:tcBorders>
              <w:top w:val="nil"/>
              <w:left w:val="nil"/>
              <w:bottom w:val="single" w:color="auto" w:sz="4" w:space="0"/>
              <w:right w:val="single" w:color="auto" w:sz="4" w:space="0"/>
            </w:tcBorders>
            <w:shd w:val="clear" w:color="auto" w:fill="auto"/>
            <w:noWrap/>
            <w:vAlign w:val="center"/>
          </w:tcPr>
          <w:p w14:paraId="6A838CF6">
            <w:pPr>
              <w:spacing w:line="240" w:lineRule="auto"/>
              <w:ind w:firstLine="0" w:firstLineChars="0"/>
              <w:jc w:val="center"/>
              <w:rPr>
                <w:rFonts w:ascii="仿宋_GB2312" w:cs="Times New Roman"/>
                <w:sz w:val="18"/>
                <w:szCs w:val="18"/>
              </w:rPr>
            </w:pPr>
            <w:r>
              <w:rPr>
                <w:rFonts w:hint="eastAsia" w:ascii="仿宋_GB2312" w:cs="Times New Roman"/>
                <w:sz w:val="18"/>
                <w:szCs w:val="18"/>
              </w:rPr>
              <w:t>223.26</w:t>
            </w:r>
          </w:p>
        </w:tc>
        <w:tc>
          <w:tcPr>
            <w:tcW w:w="314" w:type="pct"/>
            <w:tcBorders>
              <w:top w:val="nil"/>
              <w:left w:val="nil"/>
              <w:bottom w:val="single" w:color="auto" w:sz="4" w:space="0"/>
              <w:right w:val="single" w:color="auto" w:sz="4" w:space="0"/>
            </w:tcBorders>
            <w:shd w:val="clear" w:color="auto" w:fill="auto"/>
            <w:noWrap/>
            <w:vAlign w:val="center"/>
          </w:tcPr>
          <w:p w14:paraId="53C397B3">
            <w:pPr>
              <w:spacing w:line="240" w:lineRule="auto"/>
              <w:ind w:firstLine="0" w:firstLineChars="0"/>
              <w:jc w:val="center"/>
              <w:rPr>
                <w:rFonts w:ascii="仿宋_GB2312" w:cs="Times New Roman"/>
                <w:sz w:val="18"/>
                <w:szCs w:val="18"/>
              </w:rPr>
            </w:pPr>
            <w:r>
              <w:rPr>
                <w:rFonts w:hint="eastAsia" w:ascii="仿宋_GB2312" w:cs="Times New Roman"/>
                <w:sz w:val="18"/>
                <w:szCs w:val="18"/>
              </w:rPr>
              <w:t>105.47</w:t>
            </w:r>
          </w:p>
        </w:tc>
        <w:tc>
          <w:tcPr>
            <w:tcW w:w="278" w:type="pct"/>
            <w:tcBorders>
              <w:top w:val="nil"/>
              <w:left w:val="nil"/>
              <w:bottom w:val="single" w:color="auto" w:sz="4" w:space="0"/>
              <w:right w:val="single" w:color="auto" w:sz="4" w:space="0"/>
            </w:tcBorders>
            <w:shd w:val="clear" w:color="auto" w:fill="auto"/>
            <w:vAlign w:val="center"/>
          </w:tcPr>
          <w:p w14:paraId="119FA22B">
            <w:pPr>
              <w:spacing w:line="240" w:lineRule="auto"/>
              <w:ind w:firstLine="0" w:firstLineChars="0"/>
              <w:jc w:val="center"/>
              <w:rPr>
                <w:rFonts w:ascii="仿宋_GB2312" w:cs="Times New Roman"/>
                <w:sz w:val="18"/>
                <w:szCs w:val="18"/>
              </w:rPr>
            </w:pPr>
            <w:r>
              <w:rPr>
                <w:rFonts w:hint="eastAsia" w:ascii="仿宋_GB2312" w:cs="Times New Roman"/>
                <w:sz w:val="18"/>
                <w:szCs w:val="18"/>
              </w:rPr>
              <w:t>23.02</w:t>
            </w:r>
          </w:p>
        </w:tc>
      </w:tr>
      <w:tr w14:paraId="0DA4605C">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5A924FCD">
            <w:pPr>
              <w:spacing w:line="240" w:lineRule="auto"/>
              <w:ind w:firstLine="0" w:firstLineChars="0"/>
              <w:jc w:val="center"/>
              <w:rPr>
                <w:rFonts w:hint="eastAsia" w:ascii="仿宋_GB2312" w:hAnsi="宋体"/>
                <w:sz w:val="18"/>
                <w:szCs w:val="18"/>
              </w:rPr>
            </w:pPr>
            <w:r>
              <w:rPr>
                <w:rFonts w:hint="eastAsia" w:ascii="仿宋_GB2312" w:hAnsi="宋体"/>
                <w:sz w:val="18"/>
                <w:szCs w:val="18"/>
              </w:rPr>
              <w:t>九运街镇</w:t>
            </w:r>
          </w:p>
        </w:tc>
        <w:tc>
          <w:tcPr>
            <w:tcW w:w="394" w:type="pct"/>
            <w:tcBorders>
              <w:top w:val="nil"/>
              <w:left w:val="nil"/>
              <w:bottom w:val="single" w:color="auto" w:sz="4" w:space="0"/>
              <w:right w:val="single" w:color="auto" w:sz="4" w:space="0"/>
            </w:tcBorders>
            <w:shd w:val="clear" w:color="auto" w:fill="auto"/>
            <w:noWrap/>
            <w:vAlign w:val="center"/>
          </w:tcPr>
          <w:p w14:paraId="3A0C4A1C">
            <w:pPr>
              <w:spacing w:line="240" w:lineRule="auto"/>
              <w:ind w:firstLine="0" w:firstLineChars="0"/>
              <w:jc w:val="center"/>
              <w:rPr>
                <w:rFonts w:ascii="仿宋_GB2312" w:cs="Times New Roman"/>
                <w:sz w:val="18"/>
                <w:szCs w:val="18"/>
              </w:rPr>
            </w:pPr>
            <w:r>
              <w:rPr>
                <w:rFonts w:hint="eastAsia" w:ascii="仿宋_GB2312" w:cs="Times New Roman"/>
                <w:sz w:val="18"/>
                <w:szCs w:val="18"/>
              </w:rPr>
              <w:t>13545.44</w:t>
            </w:r>
          </w:p>
        </w:tc>
        <w:tc>
          <w:tcPr>
            <w:tcW w:w="314" w:type="pct"/>
            <w:tcBorders>
              <w:top w:val="nil"/>
              <w:left w:val="nil"/>
              <w:bottom w:val="single" w:color="auto" w:sz="4" w:space="0"/>
              <w:right w:val="single" w:color="auto" w:sz="4" w:space="0"/>
            </w:tcBorders>
            <w:shd w:val="clear" w:color="auto" w:fill="auto"/>
            <w:noWrap/>
            <w:vAlign w:val="center"/>
          </w:tcPr>
          <w:p w14:paraId="0483D776">
            <w:pPr>
              <w:spacing w:line="240" w:lineRule="auto"/>
              <w:ind w:firstLine="0" w:firstLineChars="0"/>
              <w:jc w:val="center"/>
              <w:rPr>
                <w:rFonts w:ascii="仿宋_GB2312" w:cs="Times New Roman"/>
                <w:sz w:val="18"/>
                <w:szCs w:val="18"/>
              </w:rPr>
            </w:pPr>
            <w:r>
              <w:rPr>
                <w:rFonts w:hint="eastAsia" w:ascii="仿宋_GB2312" w:cs="Times New Roman"/>
                <w:sz w:val="18"/>
                <w:szCs w:val="18"/>
              </w:rPr>
              <w:t>7529.84</w:t>
            </w:r>
          </w:p>
        </w:tc>
        <w:tc>
          <w:tcPr>
            <w:tcW w:w="305" w:type="pct"/>
            <w:tcBorders>
              <w:top w:val="nil"/>
              <w:left w:val="nil"/>
              <w:bottom w:val="single" w:color="auto" w:sz="4" w:space="0"/>
              <w:right w:val="single" w:color="auto" w:sz="4" w:space="0"/>
            </w:tcBorders>
            <w:shd w:val="clear" w:color="auto" w:fill="auto"/>
            <w:noWrap/>
            <w:vAlign w:val="center"/>
          </w:tcPr>
          <w:p w14:paraId="50ED81B0">
            <w:pPr>
              <w:spacing w:line="240" w:lineRule="auto"/>
              <w:ind w:firstLine="0" w:firstLineChars="0"/>
              <w:jc w:val="center"/>
              <w:rPr>
                <w:rFonts w:ascii="仿宋_GB2312" w:cs="Times New Roman"/>
                <w:sz w:val="18"/>
                <w:szCs w:val="18"/>
              </w:rPr>
            </w:pPr>
            <w:r>
              <w:rPr>
                <w:rFonts w:hint="eastAsia" w:ascii="仿宋_GB2312" w:cs="Times New Roman"/>
                <w:sz w:val="18"/>
                <w:szCs w:val="18"/>
              </w:rPr>
              <w:t>97.45</w:t>
            </w:r>
          </w:p>
        </w:tc>
        <w:tc>
          <w:tcPr>
            <w:tcW w:w="335" w:type="pct"/>
            <w:tcBorders>
              <w:top w:val="nil"/>
              <w:left w:val="nil"/>
              <w:bottom w:val="single" w:color="auto" w:sz="4" w:space="0"/>
              <w:right w:val="single" w:color="auto" w:sz="4" w:space="0"/>
            </w:tcBorders>
            <w:shd w:val="clear" w:color="auto" w:fill="auto"/>
            <w:noWrap/>
            <w:vAlign w:val="center"/>
          </w:tcPr>
          <w:p w14:paraId="42952324">
            <w:pPr>
              <w:spacing w:line="240" w:lineRule="auto"/>
              <w:ind w:firstLine="0" w:firstLineChars="0"/>
              <w:jc w:val="center"/>
              <w:rPr>
                <w:rFonts w:ascii="仿宋_GB2312" w:cs="Times New Roman"/>
                <w:sz w:val="18"/>
                <w:szCs w:val="18"/>
              </w:rPr>
            </w:pPr>
            <w:r>
              <w:rPr>
                <w:rFonts w:hint="eastAsia" w:ascii="仿宋_GB2312" w:cs="Times New Roman"/>
                <w:sz w:val="18"/>
                <w:szCs w:val="18"/>
              </w:rPr>
              <w:t>1975.1</w:t>
            </w:r>
          </w:p>
        </w:tc>
        <w:tc>
          <w:tcPr>
            <w:tcW w:w="335" w:type="pct"/>
            <w:tcBorders>
              <w:top w:val="nil"/>
              <w:left w:val="nil"/>
              <w:bottom w:val="single" w:color="auto" w:sz="4" w:space="0"/>
              <w:right w:val="single" w:color="auto" w:sz="4" w:space="0"/>
            </w:tcBorders>
            <w:shd w:val="clear" w:color="auto" w:fill="auto"/>
            <w:noWrap/>
            <w:vAlign w:val="center"/>
          </w:tcPr>
          <w:p w14:paraId="6E71ECA0">
            <w:pPr>
              <w:spacing w:line="240" w:lineRule="auto"/>
              <w:ind w:firstLine="0" w:firstLineChars="0"/>
              <w:jc w:val="center"/>
              <w:rPr>
                <w:rFonts w:ascii="仿宋_GB2312" w:cs="Times New Roman"/>
                <w:sz w:val="18"/>
                <w:szCs w:val="18"/>
              </w:rPr>
            </w:pPr>
            <w:r>
              <w:rPr>
                <w:rFonts w:hint="eastAsia" w:ascii="仿宋_GB2312" w:cs="Times New Roman"/>
                <w:sz w:val="18"/>
                <w:szCs w:val="18"/>
              </w:rPr>
              <w:t>1153.11</w:t>
            </w:r>
          </w:p>
        </w:tc>
        <w:tc>
          <w:tcPr>
            <w:tcW w:w="305" w:type="pct"/>
            <w:tcBorders>
              <w:top w:val="nil"/>
              <w:left w:val="nil"/>
              <w:bottom w:val="single" w:color="auto" w:sz="4" w:space="0"/>
              <w:right w:val="single" w:color="auto" w:sz="4" w:space="0"/>
            </w:tcBorders>
            <w:shd w:val="clear" w:color="auto" w:fill="auto"/>
            <w:noWrap/>
            <w:vAlign w:val="center"/>
          </w:tcPr>
          <w:p w14:paraId="238F9A15">
            <w:pPr>
              <w:spacing w:line="240" w:lineRule="auto"/>
              <w:ind w:firstLine="0" w:firstLineChars="0"/>
              <w:jc w:val="center"/>
              <w:rPr>
                <w:rFonts w:ascii="仿宋_GB2312" w:cs="Times New Roman"/>
                <w:sz w:val="18"/>
                <w:szCs w:val="18"/>
              </w:rPr>
            </w:pPr>
            <w:r>
              <w:rPr>
                <w:rFonts w:hint="eastAsia" w:ascii="仿宋_GB2312" w:cs="Times New Roman"/>
                <w:sz w:val="18"/>
                <w:szCs w:val="18"/>
              </w:rPr>
              <w:t>77.68</w:t>
            </w:r>
          </w:p>
        </w:tc>
        <w:tc>
          <w:tcPr>
            <w:tcW w:w="310" w:type="pct"/>
            <w:tcBorders>
              <w:top w:val="nil"/>
              <w:left w:val="nil"/>
              <w:bottom w:val="single" w:color="auto" w:sz="4" w:space="0"/>
              <w:right w:val="single" w:color="auto" w:sz="4" w:space="0"/>
            </w:tcBorders>
            <w:shd w:val="clear" w:color="auto" w:fill="auto"/>
            <w:noWrap/>
            <w:vAlign w:val="center"/>
          </w:tcPr>
          <w:p w14:paraId="5716D718">
            <w:pPr>
              <w:spacing w:line="240" w:lineRule="auto"/>
              <w:ind w:firstLine="0" w:firstLineChars="0"/>
              <w:jc w:val="center"/>
              <w:rPr>
                <w:rFonts w:ascii="仿宋_GB2312" w:cs="Times New Roman"/>
                <w:sz w:val="18"/>
                <w:szCs w:val="18"/>
              </w:rPr>
            </w:pPr>
            <w:r>
              <w:rPr>
                <w:rFonts w:hint="eastAsia" w:ascii="仿宋_GB2312" w:cs="Times New Roman"/>
                <w:sz w:val="18"/>
                <w:szCs w:val="18"/>
              </w:rPr>
              <w:t>486.19</w:t>
            </w:r>
          </w:p>
        </w:tc>
        <w:tc>
          <w:tcPr>
            <w:tcW w:w="310" w:type="pct"/>
            <w:tcBorders>
              <w:top w:val="nil"/>
              <w:left w:val="nil"/>
              <w:bottom w:val="single" w:color="auto" w:sz="4" w:space="0"/>
              <w:right w:val="single" w:color="auto" w:sz="4" w:space="0"/>
            </w:tcBorders>
            <w:shd w:val="clear" w:color="auto" w:fill="auto"/>
            <w:noWrap/>
            <w:vAlign w:val="center"/>
          </w:tcPr>
          <w:p w14:paraId="224687CA">
            <w:pPr>
              <w:spacing w:line="240" w:lineRule="auto"/>
              <w:ind w:firstLine="0" w:firstLineChars="0"/>
              <w:jc w:val="center"/>
              <w:rPr>
                <w:rFonts w:ascii="仿宋_GB2312" w:cs="Times New Roman"/>
                <w:sz w:val="18"/>
                <w:szCs w:val="18"/>
              </w:rPr>
            </w:pPr>
            <w:r>
              <w:rPr>
                <w:rFonts w:hint="eastAsia" w:ascii="仿宋_GB2312" w:cs="Times New Roman"/>
                <w:sz w:val="18"/>
                <w:szCs w:val="18"/>
              </w:rPr>
              <w:t>735.29</w:t>
            </w:r>
          </w:p>
        </w:tc>
        <w:tc>
          <w:tcPr>
            <w:tcW w:w="305" w:type="pct"/>
            <w:tcBorders>
              <w:top w:val="nil"/>
              <w:left w:val="nil"/>
              <w:bottom w:val="single" w:color="auto" w:sz="4" w:space="0"/>
              <w:right w:val="single" w:color="auto" w:sz="4" w:space="0"/>
            </w:tcBorders>
            <w:shd w:val="clear" w:color="auto" w:fill="auto"/>
            <w:noWrap/>
            <w:vAlign w:val="center"/>
          </w:tcPr>
          <w:p w14:paraId="06D42295">
            <w:pPr>
              <w:spacing w:line="240" w:lineRule="auto"/>
              <w:ind w:firstLine="0" w:firstLineChars="0"/>
              <w:jc w:val="center"/>
              <w:rPr>
                <w:rFonts w:ascii="仿宋_GB2312" w:cs="Times New Roman"/>
                <w:sz w:val="18"/>
                <w:szCs w:val="18"/>
              </w:rPr>
            </w:pPr>
            <w:r>
              <w:rPr>
                <w:rFonts w:hint="eastAsia" w:ascii="仿宋_GB2312" w:cs="Times New Roman"/>
                <w:sz w:val="18"/>
                <w:szCs w:val="18"/>
              </w:rPr>
              <w:t>53.46</w:t>
            </w:r>
          </w:p>
        </w:tc>
        <w:tc>
          <w:tcPr>
            <w:tcW w:w="310" w:type="pct"/>
            <w:tcBorders>
              <w:top w:val="nil"/>
              <w:left w:val="nil"/>
              <w:bottom w:val="single" w:color="auto" w:sz="4" w:space="0"/>
              <w:right w:val="single" w:color="auto" w:sz="4" w:space="0"/>
            </w:tcBorders>
            <w:shd w:val="clear" w:color="auto" w:fill="auto"/>
            <w:noWrap/>
            <w:vAlign w:val="center"/>
          </w:tcPr>
          <w:p w14:paraId="133F6B93">
            <w:pPr>
              <w:spacing w:line="240" w:lineRule="auto"/>
              <w:ind w:firstLine="0" w:firstLineChars="0"/>
              <w:jc w:val="center"/>
              <w:rPr>
                <w:rFonts w:ascii="仿宋_GB2312" w:cs="Times New Roman"/>
                <w:sz w:val="18"/>
                <w:szCs w:val="18"/>
              </w:rPr>
            </w:pPr>
            <w:r>
              <w:rPr>
                <w:rFonts w:hint="eastAsia" w:ascii="仿宋_GB2312" w:cs="Times New Roman"/>
                <w:sz w:val="18"/>
                <w:szCs w:val="18"/>
              </w:rPr>
              <w:t>26.42</w:t>
            </w:r>
          </w:p>
        </w:tc>
        <w:tc>
          <w:tcPr>
            <w:tcW w:w="310" w:type="pct"/>
            <w:tcBorders>
              <w:top w:val="nil"/>
              <w:left w:val="nil"/>
              <w:bottom w:val="single" w:color="auto" w:sz="4" w:space="0"/>
              <w:right w:val="single" w:color="auto" w:sz="4" w:space="0"/>
            </w:tcBorders>
            <w:shd w:val="clear" w:color="auto" w:fill="auto"/>
            <w:noWrap/>
            <w:vAlign w:val="center"/>
          </w:tcPr>
          <w:p w14:paraId="030E97C9">
            <w:pPr>
              <w:spacing w:line="240" w:lineRule="auto"/>
              <w:ind w:firstLine="0" w:firstLineChars="0"/>
              <w:jc w:val="center"/>
              <w:rPr>
                <w:rFonts w:ascii="仿宋_GB2312" w:cs="Times New Roman"/>
                <w:sz w:val="18"/>
                <w:szCs w:val="18"/>
              </w:rPr>
            </w:pPr>
            <w:r>
              <w:rPr>
                <w:rFonts w:hint="eastAsia" w:ascii="仿宋_GB2312" w:cs="Times New Roman"/>
                <w:sz w:val="18"/>
                <w:szCs w:val="18"/>
              </w:rPr>
              <w:t>533.95</w:t>
            </w:r>
          </w:p>
        </w:tc>
        <w:tc>
          <w:tcPr>
            <w:tcW w:w="314" w:type="pct"/>
            <w:tcBorders>
              <w:top w:val="nil"/>
              <w:left w:val="nil"/>
              <w:bottom w:val="single" w:color="auto" w:sz="4" w:space="0"/>
              <w:right w:val="single" w:color="auto" w:sz="4" w:space="0"/>
            </w:tcBorders>
            <w:shd w:val="clear" w:color="auto" w:fill="auto"/>
            <w:noWrap/>
            <w:vAlign w:val="center"/>
          </w:tcPr>
          <w:p w14:paraId="61E1A208">
            <w:pPr>
              <w:spacing w:line="240" w:lineRule="auto"/>
              <w:ind w:firstLine="0" w:firstLineChars="0"/>
              <w:jc w:val="center"/>
              <w:rPr>
                <w:rFonts w:ascii="仿宋_GB2312" w:cs="Times New Roman"/>
                <w:sz w:val="18"/>
                <w:szCs w:val="18"/>
              </w:rPr>
            </w:pPr>
            <w:r>
              <w:rPr>
                <w:rFonts w:hint="eastAsia" w:ascii="仿宋_GB2312" w:cs="Times New Roman"/>
                <w:sz w:val="18"/>
                <w:szCs w:val="18"/>
              </w:rPr>
              <w:t>599.17</w:t>
            </w:r>
          </w:p>
        </w:tc>
        <w:tc>
          <w:tcPr>
            <w:tcW w:w="314" w:type="pct"/>
            <w:tcBorders>
              <w:top w:val="nil"/>
              <w:left w:val="nil"/>
              <w:bottom w:val="single" w:color="auto" w:sz="4" w:space="0"/>
              <w:right w:val="single" w:color="auto" w:sz="4" w:space="0"/>
            </w:tcBorders>
            <w:shd w:val="clear" w:color="auto" w:fill="auto"/>
            <w:noWrap/>
            <w:vAlign w:val="center"/>
          </w:tcPr>
          <w:p w14:paraId="2811E699">
            <w:pPr>
              <w:spacing w:line="240" w:lineRule="auto"/>
              <w:ind w:firstLine="0" w:firstLineChars="0"/>
              <w:jc w:val="center"/>
              <w:rPr>
                <w:rFonts w:ascii="仿宋_GB2312" w:cs="Times New Roman"/>
                <w:sz w:val="18"/>
                <w:szCs w:val="18"/>
              </w:rPr>
            </w:pPr>
            <w:r>
              <w:rPr>
                <w:rFonts w:hint="eastAsia" w:ascii="仿宋_GB2312" w:cs="Times New Roman"/>
                <w:sz w:val="18"/>
                <w:szCs w:val="18"/>
              </w:rPr>
              <w:t>215.9</w:t>
            </w:r>
          </w:p>
        </w:tc>
        <w:tc>
          <w:tcPr>
            <w:tcW w:w="278" w:type="pct"/>
            <w:tcBorders>
              <w:top w:val="nil"/>
              <w:left w:val="nil"/>
              <w:bottom w:val="single" w:color="auto" w:sz="4" w:space="0"/>
              <w:right w:val="single" w:color="auto" w:sz="4" w:space="0"/>
            </w:tcBorders>
            <w:shd w:val="clear" w:color="auto" w:fill="auto"/>
            <w:vAlign w:val="center"/>
          </w:tcPr>
          <w:p w14:paraId="51C85652">
            <w:pPr>
              <w:spacing w:line="240" w:lineRule="auto"/>
              <w:ind w:firstLine="0" w:firstLineChars="0"/>
              <w:jc w:val="center"/>
              <w:rPr>
                <w:rFonts w:ascii="仿宋_GB2312" w:cs="Times New Roman"/>
                <w:sz w:val="18"/>
                <w:szCs w:val="18"/>
              </w:rPr>
            </w:pPr>
            <w:r>
              <w:rPr>
                <w:rFonts w:hint="eastAsia" w:ascii="仿宋_GB2312" w:cs="Times New Roman"/>
                <w:sz w:val="18"/>
                <w:szCs w:val="18"/>
              </w:rPr>
              <w:t>61.88</w:t>
            </w:r>
          </w:p>
        </w:tc>
      </w:tr>
      <w:tr w14:paraId="60CA4A59">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7611515B">
            <w:pPr>
              <w:spacing w:line="240" w:lineRule="auto"/>
              <w:ind w:firstLine="0" w:firstLineChars="0"/>
              <w:jc w:val="center"/>
              <w:rPr>
                <w:rFonts w:hint="eastAsia" w:ascii="仿宋_GB2312" w:hAnsi="宋体"/>
                <w:sz w:val="18"/>
                <w:szCs w:val="18"/>
              </w:rPr>
            </w:pPr>
            <w:r>
              <w:rPr>
                <w:rFonts w:hint="eastAsia" w:ascii="仿宋_GB2312" w:hAnsi="宋体"/>
                <w:sz w:val="18"/>
                <w:szCs w:val="18"/>
              </w:rPr>
              <w:t>滋泥泉子镇</w:t>
            </w:r>
          </w:p>
        </w:tc>
        <w:tc>
          <w:tcPr>
            <w:tcW w:w="394" w:type="pct"/>
            <w:tcBorders>
              <w:top w:val="nil"/>
              <w:left w:val="nil"/>
              <w:bottom w:val="single" w:color="auto" w:sz="4" w:space="0"/>
              <w:right w:val="single" w:color="auto" w:sz="4" w:space="0"/>
            </w:tcBorders>
            <w:shd w:val="clear" w:color="auto" w:fill="auto"/>
            <w:noWrap/>
            <w:vAlign w:val="center"/>
          </w:tcPr>
          <w:p w14:paraId="116B0925">
            <w:pPr>
              <w:spacing w:line="240" w:lineRule="auto"/>
              <w:ind w:firstLine="0" w:firstLineChars="0"/>
              <w:jc w:val="center"/>
              <w:rPr>
                <w:rFonts w:ascii="仿宋_GB2312" w:cs="Times New Roman"/>
                <w:sz w:val="18"/>
                <w:szCs w:val="18"/>
              </w:rPr>
            </w:pPr>
            <w:r>
              <w:rPr>
                <w:rFonts w:hint="eastAsia" w:ascii="仿宋_GB2312" w:cs="Times New Roman"/>
                <w:sz w:val="18"/>
                <w:szCs w:val="18"/>
              </w:rPr>
              <w:t>36165.14</w:t>
            </w:r>
          </w:p>
        </w:tc>
        <w:tc>
          <w:tcPr>
            <w:tcW w:w="314" w:type="pct"/>
            <w:tcBorders>
              <w:top w:val="nil"/>
              <w:left w:val="nil"/>
              <w:bottom w:val="single" w:color="auto" w:sz="4" w:space="0"/>
              <w:right w:val="single" w:color="auto" w:sz="4" w:space="0"/>
            </w:tcBorders>
            <w:shd w:val="clear" w:color="auto" w:fill="auto"/>
            <w:noWrap/>
            <w:vAlign w:val="center"/>
          </w:tcPr>
          <w:p w14:paraId="524A984C">
            <w:pPr>
              <w:spacing w:line="240" w:lineRule="auto"/>
              <w:ind w:firstLine="0" w:firstLineChars="0"/>
              <w:jc w:val="center"/>
              <w:rPr>
                <w:rFonts w:ascii="仿宋_GB2312" w:cs="Times New Roman"/>
                <w:sz w:val="18"/>
                <w:szCs w:val="18"/>
              </w:rPr>
            </w:pPr>
            <w:r>
              <w:rPr>
                <w:rFonts w:hint="eastAsia" w:ascii="仿宋_GB2312" w:cs="Times New Roman"/>
                <w:sz w:val="18"/>
                <w:szCs w:val="18"/>
              </w:rPr>
              <w:t>16405.34</w:t>
            </w:r>
          </w:p>
        </w:tc>
        <w:tc>
          <w:tcPr>
            <w:tcW w:w="305" w:type="pct"/>
            <w:tcBorders>
              <w:top w:val="nil"/>
              <w:left w:val="nil"/>
              <w:bottom w:val="single" w:color="auto" w:sz="4" w:space="0"/>
              <w:right w:val="single" w:color="auto" w:sz="4" w:space="0"/>
            </w:tcBorders>
            <w:shd w:val="clear" w:color="auto" w:fill="auto"/>
            <w:noWrap/>
            <w:vAlign w:val="center"/>
          </w:tcPr>
          <w:p w14:paraId="12C17CDF">
            <w:pPr>
              <w:spacing w:line="240" w:lineRule="auto"/>
              <w:ind w:firstLine="0" w:firstLineChars="0"/>
              <w:jc w:val="center"/>
              <w:rPr>
                <w:rFonts w:ascii="仿宋_GB2312" w:cs="Times New Roman"/>
                <w:sz w:val="18"/>
                <w:szCs w:val="18"/>
              </w:rPr>
            </w:pPr>
            <w:r>
              <w:rPr>
                <w:rFonts w:hint="eastAsia" w:ascii="仿宋_GB2312" w:cs="Times New Roman"/>
                <w:sz w:val="18"/>
                <w:szCs w:val="18"/>
              </w:rPr>
              <w:t>42.73</w:t>
            </w:r>
          </w:p>
        </w:tc>
        <w:tc>
          <w:tcPr>
            <w:tcW w:w="335" w:type="pct"/>
            <w:tcBorders>
              <w:top w:val="nil"/>
              <w:left w:val="nil"/>
              <w:bottom w:val="single" w:color="auto" w:sz="4" w:space="0"/>
              <w:right w:val="single" w:color="auto" w:sz="4" w:space="0"/>
            </w:tcBorders>
            <w:shd w:val="clear" w:color="auto" w:fill="auto"/>
            <w:noWrap/>
            <w:vAlign w:val="center"/>
          </w:tcPr>
          <w:p w14:paraId="23E021A6">
            <w:pPr>
              <w:spacing w:line="240" w:lineRule="auto"/>
              <w:ind w:firstLine="0" w:firstLineChars="0"/>
              <w:jc w:val="center"/>
              <w:rPr>
                <w:rFonts w:ascii="仿宋_GB2312" w:cs="Times New Roman"/>
                <w:sz w:val="18"/>
                <w:szCs w:val="18"/>
              </w:rPr>
            </w:pPr>
            <w:r>
              <w:rPr>
                <w:rFonts w:hint="eastAsia" w:ascii="仿宋_GB2312" w:cs="Times New Roman"/>
                <w:sz w:val="18"/>
                <w:szCs w:val="18"/>
              </w:rPr>
              <w:t>10497</w:t>
            </w:r>
          </w:p>
        </w:tc>
        <w:tc>
          <w:tcPr>
            <w:tcW w:w="335" w:type="pct"/>
            <w:tcBorders>
              <w:top w:val="nil"/>
              <w:left w:val="nil"/>
              <w:bottom w:val="single" w:color="auto" w:sz="4" w:space="0"/>
              <w:right w:val="single" w:color="auto" w:sz="4" w:space="0"/>
            </w:tcBorders>
            <w:shd w:val="clear" w:color="auto" w:fill="auto"/>
            <w:noWrap/>
            <w:vAlign w:val="center"/>
          </w:tcPr>
          <w:p w14:paraId="68779E57">
            <w:pPr>
              <w:spacing w:line="240" w:lineRule="auto"/>
              <w:ind w:firstLine="0" w:firstLineChars="0"/>
              <w:jc w:val="center"/>
              <w:rPr>
                <w:rFonts w:ascii="仿宋_GB2312" w:cs="Times New Roman"/>
                <w:sz w:val="18"/>
                <w:szCs w:val="18"/>
              </w:rPr>
            </w:pPr>
            <w:r>
              <w:rPr>
                <w:rFonts w:hint="eastAsia" w:ascii="仿宋_GB2312" w:cs="Times New Roman"/>
                <w:sz w:val="18"/>
                <w:szCs w:val="18"/>
              </w:rPr>
              <w:t>5298.86</w:t>
            </w:r>
          </w:p>
        </w:tc>
        <w:tc>
          <w:tcPr>
            <w:tcW w:w="305" w:type="pct"/>
            <w:tcBorders>
              <w:top w:val="nil"/>
              <w:left w:val="nil"/>
              <w:bottom w:val="single" w:color="auto" w:sz="4" w:space="0"/>
              <w:right w:val="single" w:color="auto" w:sz="4" w:space="0"/>
            </w:tcBorders>
            <w:shd w:val="clear" w:color="auto" w:fill="auto"/>
            <w:noWrap/>
            <w:vAlign w:val="center"/>
          </w:tcPr>
          <w:p w14:paraId="500262EB">
            <w:pPr>
              <w:spacing w:line="240" w:lineRule="auto"/>
              <w:ind w:firstLine="0" w:firstLineChars="0"/>
              <w:jc w:val="center"/>
              <w:rPr>
                <w:rFonts w:ascii="仿宋_GB2312" w:cs="Times New Roman"/>
                <w:sz w:val="18"/>
                <w:szCs w:val="18"/>
              </w:rPr>
            </w:pPr>
            <w:r>
              <w:rPr>
                <w:rFonts w:hint="eastAsia" w:ascii="仿宋_GB2312" w:cs="Times New Roman"/>
                <w:sz w:val="18"/>
                <w:szCs w:val="18"/>
              </w:rPr>
              <w:t>32.96</w:t>
            </w:r>
          </w:p>
        </w:tc>
        <w:tc>
          <w:tcPr>
            <w:tcW w:w="310" w:type="pct"/>
            <w:tcBorders>
              <w:top w:val="nil"/>
              <w:left w:val="nil"/>
              <w:bottom w:val="single" w:color="auto" w:sz="4" w:space="0"/>
              <w:right w:val="single" w:color="auto" w:sz="4" w:space="0"/>
            </w:tcBorders>
            <w:shd w:val="clear" w:color="auto" w:fill="auto"/>
            <w:noWrap/>
            <w:vAlign w:val="center"/>
          </w:tcPr>
          <w:p w14:paraId="0699C01E">
            <w:pPr>
              <w:spacing w:line="240" w:lineRule="auto"/>
              <w:ind w:firstLine="0" w:firstLineChars="0"/>
              <w:jc w:val="center"/>
              <w:rPr>
                <w:rFonts w:ascii="仿宋_GB2312" w:cs="Times New Roman"/>
                <w:sz w:val="18"/>
                <w:szCs w:val="18"/>
              </w:rPr>
            </w:pPr>
            <w:r>
              <w:rPr>
                <w:rFonts w:hint="eastAsia" w:ascii="仿宋_GB2312" w:cs="Times New Roman"/>
                <w:sz w:val="18"/>
                <w:szCs w:val="18"/>
              </w:rPr>
              <w:t>182.75</w:t>
            </w:r>
          </w:p>
        </w:tc>
        <w:tc>
          <w:tcPr>
            <w:tcW w:w="310" w:type="pct"/>
            <w:tcBorders>
              <w:top w:val="nil"/>
              <w:left w:val="nil"/>
              <w:bottom w:val="single" w:color="auto" w:sz="4" w:space="0"/>
              <w:right w:val="single" w:color="auto" w:sz="4" w:space="0"/>
            </w:tcBorders>
            <w:shd w:val="clear" w:color="auto" w:fill="auto"/>
            <w:noWrap/>
            <w:vAlign w:val="center"/>
          </w:tcPr>
          <w:p w14:paraId="536C0435">
            <w:pPr>
              <w:spacing w:line="240" w:lineRule="auto"/>
              <w:ind w:firstLine="0" w:firstLineChars="0"/>
              <w:jc w:val="center"/>
              <w:rPr>
                <w:rFonts w:ascii="仿宋_GB2312" w:cs="Times New Roman"/>
                <w:sz w:val="18"/>
                <w:szCs w:val="18"/>
              </w:rPr>
            </w:pPr>
            <w:r>
              <w:rPr>
                <w:rFonts w:hint="eastAsia" w:ascii="仿宋_GB2312" w:cs="Times New Roman"/>
                <w:sz w:val="18"/>
                <w:szCs w:val="18"/>
              </w:rPr>
              <w:t>909.73</w:t>
            </w:r>
          </w:p>
        </w:tc>
        <w:tc>
          <w:tcPr>
            <w:tcW w:w="305" w:type="pct"/>
            <w:tcBorders>
              <w:top w:val="nil"/>
              <w:left w:val="nil"/>
              <w:bottom w:val="single" w:color="auto" w:sz="4" w:space="0"/>
              <w:right w:val="single" w:color="auto" w:sz="4" w:space="0"/>
            </w:tcBorders>
            <w:shd w:val="clear" w:color="auto" w:fill="auto"/>
            <w:noWrap/>
            <w:vAlign w:val="center"/>
          </w:tcPr>
          <w:p w14:paraId="71EA3FC4">
            <w:pPr>
              <w:spacing w:line="240" w:lineRule="auto"/>
              <w:ind w:firstLine="0" w:firstLineChars="0"/>
              <w:jc w:val="center"/>
              <w:rPr>
                <w:rFonts w:ascii="仿宋_GB2312" w:cs="Times New Roman"/>
                <w:sz w:val="18"/>
                <w:szCs w:val="18"/>
              </w:rPr>
            </w:pPr>
            <w:r>
              <w:rPr>
                <w:rFonts w:hint="eastAsia" w:ascii="仿宋_GB2312" w:cs="Times New Roman"/>
                <w:sz w:val="18"/>
                <w:szCs w:val="18"/>
              </w:rPr>
              <w:t>52.37</w:t>
            </w:r>
          </w:p>
        </w:tc>
        <w:tc>
          <w:tcPr>
            <w:tcW w:w="310" w:type="pct"/>
            <w:tcBorders>
              <w:top w:val="nil"/>
              <w:left w:val="nil"/>
              <w:bottom w:val="single" w:color="auto" w:sz="4" w:space="0"/>
              <w:right w:val="single" w:color="auto" w:sz="4" w:space="0"/>
            </w:tcBorders>
            <w:shd w:val="clear" w:color="auto" w:fill="auto"/>
            <w:noWrap/>
            <w:vAlign w:val="center"/>
          </w:tcPr>
          <w:p w14:paraId="429D2C3A">
            <w:pPr>
              <w:spacing w:line="240" w:lineRule="auto"/>
              <w:ind w:firstLine="0" w:firstLineChars="0"/>
              <w:jc w:val="center"/>
              <w:rPr>
                <w:rFonts w:ascii="仿宋_GB2312" w:cs="Times New Roman"/>
                <w:sz w:val="18"/>
                <w:szCs w:val="18"/>
              </w:rPr>
            </w:pPr>
            <w:r>
              <w:rPr>
                <w:rFonts w:hint="eastAsia" w:ascii="仿宋_GB2312" w:cs="Times New Roman"/>
                <w:sz w:val="18"/>
                <w:szCs w:val="18"/>
              </w:rPr>
              <w:t>224.97</w:t>
            </w:r>
          </w:p>
        </w:tc>
        <w:tc>
          <w:tcPr>
            <w:tcW w:w="310" w:type="pct"/>
            <w:tcBorders>
              <w:top w:val="nil"/>
              <w:left w:val="nil"/>
              <w:bottom w:val="single" w:color="auto" w:sz="4" w:space="0"/>
              <w:right w:val="single" w:color="auto" w:sz="4" w:space="0"/>
            </w:tcBorders>
            <w:shd w:val="clear" w:color="auto" w:fill="auto"/>
            <w:noWrap/>
            <w:vAlign w:val="center"/>
          </w:tcPr>
          <w:p w14:paraId="22B687D0">
            <w:pPr>
              <w:spacing w:line="240" w:lineRule="auto"/>
              <w:ind w:firstLine="0" w:firstLineChars="0"/>
              <w:jc w:val="center"/>
              <w:rPr>
                <w:rFonts w:ascii="仿宋_GB2312" w:cs="Times New Roman"/>
                <w:sz w:val="18"/>
                <w:szCs w:val="18"/>
              </w:rPr>
            </w:pPr>
            <w:r>
              <w:rPr>
                <w:rFonts w:hint="eastAsia" w:ascii="仿宋_GB2312" w:cs="Times New Roman"/>
                <w:sz w:val="18"/>
                <w:szCs w:val="18"/>
              </w:rPr>
              <w:t>855.33</w:t>
            </w:r>
          </w:p>
        </w:tc>
        <w:tc>
          <w:tcPr>
            <w:tcW w:w="314" w:type="pct"/>
            <w:tcBorders>
              <w:top w:val="nil"/>
              <w:left w:val="nil"/>
              <w:bottom w:val="single" w:color="auto" w:sz="4" w:space="0"/>
              <w:right w:val="single" w:color="auto" w:sz="4" w:space="0"/>
            </w:tcBorders>
            <w:shd w:val="clear" w:color="auto" w:fill="auto"/>
            <w:noWrap/>
            <w:vAlign w:val="center"/>
          </w:tcPr>
          <w:p w14:paraId="4F84E8C4">
            <w:pPr>
              <w:spacing w:line="240" w:lineRule="auto"/>
              <w:ind w:firstLine="0" w:firstLineChars="0"/>
              <w:jc w:val="center"/>
              <w:rPr>
                <w:rFonts w:ascii="仿宋_GB2312" w:cs="Times New Roman"/>
                <w:sz w:val="18"/>
                <w:szCs w:val="18"/>
              </w:rPr>
            </w:pPr>
            <w:r>
              <w:rPr>
                <w:rFonts w:hint="eastAsia" w:ascii="仿宋_GB2312" w:cs="Times New Roman"/>
                <w:sz w:val="18"/>
                <w:szCs w:val="18"/>
              </w:rPr>
              <w:t>924.34</w:t>
            </w:r>
          </w:p>
        </w:tc>
        <w:tc>
          <w:tcPr>
            <w:tcW w:w="314" w:type="pct"/>
            <w:tcBorders>
              <w:top w:val="nil"/>
              <w:left w:val="nil"/>
              <w:bottom w:val="single" w:color="auto" w:sz="4" w:space="0"/>
              <w:right w:val="single" w:color="auto" w:sz="4" w:space="0"/>
            </w:tcBorders>
            <w:shd w:val="clear" w:color="auto" w:fill="auto"/>
            <w:noWrap/>
            <w:vAlign w:val="center"/>
          </w:tcPr>
          <w:p w14:paraId="38E27581">
            <w:pPr>
              <w:spacing w:line="240" w:lineRule="auto"/>
              <w:ind w:firstLine="0" w:firstLineChars="0"/>
              <w:jc w:val="center"/>
              <w:rPr>
                <w:rFonts w:ascii="仿宋_GB2312" w:cs="Times New Roman"/>
                <w:sz w:val="18"/>
                <w:szCs w:val="18"/>
              </w:rPr>
            </w:pPr>
            <w:r>
              <w:rPr>
                <w:rFonts w:hint="eastAsia" w:ascii="仿宋_GB2312" w:cs="Times New Roman"/>
                <w:sz w:val="18"/>
                <w:szCs w:val="18"/>
              </w:rPr>
              <w:t>566.61</w:t>
            </w:r>
          </w:p>
        </w:tc>
        <w:tc>
          <w:tcPr>
            <w:tcW w:w="278" w:type="pct"/>
            <w:tcBorders>
              <w:top w:val="nil"/>
              <w:left w:val="nil"/>
              <w:bottom w:val="single" w:color="auto" w:sz="4" w:space="0"/>
              <w:right w:val="single" w:color="auto" w:sz="4" w:space="0"/>
            </w:tcBorders>
            <w:shd w:val="clear" w:color="auto" w:fill="auto"/>
            <w:vAlign w:val="center"/>
          </w:tcPr>
          <w:p w14:paraId="62C2A895">
            <w:pPr>
              <w:spacing w:line="240" w:lineRule="auto"/>
              <w:ind w:firstLine="0" w:firstLineChars="0"/>
              <w:jc w:val="center"/>
              <w:rPr>
                <w:rFonts w:ascii="仿宋_GB2312" w:cs="Times New Roman"/>
                <w:sz w:val="18"/>
                <w:szCs w:val="18"/>
              </w:rPr>
            </w:pPr>
            <w:r>
              <w:rPr>
                <w:rFonts w:hint="eastAsia" w:ascii="仿宋_GB2312" w:cs="Times New Roman"/>
                <w:sz w:val="18"/>
                <w:szCs w:val="18"/>
              </w:rPr>
              <w:t>172.15</w:t>
            </w:r>
          </w:p>
        </w:tc>
      </w:tr>
      <w:tr w14:paraId="6618D9F9">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4B931997">
            <w:pPr>
              <w:spacing w:line="240" w:lineRule="auto"/>
              <w:ind w:firstLine="0" w:firstLineChars="0"/>
              <w:jc w:val="center"/>
              <w:rPr>
                <w:rFonts w:hint="eastAsia" w:ascii="仿宋_GB2312" w:hAnsi="宋体"/>
                <w:sz w:val="18"/>
                <w:szCs w:val="18"/>
              </w:rPr>
            </w:pPr>
            <w:r>
              <w:rPr>
                <w:rFonts w:hint="eastAsia" w:ascii="仿宋_GB2312" w:hAnsi="宋体"/>
                <w:sz w:val="18"/>
                <w:szCs w:val="18"/>
              </w:rPr>
              <w:t>三工河哈萨克民族乡</w:t>
            </w:r>
          </w:p>
        </w:tc>
        <w:tc>
          <w:tcPr>
            <w:tcW w:w="394" w:type="pct"/>
            <w:tcBorders>
              <w:top w:val="nil"/>
              <w:left w:val="nil"/>
              <w:bottom w:val="single" w:color="auto" w:sz="4" w:space="0"/>
              <w:right w:val="single" w:color="auto" w:sz="4" w:space="0"/>
            </w:tcBorders>
            <w:shd w:val="clear" w:color="auto" w:fill="auto"/>
            <w:noWrap/>
            <w:vAlign w:val="center"/>
          </w:tcPr>
          <w:p w14:paraId="654986DA">
            <w:pPr>
              <w:spacing w:line="240" w:lineRule="auto"/>
              <w:ind w:firstLine="0" w:firstLineChars="0"/>
              <w:jc w:val="center"/>
              <w:rPr>
                <w:rFonts w:ascii="仿宋_GB2312" w:cs="Times New Roman"/>
                <w:sz w:val="18"/>
                <w:szCs w:val="18"/>
              </w:rPr>
            </w:pPr>
            <w:r>
              <w:rPr>
                <w:rFonts w:hint="eastAsia" w:ascii="仿宋_GB2312" w:cs="Times New Roman"/>
                <w:sz w:val="18"/>
                <w:szCs w:val="18"/>
              </w:rPr>
              <w:t>65706.14</w:t>
            </w:r>
          </w:p>
        </w:tc>
        <w:tc>
          <w:tcPr>
            <w:tcW w:w="314" w:type="pct"/>
            <w:tcBorders>
              <w:top w:val="nil"/>
              <w:left w:val="nil"/>
              <w:bottom w:val="single" w:color="auto" w:sz="4" w:space="0"/>
              <w:right w:val="single" w:color="auto" w:sz="4" w:space="0"/>
            </w:tcBorders>
            <w:shd w:val="clear" w:color="auto" w:fill="auto"/>
            <w:noWrap/>
            <w:vAlign w:val="center"/>
          </w:tcPr>
          <w:p w14:paraId="50C74098">
            <w:pPr>
              <w:spacing w:line="240" w:lineRule="auto"/>
              <w:ind w:firstLine="0" w:firstLineChars="0"/>
              <w:jc w:val="center"/>
              <w:rPr>
                <w:rFonts w:ascii="仿宋_GB2312" w:cs="Times New Roman"/>
                <w:sz w:val="18"/>
                <w:szCs w:val="18"/>
              </w:rPr>
            </w:pPr>
            <w:r>
              <w:rPr>
                <w:rFonts w:hint="eastAsia" w:ascii="仿宋_GB2312" w:cs="Times New Roman"/>
                <w:sz w:val="18"/>
                <w:szCs w:val="18"/>
              </w:rPr>
              <w:t>6822.85</w:t>
            </w:r>
          </w:p>
        </w:tc>
        <w:tc>
          <w:tcPr>
            <w:tcW w:w="305" w:type="pct"/>
            <w:tcBorders>
              <w:top w:val="nil"/>
              <w:left w:val="nil"/>
              <w:bottom w:val="single" w:color="auto" w:sz="4" w:space="0"/>
              <w:right w:val="single" w:color="auto" w:sz="4" w:space="0"/>
            </w:tcBorders>
            <w:shd w:val="clear" w:color="auto" w:fill="auto"/>
            <w:noWrap/>
            <w:vAlign w:val="center"/>
          </w:tcPr>
          <w:p w14:paraId="0705FA8A">
            <w:pPr>
              <w:spacing w:line="240" w:lineRule="auto"/>
              <w:ind w:firstLine="0" w:firstLineChars="0"/>
              <w:jc w:val="center"/>
              <w:rPr>
                <w:rFonts w:ascii="仿宋_GB2312" w:cs="Times New Roman"/>
                <w:sz w:val="18"/>
                <w:szCs w:val="18"/>
              </w:rPr>
            </w:pPr>
            <w:r>
              <w:rPr>
                <w:rFonts w:hint="eastAsia" w:ascii="仿宋_GB2312" w:cs="Times New Roman"/>
                <w:sz w:val="18"/>
                <w:szCs w:val="18"/>
              </w:rPr>
              <w:t>235.23</w:t>
            </w:r>
          </w:p>
        </w:tc>
        <w:tc>
          <w:tcPr>
            <w:tcW w:w="335" w:type="pct"/>
            <w:tcBorders>
              <w:top w:val="nil"/>
              <w:left w:val="nil"/>
              <w:bottom w:val="single" w:color="auto" w:sz="4" w:space="0"/>
              <w:right w:val="single" w:color="auto" w:sz="4" w:space="0"/>
            </w:tcBorders>
            <w:shd w:val="clear" w:color="auto" w:fill="auto"/>
            <w:noWrap/>
            <w:vAlign w:val="center"/>
          </w:tcPr>
          <w:p w14:paraId="0B692227">
            <w:pPr>
              <w:spacing w:line="240" w:lineRule="auto"/>
              <w:ind w:firstLine="0" w:firstLineChars="0"/>
              <w:jc w:val="center"/>
              <w:rPr>
                <w:rFonts w:ascii="仿宋_GB2312" w:cs="Times New Roman"/>
                <w:sz w:val="18"/>
                <w:szCs w:val="18"/>
              </w:rPr>
            </w:pPr>
            <w:r>
              <w:rPr>
                <w:rFonts w:hint="eastAsia" w:ascii="仿宋_GB2312" w:cs="Times New Roman"/>
                <w:sz w:val="18"/>
                <w:szCs w:val="18"/>
              </w:rPr>
              <w:t>11914.35</w:t>
            </w:r>
          </w:p>
        </w:tc>
        <w:tc>
          <w:tcPr>
            <w:tcW w:w="335" w:type="pct"/>
            <w:tcBorders>
              <w:top w:val="nil"/>
              <w:left w:val="nil"/>
              <w:bottom w:val="single" w:color="auto" w:sz="4" w:space="0"/>
              <w:right w:val="single" w:color="auto" w:sz="4" w:space="0"/>
            </w:tcBorders>
            <w:shd w:val="clear" w:color="auto" w:fill="auto"/>
            <w:noWrap/>
            <w:vAlign w:val="center"/>
          </w:tcPr>
          <w:p w14:paraId="5B4FF77A">
            <w:pPr>
              <w:spacing w:line="240" w:lineRule="auto"/>
              <w:ind w:firstLine="0" w:firstLineChars="0"/>
              <w:jc w:val="center"/>
              <w:rPr>
                <w:rFonts w:ascii="仿宋_GB2312" w:cs="Times New Roman"/>
                <w:sz w:val="18"/>
                <w:szCs w:val="18"/>
              </w:rPr>
            </w:pPr>
            <w:r>
              <w:rPr>
                <w:rFonts w:hint="eastAsia" w:ascii="仿宋_GB2312" w:cs="Times New Roman"/>
                <w:sz w:val="18"/>
                <w:szCs w:val="18"/>
              </w:rPr>
              <w:t>35093.66</w:t>
            </w:r>
          </w:p>
        </w:tc>
        <w:tc>
          <w:tcPr>
            <w:tcW w:w="305" w:type="pct"/>
            <w:tcBorders>
              <w:top w:val="nil"/>
              <w:left w:val="nil"/>
              <w:bottom w:val="single" w:color="auto" w:sz="4" w:space="0"/>
              <w:right w:val="single" w:color="auto" w:sz="4" w:space="0"/>
            </w:tcBorders>
            <w:shd w:val="clear" w:color="auto" w:fill="auto"/>
            <w:noWrap/>
            <w:vAlign w:val="center"/>
          </w:tcPr>
          <w:p w14:paraId="25D5DDD6">
            <w:pPr>
              <w:spacing w:line="240" w:lineRule="auto"/>
              <w:ind w:firstLine="0" w:firstLineChars="0"/>
              <w:jc w:val="center"/>
              <w:rPr>
                <w:rFonts w:ascii="仿宋_GB2312" w:cs="Times New Roman"/>
                <w:sz w:val="18"/>
                <w:szCs w:val="18"/>
              </w:rPr>
            </w:pPr>
            <w:r>
              <w:rPr>
                <w:rFonts w:hint="eastAsia" w:ascii="仿宋_GB2312" w:cs="Times New Roman"/>
                <w:sz w:val="18"/>
                <w:szCs w:val="18"/>
              </w:rPr>
              <w:t>101.48</w:t>
            </w:r>
          </w:p>
        </w:tc>
        <w:tc>
          <w:tcPr>
            <w:tcW w:w="310" w:type="pct"/>
            <w:tcBorders>
              <w:top w:val="nil"/>
              <w:left w:val="nil"/>
              <w:bottom w:val="single" w:color="auto" w:sz="4" w:space="0"/>
              <w:right w:val="single" w:color="auto" w:sz="4" w:space="0"/>
            </w:tcBorders>
            <w:shd w:val="clear" w:color="auto" w:fill="auto"/>
            <w:noWrap/>
            <w:vAlign w:val="center"/>
          </w:tcPr>
          <w:p w14:paraId="18AC1E68">
            <w:pPr>
              <w:spacing w:line="240" w:lineRule="auto"/>
              <w:ind w:firstLine="0" w:firstLineChars="0"/>
              <w:jc w:val="center"/>
              <w:rPr>
                <w:rFonts w:ascii="仿宋_GB2312" w:cs="Times New Roman"/>
                <w:sz w:val="18"/>
                <w:szCs w:val="18"/>
              </w:rPr>
            </w:pPr>
            <w:r>
              <w:rPr>
                <w:rFonts w:hint="eastAsia" w:ascii="仿宋_GB2312" w:cs="Times New Roman"/>
                <w:sz w:val="18"/>
                <w:szCs w:val="18"/>
              </w:rPr>
              <w:t>398.72</w:t>
            </w:r>
          </w:p>
        </w:tc>
        <w:tc>
          <w:tcPr>
            <w:tcW w:w="310" w:type="pct"/>
            <w:tcBorders>
              <w:top w:val="nil"/>
              <w:left w:val="nil"/>
              <w:bottom w:val="single" w:color="auto" w:sz="4" w:space="0"/>
              <w:right w:val="single" w:color="auto" w:sz="4" w:space="0"/>
            </w:tcBorders>
            <w:shd w:val="clear" w:color="auto" w:fill="auto"/>
            <w:noWrap/>
            <w:vAlign w:val="center"/>
          </w:tcPr>
          <w:p w14:paraId="1E173015">
            <w:pPr>
              <w:spacing w:line="240" w:lineRule="auto"/>
              <w:ind w:firstLine="0" w:firstLineChars="0"/>
              <w:jc w:val="center"/>
              <w:rPr>
                <w:rFonts w:ascii="仿宋_GB2312" w:cs="Times New Roman"/>
                <w:sz w:val="18"/>
                <w:szCs w:val="18"/>
              </w:rPr>
            </w:pPr>
            <w:r>
              <w:rPr>
                <w:rFonts w:hint="eastAsia" w:ascii="仿宋_GB2312" w:cs="Times New Roman"/>
                <w:sz w:val="18"/>
                <w:szCs w:val="18"/>
              </w:rPr>
              <w:t>254.26</w:t>
            </w:r>
          </w:p>
        </w:tc>
        <w:tc>
          <w:tcPr>
            <w:tcW w:w="305" w:type="pct"/>
            <w:tcBorders>
              <w:top w:val="nil"/>
              <w:left w:val="nil"/>
              <w:bottom w:val="single" w:color="auto" w:sz="4" w:space="0"/>
              <w:right w:val="single" w:color="auto" w:sz="4" w:space="0"/>
            </w:tcBorders>
            <w:shd w:val="clear" w:color="auto" w:fill="auto"/>
            <w:noWrap/>
            <w:vAlign w:val="center"/>
          </w:tcPr>
          <w:p w14:paraId="7A9C6739">
            <w:pPr>
              <w:spacing w:line="240" w:lineRule="auto"/>
              <w:ind w:firstLine="0" w:firstLineChars="0"/>
              <w:jc w:val="center"/>
              <w:rPr>
                <w:rFonts w:ascii="仿宋_GB2312" w:cs="Times New Roman"/>
                <w:sz w:val="18"/>
                <w:szCs w:val="18"/>
              </w:rPr>
            </w:pPr>
            <w:r>
              <w:rPr>
                <w:rFonts w:hint="eastAsia" w:ascii="仿宋_GB2312" w:cs="Times New Roman"/>
                <w:sz w:val="18"/>
                <w:szCs w:val="18"/>
              </w:rPr>
              <w:t>73.36</w:t>
            </w:r>
          </w:p>
        </w:tc>
        <w:tc>
          <w:tcPr>
            <w:tcW w:w="310" w:type="pct"/>
            <w:tcBorders>
              <w:top w:val="nil"/>
              <w:left w:val="nil"/>
              <w:bottom w:val="single" w:color="auto" w:sz="4" w:space="0"/>
              <w:right w:val="single" w:color="auto" w:sz="4" w:space="0"/>
            </w:tcBorders>
            <w:shd w:val="clear" w:color="auto" w:fill="auto"/>
            <w:noWrap/>
            <w:vAlign w:val="center"/>
          </w:tcPr>
          <w:p w14:paraId="5D30EE7D">
            <w:pPr>
              <w:spacing w:line="240" w:lineRule="auto"/>
              <w:ind w:firstLine="0" w:firstLineChars="0"/>
              <w:jc w:val="center"/>
              <w:rPr>
                <w:rFonts w:ascii="仿宋_GB2312" w:cs="Times New Roman"/>
                <w:sz w:val="18"/>
                <w:szCs w:val="18"/>
              </w:rPr>
            </w:pPr>
            <w:r>
              <w:rPr>
                <w:rFonts w:hint="eastAsia" w:ascii="仿宋_GB2312" w:cs="Times New Roman"/>
                <w:sz w:val="18"/>
                <w:szCs w:val="18"/>
              </w:rPr>
              <w:t>351.21</w:t>
            </w:r>
          </w:p>
        </w:tc>
        <w:tc>
          <w:tcPr>
            <w:tcW w:w="310" w:type="pct"/>
            <w:tcBorders>
              <w:top w:val="nil"/>
              <w:left w:val="nil"/>
              <w:bottom w:val="single" w:color="auto" w:sz="4" w:space="0"/>
              <w:right w:val="single" w:color="auto" w:sz="4" w:space="0"/>
            </w:tcBorders>
            <w:shd w:val="clear" w:color="auto" w:fill="auto"/>
            <w:noWrap/>
            <w:vAlign w:val="center"/>
          </w:tcPr>
          <w:p w14:paraId="393A2A1F">
            <w:pPr>
              <w:spacing w:line="240" w:lineRule="auto"/>
              <w:ind w:firstLine="0" w:firstLineChars="0"/>
              <w:jc w:val="center"/>
              <w:rPr>
                <w:rFonts w:ascii="仿宋_GB2312" w:cs="Times New Roman"/>
                <w:sz w:val="18"/>
                <w:szCs w:val="18"/>
              </w:rPr>
            </w:pPr>
            <w:r>
              <w:rPr>
                <w:rFonts w:hint="eastAsia" w:ascii="仿宋_GB2312" w:cs="Times New Roman"/>
                <w:sz w:val="18"/>
                <w:szCs w:val="18"/>
              </w:rPr>
              <w:t>527.83</w:t>
            </w:r>
          </w:p>
        </w:tc>
        <w:tc>
          <w:tcPr>
            <w:tcW w:w="314" w:type="pct"/>
            <w:tcBorders>
              <w:top w:val="nil"/>
              <w:left w:val="nil"/>
              <w:bottom w:val="single" w:color="auto" w:sz="4" w:space="0"/>
              <w:right w:val="single" w:color="auto" w:sz="4" w:space="0"/>
            </w:tcBorders>
            <w:shd w:val="clear" w:color="auto" w:fill="auto"/>
            <w:noWrap/>
            <w:vAlign w:val="center"/>
          </w:tcPr>
          <w:p w14:paraId="076EB2A5">
            <w:pPr>
              <w:spacing w:line="240" w:lineRule="auto"/>
              <w:ind w:firstLine="0" w:firstLineChars="0"/>
              <w:jc w:val="center"/>
              <w:rPr>
                <w:rFonts w:ascii="仿宋_GB2312" w:cs="Times New Roman"/>
                <w:sz w:val="18"/>
                <w:szCs w:val="18"/>
              </w:rPr>
            </w:pPr>
            <w:r>
              <w:rPr>
                <w:rFonts w:hint="eastAsia" w:ascii="仿宋_GB2312" w:cs="Times New Roman"/>
                <w:sz w:val="18"/>
                <w:szCs w:val="18"/>
              </w:rPr>
              <w:t>2489.03</w:t>
            </w:r>
          </w:p>
        </w:tc>
        <w:tc>
          <w:tcPr>
            <w:tcW w:w="314" w:type="pct"/>
            <w:tcBorders>
              <w:top w:val="nil"/>
              <w:left w:val="nil"/>
              <w:bottom w:val="single" w:color="auto" w:sz="4" w:space="0"/>
              <w:right w:val="single" w:color="auto" w:sz="4" w:space="0"/>
            </w:tcBorders>
            <w:shd w:val="clear" w:color="auto" w:fill="auto"/>
            <w:noWrap/>
            <w:vAlign w:val="center"/>
          </w:tcPr>
          <w:p w14:paraId="3CC80D14">
            <w:pPr>
              <w:spacing w:line="240" w:lineRule="auto"/>
              <w:ind w:firstLine="0" w:firstLineChars="0"/>
              <w:jc w:val="center"/>
              <w:rPr>
                <w:rFonts w:ascii="仿宋_GB2312" w:cs="Times New Roman"/>
                <w:sz w:val="18"/>
                <w:szCs w:val="18"/>
              </w:rPr>
            </w:pPr>
            <w:r>
              <w:rPr>
                <w:rFonts w:hint="eastAsia" w:ascii="仿宋_GB2312" w:cs="Times New Roman"/>
                <w:sz w:val="18"/>
                <w:szCs w:val="18"/>
              </w:rPr>
              <w:t>7124.49</w:t>
            </w:r>
          </w:p>
        </w:tc>
        <w:tc>
          <w:tcPr>
            <w:tcW w:w="278" w:type="pct"/>
            <w:tcBorders>
              <w:top w:val="nil"/>
              <w:left w:val="nil"/>
              <w:bottom w:val="single" w:color="auto" w:sz="4" w:space="0"/>
              <w:right w:val="single" w:color="auto" w:sz="4" w:space="0"/>
            </w:tcBorders>
            <w:shd w:val="clear" w:color="auto" w:fill="auto"/>
            <w:vAlign w:val="center"/>
          </w:tcPr>
          <w:p w14:paraId="61AA8763">
            <w:pPr>
              <w:spacing w:line="240" w:lineRule="auto"/>
              <w:ind w:firstLine="0" w:firstLineChars="0"/>
              <w:jc w:val="center"/>
              <w:rPr>
                <w:rFonts w:ascii="仿宋_GB2312" w:cs="Times New Roman"/>
                <w:sz w:val="18"/>
                <w:szCs w:val="18"/>
              </w:rPr>
            </w:pPr>
            <w:r>
              <w:rPr>
                <w:rFonts w:hint="eastAsia" w:ascii="仿宋_GB2312" w:cs="Times New Roman"/>
                <w:sz w:val="18"/>
                <w:szCs w:val="18"/>
              </w:rPr>
              <w:t>319.67</w:t>
            </w:r>
          </w:p>
        </w:tc>
      </w:tr>
      <w:tr w14:paraId="5CEAC765">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626F0CB5">
            <w:pPr>
              <w:spacing w:line="240" w:lineRule="auto"/>
              <w:ind w:firstLine="0" w:firstLineChars="0"/>
              <w:jc w:val="center"/>
              <w:rPr>
                <w:rFonts w:hint="eastAsia" w:ascii="仿宋_GB2312" w:hAnsi="宋体"/>
                <w:sz w:val="18"/>
                <w:szCs w:val="18"/>
              </w:rPr>
            </w:pPr>
            <w:r>
              <w:rPr>
                <w:rFonts w:hint="eastAsia" w:ascii="仿宋_GB2312" w:hAnsi="宋体"/>
                <w:sz w:val="18"/>
                <w:szCs w:val="18"/>
              </w:rPr>
              <w:t>上户沟哈萨克民族乡</w:t>
            </w:r>
          </w:p>
        </w:tc>
        <w:tc>
          <w:tcPr>
            <w:tcW w:w="394" w:type="pct"/>
            <w:tcBorders>
              <w:top w:val="nil"/>
              <w:left w:val="nil"/>
              <w:bottom w:val="single" w:color="auto" w:sz="4" w:space="0"/>
              <w:right w:val="single" w:color="auto" w:sz="4" w:space="0"/>
            </w:tcBorders>
            <w:shd w:val="clear" w:color="auto" w:fill="auto"/>
            <w:noWrap/>
            <w:vAlign w:val="center"/>
          </w:tcPr>
          <w:p w14:paraId="59476121">
            <w:pPr>
              <w:spacing w:line="240" w:lineRule="auto"/>
              <w:ind w:firstLine="0" w:firstLineChars="0"/>
              <w:jc w:val="center"/>
              <w:rPr>
                <w:rFonts w:ascii="仿宋_GB2312" w:cs="Times New Roman"/>
                <w:sz w:val="18"/>
                <w:szCs w:val="18"/>
              </w:rPr>
            </w:pPr>
            <w:r>
              <w:rPr>
                <w:rFonts w:hint="eastAsia" w:ascii="仿宋_GB2312" w:cs="Times New Roman"/>
                <w:sz w:val="18"/>
                <w:szCs w:val="18"/>
              </w:rPr>
              <w:t>220386.91</w:t>
            </w:r>
          </w:p>
        </w:tc>
        <w:tc>
          <w:tcPr>
            <w:tcW w:w="314" w:type="pct"/>
            <w:tcBorders>
              <w:top w:val="nil"/>
              <w:left w:val="nil"/>
              <w:bottom w:val="single" w:color="auto" w:sz="4" w:space="0"/>
              <w:right w:val="single" w:color="auto" w:sz="4" w:space="0"/>
            </w:tcBorders>
            <w:shd w:val="clear" w:color="auto" w:fill="auto"/>
            <w:noWrap/>
            <w:vAlign w:val="center"/>
          </w:tcPr>
          <w:p w14:paraId="226625FA">
            <w:pPr>
              <w:spacing w:line="240" w:lineRule="auto"/>
              <w:ind w:firstLine="0" w:firstLineChars="0"/>
              <w:jc w:val="center"/>
              <w:rPr>
                <w:rFonts w:ascii="仿宋_GB2312" w:cs="Times New Roman"/>
                <w:sz w:val="18"/>
                <w:szCs w:val="18"/>
              </w:rPr>
            </w:pPr>
            <w:r>
              <w:rPr>
                <w:rFonts w:hint="eastAsia" w:ascii="仿宋_GB2312" w:cs="Times New Roman"/>
                <w:sz w:val="18"/>
                <w:szCs w:val="18"/>
              </w:rPr>
              <w:t>19866.99</w:t>
            </w:r>
          </w:p>
        </w:tc>
        <w:tc>
          <w:tcPr>
            <w:tcW w:w="305" w:type="pct"/>
            <w:tcBorders>
              <w:top w:val="nil"/>
              <w:left w:val="nil"/>
              <w:bottom w:val="single" w:color="auto" w:sz="4" w:space="0"/>
              <w:right w:val="single" w:color="auto" w:sz="4" w:space="0"/>
            </w:tcBorders>
            <w:shd w:val="clear" w:color="auto" w:fill="auto"/>
            <w:noWrap/>
            <w:vAlign w:val="center"/>
          </w:tcPr>
          <w:p w14:paraId="43CBAC61">
            <w:pPr>
              <w:spacing w:line="240" w:lineRule="auto"/>
              <w:ind w:firstLine="0" w:firstLineChars="0"/>
              <w:jc w:val="center"/>
              <w:rPr>
                <w:rFonts w:ascii="仿宋_GB2312" w:cs="Times New Roman"/>
                <w:sz w:val="18"/>
                <w:szCs w:val="18"/>
              </w:rPr>
            </w:pPr>
            <w:r>
              <w:rPr>
                <w:rFonts w:hint="eastAsia" w:ascii="仿宋_GB2312" w:cs="Times New Roman"/>
                <w:sz w:val="18"/>
                <w:szCs w:val="18"/>
              </w:rPr>
              <w:t>279.99</w:t>
            </w:r>
          </w:p>
        </w:tc>
        <w:tc>
          <w:tcPr>
            <w:tcW w:w="335" w:type="pct"/>
            <w:tcBorders>
              <w:top w:val="nil"/>
              <w:left w:val="nil"/>
              <w:bottom w:val="single" w:color="auto" w:sz="4" w:space="0"/>
              <w:right w:val="single" w:color="auto" w:sz="4" w:space="0"/>
            </w:tcBorders>
            <w:shd w:val="clear" w:color="auto" w:fill="auto"/>
            <w:noWrap/>
            <w:vAlign w:val="center"/>
          </w:tcPr>
          <w:p w14:paraId="77A0E6CB">
            <w:pPr>
              <w:spacing w:line="240" w:lineRule="auto"/>
              <w:ind w:firstLine="0" w:firstLineChars="0"/>
              <w:jc w:val="center"/>
              <w:rPr>
                <w:rFonts w:ascii="仿宋_GB2312" w:cs="Times New Roman"/>
                <w:sz w:val="18"/>
                <w:szCs w:val="18"/>
              </w:rPr>
            </w:pPr>
            <w:r>
              <w:rPr>
                <w:rFonts w:hint="eastAsia" w:ascii="仿宋_GB2312" w:cs="Times New Roman"/>
                <w:sz w:val="18"/>
                <w:szCs w:val="18"/>
              </w:rPr>
              <w:t>38571.05</w:t>
            </w:r>
          </w:p>
        </w:tc>
        <w:tc>
          <w:tcPr>
            <w:tcW w:w="335" w:type="pct"/>
            <w:tcBorders>
              <w:top w:val="nil"/>
              <w:left w:val="nil"/>
              <w:bottom w:val="single" w:color="auto" w:sz="4" w:space="0"/>
              <w:right w:val="single" w:color="auto" w:sz="4" w:space="0"/>
            </w:tcBorders>
            <w:shd w:val="clear" w:color="auto" w:fill="auto"/>
            <w:noWrap/>
            <w:vAlign w:val="center"/>
          </w:tcPr>
          <w:p w14:paraId="72C2E69D">
            <w:pPr>
              <w:spacing w:line="240" w:lineRule="auto"/>
              <w:ind w:firstLine="0" w:firstLineChars="0"/>
              <w:jc w:val="center"/>
              <w:rPr>
                <w:rFonts w:ascii="仿宋_GB2312" w:cs="Times New Roman"/>
                <w:sz w:val="18"/>
                <w:szCs w:val="18"/>
              </w:rPr>
            </w:pPr>
            <w:r>
              <w:rPr>
                <w:rFonts w:hint="eastAsia" w:ascii="仿宋_GB2312" w:cs="Times New Roman"/>
                <w:sz w:val="18"/>
                <w:szCs w:val="18"/>
              </w:rPr>
              <w:t>123982.84</w:t>
            </w:r>
          </w:p>
        </w:tc>
        <w:tc>
          <w:tcPr>
            <w:tcW w:w="305" w:type="pct"/>
            <w:tcBorders>
              <w:top w:val="nil"/>
              <w:left w:val="nil"/>
              <w:bottom w:val="single" w:color="auto" w:sz="4" w:space="0"/>
              <w:right w:val="single" w:color="auto" w:sz="4" w:space="0"/>
            </w:tcBorders>
            <w:shd w:val="clear" w:color="auto" w:fill="auto"/>
            <w:noWrap/>
            <w:vAlign w:val="center"/>
          </w:tcPr>
          <w:p w14:paraId="3A161264">
            <w:pPr>
              <w:spacing w:line="240" w:lineRule="auto"/>
              <w:ind w:firstLine="0" w:firstLineChars="0"/>
              <w:jc w:val="center"/>
              <w:rPr>
                <w:rFonts w:ascii="仿宋_GB2312" w:cs="Times New Roman"/>
                <w:sz w:val="18"/>
                <w:szCs w:val="18"/>
              </w:rPr>
            </w:pPr>
            <w:r>
              <w:rPr>
                <w:rFonts w:hint="eastAsia" w:ascii="仿宋_GB2312" w:cs="Times New Roman"/>
                <w:sz w:val="18"/>
                <w:szCs w:val="18"/>
              </w:rPr>
              <w:t>125.68</w:t>
            </w:r>
          </w:p>
        </w:tc>
        <w:tc>
          <w:tcPr>
            <w:tcW w:w="310" w:type="pct"/>
            <w:tcBorders>
              <w:top w:val="nil"/>
              <w:left w:val="nil"/>
              <w:bottom w:val="single" w:color="auto" w:sz="4" w:space="0"/>
              <w:right w:val="single" w:color="auto" w:sz="4" w:space="0"/>
            </w:tcBorders>
            <w:shd w:val="clear" w:color="auto" w:fill="auto"/>
            <w:noWrap/>
            <w:vAlign w:val="center"/>
          </w:tcPr>
          <w:p w14:paraId="7BCC5BD1">
            <w:pPr>
              <w:spacing w:line="240" w:lineRule="auto"/>
              <w:ind w:firstLine="0" w:firstLineChars="0"/>
              <w:jc w:val="center"/>
              <w:rPr>
                <w:rFonts w:ascii="仿宋_GB2312" w:cs="Times New Roman"/>
                <w:sz w:val="18"/>
                <w:szCs w:val="18"/>
              </w:rPr>
            </w:pPr>
            <w:r>
              <w:rPr>
                <w:rFonts w:hint="eastAsia" w:ascii="仿宋_GB2312" w:cs="Times New Roman"/>
                <w:sz w:val="18"/>
                <w:szCs w:val="18"/>
              </w:rPr>
              <w:t>4645.26</w:t>
            </w:r>
          </w:p>
        </w:tc>
        <w:tc>
          <w:tcPr>
            <w:tcW w:w="310" w:type="pct"/>
            <w:tcBorders>
              <w:top w:val="nil"/>
              <w:left w:val="nil"/>
              <w:bottom w:val="single" w:color="auto" w:sz="4" w:space="0"/>
              <w:right w:val="single" w:color="auto" w:sz="4" w:space="0"/>
            </w:tcBorders>
            <w:shd w:val="clear" w:color="auto" w:fill="auto"/>
            <w:noWrap/>
            <w:vAlign w:val="center"/>
          </w:tcPr>
          <w:p w14:paraId="69EB6ACB">
            <w:pPr>
              <w:spacing w:line="240" w:lineRule="auto"/>
              <w:ind w:firstLine="0" w:firstLineChars="0"/>
              <w:jc w:val="center"/>
              <w:rPr>
                <w:rFonts w:ascii="仿宋_GB2312" w:cs="Times New Roman"/>
                <w:sz w:val="18"/>
                <w:szCs w:val="18"/>
              </w:rPr>
            </w:pPr>
            <w:r>
              <w:rPr>
                <w:rFonts w:hint="eastAsia" w:ascii="仿宋_GB2312" w:cs="Times New Roman"/>
                <w:sz w:val="18"/>
                <w:szCs w:val="18"/>
              </w:rPr>
              <w:t>682.36</w:t>
            </w:r>
          </w:p>
        </w:tc>
        <w:tc>
          <w:tcPr>
            <w:tcW w:w="305" w:type="pct"/>
            <w:tcBorders>
              <w:top w:val="nil"/>
              <w:left w:val="nil"/>
              <w:bottom w:val="single" w:color="auto" w:sz="4" w:space="0"/>
              <w:right w:val="single" w:color="auto" w:sz="4" w:space="0"/>
            </w:tcBorders>
            <w:shd w:val="clear" w:color="auto" w:fill="auto"/>
            <w:noWrap/>
            <w:vAlign w:val="center"/>
          </w:tcPr>
          <w:p w14:paraId="076CCFFB">
            <w:pPr>
              <w:spacing w:line="240" w:lineRule="auto"/>
              <w:ind w:firstLine="0" w:firstLineChars="0"/>
              <w:jc w:val="center"/>
              <w:rPr>
                <w:rFonts w:ascii="仿宋_GB2312" w:cs="Times New Roman"/>
                <w:sz w:val="18"/>
                <w:szCs w:val="18"/>
              </w:rPr>
            </w:pPr>
            <w:r>
              <w:rPr>
                <w:rFonts w:hint="eastAsia" w:ascii="仿宋_GB2312" w:cs="Times New Roman"/>
                <w:sz w:val="18"/>
                <w:szCs w:val="18"/>
              </w:rPr>
              <w:t>91.95</w:t>
            </w:r>
          </w:p>
        </w:tc>
        <w:tc>
          <w:tcPr>
            <w:tcW w:w="310" w:type="pct"/>
            <w:tcBorders>
              <w:top w:val="nil"/>
              <w:left w:val="nil"/>
              <w:bottom w:val="single" w:color="auto" w:sz="4" w:space="0"/>
              <w:right w:val="single" w:color="auto" w:sz="4" w:space="0"/>
            </w:tcBorders>
            <w:shd w:val="clear" w:color="auto" w:fill="auto"/>
            <w:noWrap/>
            <w:vAlign w:val="center"/>
          </w:tcPr>
          <w:p w14:paraId="747388AD">
            <w:pPr>
              <w:spacing w:line="240" w:lineRule="auto"/>
              <w:ind w:firstLine="0" w:firstLineChars="0"/>
              <w:jc w:val="center"/>
              <w:rPr>
                <w:rFonts w:ascii="仿宋_GB2312" w:cs="Times New Roman"/>
                <w:sz w:val="18"/>
                <w:szCs w:val="18"/>
              </w:rPr>
            </w:pPr>
            <w:r>
              <w:rPr>
                <w:rFonts w:hint="eastAsia" w:ascii="仿宋_GB2312" w:cs="Times New Roman"/>
                <w:sz w:val="18"/>
                <w:szCs w:val="18"/>
              </w:rPr>
              <w:t>190.1</w:t>
            </w:r>
          </w:p>
        </w:tc>
        <w:tc>
          <w:tcPr>
            <w:tcW w:w="310" w:type="pct"/>
            <w:tcBorders>
              <w:top w:val="nil"/>
              <w:left w:val="nil"/>
              <w:bottom w:val="single" w:color="auto" w:sz="4" w:space="0"/>
              <w:right w:val="single" w:color="auto" w:sz="4" w:space="0"/>
            </w:tcBorders>
            <w:shd w:val="clear" w:color="auto" w:fill="auto"/>
            <w:noWrap/>
            <w:vAlign w:val="center"/>
          </w:tcPr>
          <w:p w14:paraId="0F4F5368">
            <w:pPr>
              <w:spacing w:line="240" w:lineRule="auto"/>
              <w:ind w:firstLine="0" w:firstLineChars="0"/>
              <w:jc w:val="center"/>
              <w:rPr>
                <w:rFonts w:ascii="仿宋_GB2312" w:cs="Times New Roman"/>
                <w:sz w:val="18"/>
                <w:szCs w:val="18"/>
              </w:rPr>
            </w:pPr>
            <w:r>
              <w:rPr>
                <w:rFonts w:hint="eastAsia" w:ascii="仿宋_GB2312" w:cs="Times New Roman"/>
                <w:sz w:val="18"/>
                <w:szCs w:val="18"/>
              </w:rPr>
              <w:t>2420.9</w:t>
            </w:r>
          </w:p>
        </w:tc>
        <w:tc>
          <w:tcPr>
            <w:tcW w:w="314" w:type="pct"/>
            <w:tcBorders>
              <w:top w:val="nil"/>
              <w:left w:val="nil"/>
              <w:bottom w:val="single" w:color="auto" w:sz="4" w:space="0"/>
              <w:right w:val="single" w:color="auto" w:sz="4" w:space="0"/>
            </w:tcBorders>
            <w:shd w:val="clear" w:color="auto" w:fill="auto"/>
            <w:noWrap/>
            <w:vAlign w:val="center"/>
          </w:tcPr>
          <w:p w14:paraId="713F6850">
            <w:pPr>
              <w:spacing w:line="240" w:lineRule="auto"/>
              <w:ind w:firstLine="0" w:firstLineChars="0"/>
              <w:jc w:val="center"/>
              <w:rPr>
                <w:rFonts w:ascii="仿宋_GB2312" w:cs="Times New Roman"/>
                <w:sz w:val="18"/>
                <w:szCs w:val="18"/>
              </w:rPr>
            </w:pPr>
            <w:r>
              <w:rPr>
                <w:rFonts w:hint="eastAsia" w:ascii="仿宋_GB2312" w:cs="Times New Roman"/>
                <w:sz w:val="18"/>
                <w:szCs w:val="18"/>
              </w:rPr>
              <w:t>6055.21</w:t>
            </w:r>
          </w:p>
        </w:tc>
        <w:tc>
          <w:tcPr>
            <w:tcW w:w="314" w:type="pct"/>
            <w:tcBorders>
              <w:top w:val="nil"/>
              <w:left w:val="nil"/>
              <w:bottom w:val="single" w:color="auto" w:sz="4" w:space="0"/>
              <w:right w:val="single" w:color="auto" w:sz="4" w:space="0"/>
            </w:tcBorders>
            <w:shd w:val="clear" w:color="auto" w:fill="auto"/>
            <w:noWrap/>
            <w:vAlign w:val="center"/>
          </w:tcPr>
          <w:p w14:paraId="2891B35C">
            <w:pPr>
              <w:spacing w:line="240" w:lineRule="auto"/>
              <w:ind w:firstLine="0" w:firstLineChars="0"/>
              <w:jc w:val="center"/>
              <w:rPr>
                <w:rFonts w:ascii="仿宋_GB2312" w:cs="Times New Roman"/>
                <w:sz w:val="18"/>
                <w:szCs w:val="18"/>
              </w:rPr>
            </w:pPr>
            <w:r>
              <w:rPr>
                <w:rFonts w:hint="eastAsia" w:ascii="仿宋_GB2312" w:cs="Times New Roman"/>
                <w:sz w:val="18"/>
                <w:szCs w:val="18"/>
              </w:rPr>
              <w:t>22409.28</w:t>
            </w:r>
          </w:p>
        </w:tc>
        <w:tc>
          <w:tcPr>
            <w:tcW w:w="278" w:type="pct"/>
            <w:tcBorders>
              <w:top w:val="nil"/>
              <w:left w:val="nil"/>
              <w:bottom w:val="single" w:color="auto" w:sz="4" w:space="0"/>
              <w:right w:val="single" w:color="auto" w:sz="4" w:space="0"/>
            </w:tcBorders>
            <w:shd w:val="clear" w:color="auto" w:fill="auto"/>
            <w:vAlign w:val="center"/>
          </w:tcPr>
          <w:p w14:paraId="789A9248">
            <w:pPr>
              <w:spacing w:line="240" w:lineRule="auto"/>
              <w:ind w:firstLine="0" w:firstLineChars="0"/>
              <w:jc w:val="center"/>
              <w:rPr>
                <w:rFonts w:ascii="仿宋_GB2312" w:cs="Times New Roman"/>
                <w:sz w:val="18"/>
                <w:szCs w:val="18"/>
              </w:rPr>
            </w:pPr>
            <w:r>
              <w:rPr>
                <w:rFonts w:hint="eastAsia" w:ascii="仿宋_GB2312" w:cs="Times New Roman"/>
                <w:sz w:val="18"/>
                <w:szCs w:val="18"/>
              </w:rPr>
              <w:t>1065.3</w:t>
            </w:r>
          </w:p>
        </w:tc>
      </w:tr>
      <w:tr w14:paraId="160492B8">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35F0559E">
            <w:pPr>
              <w:spacing w:line="240" w:lineRule="auto"/>
              <w:ind w:firstLine="0" w:firstLineChars="0"/>
              <w:jc w:val="center"/>
              <w:rPr>
                <w:rFonts w:hint="eastAsia" w:ascii="仿宋_GB2312" w:hAnsi="宋体"/>
                <w:sz w:val="18"/>
                <w:szCs w:val="18"/>
              </w:rPr>
            </w:pPr>
            <w:r>
              <w:rPr>
                <w:rFonts w:hint="eastAsia" w:ascii="仿宋_GB2312" w:hAnsi="宋体"/>
                <w:sz w:val="18"/>
                <w:szCs w:val="18"/>
              </w:rPr>
              <w:t>水磨沟乡</w:t>
            </w:r>
          </w:p>
        </w:tc>
        <w:tc>
          <w:tcPr>
            <w:tcW w:w="394" w:type="pct"/>
            <w:tcBorders>
              <w:top w:val="nil"/>
              <w:left w:val="nil"/>
              <w:bottom w:val="single" w:color="auto" w:sz="4" w:space="0"/>
              <w:right w:val="single" w:color="auto" w:sz="4" w:space="0"/>
            </w:tcBorders>
            <w:shd w:val="clear" w:color="auto" w:fill="auto"/>
            <w:noWrap/>
            <w:vAlign w:val="center"/>
          </w:tcPr>
          <w:p w14:paraId="601165C3">
            <w:pPr>
              <w:spacing w:line="240" w:lineRule="auto"/>
              <w:ind w:firstLine="0" w:firstLineChars="0"/>
              <w:jc w:val="center"/>
              <w:rPr>
                <w:rFonts w:ascii="仿宋_GB2312" w:cs="Times New Roman"/>
                <w:sz w:val="18"/>
                <w:szCs w:val="18"/>
              </w:rPr>
            </w:pPr>
            <w:r>
              <w:rPr>
                <w:rFonts w:hint="eastAsia" w:ascii="仿宋_GB2312" w:cs="Times New Roman"/>
                <w:sz w:val="18"/>
                <w:szCs w:val="18"/>
              </w:rPr>
              <w:t>44068.05</w:t>
            </w:r>
          </w:p>
        </w:tc>
        <w:tc>
          <w:tcPr>
            <w:tcW w:w="314" w:type="pct"/>
            <w:tcBorders>
              <w:top w:val="nil"/>
              <w:left w:val="nil"/>
              <w:bottom w:val="single" w:color="auto" w:sz="4" w:space="0"/>
              <w:right w:val="single" w:color="auto" w:sz="4" w:space="0"/>
            </w:tcBorders>
            <w:shd w:val="clear" w:color="auto" w:fill="auto"/>
            <w:noWrap/>
            <w:vAlign w:val="center"/>
          </w:tcPr>
          <w:p w14:paraId="1679E21A">
            <w:pPr>
              <w:spacing w:line="240" w:lineRule="auto"/>
              <w:ind w:firstLine="0" w:firstLineChars="0"/>
              <w:jc w:val="center"/>
              <w:rPr>
                <w:rFonts w:ascii="仿宋_GB2312" w:cs="Times New Roman"/>
                <w:sz w:val="18"/>
                <w:szCs w:val="18"/>
              </w:rPr>
            </w:pPr>
            <w:r>
              <w:rPr>
                <w:rFonts w:hint="eastAsia" w:ascii="仿宋_GB2312" w:cs="Times New Roman"/>
                <w:sz w:val="18"/>
                <w:szCs w:val="18"/>
              </w:rPr>
              <w:t>4159.84</w:t>
            </w:r>
          </w:p>
        </w:tc>
        <w:tc>
          <w:tcPr>
            <w:tcW w:w="305" w:type="pct"/>
            <w:tcBorders>
              <w:top w:val="nil"/>
              <w:left w:val="nil"/>
              <w:bottom w:val="single" w:color="auto" w:sz="4" w:space="0"/>
              <w:right w:val="single" w:color="auto" w:sz="4" w:space="0"/>
            </w:tcBorders>
            <w:shd w:val="clear" w:color="auto" w:fill="auto"/>
            <w:noWrap/>
            <w:vAlign w:val="center"/>
          </w:tcPr>
          <w:p w14:paraId="5CE3C760">
            <w:pPr>
              <w:spacing w:line="240" w:lineRule="auto"/>
              <w:ind w:firstLine="0" w:firstLineChars="0"/>
              <w:jc w:val="center"/>
              <w:rPr>
                <w:rFonts w:ascii="仿宋_GB2312" w:cs="Times New Roman"/>
                <w:sz w:val="18"/>
                <w:szCs w:val="18"/>
              </w:rPr>
            </w:pPr>
            <w:r>
              <w:rPr>
                <w:rFonts w:hint="eastAsia" w:ascii="仿宋_GB2312" w:cs="Times New Roman"/>
                <w:sz w:val="18"/>
                <w:szCs w:val="18"/>
              </w:rPr>
              <w:t>72.96</w:t>
            </w:r>
          </w:p>
        </w:tc>
        <w:tc>
          <w:tcPr>
            <w:tcW w:w="335" w:type="pct"/>
            <w:tcBorders>
              <w:top w:val="nil"/>
              <w:left w:val="nil"/>
              <w:bottom w:val="single" w:color="auto" w:sz="4" w:space="0"/>
              <w:right w:val="single" w:color="auto" w:sz="4" w:space="0"/>
            </w:tcBorders>
            <w:shd w:val="clear" w:color="auto" w:fill="auto"/>
            <w:noWrap/>
            <w:vAlign w:val="center"/>
          </w:tcPr>
          <w:p w14:paraId="2964961A">
            <w:pPr>
              <w:spacing w:line="240" w:lineRule="auto"/>
              <w:ind w:firstLine="0" w:firstLineChars="0"/>
              <w:jc w:val="center"/>
              <w:rPr>
                <w:rFonts w:ascii="仿宋_GB2312" w:cs="Times New Roman"/>
                <w:sz w:val="18"/>
                <w:szCs w:val="18"/>
              </w:rPr>
            </w:pPr>
            <w:r>
              <w:rPr>
                <w:rFonts w:hint="eastAsia" w:ascii="仿宋_GB2312" w:cs="Times New Roman"/>
                <w:sz w:val="18"/>
                <w:szCs w:val="18"/>
              </w:rPr>
              <w:t>5752.18</w:t>
            </w:r>
          </w:p>
        </w:tc>
        <w:tc>
          <w:tcPr>
            <w:tcW w:w="335" w:type="pct"/>
            <w:tcBorders>
              <w:top w:val="nil"/>
              <w:left w:val="nil"/>
              <w:bottom w:val="single" w:color="auto" w:sz="4" w:space="0"/>
              <w:right w:val="single" w:color="auto" w:sz="4" w:space="0"/>
            </w:tcBorders>
            <w:shd w:val="clear" w:color="auto" w:fill="auto"/>
            <w:noWrap/>
            <w:vAlign w:val="center"/>
          </w:tcPr>
          <w:p w14:paraId="12DF3053">
            <w:pPr>
              <w:spacing w:line="240" w:lineRule="auto"/>
              <w:ind w:firstLine="0" w:firstLineChars="0"/>
              <w:jc w:val="center"/>
              <w:rPr>
                <w:rFonts w:ascii="仿宋_GB2312" w:cs="Times New Roman"/>
                <w:sz w:val="18"/>
                <w:szCs w:val="18"/>
              </w:rPr>
            </w:pPr>
            <w:r>
              <w:rPr>
                <w:rFonts w:hint="eastAsia" w:ascii="仿宋_GB2312" w:cs="Times New Roman"/>
                <w:sz w:val="18"/>
                <w:szCs w:val="18"/>
              </w:rPr>
              <w:t>24210.42</w:t>
            </w:r>
          </w:p>
        </w:tc>
        <w:tc>
          <w:tcPr>
            <w:tcW w:w="305" w:type="pct"/>
            <w:tcBorders>
              <w:top w:val="nil"/>
              <w:left w:val="nil"/>
              <w:bottom w:val="single" w:color="auto" w:sz="4" w:space="0"/>
              <w:right w:val="single" w:color="auto" w:sz="4" w:space="0"/>
            </w:tcBorders>
            <w:shd w:val="clear" w:color="auto" w:fill="auto"/>
            <w:noWrap/>
            <w:vAlign w:val="center"/>
          </w:tcPr>
          <w:p w14:paraId="174DA191">
            <w:pPr>
              <w:spacing w:line="240" w:lineRule="auto"/>
              <w:ind w:firstLine="0" w:firstLineChars="0"/>
              <w:jc w:val="center"/>
              <w:rPr>
                <w:rFonts w:ascii="仿宋_GB2312" w:cs="Times New Roman"/>
                <w:sz w:val="18"/>
                <w:szCs w:val="18"/>
              </w:rPr>
            </w:pPr>
            <w:r>
              <w:rPr>
                <w:rFonts w:hint="eastAsia" w:ascii="仿宋_GB2312" w:cs="Times New Roman"/>
                <w:sz w:val="18"/>
                <w:szCs w:val="18"/>
              </w:rPr>
              <w:t>127.13</w:t>
            </w:r>
          </w:p>
        </w:tc>
        <w:tc>
          <w:tcPr>
            <w:tcW w:w="310" w:type="pct"/>
            <w:tcBorders>
              <w:top w:val="nil"/>
              <w:left w:val="nil"/>
              <w:bottom w:val="single" w:color="auto" w:sz="4" w:space="0"/>
              <w:right w:val="single" w:color="auto" w:sz="4" w:space="0"/>
            </w:tcBorders>
            <w:shd w:val="clear" w:color="auto" w:fill="auto"/>
            <w:noWrap/>
            <w:vAlign w:val="center"/>
          </w:tcPr>
          <w:p w14:paraId="183C011C">
            <w:pPr>
              <w:spacing w:line="240" w:lineRule="auto"/>
              <w:ind w:firstLine="0" w:firstLineChars="0"/>
              <w:jc w:val="center"/>
              <w:rPr>
                <w:rFonts w:ascii="仿宋_GB2312" w:cs="Times New Roman"/>
                <w:sz w:val="18"/>
                <w:szCs w:val="18"/>
              </w:rPr>
            </w:pPr>
            <w:r>
              <w:rPr>
                <w:rFonts w:hint="eastAsia" w:ascii="仿宋_GB2312" w:cs="Times New Roman"/>
                <w:sz w:val="18"/>
                <w:szCs w:val="18"/>
              </w:rPr>
              <w:t>1346.64</w:t>
            </w:r>
          </w:p>
        </w:tc>
        <w:tc>
          <w:tcPr>
            <w:tcW w:w="310" w:type="pct"/>
            <w:tcBorders>
              <w:top w:val="nil"/>
              <w:left w:val="nil"/>
              <w:bottom w:val="single" w:color="auto" w:sz="4" w:space="0"/>
              <w:right w:val="single" w:color="auto" w:sz="4" w:space="0"/>
            </w:tcBorders>
            <w:shd w:val="clear" w:color="auto" w:fill="auto"/>
            <w:noWrap/>
            <w:vAlign w:val="center"/>
          </w:tcPr>
          <w:p w14:paraId="510342F2">
            <w:pPr>
              <w:spacing w:line="240" w:lineRule="auto"/>
              <w:ind w:firstLine="0" w:firstLineChars="0"/>
              <w:jc w:val="center"/>
              <w:rPr>
                <w:rFonts w:ascii="仿宋_GB2312" w:cs="Times New Roman"/>
                <w:sz w:val="18"/>
                <w:szCs w:val="18"/>
              </w:rPr>
            </w:pPr>
            <w:r>
              <w:rPr>
                <w:rFonts w:hint="eastAsia" w:ascii="仿宋_GB2312" w:cs="Times New Roman"/>
                <w:sz w:val="18"/>
                <w:szCs w:val="18"/>
              </w:rPr>
              <w:t>307.51</w:t>
            </w:r>
          </w:p>
        </w:tc>
        <w:tc>
          <w:tcPr>
            <w:tcW w:w="305" w:type="pct"/>
            <w:tcBorders>
              <w:top w:val="nil"/>
              <w:left w:val="nil"/>
              <w:bottom w:val="single" w:color="auto" w:sz="4" w:space="0"/>
              <w:right w:val="single" w:color="auto" w:sz="4" w:space="0"/>
            </w:tcBorders>
            <w:shd w:val="clear" w:color="auto" w:fill="auto"/>
            <w:noWrap/>
            <w:vAlign w:val="center"/>
          </w:tcPr>
          <w:p w14:paraId="052C2B77">
            <w:pPr>
              <w:spacing w:line="240" w:lineRule="auto"/>
              <w:ind w:firstLine="0" w:firstLineChars="0"/>
              <w:jc w:val="center"/>
              <w:rPr>
                <w:rFonts w:ascii="仿宋_GB2312" w:cs="Times New Roman"/>
                <w:sz w:val="18"/>
                <w:szCs w:val="18"/>
              </w:rPr>
            </w:pPr>
            <w:r>
              <w:rPr>
                <w:rFonts w:hint="eastAsia" w:ascii="仿宋_GB2312" w:cs="Times New Roman"/>
                <w:sz w:val="18"/>
                <w:szCs w:val="18"/>
              </w:rPr>
              <w:t>31.93</w:t>
            </w:r>
          </w:p>
        </w:tc>
        <w:tc>
          <w:tcPr>
            <w:tcW w:w="310" w:type="pct"/>
            <w:tcBorders>
              <w:top w:val="nil"/>
              <w:left w:val="nil"/>
              <w:bottom w:val="single" w:color="auto" w:sz="4" w:space="0"/>
              <w:right w:val="single" w:color="auto" w:sz="4" w:space="0"/>
            </w:tcBorders>
            <w:shd w:val="clear" w:color="auto" w:fill="auto"/>
            <w:noWrap/>
            <w:vAlign w:val="center"/>
          </w:tcPr>
          <w:p w14:paraId="0A8C16C7">
            <w:pPr>
              <w:spacing w:line="240" w:lineRule="auto"/>
              <w:ind w:firstLine="0" w:firstLineChars="0"/>
              <w:jc w:val="center"/>
              <w:rPr>
                <w:rFonts w:ascii="仿宋_GB2312" w:cs="Times New Roman"/>
                <w:sz w:val="18"/>
                <w:szCs w:val="18"/>
              </w:rPr>
            </w:pPr>
            <w:r>
              <w:rPr>
                <w:rFonts w:hint="eastAsia" w:ascii="仿宋_GB2312" w:cs="Times New Roman"/>
                <w:sz w:val="18"/>
                <w:szCs w:val="18"/>
              </w:rPr>
              <w:t>163.66</w:t>
            </w:r>
          </w:p>
        </w:tc>
        <w:tc>
          <w:tcPr>
            <w:tcW w:w="310" w:type="pct"/>
            <w:tcBorders>
              <w:top w:val="nil"/>
              <w:left w:val="nil"/>
              <w:bottom w:val="single" w:color="auto" w:sz="4" w:space="0"/>
              <w:right w:val="single" w:color="auto" w:sz="4" w:space="0"/>
            </w:tcBorders>
            <w:shd w:val="clear" w:color="auto" w:fill="auto"/>
            <w:noWrap/>
            <w:vAlign w:val="center"/>
          </w:tcPr>
          <w:p w14:paraId="3B5279A7">
            <w:pPr>
              <w:spacing w:line="240" w:lineRule="auto"/>
              <w:ind w:firstLine="0" w:firstLineChars="0"/>
              <w:jc w:val="center"/>
              <w:rPr>
                <w:rFonts w:ascii="仿宋_GB2312" w:cs="Times New Roman"/>
                <w:sz w:val="18"/>
                <w:szCs w:val="18"/>
              </w:rPr>
            </w:pPr>
            <w:r>
              <w:rPr>
                <w:rFonts w:hint="eastAsia" w:ascii="仿宋_GB2312" w:cs="Times New Roman"/>
                <w:sz w:val="18"/>
                <w:szCs w:val="18"/>
              </w:rPr>
              <w:t>728.52</w:t>
            </w:r>
          </w:p>
        </w:tc>
        <w:tc>
          <w:tcPr>
            <w:tcW w:w="314" w:type="pct"/>
            <w:tcBorders>
              <w:top w:val="nil"/>
              <w:left w:val="nil"/>
              <w:bottom w:val="single" w:color="auto" w:sz="4" w:space="0"/>
              <w:right w:val="single" w:color="auto" w:sz="4" w:space="0"/>
            </w:tcBorders>
            <w:shd w:val="clear" w:color="auto" w:fill="auto"/>
            <w:noWrap/>
            <w:vAlign w:val="center"/>
          </w:tcPr>
          <w:p w14:paraId="6611DFB2">
            <w:pPr>
              <w:spacing w:line="240" w:lineRule="auto"/>
              <w:ind w:firstLine="0" w:firstLineChars="0"/>
              <w:jc w:val="center"/>
              <w:rPr>
                <w:rFonts w:ascii="仿宋_GB2312" w:cs="Times New Roman"/>
                <w:sz w:val="18"/>
                <w:szCs w:val="18"/>
              </w:rPr>
            </w:pPr>
            <w:r>
              <w:rPr>
                <w:rFonts w:hint="eastAsia" w:ascii="仿宋_GB2312" w:cs="Times New Roman"/>
                <w:sz w:val="18"/>
                <w:szCs w:val="18"/>
              </w:rPr>
              <w:t>3003.98</w:t>
            </w:r>
          </w:p>
        </w:tc>
        <w:tc>
          <w:tcPr>
            <w:tcW w:w="314" w:type="pct"/>
            <w:tcBorders>
              <w:top w:val="nil"/>
              <w:left w:val="nil"/>
              <w:bottom w:val="single" w:color="auto" w:sz="4" w:space="0"/>
              <w:right w:val="single" w:color="auto" w:sz="4" w:space="0"/>
            </w:tcBorders>
            <w:shd w:val="clear" w:color="auto" w:fill="auto"/>
            <w:noWrap/>
            <w:vAlign w:val="center"/>
          </w:tcPr>
          <w:p w14:paraId="56BF9C4F">
            <w:pPr>
              <w:spacing w:line="240" w:lineRule="auto"/>
              <w:ind w:firstLine="0" w:firstLineChars="0"/>
              <w:jc w:val="center"/>
              <w:rPr>
                <w:rFonts w:ascii="仿宋_GB2312" w:cs="Times New Roman"/>
                <w:sz w:val="18"/>
                <w:szCs w:val="18"/>
              </w:rPr>
            </w:pPr>
            <w:r>
              <w:rPr>
                <w:rFonts w:hint="eastAsia" w:ascii="仿宋_GB2312" w:cs="Times New Roman"/>
                <w:sz w:val="18"/>
                <w:szCs w:val="18"/>
              </w:rPr>
              <w:t>4006.24</w:t>
            </w:r>
          </w:p>
        </w:tc>
        <w:tc>
          <w:tcPr>
            <w:tcW w:w="278" w:type="pct"/>
            <w:tcBorders>
              <w:top w:val="nil"/>
              <w:left w:val="nil"/>
              <w:bottom w:val="single" w:color="auto" w:sz="4" w:space="0"/>
              <w:right w:val="single" w:color="auto" w:sz="4" w:space="0"/>
            </w:tcBorders>
            <w:shd w:val="clear" w:color="auto" w:fill="auto"/>
            <w:vAlign w:val="center"/>
          </w:tcPr>
          <w:p w14:paraId="0FDC6B14">
            <w:pPr>
              <w:spacing w:line="240" w:lineRule="auto"/>
              <w:ind w:firstLine="0" w:firstLineChars="0"/>
              <w:jc w:val="center"/>
              <w:rPr>
                <w:rFonts w:ascii="仿宋_GB2312" w:cs="Times New Roman"/>
                <w:sz w:val="18"/>
                <w:szCs w:val="18"/>
              </w:rPr>
            </w:pPr>
            <w:r>
              <w:rPr>
                <w:rFonts w:hint="eastAsia" w:ascii="仿宋_GB2312" w:cs="Times New Roman"/>
                <w:sz w:val="18"/>
                <w:szCs w:val="18"/>
              </w:rPr>
              <w:t>157.04</w:t>
            </w:r>
          </w:p>
        </w:tc>
      </w:tr>
      <w:tr w14:paraId="5DBC77E3">
        <w:tblPrEx>
          <w:tblCellMar>
            <w:top w:w="0" w:type="dxa"/>
            <w:left w:w="108" w:type="dxa"/>
            <w:bottom w:w="0" w:type="dxa"/>
            <w:right w:w="108" w:type="dxa"/>
          </w:tblCellMar>
        </w:tblPrEx>
        <w:trPr>
          <w:trHeight w:val="280" w:hRule="atLeast"/>
        </w:trPr>
        <w:tc>
          <w:tcPr>
            <w:tcW w:w="563" w:type="pct"/>
            <w:tcBorders>
              <w:top w:val="nil"/>
              <w:left w:val="single" w:color="auto" w:sz="4" w:space="0"/>
              <w:bottom w:val="single" w:color="auto" w:sz="4" w:space="0"/>
              <w:right w:val="single" w:color="auto" w:sz="4" w:space="0"/>
            </w:tcBorders>
            <w:shd w:val="clear" w:color="auto" w:fill="auto"/>
            <w:noWrap/>
            <w:vAlign w:val="center"/>
          </w:tcPr>
          <w:p w14:paraId="487D5604">
            <w:pPr>
              <w:spacing w:line="240" w:lineRule="auto"/>
              <w:ind w:firstLine="0" w:firstLineChars="0"/>
              <w:jc w:val="center"/>
              <w:rPr>
                <w:rFonts w:hint="eastAsia" w:ascii="仿宋_GB2312" w:hAnsi="宋体"/>
                <w:sz w:val="18"/>
                <w:szCs w:val="18"/>
              </w:rPr>
            </w:pPr>
            <w:r>
              <w:rPr>
                <w:rFonts w:hint="eastAsia" w:ascii="仿宋_GB2312" w:hAnsi="宋体"/>
                <w:sz w:val="18"/>
                <w:szCs w:val="18"/>
              </w:rPr>
              <w:t>阜康市直属</w:t>
            </w:r>
          </w:p>
        </w:tc>
        <w:tc>
          <w:tcPr>
            <w:tcW w:w="394" w:type="pct"/>
            <w:tcBorders>
              <w:top w:val="nil"/>
              <w:left w:val="nil"/>
              <w:bottom w:val="single" w:color="auto" w:sz="4" w:space="0"/>
              <w:right w:val="single" w:color="auto" w:sz="4" w:space="0"/>
            </w:tcBorders>
            <w:shd w:val="clear" w:color="auto" w:fill="auto"/>
            <w:noWrap/>
            <w:vAlign w:val="center"/>
          </w:tcPr>
          <w:p w14:paraId="0B59A1A3">
            <w:pPr>
              <w:spacing w:line="240" w:lineRule="auto"/>
              <w:ind w:firstLine="0" w:firstLineChars="0"/>
              <w:jc w:val="center"/>
              <w:rPr>
                <w:rFonts w:ascii="仿宋_GB2312" w:cs="Times New Roman"/>
                <w:sz w:val="18"/>
                <w:szCs w:val="18"/>
              </w:rPr>
            </w:pPr>
            <w:r>
              <w:rPr>
                <w:rFonts w:hint="eastAsia" w:ascii="仿宋_GB2312" w:cs="Times New Roman"/>
                <w:sz w:val="18"/>
                <w:szCs w:val="18"/>
              </w:rPr>
              <w:t>432218.96</w:t>
            </w:r>
          </w:p>
        </w:tc>
        <w:tc>
          <w:tcPr>
            <w:tcW w:w="314" w:type="pct"/>
            <w:tcBorders>
              <w:top w:val="nil"/>
              <w:left w:val="nil"/>
              <w:bottom w:val="single" w:color="auto" w:sz="4" w:space="0"/>
              <w:right w:val="single" w:color="auto" w:sz="4" w:space="0"/>
            </w:tcBorders>
            <w:shd w:val="clear" w:color="auto" w:fill="auto"/>
            <w:noWrap/>
            <w:vAlign w:val="center"/>
          </w:tcPr>
          <w:p w14:paraId="089A96F3">
            <w:pPr>
              <w:spacing w:line="240" w:lineRule="auto"/>
              <w:ind w:firstLine="0" w:firstLineChars="0"/>
              <w:jc w:val="center"/>
              <w:rPr>
                <w:rFonts w:ascii="仿宋_GB2312" w:cs="Times New Roman"/>
                <w:sz w:val="18"/>
                <w:szCs w:val="18"/>
              </w:rPr>
            </w:pPr>
            <w:r>
              <w:rPr>
                <w:rFonts w:hint="eastAsia" w:ascii="仿宋_GB2312" w:cs="Times New Roman"/>
                <w:sz w:val="18"/>
                <w:szCs w:val="18"/>
              </w:rPr>
              <w:t>340.72</w:t>
            </w:r>
          </w:p>
        </w:tc>
        <w:tc>
          <w:tcPr>
            <w:tcW w:w="305" w:type="pct"/>
            <w:tcBorders>
              <w:top w:val="nil"/>
              <w:left w:val="nil"/>
              <w:bottom w:val="single" w:color="auto" w:sz="4" w:space="0"/>
              <w:right w:val="single" w:color="auto" w:sz="4" w:space="0"/>
            </w:tcBorders>
            <w:shd w:val="clear" w:color="auto" w:fill="auto"/>
            <w:noWrap/>
            <w:vAlign w:val="center"/>
          </w:tcPr>
          <w:p w14:paraId="2D9DAC9D">
            <w:pPr>
              <w:spacing w:line="240" w:lineRule="auto"/>
              <w:ind w:firstLine="0" w:firstLineChars="0"/>
              <w:jc w:val="center"/>
              <w:rPr>
                <w:rFonts w:ascii="仿宋_GB2312" w:cs="Times New Roman"/>
                <w:sz w:val="18"/>
                <w:szCs w:val="18"/>
              </w:rPr>
            </w:pPr>
            <w:r>
              <w:rPr>
                <w:rFonts w:hint="eastAsia" w:ascii="仿宋_GB2312" w:cs="Times New Roman"/>
                <w:sz w:val="18"/>
                <w:szCs w:val="18"/>
              </w:rPr>
              <w:t>0</w:t>
            </w:r>
          </w:p>
        </w:tc>
        <w:tc>
          <w:tcPr>
            <w:tcW w:w="335" w:type="pct"/>
            <w:tcBorders>
              <w:top w:val="nil"/>
              <w:left w:val="nil"/>
              <w:bottom w:val="single" w:color="auto" w:sz="4" w:space="0"/>
              <w:right w:val="single" w:color="auto" w:sz="4" w:space="0"/>
            </w:tcBorders>
            <w:shd w:val="clear" w:color="auto" w:fill="auto"/>
            <w:noWrap/>
            <w:vAlign w:val="center"/>
          </w:tcPr>
          <w:p w14:paraId="14F3CFB1">
            <w:pPr>
              <w:spacing w:line="240" w:lineRule="auto"/>
              <w:ind w:firstLine="0" w:firstLineChars="0"/>
              <w:jc w:val="center"/>
              <w:rPr>
                <w:rFonts w:ascii="仿宋_GB2312" w:cs="Times New Roman"/>
                <w:sz w:val="18"/>
                <w:szCs w:val="18"/>
              </w:rPr>
            </w:pPr>
            <w:r>
              <w:rPr>
                <w:rFonts w:hint="eastAsia" w:ascii="仿宋_GB2312" w:cs="Times New Roman"/>
                <w:sz w:val="18"/>
                <w:szCs w:val="18"/>
              </w:rPr>
              <w:t>145713.56</w:t>
            </w:r>
          </w:p>
        </w:tc>
        <w:tc>
          <w:tcPr>
            <w:tcW w:w="335" w:type="pct"/>
            <w:tcBorders>
              <w:top w:val="nil"/>
              <w:left w:val="nil"/>
              <w:bottom w:val="single" w:color="auto" w:sz="4" w:space="0"/>
              <w:right w:val="single" w:color="auto" w:sz="4" w:space="0"/>
            </w:tcBorders>
            <w:shd w:val="clear" w:color="auto" w:fill="auto"/>
            <w:noWrap/>
            <w:vAlign w:val="center"/>
          </w:tcPr>
          <w:p w14:paraId="687365CE">
            <w:pPr>
              <w:spacing w:line="240" w:lineRule="auto"/>
              <w:ind w:firstLine="0" w:firstLineChars="0"/>
              <w:jc w:val="center"/>
              <w:rPr>
                <w:rFonts w:ascii="仿宋_GB2312" w:cs="Times New Roman"/>
                <w:sz w:val="18"/>
                <w:szCs w:val="18"/>
              </w:rPr>
            </w:pPr>
            <w:r>
              <w:rPr>
                <w:rFonts w:hint="eastAsia" w:ascii="仿宋_GB2312" w:cs="Times New Roman"/>
                <w:sz w:val="18"/>
                <w:szCs w:val="18"/>
              </w:rPr>
              <w:t>283167.35</w:t>
            </w:r>
          </w:p>
        </w:tc>
        <w:tc>
          <w:tcPr>
            <w:tcW w:w="305" w:type="pct"/>
            <w:tcBorders>
              <w:top w:val="nil"/>
              <w:left w:val="nil"/>
              <w:bottom w:val="single" w:color="auto" w:sz="4" w:space="0"/>
              <w:right w:val="single" w:color="auto" w:sz="4" w:space="0"/>
            </w:tcBorders>
            <w:shd w:val="clear" w:color="auto" w:fill="auto"/>
            <w:noWrap/>
            <w:vAlign w:val="center"/>
          </w:tcPr>
          <w:p w14:paraId="2E158BFE">
            <w:pPr>
              <w:spacing w:line="240" w:lineRule="auto"/>
              <w:ind w:firstLine="0" w:firstLineChars="0"/>
              <w:jc w:val="center"/>
              <w:rPr>
                <w:rFonts w:ascii="仿宋_GB2312" w:cs="Times New Roman"/>
                <w:sz w:val="18"/>
                <w:szCs w:val="18"/>
              </w:rPr>
            </w:pPr>
            <w:r>
              <w:rPr>
                <w:rFonts w:hint="eastAsia" w:ascii="仿宋_GB2312" w:cs="Times New Roman"/>
                <w:sz w:val="18"/>
                <w:szCs w:val="18"/>
              </w:rPr>
              <w:t>0.03</w:t>
            </w:r>
          </w:p>
        </w:tc>
        <w:tc>
          <w:tcPr>
            <w:tcW w:w="310" w:type="pct"/>
            <w:tcBorders>
              <w:top w:val="nil"/>
              <w:left w:val="nil"/>
              <w:bottom w:val="single" w:color="auto" w:sz="4" w:space="0"/>
              <w:right w:val="single" w:color="auto" w:sz="4" w:space="0"/>
            </w:tcBorders>
            <w:shd w:val="clear" w:color="auto" w:fill="auto"/>
            <w:noWrap/>
            <w:vAlign w:val="center"/>
          </w:tcPr>
          <w:p w14:paraId="0BA8684B">
            <w:pPr>
              <w:spacing w:line="240" w:lineRule="auto"/>
              <w:ind w:firstLine="0" w:firstLineChars="0"/>
              <w:jc w:val="center"/>
              <w:rPr>
                <w:rFonts w:ascii="仿宋_GB2312" w:cs="Times New Roman"/>
                <w:sz w:val="18"/>
                <w:szCs w:val="18"/>
              </w:rPr>
            </w:pPr>
            <w:r>
              <w:rPr>
                <w:rFonts w:hint="eastAsia" w:ascii="仿宋_GB2312" w:cs="Times New Roman"/>
                <w:sz w:val="18"/>
                <w:szCs w:val="18"/>
              </w:rPr>
              <w:t>996.49</w:t>
            </w:r>
          </w:p>
        </w:tc>
        <w:tc>
          <w:tcPr>
            <w:tcW w:w="310" w:type="pct"/>
            <w:tcBorders>
              <w:top w:val="nil"/>
              <w:left w:val="nil"/>
              <w:bottom w:val="single" w:color="auto" w:sz="4" w:space="0"/>
              <w:right w:val="single" w:color="auto" w:sz="4" w:space="0"/>
            </w:tcBorders>
            <w:shd w:val="clear" w:color="auto" w:fill="auto"/>
            <w:noWrap/>
            <w:vAlign w:val="center"/>
          </w:tcPr>
          <w:p w14:paraId="56B5B0A1">
            <w:pPr>
              <w:spacing w:line="240" w:lineRule="auto"/>
              <w:ind w:firstLine="0" w:firstLineChars="0"/>
              <w:jc w:val="center"/>
              <w:rPr>
                <w:rFonts w:ascii="仿宋_GB2312" w:cs="Times New Roman"/>
                <w:sz w:val="18"/>
                <w:szCs w:val="18"/>
              </w:rPr>
            </w:pPr>
            <w:r>
              <w:rPr>
                <w:rFonts w:hint="eastAsia" w:ascii="仿宋_GB2312" w:cs="Times New Roman"/>
                <w:sz w:val="18"/>
                <w:szCs w:val="18"/>
              </w:rPr>
              <w:t>0.41</w:t>
            </w:r>
          </w:p>
        </w:tc>
        <w:tc>
          <w:tcPr>
            <w:tcW w:w="305" w:type="pct"/>
            <w:tcBorders>
              <w:top w:val="nil"/>
              <w:left w:val="nil"/>
              <w:bottom w:val="single" w:color="auto" w:sz="4" w:space="0"/>
              <w:right w:val="single" w:color="auto" w:sz="4" w:space="0"/>
            </w:tcBorders>
            <w:shd w:val="clear" w:color="auto" w:fill="auto"/>
            <w:noWrap/>
            <w:vAlign w:val="center"/>
          </w:tcPr>
          <w:p w14:paraId="1345F0D9">
            <w:pPr>
              <w:spacing w:line="240" w:lineRule="auto"/>
              <w:ind w:firstLine="0" w:firstLineChars="0"/>
              <w:jc w:val="center"/>
              <w:rPr>
                <w:rFonts w:ascii="仿宋_GB2312" w:cs="Times New Roman"/>
                <w:sz w:val="18"/>
                <w:szCs w:val="18"/>
              </w:rPr>
            </w:pPr>
            <w:r>
              <w:rPr>
                <w:rFonts w:hint="eastAsia" w:ascii="仿宋_GB2312" w:cs="Times New Roman"/>
                <w:sz w:val="18"/>
                <w:szCs w:val="18"/>
              </w:rPr>
              <w:t>0.93</w:t>
            </w:r>
          </w:p>
        </w:tc>
        <w:tc>
          <w:tcPr>
            <w:tcW w:w="310" w:type="pct"/>
            <w:tcBorders>
              <w:top w:val="nil"/>
              <w:left w:val="nil"/>
              <w:bottom w:val="single" w:color="auto" w:sz="4" w:space="0"/>
              <w:right w:val="single" w:color="auto" w:sz="4" w:space="0"/>
            </w:tcBorders>
            <w:shd w:val="clear" w:color="auto" w:fill="auto"/>
            <w:noWrap/>
            <w:vAlign w:val="center"/>
          </w:tcPr>
          <w:p w14:paraId="7D357EEF">
            <w:pPr>
              <w:spacing w:line="240" w:lineRule="auto"/>
              <w:ind w:firstLine="0" w:firstLineChars="0"/>
              <w:jc w:val="center"/>
              <w:rPr>
                <w:rFonts w:ascii="仿宋_GB2312" w:cs="Times New Roman"/>
                <w:sz w:val="18"/>
                <w:szCs w:val="18"/>
              </w:rPr>
            </w:pPr>
            <w:r>
              <w:rPr>
                <w:rFonts w:hint="eastAsia" w:ascii="仿宋_GB2312" w:cs="Times New Roman"/>
                <w:sz w:val="18"/>
                <w:szCs w:val="18"/>
              </w:rPr>
              <w:t>3.09</w:t>
            </w:r>
          </w:p>
        </w:tc>
        <w:tc>
          <w:tcPr>
            <w:tcW w:w="310" w:type="pct"/>
            <w:tcBorders>
              <w:top w:val="nil"/>
              <w:left w:val="nil"/>
              <w:bottom w:val="single" w:color="auto" w:sz="4" w:space="0"/>
              <w:right w:val="single" w:color="auto" w:sz="4" w:space="0"/>
            </w:tcBorders>
            <w:shd w:val="clear" w:color="auto" w:fill="auto"/>
            <w:noWrap/>
            <w:vAlign w:val="center"/>
          </w:tcPr>
          <w:p w14:paraId="08538952">
            <w:pPr>
              <w:spacing w:line="240" w:lineRule="auto"/>
              <w:ind w:firstLine="0" w:firstLineChars="0"/>
              <w:jc w:val="center"/>
              <w:rPr>
                <w:rFonts w:ascii="仿宋_GB2312" w:cs="Times New Roman"/>
                <w:sz w:val="18"/>
                <w:szCs w:val="18"/>
              </w:rPr>
            </w:pPr>
            <w:r>
              <w:rPr>
                <w:rFonts w:hint="eastAsia" w:ascii="仿宋_GB2312" w:cs="Times New Roman"/>
                <w:sz w:val="18"/>
                <w:szCs w:val="18"/>
              </w:rPr>
              <w:t>800.37</w:t>
            </w:r>
          </w:p>
        </w:tc>
        <w:tc>
          <w:tcPr>
            <w:tcW w:w="314" w:type="pct"/>
            <w:tcBorders>
              <w:top w:val="nil"/>
              <w:left w:val="nil"/>
              <w:bottom w:val="single" w:color="auto" w:sz="4" w:space="0"/>
              <w:right w:val="single" w:color="auto" w:sz="4" w:space="0"/>
            </w:tcBorders>
            <w:shd w:val="clear" w:color="auto" w:fill="auto"/>
            <w:noWrap/>
            <w:vAlign w:val="center"/>
          </w:tcPr>
          <w:p w14:paraId="07C7B0E3">
            <w:pPr>
              <w:spacing w:line="240" w:lineRule="auto"/>
              <w:ind w:firstLine="0" w:firstLineChars="0"/>
              <w:jc w:val="center"/>
              <w:rPr>
                <w:rFonts w:ascii="仿宋_GB2312" w:cs="Times New Roman"/>
                <w:sz w:val="18"/>
                <w:szCs w:val="18"/>
              </w:rPr>
            </w:pPr>
            <w:r>
              <w:rPr>
                <w:rFonts w:hint="eastAsia" w:ascii="仿宋_GB2312" w:cs="Times New Roman"/>
                <w:sz w:val="18"/>
                <w:szCs w:val="18"/>
              </w:rPr>
              <w:t>310.47</w:t>
            </w:r>
          </w:p>
        </w:tc>
        <w:tc>
          <w:tcPr>
            <w:tcW w:w="314" w:type="pct"/>
            <w:tcBorders>
              <w:top w:val="nil"/>
              <w:left w:val="nil"/>
              <w:bottom w:val="single" w:color="auto" w:sz="4" w:space="0"/>
              <w:right w:val="single" w:color="auto" w:sz="4" w:space="0"/>
            </w:tcBorders>
            <w:shd w:val="clear" w:color="auto" w:fill="auto"/>
            <w:noWrap/>
            <w:vAlign w:val="center"/>
          </w:tcPr>
          <w:p w14:paraId="12D99A62">
            <w:pPr>
              <w:spacing w:line="240" w:lineRule="auto"/>
              <w:ind w:firstLine="0" w:firstLineChars="0"/>
              <w:jc w:val="center"/>
              <w:rPr>
                <w:rFonts w:ascii="仿宋_GB2312" w:cs="Times New Roman"/>
                <w:sz w:val="18"/>
                <w:szCs w:val="18"/>
              </w:rPr>
            </w:pPr>
            <w:r>
              <w:rPr>
                <w:rFonts w:hint="eastAsia" w:ascii="仿宋_GB2312" w:cs="Times New Roman"/>
                <w:sz w:val="18"/>
                <w:szCs w:val="18"/>
              </w:rPr>
              <w:t>885.54</w:t>
            </w:r>
          </w:p>
        </w:tc>
        <w:tc>
          <w:tcPr>
            <w:tcW w:w="278" w:type="pct"/>
            <w:tcBorders>
              <w:top w:val="nil"/>
              <w:left w:val="nil"/>
              <w:bottom w:val="single" w:color="auto" w:sz="4" w:space="0"/>
              <w:right w:val="single" w:color="auto" w:sz="4" w:space="0"/>
            </w:tcBorders>
            <w:shd w:val="clear" w:color="auto" w:fill="auto"/>
            <w:vAlign w:val="center"/>
          </w:tcPr>
          <w:p w14:paraId="410451A2">
            <w:pPr>
              <w:spacing w:line="240" w:lineRule="auto"/>
              <w:ind w:firstLine="0" w:firstLineChars="0"/>
              <w:jc w:val="center"/>
              <w:rPr>
                <w:rFonts w:ascii="仿宋_GB2312" w:cs="Times New Roman"/>
                <w:sz w:val="18"/>
                <w:szCs w:val="18"/>
              </w:rPr>
            </w:pPr>
            <w:r>
              <w:rPr>
                <w:rFonts w:hint="eastAsia" w:ascii="仿宋_GB2312" w:cs="Times New Roman"/>
                <w:sz w:val="18"/>
                <w:szCs w:val="18"/>
              </w:rPr>
              <w:t>0</w:t>
            </w:r>
          </w:p>
        </w:tc>
      </w:tr>
    </w:tbl>
    <w:p w14:paraId="740002D1">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49038CC7">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sectPr>
          <w:pgSz w:w="16840" w:h="11907" w:orient="landscape"/>
          <w:pgMar w:top="1797" w:right="1440" w:bottom="1797" w:left="1440" w:header="851" w:footer="992" w:gutter="0"/>
          <w:cols w:space="720" w:num="1"/>
          <w:docGrid w:linePitch="312" w:charSpace="0"/>
        </w:sectPr>
      </w:pPr>
    </w:p>
    <w:p w14:paraId="712B8D1D">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附表七                                    水库基本信息览表</w:t>
      </w:r>
    </w:p>
    <w:tbl>
      <w:tblPr>
        <w:tblStyle w:val="48"/>
        <w:tblW w:w="5000" w:type="pct"/>
        <w:tblInd w:w="0" w:type="dxa"/>
        <w:tblLayout w:type="autofit"/>
        <w:tblCellMar>
          <w:top w:w="0" w:type="dxa"/>
          <w:left w:w="108" w:type="dxa"/>
          <w:bottom w:w="0" w:type="dxa"/>
          <w:right w:w="108" w:type="dxa"/>
        </w:tblCellMar>
      </w:tblPr>
      <w:tblGrid>
        <w:gridCol w:w="962"/>
        <w:gridCol w:w="1441"/>
        <w:gridCol w:w="1086"/>
        <w:gridCol w:w="1866"/>
        <w:gridCol w:w="1126"/>
        <w:gridCol w:w="1086"/>
        <w:gridCol w:w="1086"/>
        <w:gridCol w:w="1086"/>
        <w:gridCol w:w="1089"/>
        <w:gridCol w:w="1089"/>
        <w:gridCol w:w="1087"/>
        <w:gridCol w:w="1172"/>
      </w:tblGrid>
      <w:tr w14:paraId="18FB617E">
        <w:tblPrEx>
          <w:tblCellMar>
            <w:top w:w="0" w:type="dxa"/>
            <w:left w:w="108" w:type="dxa"/>
            <w:bottom w:w="0" w:type="dxa"/>
            <w:right w:w="108" w:type="dxa"/>
          </w:tblCellMar>
        </w:tblPrEx>
        <w:trPr>
          <w:trHeight w:val="890" w:hRule="atLeast"/>
        </w:trPr>
        <w:tc>
          <w:tcPr>
            <w:tcW w:w="339" w:type="pct"/>
            <w:tcBorders>
              <w:top w:val="single" w:color="auto" w:sz="4" w:space="0"/>
              <w:left w:val="single" w:color="auto" w:sz="4" w:space="0"/>
              <w:bottom w:val="single" w:color="auto" w:sz="4" w:space="0"/>
              <w:right w:val="single" w:color="auto" w:sz="4" w:space="0"/>
            </w:tcBorders>
            <w:shd w:val="clear" w:color="auto" w:fill="auto"/>
            <w:vAlign w:val="center"/>
          </w:tcPr>
          <w:p w14:paraId="408B0F9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序号</w:t>
            </w:r>
          </w:p>
        </w:tc>
        <w:tc>
          <w:tcPr>
            <w:tcW w:w="508" w:type="pct"/>
            <w:tcBorders>
              <w:top w:val="single" w:color="auto" w:sz="4" w:space="0"/>
              <w:left w:val="nil"/>
              <w:bottom w:val="single" w:color="auto" w:sz="4" w:space="0"/>
              <w:right w:val="single" w:color="auto" w:sz="4" w:space="0"/>
            </w:tcBorders>
            <w:shd w:val="clear" w:color="auto" w:fill="auto"/>
            <w:vAlign w:val="center"/>
          </w:tcPr>
          <w:p w14:paraId="31E15AB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水库名称</w:t>
            </w:r>
          </w:p>
        </w:tc>
        <w:tc>
          <w:tcPr>
            <w:tcW w:w="383" w:type="pct"/>
            <w:tcBorders>
              <w:top w:val="single" w:color="auto" w:sz="4" w:space="0"/>
              <w:left w:val="nil"/>
              <w:bottom w:val="single" w:color="auto" w:sz="4" w:space="0"/>
              <w:right w:val="single" w:color="auto" w:sz="4" w:space="0"/>
            </w:tcBorders>
            <w:shd w:val="clear" w:color="auto" w:fill="auto"/>
            <w:vAlign w:val="center"/>
          </w:tcPr>
          <w:p w14:paraId="2D60D51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类型</w:t>
            </w:r>
          </w:p>
        </w:tc>
        <w:tc>
          <w:tcPr>
            <w:tcW w:w="658" w:type="pct"/>
            <w:tcBorders>
              <w:top w:val="single" w:color="auto" w:sz="4" w:space="0"/>
              <w:left w:val="nil"/>
              <w:bottom w:val="single" w:color="auto" w:sz="4" w:space="0"/>
              <w:right w:val="single" w:color="auto" w:sz="4" w:space="0"/>
            </w:tcBorders>
            <w:shd w:val="clear" w:color="auto" w:fill="auto"/>
            <w:vAlign w:val="center"/>
          </w:tcPr>
          <w:p w14:paraId="76DB0A2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总库容（万m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397" w:type="pct"/>
            <w:tcBorders>
              <w:top w:val="single" w:color="auto" w:sz="4" w:space="0"/>
              <w:left w:val="nil"/>
              <w:bottom w:val="single" w:color="auto" w:sz="4" w:space="0"/>
              <w:right w:val="single" w:color="auto" w:sz="4" w:space="0"/>
            </w:tcBorders>
            <w:shd w:val="clear" w:color="auto" w:fill="auto"/>
            <w:vAlign w:val="center"/>
          </w:tcPr>
          <w:p w14:paraId="4C21424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调洪库容（万m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383" w:type="pct"/>
            <w:tcBorders>
              <w:top w:val="single" w:color="auto" w:sz="4" w:space="0"/>
              <w:left w:val="nil"/>
              <w:bottom w:val="single" w:color="auto" w:sz="4" w:space="0"/>
              <w:right w:val="single" w:color="auto" w:sz="4" w:space="0"/>
            </w:tcBorders>
            <w:shd w:val="clear" w:color="auto" w:fill="auto"/>
            <w:vAlign w:val="center"/>
          </w:tcPr>
          <w:p w14:paraId="32F7613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兴利库容（万m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383" w:type="pct"/>
            <w:tcBorders>
              <w:top w:val="single" w:color="auto" w:sz="4" w:space="0"/>
              <w:left w:val="nil"/>
              <w:bottom w:val="single" w:color="auto" w:sz="4" w:space="0"/>
              <w:right w:val="single" w:color="auto" w:sz="4" w:space="0"/>
            </w:tcBorders>
            <w:shd w:val="clear" w:color="auto" w:fill="auto"/>
            <w:vAlign w:val="center"/>
          </w:tcPr>
          <w:p w14:paraId="5758B41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死库容（万m</w:t>
            </w:r>
            <w:r>
              <w:rPr>
                <w:rFonts w:hint="eastAsia" w:ascii="仿宋_GB2312" w:hAnsi="等线"/>
                <w:color w:val="000000"/>
                <w:sz w:val="21"/>
                <w:szCs w:val="21"/>
                <w:vertAlign w:val="superscript"/>
              </w:rPr>
              <w:t>3</w:t>
            </w:r>
            <w:r>
              <w:rPr>
                <w:rFonts w:hint="eastAsia" w:ascii="仿宋_GB2312" w:hAnsi="等线"/>
                <w:color w:val="000000"/>
                <w:sz w:val="21"/>
                <w:szCs w:val="21"/>
              </w:rPr>
              <w:t>）</w:t>
            </w:r>
          </w:p>
        </w:tc>
        <w:tc>
          <w:tcPr>
            <w:tcW w:w="383" w:type="pct"/>
            <w:tcBorders>
              <w:top w:val="single" w:color="auto" w:sz="4" w:space="0"/>
              <w:left w:val="nil"/>
              <w:bottom w:val="single" w:color="auto" w:sz="4" w:space="0"/>
              <w:right w:val="single" w:color="auto" w:sz="4" w:space="0"/>
            </w:tcBorders>
            <w:shd w:val="clear" w:color="auto" w:fill="auto"/>
            <w:vAlign w:val="center"/>
          </w:tcPr>
          <w:p w14:paraId="0102035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坝型</w:t>
            </w:r>
          </w:p>
        </w:tc>
        <w:tc>
          <w:tcPr>
            <w:tcW w:w="384" w:type="pct"/>
            <w:tcBorders>
              <w:top w:val="single" w:color="auto" w:sz="4" w:space="0"/>
              <w:left w:val="nil"/>
              <w:bottom w:val="single" w:color="auto" w:sz="4" w:space="0"/>
              <w:right w:val="single" w:color="auto" w:sz="4" w:space="0"/>
            </w:tcBorders>
            <w:shd w:val="clear" w:color="auto" w:fill="auto"/>
            <w:vAlign w:val="center"/>
          </w:tcPr>
          <w:p w14:paraId="4547F04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最大坝高（m）</w:t>
            </w:r>
          </w:p>
        </w:tc>
        <w:tc>
          <w:tcPr>
            <w:tcW w:w="384" w:type="pct"/>
            <w:tcBorders>
              <w:top w:val="single" w:color="auto" w:sz="4" w:space="0"/>
              <w:left w:val="nil"/>
              <w:bottom w:val="single" w:color="auto" w:sz="4" w:space="0"/>
              <w:right w:val="single" w:color="auto" w:sz="4" w:space="0"/>
            </w:tcBorders>
            <w:shd w:val="clear" w:color="auto" w:fill="auto"/>
            <w:vAlign w:val="center"/>
          </w:tcPr>
          <w:p w14:paraId="73D9F0C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坝长（m）</w:t>
            </w:r>
          </w:p>
        </w:tc>
        <w:tc>
          <w:tcPr>
            <w:tcW w:w="383" w:type="pct"/>
            <w:tcBorders>
              <w:top w:val="single" w:color="auto" w:sz="4" w:space="0"/>
              <w:left w:val="nil"/>
              <w:bottom w:val="single" w:color="auto" w:sz="4" w:space="0"/>
              <w:right w:val="single" w:color="auto" w:sz="4" w:space="0"/>
            </w:tcBorders>
            <w:shd w:val="clear" w:color="auto" w:fill="auto"/>
            <w:vAlign w:val="center"/>
          </w:tcPr>
          <w:p w14:paraId="0AF6891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控制灌溉面积（万亩）</w:t>
            </w:r>
          </w:p>
        </w:tc>
        <w:tc>
          <w:tcPr>
            <w:tcW w:w="413" w:type="pct"/>
            <w:tcBorders>
              <w:top w:val="single" w:color="auto" w:sz="4" w:space="0"/>
              <w:left w:val="nil"/>
              <w:bottom w:val="single" w:color="auto" w:sz="4" w:space="0"/>
              <w:right w:val="single" w:color="auto" w:sz="4" w:space="0"/>
            </w:tcBorders>
            <w:shd w:val="clear" w:color="auto" w:fill="auto"/>
            <w:vAlign w:val="center"/>
          </w:tcPr>
          <w:p w14:paraId="2EF6E56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输水洞最大流量（m</w:t>
            </w:r>
            <w:r>
              <w:rPr>
                <w:rFonts w:hint="eastAsia" w:ascii="仿宋_GB2312" w:hAnsi="等线"/>
                <w:color w:val="000000"/>
                <w:sz w:val="21"/>
                <w:szCs w:val="21"/>
                <w:vertAlign w:val="superscript"/>
              </w:rPr>
              <w:t>3</w:t>
            </w:r>
            <w:r>
              <w:rPr>
                <w:rFonts w:hint="eastAsia" w:ascii="仿宋_GB2312" w:hAnsi="等线"/>
                <w:color w:val="000000"/>
                <w:sz w:val="21"/>
                <w:szCs w:val="21"/>
              </w:rPr>
              <w:t>/s）</w:t>
            </w:r>
          </w:p>
        </w:tc>
      </w:tr>
      <w:tr w14:paraId="64D7B015">
        <w:tblPrEx>
          <w:tblCellMar>
            <w:top w:w="0" w:type="dxa"/>
            <w:left w:w="108" w:type="dxa"/>
            <w:bottom w:w="0" w:type="dxa"/>
            <w:right w:w="108" w:type="dxa"/>
          </w:tblCellMar>
        </w:tblPrEx>
        <w:trPr>
          <w:trHeight w:val="56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7ED7DFC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w:t>
            </w:r>
          </w:p>
        </w:tc>
        <w:tc>
          <w:tcPr>
            <w:tcW w:w="508" w:type="pct"/>
            <w:tcBorders>
              <w:top w:val="nil"/>
              <w:left w:val="nil"/>
              <w:bottom w:val="single" w:color="auto" w:sz="4" w:space="0"/>
              <w:right w:val="single" w:color="auto" w:sz="4" w:space="0"/>
            </w:tcBorders>
            <w:shd w:val="clear" w:color="auto" w:fill="auto"/>
            <w:vAlign w:val="center"/>
          </w:tcPr>
          <w:p w14:paraId="3AB1FB8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白杨河水库</w:t>
            </w:r>
          </w:p>
        </w:tc>
        <w:tc>
          <w:tcPr>
            <w:tcW w:w="383" w:type="pct"/>
            <w:tcBorders>
              <w:top w:val="nil"/>
              <w:left w:val="nil"/>
              <w:bottom w:val="single" w:color="auto" w:sz="4" w:space="0"/>
              <w:right w:val="single" w:color="auto" w:sz="4" w:space="0"/>
            </w:tcBorders>
            <w:shd w:val="clear" w:color="auto" w:fill="auto"/>
            <w:vAlign w:val="center"/>
          </w:tcPr>
          <w:p w14:paraId="590ABF6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中型</w:t>
            </w:r>
          </w:p>
        </w:tc>
        <w:tc>
          <w:tcPr>
            <w:tcW w:w="658" w:type="pct"/>
            <w:tcBorders>
              <w:top w:val="nil"/>
              <w:left w:val="nil"/>
              <w:bottom w:val="single" w:color="auto" w:sz="4" w:space="0"/>
              <w:right w:val="single" w:color="auto" w:sz="4" w:space="0"/>
            </w:tcBorders>
            <w:shd w:val="clear" w:color="auto" w:fill="auto"/>
            <w:vAlign w:val="center"/>
          </w:tcPr>
          <w:p w14:paraId="0C5DEB6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1270.6</w:t>
            </w:r>
          </w:p>
        </w:tc>
        <w:tc>
          <w:tcPr>
            <w:tcW w:w="397" w:type="pct"/>
            <w:tcBorders>
              <w:top w:val="nil"/>
              <w:left w:val="nil"/>
              <w:bottom w:val="single" w:color="auto" w:sz="4" w:space="0"/>
              <w:right w:val="single" w:color="auto" w:sz="4" w:space="0"/>
            </w:tcBorders>
            <w:shd w:val="clear" w:color="auto" w:fill="auto"/>
            <w:vAlign w:val="center"/>
          </w:tcPr>
          <w:p w14:paraId="0A1D64A1">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1112</w:t>
            </w:r>
          </w:p>
        </w:tc>
        <w:tc>
          <w:tcPr>
            <w:tcW w:w="383" w:type="pct"/>
            <w:tcBorders>
              <w:top w:val="nil"/>
              <w:left w:val="nil"/>
              <w:bottom w:val="single" w:color="auto" w:sz="4" w:space="0"/>
              <w:right w:val="single" w:color="auto" w:sz="4" w:space="0"/>
            </w:tcBorders>
            <w:shd w:val="clear" w:color="auto" w:fill="auto"/>
            <w:vAlign w:val="center"/>
          </w:tcPr>
          <w:p w14:paraId="24AA388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1111.9</w:t>
            </w:r>
          </w:p>
        </w:tc>
        <w:tc>
          <w:tcPr>
            <w:tcW w:w="383" w:type="pct"/>
            <w:tcBorders>
              <w:top w:val="nil"/>
              <w:left w:val="nil"/>
              <w:bottom w:val="single" w:color="auto" w:sz="4" w:space="0"/>
              <w:right w:val="single" w:color="auto" w:sz="4" w:space="0"/>
            </w:tcBorders>
            <w:shd w:val="clear" w:color="auto" w:fill="auto"/>
            <w:vAlign w:val="center"/>
          </w:tcPr>
          <w:p w14:paraId="314743D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86.8</w:t>
            </w:r>
          </w:p>
        </w:tc>
        <w:tc>
          <w:tcPr>
            <w:tcW w:w="383" w:type="pct"/>
            <w:tcBorders>
              <w:top w:val="nil"/>
              <w:left w:val="nil"/>
              <w:bottom w:val="single" w:color="auto" w:sz="4" w:space="0"/>
              <w:right w:val="single" w:color="auto" w:sz="4" w:space="0"/>
            </w:tcBorders>
            <w:shd w:val="clear" w:color="auto" w:fill="auto"/>
            <w:vAlign w:val="center"/>
          </w:tcPr>
          <w:p w14:paraId="1601B2A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粘土心墙</w:t>
            </w:r>
          </w:p>
        </w:tc>
        <w:tc>
          <w:tcPr>
            <w:tcW w:w="384" w:type="pct"/>
            <w:tcBorders>
              <w:top w:val="nil"/>
              <w:left w:val="nil"/>
              <w:bottom w:val="single" w:color="auto" w:sz="4" w:space="0"/>
              <w:right w:val="single" w:color="auto" w:sz="4" w:space="0"/>
            </w:tcBorders>
            <w:shd w:val="clear" w:color="auto" w:fill="auto"/>
            <w:vAlign w:val="center"/>
          </w:tcPr>
          <w:p w14:paraId="5A2F383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70.5</w:t>
            </w:r>
          </w:p>
        </w:tc>
        <w:tc>
          <w:tcPr>
            <w:tcW w:w="384" w:type="pct"/>
            <w:tcBorders>
              <w:top w:val="nil"/>
              <w:left w:val="nil"/>
              <w:bottom w:val="single" w:color="auto" w:sz="4" w:space="0"/>
              <w:right w:val="single" w:color="auto" w:sz="4" w:space="0"/>
            </w:tcBorders>
            <w:shd w:val="clear" w:color="auto" w:fill="auto"/>
            <w:vAlign w:val="center"/>
          </w:tcPr>
          <w:p w14:paraId="608D3CE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729.5</w:t>
            </w:r>
          </w:p>
        </w:tc>
        <w:tc>
          <w:tcPr>
            <w:tcW w:w="383" w:type="pct"/>
            <w:tcBorders>
              <w:top w:val="nil"/>
              <w:left w:val="nil"/>
              <w:bottom w:val="single" w:color="auto" w:sz="4" w:space="0"/>
              <w:right w:val="single" w:color="auto" w:sz="4" w:space="0"/>
            </w:tcBorders>
            <w:shd w:val="clear" w:color="auto" w:fill="auto"/>
            <w:vAlign w:val="center"/>
          </w:tcPr>
          <w:p w14:paraId="25661AF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15.49</w:t>
            </w:r>
          </w:p>
        </w:tc>
        <w:tc>
          <w:tcPr>
            <w:tcW w:w="413" w:type="pct"/>
            <w:tcBorders>
              <w:top w:val="nil"/>
              <w:left w:val="nil"/>
              <w:bottom w:val="single" w:color="auto" w:sz="4" w:space="0"/>
              <w:right w:val="single" w:color="auto" w:sz="4" w:space="0"/>
            </w:tcBorders>
            <w:shd w:val="clear" w:color="auto" w:fill="auto"/>
            <w:vAlign w:val="center"/>
          </w:tcPr>
          <w:p w14:paraId="5926818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76.52</w:t>
            </w:r>
          </w:p>
        </w:tc>
      </w:tr>
      <w:tr w14:paraId="1F111FD2">
        <w:tblPrEx>
          <w:tblCellMar>
            <w:top w:w="0" w:type="dxa"/>
            <w:left w:w="108" w:type="dxa"/>
            <w:bottom w:w="0" w:type="dxa"/>
            <w:right w:w="108" w:type="dxa"/>
          </w:tblCellMar>
        </w:tblPrEx>
        <w:trPr>
          <w:trHeight w:val="66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418B055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w:t>
            </w:r>
          </w:p>
        </w:tc>
        <w:tc>
          <w:tcPr>
            <w:tcW w:w="508" w:type="pct"/>
            <w:tcBorders>
              <w:top w:val="nil"/>
              <w:left w:val="nil"/>
              <w:bottom w:val="single" w:color="auto" w:sz="4" w:space="0"/>
              <w:right w:val="single" w:color="auto" w:sz="4" w:space="0"/>
            </w:tcBorders>
            <w:shd w:val="clear" w:color="auto" w:fill="auto"/>
            <w:vAlign w:val="center"/>
          </w:tcPr>
          <w:p w14:paraId="0D58FA81">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红山水库</w:t>
            </w:r>
          </w:p>
        </w:tc>
        <w:tc>
          <w:tcPr>
            <w:tcW w:w="383" w:type="pct"/>
            <w:tcBorders>
              <w:top w:val="nil"/>
              <w:left w:val="nil"/>
              <w:bottom w:val="single" w:color="auto" w:sz="4" w:space="0"/>
              <w:right w:val="single" w:color="auto" w:sz="4" w:space="0"/>
            </w:tcBorders>
            <w:shd w:val="clear" w:color="auto" w:fill="auto"/>
            <w:vAlign w:val="center"/>
          </w:tcPr>
          <w:p w14:paraId="298EF22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658" w:type="pct"/>
            <w:tcBorders>
              <w:top w:val="nil"/>
              <w:left w:val="nil"/>
              <w:bottom w:val="single" w:color="auto" w:sz="4" w:space="0"/>
              <w:right w:val="single" w:color="auto" w:sz="4" w:space="0"/>
            </w:tcBorders>
            <w:shd w:val="clear" w:color="auto" w:fill="auto"/>
            <w:vAlign w:val="center"/>
          </w:tcPr>
          <w:p w14:paraId="6BED242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375.56</w:t>
            </w:r>
          </w:p>
        </w:tc>
        <w:tc>
          <w:tcPr>
            <w:tcW w:w="397" w:type="pct"/>
            <w:tcBorders>
              <w:top w:val="nil"/>
              <w:left w:val="nil"/>
              <w:bottom w:val="single" w:color="auto" w:sz="4" w:space="0"/>
              <w:right w:val="single" w:color="auto" w:sz="4" w:space="0"/>
            </w:tcBorders>
            <w:shd w:val="clear" w:color="auto" w:fill="auto"/>
            <w:vAlign w:val="center"/>
          </w:tcPr>
          <w:p w14:paraId="0390BF6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144</w:t>
            </w:r>
          </w:p>
        </w:tc>
        <w:tc>
          <w:tcPr>
            <w:tcW w:w="383" w:type="pct"/>
            <w:tcBorders>
              <w:top w:val="nil"/>
              <w:left w:val="nil"/>
              <w:bottom w:val="single" w:color="auto" w:sz="4" w:space="0"/>
              <w:right w:val="single" w:color="auto" w:sz="4" w:space="0"/>
            </w:tcBorders>
            <w:shd w:val="clear" w:color="auto" w:fill="auto"/>
            <w:vAlign w:val="center"/>
          </w:tcPr>
          <w:p w14:paraId="630C17D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226.64</w:t>
            </w:r>
          </w:p>
        </w:tc>
        <w:tc>
          <w:tcPr>
            <w:tcW w:w="383" w:type="pct"/>
            <w:tcBorders>
              <w:top w:val="nil"/>
              <w:left w:val="nil"/>
              <w:bottom w:val="single" w:color="auto" w:sz="4" w:space="0"/>
              <w:right w:val="single" w:color="auto" w:sz="4" w:space="0"/>
            </w:tcBorders>
            <w:shd w:val="clear" w:color="auto" w:fill="auto"/>
            <w:vAlign w:val="center"/>
          </w:tcPr>
          <w:p w14:paraId="61FBF7E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4.86</w:t>
            </w:r>
          </w:p>
        </w:tc>
        <w:tc>
          <w:tcPr>
            <w:tcW w:w="383" w:type="pct"/>
            <w:tcBorders>
              <w:top w:val="nil"/>
              <w:left w:val="nil"/>
              <w:bottom w:val="single" w:color="auto" w:sz="4" w:space="0"/>
              <w:right w:val="single" w:color="auto" w:sz="4" w:space="0"/>
            </w:tcBorders>
            <w:shd w:val="clear" w:color="auto" w:fill="auto"/>
            <w:vAlign w:val="center"/>
          </w:tcPr>
          <w:p w14:paraId="1A6381B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粘土心墙砂壳</w:t>
            </w:r>
          </w:p>
        </w:tc>
        <w:tc>
          <w:tcPr>
            <w:tcW w:w="384" w:type="pct"/>
            <w:tcBorders>
              <w:top w:val="nil"/>
              <w:left w:val="nil"/>
              <w:bottom w:val="single" w:color="auto" w:sz="4" w:space="0"/>
              <w:right w:val="single" w:color="auto" w:sz="4" w:space="0"/>
            </w:tcBorders>
            <w:shd w:val="clear" w:color="auto" w:fill="auto"/>
            <w:vAlign w:val="center"/>
          </w:tcPr>
          <w:p w14:paraId="76730C0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32</w:t>
            </w:r>
          </w:p>
        </w:tc>
        <w:tc>
          <w:tcPr>
            <w:tcW w:w="384" w:type="pct"/>
            <w:tcBorders>
              <w:top w:val="nil"/>
              <w:left w:val="nil"/>
              <w:bottom w:val="single" w:color="auto" w:sz="4" w:space="0"/>
              <w:right w:val="single" w:color="auto" w:sz="4" w:space="0"/>
            </w:tcBorders>
            <w:shd w:val="clear" w:color="auto" w:fill="auto"/>
            <w:vAlign w:val="center"/>
          </w:tcPr>
          <w:p w14:paraId="36A2947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506</w:t>
            </w:r>
          </w:p>
        </w:tc>
        <w:tc>
          <w:tcPr>
            <w:tcW w:w="383" w:type="pct"/>
            <w:tcBorders>
              <w:top w:val="nil"/>
              <w:left w:val="nil"/>
              <w:bottom w:val="single" w:color="auto" w:sz="4" w:space="0"/>
              <w:right w:val="single" w:color="auto" w:sz="4" w:space="0"/>
            </w:tcBorders>
            <w:shd w:val="clear" w:color="auto" w:fill="auto"/>
            <w:vAlign w:val="center"/>
          </w:tcPr>
          <w:p w14:paraId="162633D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2.09</w:t>
            </w:r>
          </w:p>
        </w:tc>
        <w:tc>
          <w:tcPr>
            <w:tcW w:w="413" w:type="pct"/>
            <w:tcBorders>
              <w:top w:val="nil"/>
              <w:left w:val="nil"/>
              <w:bottom w:val="single" w:color="auto" w:sz="4" w:space="0"/>
              <w:right w:val="single" w:color="auto" w:sz="4" w:space="0"/>
            </w:tcBorders>
            <w:shd w:val="clear" w:color="auto" w:fill="auto"/>
            <w:vAlign w:val="center"/>
          </w:tcPr>
          <w:p w14:paraId="529F385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13</w:t>
            </w:r>
          </w:p>
        </w:tc>
      </w:tr>
      <w:tr w14:paraId="0A9E6434">
        <w:tblPrEx>
          <w:tblCellMar>
            <w:top w:w="0" w:type="dxa"/>
            <w:left w:w="108" w:type="dxa"/>
            <w:bottom w:w="0" w:type="dxa"/>
            <w:right w:w="108" w:type="dxa"/>
          </w:tblCellMar>
        </w:tblPrEx>
        <w:trPr>
          <w:trHeight w:val="24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6EFE72F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w:t>
            </w:r>
          </w:p>
        </w:tc>
        <w:tc>
          <w:tcPr>
            <w:tcW w:w="508" w:type="pct"/>
            <w:tcBorders>
              <w:top w:val="nil"/>
              <w:left w:val="nil"/>
              <w:bottom w:val="single" w:color="auto" w:sz="4" w:space="0"/>
              <w:right w:val="single" w:color="auto" w:sz="4" w:space="0"/>
            </w:tcBorders>
            <w:shd w:val="clear" w:color="auto" w:fill="auto"/>
            <w:vAlign w:val="center"/>
          </w:tcPr>
          <w:p w14:paraId="328D1FA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红星水库</w:t>
            </w:r>
          </w:p>
        </w:tc>
        <w:tc>
          <w:tcPr>
            <w:tcW w:w="383" w:type="pct"/>
            <w:tcBorders>
              <w:top w:val="nil"/>
              <w:left w:val="nil"/>
              <w:bottom w:val="single" w:color="auto" w:sz="4" w:space="0"/>
              <w:right w:val="single" w:color="auto" w:sz="4" w:space="0"/>
            </w:tcBorders>
            <w:shd w:val="clear" w:color="auto" w:fill="auto"/>
            <w:vAlign w:val="center"/>
          </w:tcPr>
          <w:p w14:paraId="6B0362C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658" w:type="pct"/>
            <w:tcBorders>
              <w:top w:val="nil"/>
              <w:left w:val="nil"/>
              <w:bottom w:val="single" w:color="auto" w:sz="4" w:space="0"/>
              <w:right w:val="single" w:color="auto" w:sz="4" w:space="0"/>
            </w:tcBorders>
            <w:shd w:val="clear" w:color="auto" w:fill="auto"/>
            <w:vAlign w:val="center"/>
          </w:tcPr>
          <w:p w14:paraId="7BF1D08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100</w:t>
            </w:r>
          </w:p>
        </w:tc>
        <w:tc>
          <w:tcPr>
            <w:tcW w:w="397" w:type="pct"/>
            <w:tcBorders>
              <w:top w:val="nil"/>
              <w:left w:val="nil"/>
              <w:bottom w:val="single" w:color="auto" w:sz="4" w:space="0"/>
              <w:right w:val="single" w:color="auto" w:sz="4" w:space="0"/>
            </w:tcBorders>
            <w:shd w:val="clear" w:color="auto" w:fill="auto"/>
            <w:vAlign w:val="center"/>
          </w:tcPr>
          <w:p w14:paraId="06D98950">
            <w:pPr>
              <w:adjustRightInd w:val="0"/>
              <w:snapToGrid w:val="0"/>
              <w:spacing w:line="240" w:lineRule="auto"/>
              <w:ind w:firstLine="0" w:firstLineChars="0"/>
              <w:jc w:val="center"/>
              <w:rPr>
                <w:rFonts w:hint="eastAsia" w:ascii="仿宋_GB2312" w:hAnsi="等线"/>
                <w:color w:val="000000"/>
                <w:sz w:val="21"/>
                <w:szCs w:val="21"/>
              </w:rPr>
            </w:pPr>
          </w:p>
        </w:tc>
        <w:tc>
          <w:tcPr>
            <w:tcW w:w="383" w:type="pct"/>
            <w:tcBorders>
              <w:top w:val="nil"/>
              <w:left w:val="nil"/>
              <w:bottom w:val="single" w:color="auto" w:sz="4" w:space="0"/>
              <w:right w:val="single" w:color="auto" w:sz="4" w:space="0"/>
            </w:tcBorders>
            <w:shd w:val="clear" w:color="auto" w:fill="auto"/>
            <w:vAlign w:val="center"/>
          </w:tcPr>
          <w:p w14:paraId="6275737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92.5</w:t>
            </w:r>
          </w:p>
        </w:tc>
        <w:tc>
          <w:tcPr>
            <w:tcW w:w="383" w:type="pct"/>
            <w:tcBorders>
              <w:top w:val="nil"/>
              <w:left w:val="nil"/>
              <w:bottom w:val="single" w:color="auto" w:sz="4" w:space="0"/>
              <w:right w:val="single" w:color="auto" w:sz="4" w:space="0"/>
            </w:tcBorders>
            <w:shd w:val="clear" w:color="auto" w:fill="auto"/>
            <w:vAlign w:val="center"/>
          </w:tcPr>
          <w:p w14:paraId="4EDA846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7.5</w:t>
            </w:r>
          </w:p>
        </w:tc>
        <w:tc>
          <w:tcPr>
            <w:tcW w:w="383" w:type="pct"/>
            <w:tcBorders>
              <w:top w:val="nil"/>
              <w:left w:val="nil"/>
              <w:bottom w:val="single" w:color="auto" w:sz="4" w:space="0"/>
              <w:right w:val="single" w:color="auto" w:sz="4" w:space="0"/>
            </w:tcBorders>
            <w:shd w:val="clear" w:color="auto" w:fill="auto"/>
            <w:vAlign w:val="center"/>
          </w:tcPr>
          <w:p w14:paraId="3017234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4" w:type="pct"/>
            <w:tcBorders>
              <w:top w:val="nil"/>
              <w:left w:val="nil"/>
              <w:bottom w:val="single" w:color="auto" w:sz="4" w:space="0"/>
              <w:right w:val="single" w:color="auto" w:sz="4" w:space="0"/>
            </w:tcBorders>
            <w:shd w:val="clear" w:color="auto" w:fill="auto"/>
            <w:vAlign w:val="center"/>
          </w:tcPr>
          <w:p w14:paraId="02B1919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13.6</w:t>
            </w:r>
          </w:p>
        </w:tc>
        <w:tc>
          <w:tcPr>
            <w:tcW w:w="384" w:type="pct"/>
            <w:tcBorders>
              <w:top w:val="nil"/>
              <w:left w:val="nil"/>
              <w:bottom w:val="single" w:color="auto" w:sz="4" w:space="0"/>
              <w:right w:val="single" w:color="auto" w:sz="4" w:space="0"/>
            </w:tcBorders>
            <w:shd w:val="clear" w:color="auto" w:fill="auto"/>
            <w:vAlign w:val="center"/>
          </w:tcPr>
          <w:p w14:paraId="712C3C0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1727</w:t>
            </w:r>
          </w:p>
        </w:tc>
        <w:tc>
          <w:tcPr>
            <w:tcW w:w="383" w:type="pct"/>
            <w:tcBorders>
              <w:top w:val="nil"/>
              <w:left w:val="nil"/>
              <w:bottom w:val="single" w:color="auto" w:sz="4" w:space="0"/>
              <w:right w:val="single" w:color="auto" w:sz="4" w:space="0"/>
            </w:tcBorders>
            <w:shd w:val="clear" w:color="auto" w:fill="auto"/>
            <w:vAlign w:val="center"/>
          </w:tcPr>
          <w:p w14:paraId="4907CC6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工业</w:t>
            </w:r>
          </w:p>
        </w:tc>
        <w:tc>
          <w:tcPr>
            <w:tcW w:w="413" w:type="pct"/>
            <w:tcBorders>
              <w:top w:val="nil"/>
              <w:left w:val="nil"/>
              <w:bottom w:val="single" w:color="auto" w:sz="4" w:space="0"/>
              <w:right w:val="single" w:color="auto" w:sz="4" w:space="0"/>
            </w:tcBorders>
            <w:shd w:val="clear" w:color="auto" w:fill="auto"/>
            <w:vAlign w:val="center"/>
          </w:tcPr>
          <w:p w14:paraId="4B38B57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w:t>
            </w:r>
          </w:p>
        </w:tc>
      </w:tr>
      <w:tr w14:paraId="24B8608A">
        <w:tblPrEx>
          <w:tblCellMar>
            <w:top w:w="0" w:type="dxa"/>
            <w:left w:w="108" w:type="dxa"/>
            <w:bottom w:w="0" w:type="dxa"/>
            <w:right w:w="108" w:type="dxa"/>
          </w:tblCellMar>
        </w:tblPrEx>
        <w:trPr>
          <w:trHeight w:val="56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7976CA3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w:t>
            </w:r>
          </w:p>
        </w:tc>
        <w:tc>
          <w:tcPr>
            <w:tcW w:w="508" w:type="pct"/>
            <w:tcBorders>
              <w:top w:val="nil"/>
              <w:left w:val="nil"/>
              <w:bottom w:val="single" w:color="auto" w:sz="4" w:space="0"/>
              <w:right w:val="single" w:color="auto" w:sz="4" w:space="0"/>
            </w:tcBorders>
            <w:shd w:val="clear" w:color="auto" w:fill="auto"/>
            <w:vAlign w:val="center"/>
          </w:tcPr>
          <w:p w14:paraId="5D37DFE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黄土梁水库</w:t>
            </w:r>
          </w:p>
        </w:tc>
        <w:tc>
          <w:tcPr>
            <w:tcW w:w="383" w:type="pct"/>
            <w:tcBorders>
              <w:top w:val="nil"/>
              <w:left w:val="nil"/>
              <w:bottom w:val="single" w:color="auto" w:sz="4" w:space="0"/>
              <w:right w:val="single" w:color="auto" w:sz="4" w:space="0"/>
            </w:tcBorders>
            <w:shd w:val="clear" w:color="auto" w:fill="auto"/>
            <w:vAlign w:val="center"/>
          </w:tcPr>
          <w:p w14:paraId="439608A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658" w:type="pct"/>
            <w:tcBorders>
              <w:top w:val="nil"/>
              <w:left w:val="nil"/>
              <w:bottom w:val="single" w:color="auto" w:sz="4" w:space="0"/>
              <w:right w:val="single" w:color="auto" w:sz="4" w:space="0"/>
            </w:tcBorders>
            <w:shd w:val="clear" w:color="auto" w:fill="auto"/>
            <w:vAlign w:val="center"/>
          </w:tcPr>
          <w:p w14:paraId="6DD7813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310</w:t>
            </w:r>
          </w:p>
        </w:tc>
        <w:tc>
          <w:tcPr>
            <w:tcW w:w="397" w:type="pct"/>
            <w:tcBorders>
              <w:top w:val="nil"/>
              <w:left w:val="nil"/>
              <w:bottom w:val="single" w:color="auto" w:sz="4" w:space="0"/>
              <w:right w:val="single" w:color="auto" w:sz="4" w:space="0"/>
            </w:tcBorders>
            <w:shd w:val="clear" w:color="auto" w:fill="auto"/>
            <w:vAlign w:val="center"/>
          </w:tcPr>
          <w:p w14:paraId="7F84961B">
            <w:pPr>
              <w:adjustRightInd w:val="0"/>
              <w:snapToGrid w:val="0"/>
              <w:spacing w:line="240" w:lineRule="auto"/>
              <w:ind w:firstLine="0" w:firstLineChars="0"/>
              <w:jc w:val="center"/>
              <w:rPr>
                <w:rFonts w:hint="eastAsia" w:ascii="仿宋_GB2312" w:hAnsi="等线"/>
                <w:color w:val="000000"/>
                <w:sz w:val="21"/>
                <w:szCs w:val="21"/>
              </w:rPr>
            </w:pPr>
          </w:p>
        </w:tc>
        <w:tc>
          <w:tcPr>
            <w:tcW w:w="383" w:type="pct"/>
            <w:tcBorders>
              <w:top w:val="nil"/>
              <w:left w:val="nil"/>
              <w:bottom w:val="single" w:color="auto" w:sz="4" w:space="0"/>
              <w:right w:val="single" w:color="auto" w:sz="4" w:space="0"/>
            </w:tcBorders>
            <w:shd w:val="clear" w:color="auto" w:fill="auto"/>
            <w:vAlign w:val="center"/>
          </w:tcPr>
          <w:p w14:paraId="1C7F918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284</w:t>
            </w:r>
          </w:p>
        </w:tc>
        <w:tc>
          <w:tcPr>
            <w:tcW w:w="383" w:type="pct"/>
            <w:tcBorders>
              <w:top w:val="nil"/>
              <w:left w:val="nil"/>
              <w:bottom w:val="single" w:color="auto" w:sz="4" w:space="0"/>
              <w:right w:val="single" w:color="auto" w:sz="4" w:space="0"/>
            </w:tcBorders>
            <w:shd w:val="clear" w:color="auto" w:fill="auto"/>
            <w:vAlign w:val="center"/>
          </w:tcPr>
          <w:p w14:paraId="64FDD9E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26</w:t>
            </w:r>
          </w:p>
        </w:tc>
        <w:tc>
          <w:tcPr>
            <w:tcW w:w="383" w:type="pct"/>
            <w:tcBorders>
              <w:top w:val="nil"/>
              <w:left w:val="nil"/>
              <w:bottom w:val="single" w:color="auto" w:sz="4" w:space="0"/>
              <w:right w:val="single" w:color="auto" w:sz="4" w:space="0"/>
            </w:tcBorders>
            <w:shd w:val="clear" w:color="auto" w:fill="auto"/>
            <w:vAlign w:val="center"/>
          </w:tcPr>
          <w:p w14:paraId="799D5D2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4" w:type="pct"/>
            <w:tcBorders>
              <w:top w:val="nil"/>
              <w:left w:val="nil"/>
              <w:bottom w:val="single" w:color="auto" w:sz="4" w:space="0"/>
              <w:right w:val="single" w:color="auto" w:sz="4" w:space="0"/>
            </w:tcBorders>
            <w:shd w:val="clear" w:color="auto" w:fill="auto"/>
            <w:vAlign w:val="center"/>
          </w:tcPr>
          <w:p w14:paraId="250C03D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7.5</w:t>
            </w:r>
          </w:p>
        </w:tc>
        <w:tc>
          <w:tcPr>
            <w:tcW w:w="384" w:type="pct"/>
            <w:tcBorders>
              <w:top w:val="nil"/>
              <w:left w:val="nil"/>
              <w:bottom w:val="single" w:color="auto" w:sz="4" w:space="0"/>
              <w:right w:val="single" w:color="auto" w:sz="4" w:space="0"/>
            </w:tcBorders>
            <w:shd w:val="clear" w:color="auto" w:fill="auto"/>
            <w:vAlign w:val="center"/>
          </w:tcPr>
          <w:p w14:paraId="58FBA15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3790</w:t>
            </w:r>
          </w:p>
        </w:tc>
        <w:tc>
          <w:tcPr>
            <w:tcW w:w="383" w:type="pct"/>
            <w:tcBorders>
              <w:top w:val="nil"/>
              <w:left w:val="nil"/>
              <w:bottom w:val="single" w:color="auto" w:sz="4" w:space="0"/>
              <w:right w:val="single" w:color="auto" w:sz="4" w:space="0"/>
            </w:tcBorders>
            <w:shd w:val="clear" w:color="auto" w:fill="auto"/>
            <w:vAlign w:val="center"/>
          </w:tcPr>
          <w:p w14:paraId="4868C7A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1.8</w:t>
            </w:r>
          </w:p>
        </w:tc>
        <w:tc>
          <w:tcPr>
            <w:tcW w:w="413" w:type="pct"/>
            <w:tcBorders>
              <w:top w:val="nil"/>
              <w:left w:val="nil"/>
              <w:bottom w:val="single" w:color="auto" w:sz="4" w:space="0"/>
              <w:right w:val="single" w:color="auto" w:sz="4" w:space="0"/>
            </w:tcBorders>
            <w:shd w:val="clear" w:color="auto" w:fill="auto"/>
            <w:vAlign w:val="center"/>
          </w:tcPr>
          <w:p w14:paraId="76C0AEC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1.2</w:t>
            </w:r>
          </w:p>
        </w:tc>
      </w:tr>
      <w:tr w14:paraId="7EFB9D8D">
        <w:tblPrEx>
          <w:tblCellMar>
            <w:top w:w="0" w:type="dxa"/>
            <w:left w:w="108" w:type="dxa"/>
            <w:bottom w:w="0" w:type="dxa"/>
            <w:right w:w="108" w:type="dxa"/>
          </w:tblCellMar>
        </w:tblPrEx>
        <w:trPr>
          <w:trHeight w:val="56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505C482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w:t>
            </w:r>
          </w:p>
        </w:tc>
        <w:tc>
          <w:tcPr>
            <w:tcW w:w="508" w:type="pct"/>
            <w:tcBorders>
              <w:top w:val="nil"/>
              <w:left w:val="nil"/>
              <w:bottom w:val="single" w:color="auto" w:sz="4" w:space="0"/>
              <w:right w:val="single" w:color="auto" w:sz="4" w:space="0"/>
            </w:tcBorders>
            <w:shd w:val="clear" w:color="auto" w:fill="auto"/>
            <w:vAlign w:val="center"/>
          </w:tcPr>
          <w:p w14:paraId="7F47E41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三工草原水库</w:t>
            </w:r>
          </w:p>
        </w:tc>
        <w:tc>
          <w:tcPr>
            <w:tcW w:w="383" w:type="pct"/>
            <w:tcBorders>
              <w:top w:val="nil"/>
              <w:left w:val="nil"/>
              <w:bottom w:val="single" w:color="auto" w:sz="4" w:space="0"/>
              <w:right w:val="single" w:color="auto" w:sz="4" w:space="0"/>
            </w:tcBorders>
            <w:shd w:val="clear" w:color="auto" w:fill="auto"/>
            <w:vAlign w:val="center"/>
          </w:tcPr>
          <w:p w14:paraId="040638D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658" w:type="pct"/>
            <w:tcBorders>
              <w:top w:val="nil"/>
              <w:left w:val="nil"/>
              <w:bottom w:val="single" w:color="auto" w:sz="4" w:space="0"/>
              <w:right w:val="single" w:color="auto" w:sz="4" w:space="0"/>
            </w:tcBorders>
            <w:shd w:val="clear" w:color="auto" w:fill="auto"/>
            <w:vAlign w:val="center"/>
          </w:tcPr>
          <w:p w14:paraId="7DBFA54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421.4</w:t>
            </w:r>
          </w:p>
        </w:tc>
        <w:tc>
          <w:tcPr>
            <w:tcW w:w="397" w:type="pct"/>
            <w:tcBorders>
              <w:top w:val="nil"/>
              <w:left w:val="nil"/>
              <w:bottom w:val="single" w:color="auto" w:sz="4" w:space="0"/>
              <w:right w:val="single" w:color="auto" w:sz="4" w:space="0"/>
            </w:tcBorders>
            <w:shd w:val="clear" w:color="auto" w:fill="auto"/>
            <w:vAlign w:val="center"/>
          </w:tcPr>
          <w:p w14:paraId="3C34D429">
            <w:pPr>
              <w:adjustRightInd w:val="0"/>
              <w:snapToGrid w:val="0"/>
              <w:spacing w:line="240" w:lineRule="auto"/>
              <w:ind w:firstLine="0" w:firstLineChars="0"/>
              <w:jc w:val="center"/>
              <w:rPr>
                <w:rFonts w:hint="eastAsia" w:ascii="仿宋_GB2312" w:hAnsi="等线"/>
                <w:color w:val="000000"/>
                <w:sz w:val="21"/>
                <w:szCs w:val="21"/>
              </w:rPr>
            </w:pPr>
          </w:p>
        </w:tc>
        <w:tc>
          <w:tcPr>
            <w:tcW w:w="383" w:type="pct"/>
            <w:tcBorders>
              <w:top w:val="nil"/>
              <w:left w:val="nil"/>
              <w:bottom w:val="single" w:color="auto" w:sz="4" w:space="0"/>
              <w:right w:val="single" w:color="auto" w:sz="4" w:space="0"/>
            </w:tcBorders>
            <w:shd w:val="clear" w:color="auto" w:fill="auto"/>
            <w:vAlign w:val="center"/>
          </w:tcPr>
          <w:p w14:paraId="51BBFF7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410.4</w:t>
            </w:r>
          </w:p>
        </w:tc>
        <w:tc>
          <w:tcPr>
            <w:tcW w:w="383" w:type="pct"/>
            <w:tcBorders>
              <w:top w:val="nil"/>
              <w:left w:val="nil"/>
              <w:bottom w:val="single" w:color="auto" w:sz="4" w:space="0"/>
              <w:right w:val="single" w:color="auto" w:sz="4" w:space="0"/>
            </w:tcBorders>
            <w:shd w:val="clear" w:color="auto" w:fill="auto"/>
            <w:vAlign w:val="center"/>
          </w:tcPr>
          <w:p w14:paraId="34433DA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11.3</w:t>
            </w:r>
          </w:p>
        </w:tc>
        <w:tc>
          <w:tcPr>
            <w:tcW w:w="383" w:type="pct"/>
            <w:tcBorders>
              <w:top w:val="nil"/>
              <w:left w:val="nil"/>
              <w:bottom w:val="single" w:color="auto" w:sz="4" w:space="0"/>
              <w:right w:val="single" w:color="auto" w:sz="4" w:space="0"/>
            </w:tcBorders>
            <w:shd w:val="clear" w:color="auto" w:fill="auto"/>
            <w:vAlign w:val="center"/>
          </w:tcPr>
          <w:p w14:paraId="12A14B4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4" w:type="pct"/>
            <w:tcBorders>
              <w:top w:val="nil"/>
              <w:left w:val="nil"/>
              <w:bottom w:val="single" w:color="auto" w:sz="4" w:space="0"/>
              <w:right w:val="single" w:color="auto" w:sz="4" w:space="0"/>
            </w:tcBorders>
            <w:shd w:val="clear" w:color="auto" w:fill="auto"/>
            <w:vAlign w:val="center"/>
          </w:tcPr>
          <w:p w14:paraId="50D2605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w:t>
            </w:r>
          </w:p>
        </w:tc>
        <w:tc>
          <w:tcPr>
            <w:tcW w:w="384" w:type="pct"/>
            <w:tcBorders>
              <w:top w:val="nil"/>
              <w:left w:val="nil"/>
              <w:bottom w:val="single" w:color="auto" w:sz="4" w:space="0"/>
              <w:right w:val="single" w:color="auto" w:sz="4" w:space="0"/>
            </w:tcBorders>
            <w:shd w:val="clear" w:color="auto" w:fill="auto"/>
            <w:vAlign w:val="center"/>
          </w:tcPr>
          <w:p w14:paraId="31C729F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4300</w:t>
            </w:r>
          </w:p>
        </w:tc>
        <w:tc>
          <w:tcPr>
            <w:tcW w:w="383" w:type="pct"/>
            <w:tcBorders>
              <w:top w:val="nil"/>
              <w:left w:val="nil"/>
              <w:bottom w:val="single" w:color="auto" w:sz="4" w:space="0"/>
              <w:right w:val="single" w:color="auto" w:sz="4" w:space="0"/>
            </w:tcBorders>
            <w:shd w:val="clear" w:color="auto" w:fill="auto"/>
            <w:vAlign w:val="center"/>
          </w:tcPr>
          <w:p w14:paraId="40A10D2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2.3</w:t>
            </w:r>
          </w:p>
        </w:tc>
        <w:tc>
          <w:tcPr>
            <w:tcW w:w="413" w:type="pct"/>
            <w:tcBorders>
              <w:top w:val="nil"/>
              <w:left w:val="nil"/>
              <w:bottom w:val="single" w:color="auto" w:sz="4" w:space="0"/>
              <w:right w:val="single" w:color="auto" w:sz="4" w:space="0"/>
            </w:tcBorders>
            <w:shd w:val="clear" w:color="auto" w:fill="auto"/>
            <w:vAlign w:val="center"/>
          </w:tcPr>
          <w:p w14:paraId="7D8305C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2.37</w:t>
            </w:r>
          </w:p>
        </w:tc>
      </w:tr>
      <w:tr w14:paraId="286E258A">
        <w:tblPrEx>
          <w:tblCellMar>
            <w:top w:w="0" w:type="dxa"/>
            <w:left w:w="108" w:type="dxa"/>
            <w:bottom w:w="0" w:type="dxa"/>
            <w:right w:w="108" w:type="dxa"/>
          </w:tblCellMar>
        </w:tblPrEx>
        <w:trPr>
          <w:trHeight w:val="28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15D8258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6</w:t>
            </w:r>
          </w:p>
        </w:tc>
        <w:tc>
          <w:tcPr>
            <w:tcW w:w="508" w:type="pct"/>
            <w:tcBorders>
              <w:top w:val="nil"/>
              <w:left w:val="nil"/>
              <w:bottom w:val="single" w:color="auto" w:sz="4" w:space="0"/>
              <w:right w:val="single" w:color="auto" w:sz="4" w:space="0"/>
            </w:tcBorders>
            <w:shd w:val="clear" w:color="auto" w:fill="auto"/>
            <w:vAlign w:val="center"/>
          </w:tcPr>
          <w:p w14:paraId="202591D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南泉水库</w:t>
            </w:r>
          </w:p>
        </w:tc>
        <w:tc>
          <w:tcPr>
            <w:tcW w:w="383" w:type="pct"/>
            <w:tcBorders>
              <w:top w:val="nil"/>
              <w:left w:val="nil"/>
              <w:bottom w:val="single" w:color="auto" w:sz="4" w:space="0"/>
              <w:right w:val="single" w:color="auto" w:sz="4" w:space="0"/>
            </w:tcBorders>
            <w:shd w:val="clear" w:color="auto" w:fill="auto"/>
            <w:vAlign w:val="center"/>
          </w:tcPr>
          <w:p w14:paraId="5C58324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658" w:type="pct"/>
            <w:tcBorders>
              <w:top w:val="nil"/>
              <w:left w:val="nil"/>
              <w:bottom w:val="single" w:color="auto" w:sz="4" w:space="0"/>
              <w:right w:val="single" w:color="auto" w:sz="4" w:space="0"/>
            </w:tcBorders>
            <w:shd w:val="clear" w:color="auto" w:fill="auto"/>
            <w:vAlign w:val="center"/>
          </w:tcPr>
          <w:p w14:paraId="3E8EAE5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250</w:t>
            </w:r>
          </w:p>
        </w:tc>
        <w:tc>
          <w:tcPr>
            <w:tcW w:w="397" w:type="pct"/>
            <w:tcBorders>
              <w:top w:val="nil"/>
              <w:left w:val="nil"/>
              <w:bottom w:val="single" w:color="auto" w:sz="4" w:space="0"/>
              <w:right w:val="single" w:color="auto" w:sz="4" w:space="0"/>
            </w:tcBorders>
            <w:shd w:val="clear" w:color="auto" w:fill="auto"/>
            <w:vAlign w:val="center"/>
          </w:tcPr>
          <w:p w14:paraId="02C2BE1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10</w:t>
            </w:r>
          </w:p>
        </w:tc>
        <w:tc>
          <w:tcPr>
            <w:tcW w:w="383" w:type="pct"/>
            <w:tcBorders>
              <w:top w:val="nil"/>
              <w:left w:val="nil"/>
              <w:bottom w:val="single" w:color="auto" w:sz="4" w:space="0"/>
              <w:right w:val="single" w:color="auto" w:sz="4" w:space="0"/>
            </w:tcBorders>
            <w:shd w:val="clear" w:color="auto" w:fill="auto"/>
            <w:vAlign w:val="center"/>
          </w:tcPr>
          <w:p w14:paraId="0403F9B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210</w:t>
            </w:r>
          </w:p>
        </w:tc>
        <w:tc>
          <w:tcPr>
            <w:tcW w:w="383" w:type="pct"/>
            <w:tcBorders>
              <w:top w:val="nil"/>
              <w:left w:val="nil"/>
              <w:bottom w:val="single" w:color="auto" w:sz="4" w:space="0"/>
              <w:right w:val="single" w:color="auto" w:sz="4" w:space="0"/>
            </w:tcBorders>
            <w:shd w:val="clear" w:color="auto" w:fill="auto"/>
            <w:vAlign w:val="center"/>
          </w:tcPr>
          <w:p w14:paraId="279078AB">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30</w:t>
            </w:r>
          </w:p>
        </w:tc>
        <w:tc>
          <w:tcPr>
            <w:tcW w:w="383" w:type="pct"/>
            <w:tcBorders>
              <w:top w:val="nil"/>
              <w:left w:val="nil"/>
              <w:bottom w:val="single" w:color="auto" w:sz="4" w:space="0"/>
              <w:right w:val="single" w:color="auto" w:sz="4" w:space="0"/>
            </w:tcBorders>
            <w:shd w:val="clear" w:color="auto" w:fill="auto"/>
            <w:vAlign w:val="center"/>
          </w:tcPr>
          <w:p w14:paraId="6C71FAA5">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4" w:type="pct"/>
            <w:tcBorders>
              <w:top w:val="nil"/>
              <w:left w:val="nil"/>
              <w:bottom w:val="single" w:color="auto" w:sz="4" w:space="0"/>
              <w:right w:val="single" w:color="auto" w:sz="4" w:space="0"/>
            </w:tcBorders>
            <w:shd w:val="clear" w:color="auto" w:fill="auto"/>
            <w:vAlign w:val="center"/>
          </w:tcPr>
          <w:p w14:paraId="6BA98848">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13.7</w:t>
            </w:r>
          </w:p>
        </w:tc>
        <w:tc>
          <w:tcPr>
            <w:tcW w:w="384" w:type="pct"/>
            <w:tcBorders>
              <w:top w:val="nil"/>
              <w:left w:val="nil"/>
              <w:bottom w:val="single" w:color="auto" w:sz="4" w:space="0"/>
              <w:right w:val="single" w:color="auto" w:sz="4" w:space="0"/>
            </w:tcBorders>
            <w:shd w:val="clear" w:color="auto" w:fill="auto"/>
            <w:vAlign w:val="center"/>
          </w:tcPr>
          <w:p w14:paraId="61DE2FC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1700</w:t>
            </w:r>
          </w:p>
        </w:tc>
        <w:tc>
          <w:tcPr>
            <w:tcW w:w="383" w:type="pct"/>
            <w:tcBorders>
              <w:top w:val="nil"/>
              <w:left w:val="nil"/>
              <w:bottom w:val="single" w:color="auto" w:sz="4" w:space="0"/>
              <w:right w:val="single" w:color="auto" w:sz="4" w:space="0"/>
            </w:tcBorders>
            <w:shd w:val="clear" w:color="auto" w:fill="auto"/>
            <w:vAlign w:val="center"/>
          </w:tcPr>
          <w:p w14:paraId="23DD0991">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w:t>
            </w:r>
          </w:p>
        </w:tc>
        <w:tc>
          <w:tcPr>
            <w:tcW w:w="413" w:type="pct"/>
            <w:tcBorders>
              <w:top w:val="nil"/>
              <w:left w:val="nil"/>
              <w:bottom w:val="single" w:color="auto" w:sz="4" w:space="0"/>
              <w:right w:val="single" w:color="auto" w:sz="4" w:space="0"/>
            </w:tcBorders>
            <w:shd w:val="clear" w:color="auto" w:fill="auto"/>
            <w:vAlign w:val="center"/>
          </w:tcPr>
          <w:p w14:paraId="71C4D2B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9.7</w:t>
            </w:r>
          </w:p>
        </w:tc>
      </w:tr>
      <w:tr w14:paraId="4D39A507">
        <w:tblPrEx>
          <w:tblCellMar>
            <w:top w:w="0" w:type="dxa"/>
            <w:left w:w="108" w:type="dxa"/>
            <w:bottom w:w="0" w:type="dxa"/>
            <w:right w:w="108" w:type="dxa"/>
          </w:tblCellMar>
        </w:tblPrEx>
        <w:trPr>
          <w:trHeight w:val="28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24A2F89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w:t>
            </w:r>
          </w:p>
        </w:tc>
        <w:tc>
          <w:tcPr>
            <w:tcW w:w="508" w:type="pct"/>
            <w:tcBorders>
              <w:top w:val="nil"/>
              <w:left w:val="nil"/>
              <w:bottom w:val="single" w:color="auto" w:sz="4" w:space="0"/>
              <w:right w:val="single" w:color="auto" w:sz="4" w:space="0"/>
            </w:tcBorders>
            <w:shd w:val="clear" w:color="auto" w:fill="auto"/>
            <w:noWrap/>
            <w:vAlign w:val="center"/>
          </w:tcPr>
          <w:p w14:paraId="1B27DAC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小泉水库</w:t>
            </w:r>
          </w:p>
        </w:tc>
        <w:tc>
          <w:tcPr>
            <w:tcW w:w="383" w:type="pct"/>
            <w:tcBorders>
              <w:top w:val="nil"/>
              <w:left w:val="nil"/>
              <w:bottom w:val="single" w:color="auto" w:sz="4" w:space="0"/>
              <w:right w:val="single" w:color="auto" w:sz="4" w:space="0"/>
            </w:tcBorders>
            <w:shd w:val="clear" w:color="auto" w:fill="auto"/>
            <w:vAlign w:val="center"/>
          </w:tcPr>
          <w:p w14:paraId="6300CBE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658" w:type="pct"/>
            <w:tcBorders>
              <w:top w:val="nil"/>
              <w:left w:val="nil"/>
              <w:bottom w:val="single" w:color="auto" w:sz="4" w:space="0"/>
              <w:right w:val="single" w:color="auto" w:sz="4" w:space="0"/>
            </w:tcBorders>
            <w:shd w:val="clear" w:color="auto" w:fill="auto"/>
            <w:noWrap/>
            <w:vAlign w:val="center"/>
          </w:tcPr>
          <w:p w14:paraId="309C0F73">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125</w:t>
            </w:r>
          </w:p>
        </w:tc>
        <w:tc>
          <w:tcPr>
            <w:tcW w:w="397" w:type="pct"/>
            <w:tcBorders>
              <w:top w:val="nil"/>
              <w:left w:val="nil"/>
              <w:bottom w:val="single" w:color="auto" w:sz="4" w:space="0"/>
              <w:right w:val="single" w:color="auto" w:sz="4" w:space="0"/>
            </w:tcBorders>
            <w:shd w:val="clear" w:color="auto" w:fill="auto"/>
            <w:noWrap/>
            <w:vAlign w:val="center"/>
          </w:tcPr>
          <w:p w14:paraId="6E098C23">
            <w:pPr>
              <w:adjustRightInd w:val="0"/>
              <w:snapToGrid w:val="0"/>
              <w:spacing w:line="240" w:lineRule="auto"/>
              <w:ind w:firstLine="0" w:firstLineChars="0"/>
              <w:jc w:val="center"/>
              <w:rPr>
                <w:rFonts w:hint="eastAsia" w:ascii="仿宋_GB2312" w:hAnsi="等线"/>
                <w:color w:val="000000"/>
                <w:sz w:val="21"/>
                <w:szCs w:val="21"/>
              </w:rPr>
            </w:pPr>
          </w:p>
        </w:tc>
        <w:tc>
          <w:tcPr>
            <w:tcW w:w="383" w:type="pct"/>
            <w:tcBorders>
              <w:top w:val="nil"/>
              <w:left w:val="nil"/>
              <w:bottom w:val="single" w:color="auto" w:sz="4" w:space="0"/>
              <w:right w:val="single" w:color="auto" w:sz="4" w:space="0"/>
            </w:tcBorders>
            <w:shd w:val="clear" w:color="auto" w:fill="auto"/>
            <w:noWrap/>
            <w:vAlign w:val="center"/>
          </w:tcPr>
          <w:p w14:paraId="7F5200F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110</w:t>
            </w:r>
          </w:p>
        </w:tc>
        <w:tc>
          <w:tcPr>
            <w:tcW w:w="383" w:type="pct"/>
            <w:tcBorders>
              <w:top w:val="nil"/>
              <w:left w:val="nil"/>
              <w:bottom w:val="single" w:color="auto" w:sz="4" w:space="0"/>
              <w:right w:val="single" w:color="auto" w:sz="4" w:space="0"/>
            </w:tcBorders>
            <w:shd w:val="clear" w:color="auto" w:fill="auto"/>
            <w:noWrap/>
            <w:vAlign w:val="center"/>
          </w:tcPr>
          <w:p w14:paraId="07FCE7D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15</w:t>
            </w:r>
          </w:p>
        </w:tc>
        <w:tc>
          <w:tcPr>
            <w:tcW w:w="383" w:type="pct"/>
            <w:tcBorders>
              <w:top w:val="nil"/>
              <w:left w:val="nil"/>
              <w:bottom w:val="single" w:color="auto" w:sz="4" w:space="0"/>
              <w:right w:val="single" w:color="auto" w:sz="4" w:space="0"/>
            </w:tcBorders>
            <w:shd w:val="clear" w:color="auto" w:fill="auto"/>
            <w:vAlign w:val="center"/>
          </w:tcPr>
          <w:p w14:paraId="0C57F02A">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4" w:type="pct"/>
            <w:tcBorders>
              <w:top w:val="nil"/>
              <w:left w:val="nil"/>
              <w:bottom w:val="single" w:color="auto" w:sz="4" w:space="0"/>
              <w:right w:val="single" w:color="auto" w:sz="4" w:space="0"/>
            </w:tcBorders>
            <w:shd w:val="clear" w:color="auto" w:fill="auto"/>
            <w:noWrap/>
            <w:vAlign w:val="center"/>
          </w:tcPr>
          <w:p w14:paraId="24A53DC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4.5</w:t>
            </w:r>
          </w:p>
        </w:tc>
        <w:tc>
          <w:tcPr>
            <w:tcW w:w="384" w:type="pct"/>
            <w:tcBorders>
              <w:top w:val="nil"/>
              <w:left w:val="nil"/>
              <w:bottom w:val="single" w:color="auto" w:sz="4" w:space="0"/>
              <w:right w:val="single" w:color="auto" w:sz="4" w:space="0"/>
            </w:tcBorders>
            <w:shd w:val="clear" w:color="auto" w:fill="auto"/>
            <w:noWrap/>
            <w:vAlign w:val="center"/>
          </w:tcPr>
          <w:p w14:paraId="724079F9">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2203</w:t>
            </w:r>
          </w:p>
        </w:tc>
        <w:tc>
          <w:tcPr>
            <w:tcW w:w="383" w:type="pct"/>
            <w:tcBorders>
              <w:top w:val="nil"/>
              <w:left w:val="nil"/>
              <w:bottom w:val="single" w:color="auto" w:sz="4" w:space="0"/>
              <w:right w:val="single" w:color="auto" w:sz="4" w:space="0"/>
            </w:tcBorders>
            <w:shd w:val="clear" w:color="auto" w:fill="auto"/>
            <w:noWrap/>
            <w:vAlign w:val="center"/>
          </w:tcPr>
          <w:p w14:paraId="2E942E82">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1.5</w:t>
            </w:r>
          </w:p>
        </w:tc>
        <w:tc>
          <w:tcPr>
            <w:tcW w:w="413" w:type="pct"/>
            <w:tcBorders>
              <w:top w:val="nil"/>
              <w:left w:val="nil"/>
              <w:bottom w:val="single" w:color="auto" w:sz="4" w:space="0"/>
              <w:right w:val="single" w:color="auto" w:sz="4" w:space="0"/>
            </w:tcBorders>
            <w:shd w:val="clear" w:color="auto" w:fill="auto"/>
            <w:noWrap/>
            <w:vAlign w:val="center"/>
          </w:tcPr>
          <w:p w14:paraId="05C8FE2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w:t>
            </w:r>
          </w:p>
        </w:tc>
      </w:tr>
      <w:tr w14:paraId="2C290225">
        <w:tblPrEx>
          <w:tblCellMar>
            <w:top w:w="0" w:type="dxa"/>
            <w:left w:w="108" w:type="dxa"/>
            <w:bottom w:w="0" w:type="dxa"/>
            <w:right w:w="108" w:type="dxa"/>
          </w:tblCellMar>
        </w:tblPrEx>
        <w:trPr>
          <w:trHeight w:val="280" w:hRule="atLeast"/>
        </w:trPr>
        <w:tc>
          <w:tcPr>
            <w:tcW w:w="339" w:type="pct"/>
            <w:tcBorders>
              <w:top w:val="nil"/>
              <w:left w:val="single" w:color="auto" w:sz="4" w:space="0"/>
              <w:bottom w:val="single" w:color="auto" w:sz="4" w:space="0"/>
              <w:right w:val="single" w:color="auto" w:sz="4" w:space="0"/>
            </w:tcBorders>
            <w:shd w:val="clear" w:color="auto" w:fill="auto"/>
            <w:vAlign w:val="center"/>
          </w:tcPr>
          <w:p w14:paraId="377CD80F">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8</w:t>
            </w:r>
          </w:p>
        </w:tc>
        <w:tc>
          <w:tcPr>
            <w:tcW w:w="508" w:type="pct"/>
            <w:tcBorders>
              <w:top w:val="nil"/>
              <w:left w:val="nil"/>
              <w:bottom w:val="single" w:color="auto" w:sz="4" w:space="0"/>
              <w:right w:val="single" w:color="auto" w:sz="4" w:space="0"/>
            </w:tcBorders>
            <w:shd w:val="clear" w:color="auto" w:fill="auto"/>
            <w:noWrap/>
            <w:vAlign w:val="center"/>
          </w:tcPr>
          <w:p w14:paraId="4B797B1C">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水磨河水库</w:t>
            </w:r>
          </w:p>
        </w:tc>
        <w:tc>
          <w:tcPr>
            <w:tcW w:w="383" w:type="pct"/>
            <w:tcBorders>
              <w:top w:val="nil"/>
              <w:left w:val="nil"/>
              <w:bottom w:val="single" w:color="auto" w:sz="4" w:space="0"/>
              <w:right w:val="single" w:color="auto" w:sz="4" w:space="0"/>
            </w:tcBorders>
            <w:shd w:val="clear" w:color="auto" w:fill="auto"/>
            <w:vAlign w:val="center"/>
          </w:tcPr>
          <w:p w14:paraId="0E74BBD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小（1）</w:t>
            </w:r>
          </w:p>
        </w:tc>
        <w:tc>
          <w:tcPr>
            <w:tcW w:w="658" w:type="pct"/>
            <w:tcBorders>
              <w:top w:val="nil"/>
              <w:left w:val="nil"/>
              <w:bottom w:val="single" w:color="auto" w:sz="4" w:space="0"/>
              <w:right w:val="single" w:color="auto" w:sz="4" w:space="0"/>
            </w:tcBorders>
            <w:shd w:val="clear" w:color="auto" w:fill="auto"/>
            <w:noWrap/>
            <w:vAlign w:val="center"/>
          </w:tcPr>
          <w:p w14:paraId="2F56D257">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101.65</w:t>
            </w:r>
          </w:p>
        </w:tc>
        <w:tc>
          <w:tcPr>
            <w:tcW w:w="397" w:type="pct"/>
            <w:tcBorders>
              <w:top w:val="nil"/>
              <w:left w:val="nil"/>
              <w:bottom w:val="single" w:color="auto" w:sz="4" w:space="0"/>
              <w:right w:val="single" w:color="auto" w:sz="4" w:space="0"/>
            </w:tcBorders>
            <w:shd w:val="clear" w:color="auto" w:fill="auto"/>
            <w:noWrap/>
            <w:vAlign w:val="center"/>
          </w:tcPr>
          <w:p w14:paraId="30D02607">
            <w:pPr>
              <w:adjustRightInd w:val="0"/>
              <w:snapToGrid w:val="0"/>
              <w:spacing w:line="240" w:lineRule="auto"/>
              <w:ind w:firstLine="0" w:firstLineChars="0"/>
              <w:jc w:val="center"/>
              <w:rPr>
                <w:rFonts w:hint="eastAsia" w:ascii="仿宋_GB2312" w:hAnsi="等线"/>
                <w:color w:val="000000"/>
                <w:sz w:val="21"/>
                <w:szCs w:val="21"/>
              </w:rPr>
            </w:pPr>
          </w:p>
        </w:tc>
        <w:tc>
          <w:tcPr>
            <w:tcW w:w="383" w:type="pct"/>
            <w:tcBorders>
              <w:top w:val="nil"/>
              <w:left w:val="nil"/>
              <w:bottom w:val="single" w:color="auto" w:sz="4" w:space="0"/>
              <w:right w:val="single" w:color="auto" w:sz="4" w:space="0"/>
            </w:tcBorders>
            <w:shd w:val="clear" w:color="auto" w:fill="auto"/>
            <w:noWrap/>
            <w:vAlign w:val="center"/>
          </w:tcPr>
          <w:p w14:paraId="3C4FACE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93.93</w:t>
            </w:r>
          </w:p>
        </w:tc>
        <w:tc>
          <w:tcPr>
            <w:tcW w:w="383" w:type="pct"/>
            <w:tcBorders>
              <w:top w:val="nil"/>
              <w:left w:val="nil"/>
              <w:bottom w:val="single" w:color="auto" w:sz="4" w:space="0"/>
              <w:right w:val="single" w:color="auto" w:sz="4" w:space="0"/>
            </w:tcBorders>
            <w:shd w:val="clear" w:color="auto" w:fill="auto"/>
            <w:noWrap/>
            <w:vAlign w:val="center"/>
          </w:tcPr>
          <w:p w14:paraId="57A87234">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7.72</w:t>
            </w:r>
          </w:p>
        </w:tc>
        <w:tc>
          <w:tcPr>
            <w:tcW w:w="383" w:type="pct"/>
            <w:tcBorders>
              <w:top w:val="nil"/>
              <w:left w:val="nil"/>
              <w:bottom w:val="single" w:color="auto" w:sz="4" w:space="0"/>
              <w:right w:val="single" w:color="auto" w:sz="4" w:space="0"/>
            </w:tcBorders>
            <w:shd w:val="clear" w:color="auto" w:fill="auto"/>
            <w:vAlign w:val="center"/>
          </w:tcPr>
          <w:p w14:paraId="74322AC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均质土坝</w:t>
            </w:r>
          </w:p>
        </w:tc>
        <w:tc>
          <w:tcPr>
            <w:tcW w:w="384" w:type="pct"/>
            <w:tcBorders>
              <w:top w:val="nil"/>
              <w:left w:val="nil"/>
              <w:bottom w:val="single" w:color="auto" w:sz="4" w:space="0"/>
              <w:right w:val="single" w:color="auto" w:sz="4" w:space="0"/>
            </w:tcBorders>
            <w:shd w:val="clear" w:color="auto" w:fill="auto"/>
            <w:noWrap/>
            <w:vAlign w:val="center"/>
          </w:tcPr>
          <w:p w14:paraId="439EFD3D">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5.5</w:t>
            </w:r>
          </w:p>
        </w:tc>
        <w:tc>
          <w:tcPr>
            <w:tcW w:w="384" w:type="pct"/>
            <w:tcBorders>
              <w:top w:val="nil"/>
              <w:left w:val="nil"/>
              <w:bottom w:val="single" w:color="auto" w:sz="4" w:space="0"/>
              <w:right w:val="single" w:color="auto" w:sz="4" w:space="0"/>
            </w:tcBorders>
            <w:shd w:val="clear" w:color="auto" w:fill="auto"/>
            <w:noWrap/>
            <w:vAlign w:val="center"/>
          </w:tcPr>
          <w:p w14:paraId="4565DFCE">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1678.3</w:t>
            </w:r>
          </w:p>
        </w:tc>
        <w:tc>
          <w:tcPr>
            <w:tcW w:w="383" w:type="pct"/>
            <w:tcBorders>
              <w:top w:val="nil"/>
              <w:left w:val="nil"/>
              <w:bottom w:val="single" w:color="auto" w:sz="4" w:space="0"/>
              <w:right w:val="single" w:color="auto" w:sz="4" w:space="0"/>
            </w:tcBorders>
            <w:shd w:val="clear" w:color="auto" w:fill="auto"/>
            <w:noWrap/>
            <w:vAlign w:val="center"/>
          </w:tcPr>
          <w:p w14:paraId="7047C916">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0.7</w:t>
            </w:r>
          </w:p>
        </w:tc>
        <w:tc>
          <w:tcPr>
            <w:tcW w:w="413" w:type="pct"/>
            <w:tcBorders>
              <w:top w:val="nil"/>
              <w:left w:val="nil"/>
              <w:bottom w:val="single" w:color="auto" w:sz="4" w:space="0"/>
              <w:right w:val="single" w:color="auto" w:sz="4" w:space="0"/>
            </w:tcBorders>
            <w:shd w:val="clear" w:color="auto" w:fill="auto"/>
            <w:noWrap/>
            <w:vAlign w:val="center"/>
          </w:tcPr>
          <w:p w14:paraId="0CFA3660">
            <w:pPr>
              <w:adjustRightInd w:val="0"/>
              <w:snapToGrid w:val="0"/>
              <w:spacing w:line="240" w:lineRule="auto"/>
              <w:ind w:firstLine="0" w:firstLineChars="0"/>
              <w:jc w:val="center"/>
              <w:rPr>
                <w:rFonts w:hint="eastAsia" w:ascii="仿宋_GB2312" w:hAnsi="等线"/>
                <w:color w:val="000000"/>
                <w:sz w:val="21"/>
                <w:szCs w:val="21"/>
              </w:rPr>
            </w:pPr>
            <w:r>
              <w:rPr>
                <w:rFonts w:hint="eastAsia" w:ascii="仿宋_GB2312" w:hAnsi="等线"/>
                <w:color w:val="000000"/>
                <w:sz w:val="21"/>
                <w:szCs w:val="21"/>
              </w:rPr>
              <w:t>0.5</w:t>
            </w:r>
          </w:p>
        </w:tc>
      </w:tr>
    </w:tbl>
    <w:p w14:paraId="214791E8">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283C4D28">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sectPr>
          <w:pgSz w:w="16840" w:h="11907" w:orient="landscape"/>
          <w:pgMar w:top="1797" w:right="1440" w:bottom="1797" w:left="1440" w:header="851" w:footer="992" w:gutter="0"/>
          <w:cols w:space="720" w:num="1"/>
          <w:docGrid w:linePitch="312" w:charSpace="0"/>
        </w:sectPr>
      </w:pPr>
    </w:p>
    <w:p w14:paraId="7E54B185">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附表八                水闸统计表</w:t>
      </w:r>
    </w:p>
    <w:tbl>
      <w:tblPr>
        <w:tblStyle w:val="4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8"/>
        <w:gridCol w:w="2728"/>
        <w:gridCol w:w="824"/>
        <w:gridCol w:w="921"/>
        <w:gridCol w:w="1093"/>
        <w:gridCol w:w="1093"/>
        <w:gridCol w:w="1092"/>
      </w:tblGrid>
      <w:tr w14:paraId="52948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56" w:type="pct"/>
            <w:vMerge w:val="restart"/>
            <w:shd w:val="clear" w:color="auto" w:fill="auto"/>
            <w:vAlign w:val="center"/>
          </w:tcPr>
          <w:p w14:paraId="7B22B4C1">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工程规模</w:t>
            </w:r>
          </w:p>
        </w:tc>
        <w:tc>
          <w:tcPr>
            <w:tcW w:w="1599" w:type="pct"/>
            <w:shd w:val="clear" w:color="auto" w:fill="auto"/>
            <w:noWrap/>
            <w:vAlign w:val="center"/>
          </w:tcPr>
          <w:p w14:paraId="7D7D40BA">
            <w:pPr>
              <w:spacing w:line="240" w:lineRule="auto"/>
              <w:ind w:firstLine="0" w:firstLineChars="0"/>
              <w:rPr>
                <w:rFonts w:hint="eastAsia" w:ascii="仿宋_GB2312" w:hAnsi="宋体"/>
                <w:color w:val="000000"/>
                <w:sz w:val="18"/>
                <w:szCs w:val="18"/>
              </w:rPr>
            </w:pPr>
            <w:r>
              <w:rPr>
                <w:rFonts w:hint="eastAsia" w:ascii="仿宋_GB2312" w:hAnsi="宋体"/>
                <w:color w:val="000000"/>
                <w:sz w:val="18"/>
                <w:szCs w:val="18"/>
              </w:rPr>
              <w:t>引水工程</w:t>
            </w:r>
          </w:p>
        </w:tc>
        <w:tc>
          <w:tcPr>
            <w:tcW w:w="483" w:type="pct"/>
            <w:shd w:val="clear" w:color="auto" w:fill="auto"/>
            <w:noWrap/>
            <w:vAlign w:val="center"/>
          </w:tcPr>
          <w:p w14:paraId="49292012">
            <w:pPr>
              <w:spacing w:line="240" w:lineRule="auto"/>
              <w:ind w:firstLine="0" w:firstLineChars="0"/>
              <w:rPr>
                <w:rFonts w:hint="eastAsia" w:ascii="仿宋_GB2312" w:hAnsi="宋体"/>
                <w:color w:val="000000"/>
                <w:sz w:val="18"/>
                <w:szCs w:val="18"/>
              </w:rPr>
            </w:pPr>
            <w:r>
              <w:rPr>
                <w:rFonts w:hint="eastAsia" w:ascii="仿宋_GB2312" w:hAnsi="宋体"/>
                <w:color w:val="000000"/>
                <w:sz w:val="18"/>
                <w:szCs w:val="18"/>
              </w:rPr>
              <w:t>　</w:t>
            </w:r>
          </w:p>
        </w:tc>
        <w:tc>
          <w:tcPr>
            <w:tcW w:w="540" w:type="pct"/>
            <w:shd w:val="clear" w:color="auto" w:fill="auto"/>
            <w:noWrap/>
            <w:vAlign w:val="center"/>
          </w:tcPr>
          <w:p w14:paraId="49C04029">
            <w:pPr>
              <w:spacing w:line="240" w:lineRule="auto"/>
              <w:ind w:firstLine="0" w:firstLineChars="0"/>
              <w:rPr>
                <w:rFonts w:hint="eastAsia" w:ascii="仿宋_GB2312" w:hAnsi="宋体"/>
                <w:color w:val="000000"/>
                <w:sz w:val="18"/>
                <w:szCs w:val="18"/>
              </w:rPr>
            </w:pPr>
            <w:r>
              <w:rPr>
                <w:rFonts w:hint="eastAsia" w:ascii="仿宋_GB2312" w:hAnsi="宋体"/>
                <w:color w:val="000000"/>
                <w:sz w:val="18"/>
                <w:szCs w:val="18"/>
              </w:rPr>
              <w:t>　</w:t>
            </w:r>
          </w:p>
        </w:tc>
        <w:tc>
          <w:tcPr>
            <w:tcW w:w="641" w:type="pct"/>
            <w:shd w:val="clear" w:color="auto" w:fill="auto"/>
            <w:noWrap/>
            <w:vAlign w:val="center"/>
          </w:tcPr>
          <w:p w14:paraId="6F6A34C4">
            <w:pPr>
              <w:spacing w:line="240" w:lineRule="auto"/>
              <w:ind w:firstLine="0" w:firstLineChars="0"/>
              <w:rPr>
                <w:rFonts w:hint="eastAsia" w:ascii="仿宋_GB2312" w:hAnsi="宋体"/>
                <w:color w:val="000000"/>
                <w:sz w:val="18"/>
                <w:szCs w:val="18"/>
              </w:rPr>
            </w:pPr>
            <w:r>
              <w:rPr>
                <w:rFonts w:hint="eastAsia" w:ascii="仿宋_GB2312" w:hAnsi="宋体"/>
                <w:color w:val="000000"/>
                <w:sz w:val="18"/>
                <w:szCs w:val="18"/>
              </w:rPr>
              <w:t>　</w:t>
            </w:r>
          </w:p>
        </w:tc>
        <w:tc>
          <w:tcPr>
            <w:tcW w:w="641" w:type="pct"/>
            <w:shd w:val="clear" w:color="auto" w:fill="auto"/>
            <w:noWrap/>
            <w:vAlign w:val="center"/>
          </w:tcPr>
          <w:p w14:paraId="5877352B">
            <w:pPr>
              <w:spacing w:line="240" w:lineRule="auto"/>
              <w:ind w:firstLine="0" w:firstLineChars="0"/>
              <w:rPr>
                <w:rFonts w:hint="eastAsia" w:ascii="仿宋_GB2312" w:hAnsi="宋体"/>
                <w:color w:val="000000"/>
                <w:sz w:val="18"/>
                <w:szCs w:val="18"/>
              </w:rPr>
            </w:pPr>
            <w:r>
              <w:rPr>
                <w:rFonts w:hint="eastAsia" w:ascii="仿宋_GB2312" w:hAnsi="宋体"/>
                <w:color w:val="000000"/>
                <w:sz w:val="18"/>
                <w:szCs w:val="18"/>
              </w:rPr>
              <w:t>　</w:t>
            </w:r>
          </w:p>
        </w:tc>
        <w:tc>
          <w:tcPr>
            <w:tcW w:w="640" w:type="pct"/>
            <w:shd w:val="clear" w:color="auto" w:fill="auto"/>
            <w:noWrap/>
            <w:vAlign w:val="center"/>
          </w:tcPr>
          <w:p w14:paraId="703F9719">
            <w:pPr>
              <w:spacing w:line="240" w:lineRule="auto"/>
              <w:ind w:firstLine="0" w:firstLineChars="0"/>
              <w:rPr>
                <w:rFonts w:hint="eastAsia" w:ascii="仿宋_GB2312" w:hAnsi="宋体"/>
                <w:color w:val="000000"/>
                <w:sz w:val="18"/>
                <w:szCs w:val="18"/>
              </w:rPr>
            </w:pPr>
            <w:r>
              <w:rPr>
                <w:rFonts w:hint="eastAsia" w:ascii="仿宋_GB2312" w:hAnsi="宋体"/>
                <w:color w:val="000000"/>
                <w:sz w:val="18"/>
                <w:szCs w:val="18"/>
              </w:rPr>
              <w:t>　</w:t>
            </w:r>
          </w:p>
        </w:tc>
      </w:tr>
      <w:tr w14:paraId="37962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456" w:type="pct"/>
            <w:vMerge w:val="continue"/>
            <w:vAlign w:val="center"/>
          </w:tcPr>
          <w:p w14:paraId="4EBDA6B2">
            <w:pPr>
              <w:spacing w:line="240" w:lineRule="auto"/>
              <w:ind w:firstLine="0" w:firstLineChars="0"/>
              <w:rPr>
                <w:rFonts w:hint="eastAsia" w:ascii="仿宋_GB2312" w:hAnsi="宋体"/>
                <w:color w:val="000000"/>
                <w:sz w:val="18"/>
                <w:szCs w:val="18"/>
              </w:rPr>
            </w:pPr>
          </w:p>
        </w:tc>
        <w:tc>
          <w:tcPr>
            <w:tcW w:w="1599" w:type="pct"/>
            <w:shd w:val="clear" w:color="auto" w:fill="auto"/>
            <w:vAlign w:val="center"/>
          </w:tcPr>
          <w:p w14:paraId="5CB0EB6E">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工程名称</w:t>
            </w:r>
          </w:p>
        </w:tc>
        <w:tc>
          <w:tcPr>
            <w:tcW w:w="483" w:type="pct"/>
            <w:shd w:val="clear" w:color="auto" w:fill="auto"/>
            <w:vAlign w:val="center"/>
          </w:tcPr>
          <w:p w14:paraId="0A44C2F7">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所在位置</w:t>
            </w:r>
          </w:p>
        </w:tc>
        <w:tc>
          <w:tcPr>
            <w:tcW w:w="540" w:type="pct"/>
            <w:shd w:val="clear" w:color="auto" w:fill="auto"/>
            <w:vAlign w:val="center"/>
          </w:tcPr>
          <w:p w14:paraId="0AF835B5">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控制灌溉面积（万亩）</w:t>
            </w:r>
          </w:p>
        </w:tc>
        <w:tc>
          <w:tcPr>
            <w:tcW w:w="641" w:type="pct"/>
            <w:shd w:val="clear" w:color="auto" w:fill="auto"/>
            <w:vAlign w:val="center"/>
          </w:tcPr>
          <w:p w14:paraId="6F31082A">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设计引水规模（</w:t>
            </w:r>
            <w:r>
              <w:rPr>
                <w:rFonts w:hint="eastAsia" w:ascii="仿宋_GB2312" w:cs="Times New Roman"/>
                <w:color w:val="000000"/>
                <w:sz w:val="18"/>
                <w:szCs w:val="18"/>
              </w:rPr>
              <w:t>m</w:t>
            </w:r>
            <w:r>
              <w:rPr>
                <w:rFonts w:hint="eastAsia" w:ascii="仿宋_GB2312" w:cs="Times New Roman"/>
                <w:color w:val="000000"/>
                <w:sz w:val="18"/>
                <w:szCs w:val="18"/>
                <w:vertAlign w:val="superscript"/>
              </w:rPr>
              <w:t>3</w:t>
            </w:r>
            <w:r>
              <w:rPr>
                <w:rFonts w:hint="eastAsia" w:ascii="仿宋_GB2312" w:cs="Times New Roman"/>
                <w:color w:val="000000"/>
                <w:sz w:val="18"/>
                <w:szCs w:val="18"/>
              </w:rPr>
              <w:t>/s</w:t>
            </w:r>
            <w:r>
              <w:rPr>
                <w:rFonts w:hint="eastAsia" w:ascii="仿宋_GB2312" w:hAnsi="宋体"/>
                <w:color w:val="000000"/>
                <w:sz w:val="18"/>
                <w:szCs w:val="18"/>
              </w:rPr>
              <w:t>）</w:t>
            </w:r>
          </w:p>
        </w:tc>
        <w:tc>
          <w:tcPr>
            <w:tcW w:w="641" w:type="pct"/>
            <w:shd w:val="clear" w:color="auto" w:fill="auto"/>
            <w:vAlign w:val="center"/>
          </w:tcPr>
          <w:p w14:paraId="471321ED">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现状供水能力（万</w:t>
            </w:r>
            <w:r>
              <w:rPr>
                <w:rFonts w:hint="eastAsia" w:ascii="仿宋_GB2312" w:cs="Times New Roman"/>
                <w:color w:val="000000"/>
                <w:sz w:val="18"/>
                <w:szCs w:val="18"/>
              </w:rPr>
              <w:t>m</w:t>
            </w:r>
            <w:r>
              <w:rPr>
                <w:rFonts w:hint="eastAsia" w:ascii="仿宋_GB2312" w:cs="Times New Roman"/>
                <w:color w:val="000000"/>
                <w:sz w:val="18"/>
                <w:szCs w:val="18"/>
                <w:vertAlign w:val="superscript"/>
              </w:rPr>
              <w:t>3</w:t>
            </w:r>
            <w:r>
              <w:rPr>
                <w:rFonts w:hint="eastAsia" w:ascii="仿宋_GB2312" w:hAnsi="宋体"/>
                <w:color w:val="000000"/>
                <w:sz w:val="18"/>
                <w:szCs w:val="18"/>
              </w:rPr>
              <w:t>）</w:t>
            </w:r>
          </w:p>
        </w:tc>
        <w:tc>
          <w:tcPr>
            <w:tcW w:w="640" w:type="pct"/>
            <w:shd w:val="clear" w:color="auto" w:fill="auto"/>
            <w:vAlign w:val="center"/>
          </w:tcPr>
          <w:p w14:paraId="440965E0">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设计供水能力（万</w:t>
            </w:r>
            <w:r>
              <w:rPr>
                <w:rFonts w:hint="eastAsia" w:ascii="仿宋_GB2312" w:cs="Times New Roman"/>
                <w:color w:val="000000"/>
                <w:sz w:val="18"/>
                <w:szCs w:val="18"/>
              </w:rPr>
              <w:t>m</w:t>
            </w:r>
            <w:r>
              <w:rPr>
                <w:rFonts w:hint="eastAsia" w:ascii="仿宋_GB2312" w:cs="Times New Roman"/>
                <w:color w:val="000000"/>
                <w:sz w:val="18"/>
                <w:szCs w:val="18"/>
                <w:vertAlign w:val="superscript"/>
              </w:rPr>
              <w:t>3</w:t>
            </w:r>
            <w:r>
              <w:rPr>
                <w:rFonts w:hint="eastAsia" w:ascii="仿宋_GB2312" w:hAnsi="宋体"/>
                <w:color w:val="000000"/>
                <w:sz w:val="18"/>
                <w:szCs w:val="18"/>
              </w:rPr>
              <w:t>）</w:t>
            </w:r>
          </w:p>
        </w:tc>
      </w:tr>
      <w:tr w14:paraId="0F942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56" w:type="pct"/>
            <w:shd w:val="clear" w:color="auto" w:fill="auto"/>
            <w:noWrap/>
            <w:vAlign w:val="center"/>
          </w:tcPr>
          <w:p w14:paraId="0EBD3FE5">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中型</w:t>
            </w:r>
          </w:p>
        </w:tc>
        <w:tc>
          <w:tcPr>
            <w:tcW w:w="1599" w:type="pct"/>
            <w:shd w:val="clear" w:color="auto" w:fill="auto"/>
            <w:noWrap/>
            <w:vAlign w:val="center"/>
          </w:tcPr>
          <w:p w14:paraId="0D48F083">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三工河渠首</w:t>
            </w:r>
          </w:p>
        </w:tc>
        <w:tc>
          <w:tcPr>
            <w:tcW w:w="483" w:type="pct"/>
            <w:shd w:val="clear" w:color="auto" w:fill="auto"/>
            <w:noWrap/>
            <w:vAlign w:val="center"/>
          </w:tcPr>
          <w:p w14:paraId="423F8D88">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拦河</w:t>
            </w:r>
          </w:p>
        </w:tc>
        <w:tc>
          <w:tcPr>
            <w:tcW w:w="540" w:type="pct"/>
            <w:shd w:val="clear" w:color="auto" w:fill="auto"/>
            <w:noWrap/>
            <w:vAlign w:val="center"/>
          </w:tcPr>
          <w:p w14:paraId="1B25803D">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9.36</w:t>
            </w:r>
          </w:p>
        </w:tc>
        <w:tc>
          <w:tcPr>
            <w:tcW w:w="641" w:type="pct"/>
            <w:shd w:val="clear" w:color="auto" w:fill="auto"/>
            <w:noWrap/>
            <w:vAlign w:val="center"/>
          </w:tcPr>
          <w:p w14:paraId="08B551DF">
            <w:pPr>
              <w:spacing w:line="240" w:lineRule="auto"/>
              <w:ind w:firstLine="0" w:firstLineChars="0"/>
              <w:jc w:val="center"/>
              <w:rPr>
                <w:rFonts w:ascii="仿宋_GB2312" w:cs="Times New Roman"/>
                <w:color w:val="000000"/>
                <w:sz w:val="18"/>
                <w:szCs w:val="18"/>
              </w:rPr>
            </w:pPr>
            <w:r>
              <w:rPr>
                <w:rFonts w:hint="eastAsia" w:ascii="仿宋_GB2312" w:cs="Times New Roman"/>
                <w:color w:val="000000"/>
                <w:sz w:val="18"/>
                <w:szCs w:val="18"/>
              </w:rPr>
              <w:t>7.9</w:t>
            </w:r>
          </w:p>
        </w:tc>
        <w:tc>
          <w:tcPr>
            <w:tcW w:w="641" w:type="pct"/>
            <w:shd w:val="clear" w:color="auto" w:fill="auto"/>
            <w:noWrap/>
            <w:vAlign w:val="center"/>
          </w:tcPr>
          <w:p w14:paraId="2F1283D9">
            <w:pPr>
              <w:spacing w:line="240" w:lineRule="auto"/>
              <w:ind w:firstLine="0" w:firstLineChars="0"/>
              <w:jc w:val="center"/>
              <w:rPr>
                <w:rFonts w:ascii="仿宋_GB2312" w:cs="Times New Roman"/>
                <w:color w:val="000000"/>
                <w:sz w:val="18"/>
                <w:szCs w:val="18"/>
              </w:rPr>
            </w:pPr>
            <w:r>
              <w:rPr>
                <w:rFonts w:hint="eastAsia" w:ascii="仿宋_GB2312" w:cs="Times New Roman"/>
                <w:color w:val="000000"/>
                <w:sz w:val="18"/>
                <w:szCs w:val="18"/>
              </w:rPr>
              <w:t>500</w:t>
            </w:r>
          </w:p>
        </w:tc>
        <w:tc>
          <w:tcPr>
            <w:tcW w:w="640" w:type="pct"/>
            <w:shd w:val="clear" w:color="auto" w:fill="auto"/>
            <w:noWrap/>
            <w:vAlign w:val="center"/>
          </w:tcPr>
          <w:p w14:paraId="7458D945">
            <w:pPr>
              <w:spacing w:line="240" w:lineRule="auto"/>
              <w:ind w:firstLine="0" w:firstLineChars="0"/>
              <w:jc w:val="center"/>
              <w:rPr>
                <w:rFonts w:ascii="仿宋_GB2312" w:cs="Times New Roman"/>
                <w:color w:val="000000"/>
                <w:sz w:val="18"/>
                <w:szCs w:val="18"/>
              </w:rPr>
            </w:pPr>
            <w:r>
              <w:rPr>
                <w:rFonts w:hint="eastAsia" w:ascii="仿宋_GB2312" w:cs="Times New Roman"/>
                <w:color w:val="000000"/>
                <w:sz w:val="18"/>
                <w:szCs w:val="18"/>
              </w:rPr>
              <w:t>2000</w:t>
            </w:r>
          </w:p>
        </w:tc>
      </w:tr>
      <w:tr w14:paraId="67CA7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56" w:type="pct"/>
            <w:shd w:val="clear" w:color="auto" w:fill="auto"/>
            <w:noWrap/>
            <w:vAlign w:val="center"/>
          </w:tcPr>
          <w:p w14:paraId="46A48AFB">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中型</w:t>
            </w:r>
          </w:p>
        </w:tc>
        <w:tc>
          <w:tcPr>
            <w:tcW w:w="1599" w:type="pct"/>
            <w:shd w:val="clear" w:color="auto" w:fill="auto"/>
            <w:noWrap/>
            <w:vAlign w:val="center"/>
          </w:tcPr>
          <w:p w14:paraId="3174A52A">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四工河渠首</w:t>
            </w:r>
          </w:p>
        </w:tc>
        <w:tc>
          <w:tcPr>
            <w:tcW w:w="483" w:type="pct"/>
            <w:shd w:val="clear" w:color="auto" w:fill="auto"/>
            <w:noWrap/>
            <w:vAlign w:val="center"/>
          </w:tcPr>
          <w:p w14:paraId="62F0F7E6">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拦河</w:t>
            </w:r>
          </w:p>
        </w:tc>
        <w:tc>
          <w:tcPr>
            <w:tcW w:w="540" w:type="pct"/>
            <w:shd w:val="clear" w:color="auto" w:fill="auto"/>
            <w:noWrap/>
            <w:vAlign w:val="center"/>
          </w:tcPr>
          <w:p w14:paraId="516322DF">
            <w:pPr>
              <w:spacing w:line="240" w:lineRule="auto"/>
              <w:ind w:firstLine="0" w:firstLineChars="0"/>
              <w:jc w:val="center"/>
              <w:rPr>
                <w:rFonts w:hint="eastAsia" w:ascii="仿宋_GB2312" w:hAnsi="宋体"/>
                <w:color w:val="000000"/>
                <w:sz w:val="18"/>
                <w:szCs w:val="18"/>
              </w:rPr>
            </w:pPr>
            <w:r>
              <w:rPr>
                <w:rFonts w:hint="eastAsia" w:ascii="仿宋_GB2312" w:hAnsi="宋体"/>
                <w:color w:val="000000"/>
                <w:sz w:val="18"/>
                <w:szCs w:val="18"/>
              </w:rPr>
              <w:t>4</w:t>
            </w:r>
          </w:p>
        </w:tc>
        <w:tc>
          <w:tcPr>
            <w:tcW w:w="641" w:type="pct"/>
            <w:shd w:val="clear" w:color="auto" w:fill="auto"/>
            <w:noWrap/>
            <w:vAlign w:val="center"/>
          </w:tcPr>
          <w:p w14:paraId="633DA990">
            <w:pPr>
              <w:spacing w:line="240" w:lineRule="auto"/>
              <w:ind w:firstLine="0" w:firstLineChars="0"/>
              <w:jc w:val="center"/>
              <w:rPr>
                <w:rFonts w:ascii="仿宋_GB2312" w:cs="Times New Roman"/>
                <w:color w:val="000000"/>
                <w:sz w:val="18"/>
                <w:szCs w:val="18"/>
              </w:rPr>
            </w:pPr>
            <w:r>
              <w:rPr>
                <w:rFonts w:hint="eastAsia" w:ascii="仿宋_GB2312" w:cs="Times New Roman"/>
                <w:color w:val="000000"/>
                <w:sz w:val="18"/>
                <w:szCs w:val="18"/>
              </w:rPr>
              <w:t>10</w:t>
            </w:r>
          </w:p>
        </w:tc>
        <w:tc>
          <w:tcPr>
            <w:tcW w:w="641" w:type="pct"/>
            <w:shd w:val="clear" w:color="auto" w:fill="auto"/>
            <w:noWrap/>
            <w:vAlign w:val="center"/>
          </w:tcPr>
          <w:p w14:paraId="4F9EF05F">
            <w:pPr>
              <w:spacing w:line="240" w:lineRule="auto"/>
              <w:ind w:firstLine="0" w:firstLineChars="0"/>
              <w:jc w:val="center"/>
              <w:rPr>
                <w:rFonts w:ascii="仿宋_GB2312" w:cs="Times New Roman"/>
                <w:color w:val="000000"/>
                <w:sz w:val="18"/>
                <w:szCs w:val="18"/>
              </w:rPr>
            </w:pPr>
            <w:r>
              <w:rPr>
                <w:rFonts w:hint="eastAsia" w:ascii="仿宋_GB2312" w:cs="Times New Roman"/>
                <w:color w:val="000000"/>
                <w:sz w:val="18"/>
                <w:szCs w:val="18"/>
              </w:rPr>
              <w:t>1100</w:t>
            </w:r>
          </w:p>
        </w:tc>
        <w:tc>
          <w:tcPr>
            <w:tcW w:w="640" w:type="pct"/>
            <w:shd w:val="clear" w:color="auto" w:fill="auto"/>
            <w:noWrap/>
            <w:vAlign w:val="center"/>
          </w:tcPr>
          <w:p w14:paraId="1F785E68">
            <w:pPr>
              <w:spacing w:line="240" w:lineRule="auto"/>
              <w:ind w:firstLine="0" w:firstLineChars="0"/>
              <w:jc w:val="center"/>
              <w:rPr>
                <w:rFonts w:ascii="仿宋_GB2312" w:cs="Times New Roman"/>
                <w:color w:val="000000"/>
                <w:sz w:val="18"/>
                <w:szCs w:val="18"/>
              </w:rPr>
            </w:pPr>
            <w:r>
              <w:rPr>
                <w:rFonts w:hint="eastAsia" w:ascii="仿宋_GB2312" w:cs="Times New Roman"/>
                <w:color w:val="000000"/>
                <w:sz w:val="18"/>
                <w:szCs w:val="18"/>
              </w:rPr>
              <w:t>2000</w:t>
            </w:r>
          </w:p>
        </w:tc>
      </w:tr>
    </w:tbl>
    <w:p w14:paraId="6D48D1ED">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3351BDFB">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附表九                灌溉渠道统计表</w:t>
      </w:r>
    </w:p>
    <w:tbl>
      <w:tblPr>
        <w:tblStyle w:val="4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6"/>
        <w:gridCol w:w="1331"/>
        <w:gridCol w:w="536"/>
        <w:gridCol w:w="598"/>
        <w:gridCol w:w="859"/>
        <w:gridCol w:w="696"/>
        <w:gridCol w:w="859"/>
        <w:gridCol w:w="697"/>
        <w:gridCol w:w="860"/>
        <w:gridCol w:w="697"/>
        <w:gridCol w:w="860"/>
      </w:tblGrid>
      <w:tr w14:paraId="354CA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322" w:type="pct"/>
            <w:shd w:val="clear" w:color="auto" w:fill="auto"/>
            <w:noWrap/>
            <w:vAlign w:val="center"/>
          </w:tcPr>
          <w:p w14:paraId="322D8E56">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序号</w:t>
            </w:r>
          </w:p>
        </w:tc>
        <w:tc>
          <w:tcPr>
            <w:tcW w:w="803" w:type="pct"/>
            <w:shd w:val="clear" w:color="auto" w:fill="auto"/>
            <w:noWrap/>
            <w:vAlign w:val="center"/>
          </w:tcPr>
          <w:p w14:paraId="18BA4718">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灌区名称</w:t>
            </w:r>
          </w:p>
        </w:tc>
        <w:tc>
          <w:tcPr>
            <w:tcW w:w="327" w:type="pct"/>
            <w:shd w:val="clear" w:color="auto" w:fill="auto"/>
            <w:noWrap/>
            <w:vAlign w:val="center"/>
          </w:tcPr>
          <w:p w14:paraId="3D4632FE">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类型</w:t>
            </w:r>
          </w:p>
        </w:tc>
        <w:tc>
          <w:tcPr>
            <w:tcW w:w="368" w:type="pct"/>
            <w:shd w:val="clear" w:color="auto" w:fill="auto"/>
            <w:vAlign w:val="center"/>
          </w:tcPr>
          <w:p w14:paraId="491F1ADB">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所属河流</w:t>
            </w:r>
          </w:p>
        </w:tc>
        <w:tc>
          <w:tcPr>
            <w:tcW w:w="519" w:type="pct"/>
            <w:shd w:val="clear" w:color="auto" w:fill="auto"/>
            <w:vAlign w:val="center"/>
          </w:tcPr>
          <w:p w14:paraId="49562291">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设计灌溉面积</w:t>
            </w:r>
            <w:r>
              <w:rPr>
                <w:rFonts w:hint="eastAsia" w:ascii="仿宋_GB2312" w:hAnsi="宋体"/>
                <w:color w:val="000000"/>
                <w:sz w:val="16"/>
                <w:szCs w:val="16"/>
              </w:rPr>
              <w:br w:type="textWrapping"/>
            </w:r>
            <w:r>
              <w:rPr>
                <w:rFonts w:hint="eastAsia" w:ascii="仿宋_GB2312" w:hAnsi="宋体"/>
                <w:color w:val="000000"/>
                <w:sz w:val="16"/>
                <w:szCs w:val="16"/>
              </w:rPr>
              <w:t>（万亩）</w:t>
            </w:r>
          </w:p>
        </w:tc>
        <w:tc>
          <w:tcPr>
            <w:tcW w:w="368" w:type="pct"/>
            <w:shd w:val="clear" w:color="auto" w:fill="auto"/>
            <w:vAlign w:val="center"/>
          </w:tcPr>
          <w:p w14:paraId="0878FACF">
            <w:pPr>
              <w:spacing w:line="240" w:lineRule="auto"/>
              <w:ind w:firstLine="0" w:firstLineChars="0"/>
              <w:jc w:val="center"/>
              <w:rPr>
                <w:rFonts w:ascii="仿宋_GB2312" w:cs="Times New Roman"/>
                <w:color w:val="000000"/>
                <w:sz w:val="16"/>
                <w:szCs w:val="16"/>
              </w:rPr>
            </w:pPr>
            <w:r>
              <w:rPr>
                <w:rFonts w:hint="eastAsia" w:ascii="仿宋_GB2312" w:hAnsi="宋体" w:cs="Times New Roman"/>
                <w:color w:val="000000"/>
                <w:sz w:val="16"/>
                <w:szCs w:val="16"/>
              </w:rPr>
              <w:t>干渠长度</w:t>
            </w:r>
            <w:r>
              <w:rPr>
                <w:rFonts w:hint="eastAsia" w:ascii="仿宋_GB2312" w:hAnsi="宋体" w:cs="Times New Roman"/>
                <w:color w:val="000000"/>
                <w:sz w:val="16"/>
                <w:szCs w:val="16"/>
              </w:rPr>
              <w:br w:type="textWrapping"/>
            </w:r>
            <w:r>
              <w:rPr>
                <w:rFonts w:hint="eastAsia" w:ascii="仿宋_GB2312" w:hAnsi="宋体" w:cs="Times New Roman"/>
                <w:color w:val="000000"/>
                <w:sz w:val="16"/>
                <w:szCs w:val="16"/>
              </w:rPr>
              <w:t>（</w:t>
            </w:r>
            <w:r>
              <w:rPr>
                <w:rFonts w:hint="eastAsia" w:ascii="仿宋_GB2312" w:cs="Times New Roman"/>
                <w:color w:val="000000"/>
                <w:sz w:val="16"/>
                <w:szCs w:val="16"/>
              </w:rPr>
              <w:t>km</w:t>
            </w:r>
            <w:r>
              <w:rPr>
                <w:rFonts w:hint="eastAsia" w:ascii="仿宋_GB2312" w:hAnsi="宋体" w:cs="Times New Roman"/>
                <w:color w:val="000000"/>
                <w:sz w:val="16"/>
                <w:szCs w:val="16"/>
              </w:rPr>
              <w:t>）</w:t>
            </w:r>
          </w:p>
        </w:tc>
        <w:tc>
          <w:tcPr>
            <w:tcW w:w="519" w:type="pct"/>
            <w:shd w:val="clear" w:color="auto" w:fill="auto"/>
            <w:vAlign w:val="center"/>
          </w:tcPr>
          <w:p w14:paraId="243A7A6B">
            <w:pPr>
              <w:spacing w:line="240" w:lineRule="auto"/>
              <w:ind w:firstLine="0" w:firstLineChars="0"/>
              <w:jc w:val="center"/>
              <w:rPr>
                <w:rFonts w:ascii="仿宋_GB2312" w:cs="Times New Roman"/>
                <w:color w:val="000000"/>
                <w:sz w:val="16"/>
                <w:szCs w:val="16"/>
              </w:rPr>
            </w:pPr>
            <w:r>
              <w:rPr>
                <w:rFonts w:hint="eastAsia" w:ascii="仿宋_GB2312" w:hAnsi="宋体" w:cs="Times New Roman"/>
                <w:color w:val="000000"/>
                <w:sz w:val="16"/>
                <w:szCs w:val="16"/>
              </w:rPr>
              <w:t>干渠防渗长度</w:t>
            </w:r>
            <w:r>
              <w:rPr>
                <w:rFonts w:hint="eastAsia" w:ascii="仿宋_GB2312" w:hAnsi="宋体" w:cs="Times New Roman"/>
                <w:color w:val="000000"/>
                <w:sz w:val="16"/>
                <w:szCs w:val="16"/>
              </w:rPr>
              <w:br w:type="textWrapping"/>
            </w:r>
            <w:r>
              <w:rPr>
                <w:rFonts w:hint="eastAsia" w:ascii="仿宋_GB2312" w:cs="Times New Roman"/>
                <w:color w:val="000000"/>
                <w:sz w:val="16"/>
                <w:szCs w:val="16"/>
              </w:rPr>
              <w:t>(km)</w:t>
            </w:r>
          </w:p>
        </w:tc>
        <w:tc>
          <w:tcPr>
            <w:tcW w:w="368" w:type="pct"/>
            <w:shd w:val="clear" w:color="auto" w:fill="auto"/>
            <w:vAlign w:val="center"/>
          </w:tcPr>
          <w:p w14:paraId="72771C95">
            <w:pPr>
              <w:spacing w:line="240" w:lineRule="auto"/>
              <w:ind w:firstLine="0" w:firstLineChars="0"/>
              <w:jc w:val="center"/>
              <w:rPr>
                <w:rFonts w:ascii="仿宋_GB2312" w:cs="Times New Roman"/>
                <w:color w:val="000000"/>
                <w:sz w:val="16"/>
                <w:szCs w:val="16"/>
              </w:rPr>
            </w:pPr>
            <w:r>
              <w:rPr>
                <w:rFonts w:hint="eastAsia" w:ascii="仿宋_GB2312" w:hAnsi="宋体" w:cs="Times New Roman"/>
                <w:color w:val="000000"/>
                <w:sz w:val="16"/>
                <w:szCs w:val="16"/>
              </w:rPr>
              <w:t>支渠长度</w:t>
            </w:r>
            <w:r>
              <w:rPr>
                <w:rFonts w:hint="eastAsia" w:ascii="仿宋_GB2312" w:hAnsi="宋体" w:cs="Times New Roman"/>
                <w:color w:val="000000"/>
                <w:sz w:val="16"/>
                <w:szCs w:val="16"/>
              </w:rPr>
              <w:br w:type="textWrapping"/>
            </w:r>
            <w:r>
              <w:rPr>
                <w:rFonts w:hint="eastAsia" w:ascii="仿宋_GB2312" w:hAnsi="宋体" w:cs="Times New Roman"/>
                <w:color w:val="000000"/>
                <w:sz w:val="16"/>
                <w:szCs w:val="16"/>
              </w:rPr>
              <w:t>（</w:t>
            </w:r>
            <w:r>
              <w:rPr>
                <w:rFonts w:hint="eastAsia" w:ascii="仿宋_GB2312" w:cs="Times New Roman"/>
                <w:color w:val="000000"/>
                <w:sz w:val="16"/>
                <w:szCs w:val="16"/>
              </w:rPr>
              <w:t>km</w:t>
            </w:r>
            <w:r>
              <w:rPr>
                <w:rFonts w:hint="eastAsia" w:ascii="仿宋_GB2312" w:hAnsi="宋体" w:cs="Times New Roman"/>
                <w:color w:val="000000"/>
                <w:sz w:val="16"/>
                <w:szCs w:val="16"/>
              </w:rPr>
              <w:t>）</w:t>
            </w:r>
          </w:p>
        </w:tc>
        <w:tc>
          <w:tcPr>
            <w:tcW w:w="519" w:type="pct"/>
            <w:shd w:val="clear" w:color="auto" w:fill="auto"/>
            <w:vAlign w:val="center"/>
          </w:tcPr>
          <w:p w14:paraId="5E90656E">
            <w:pPr>
              <w:spacing w:line="240" w:lineRule="auto"/>
              <w:ind w:firstLine="0" w:firstLineChars="0"/>
              <w:jc w:val="center"/>
              <w:rPr>
                <w:rFonts w:ascii="仿宋_GB2312" w:cs="Times New Roman"/>
                <w:color w:val="000000"/>
                <w:sz w:val="16"/>
                <w:szCs w:val="16"/>
              </w:rPr>
            </w:pPr>
            <w:r>
              <w:rPr>
                <w:rFonts w:hint="eastAsia" w:ascii="仿宋_GB2312" w:hAnsi="宋体" w:cs="Times New Roman"/>
                <w:color w:val="000000"/>
                <w:sz w:val="16"/>
                <w:szCs w:val="16"/>
              </w:rPr>
              <w:t>支渠防渗长度</w:t>
            </w:r>
            <w:r>
              <w:rPr>
                <w:rFonts w:hint="eastAsia" w:ascii="仿宋_GB2312" w:hAnsi="宋体" w:cs="Times New Roman"/>
                <w:color w:val="000000"/>
                <w:sz w:val="16"/>
                <w:szCs w:val="16"/>
              </w:rPr>
              <w:br w:type="textWrapping"/>
            </w:r>
            <w:r>
              <w:rPr>
                <w:rFonts w:hint="eastAsia" w:ascii="仿宋_GB2312" w:cs="Times New Roman"/>
                <w:color w:val="000000"/>
                <w:sz w:val="16"/>
                <w:szCs w:val="16"/>
              </w:rPr>
              <w:t>(km)</w:t>
            </w:r>
          </w:p>
        </w:tc>
        <w:tc>
          <w:tcPr>
            <w:tcW w:w="368" w:type="pct"/>
            <w:shd w:val="clear" w:color="auto" w:fill="auto"/>
            <w:vAlign w:val="center"/>
          </w:tcPr>
          <w:p w14:paraId="64901CFA">
            <w:pPr>
              <w:spacing w:line="240" w:lineRule="auto"/>
              <w:ind w:firstLine="0" w:firstLineChars="0"/>
              <w:jc w:val="center"/>
              <w:rPr>
                <w:rFonts w:ascii="仿宋_GB2312" w:cs="Times New Roman"/>
                <w:color w:val="000000"/>
                <w:sz w:val="16"/>
                <w:szCs w:val="16"/>
              </w:rPr>
            </w:pPr>
            <w:r>
              <w:rPr>
                <w:rFonts w:hint="eastAsia" w:ascii="仿宋_GB2312" w:hAnsi="宋体" w:cs="Times New Roman"/>
                <w:color w:val="000000"/>
                <w:sz w:val="16"/>
                <w:szCs w:val="16"/>
              </w:rPr>
              <w:t>斗渠长度</w:t>
            </w:r>
            <w:r>
              <w:rPr>
                <w:rFonts w:hint="eastAsia" w:ascii="仿宋_GB2312" w:hAnsi="宋体" w:cs="Times New Roman"/>
                <w:color w:val="000000"/>
                <w:sz w:val="16"/>
                <w:szCs w:val="16"/>
              </w:rPr>
              <w:br w:type="textWrapping"/>
            </w:r>
            <w:r>
              <w:rPr>
                <w:rFonts w:hint="eastAsia" w:ascii="仿宋_GB2312" w:hAnsi="宋体" w:cs="Times New Roman"/>
                <w:color w:val="000000"/>
                <w:sz w:val="16"/>
                <w:szCs w:val="16"/>
              </w:rPr>
              <w:t>（</w:t>
            </w:r>
            <w:r>
              <w:rPr>
                <w:rFonts w:hint="eastAsia" w:ascii="仿宋_GB2312" w:cs="Times New Roman"/>
                <w:color w:val="000000"/>
                <w:sz w:val="16"/>
                <w:szCs w:val="16"/>
              </w:rPr>
              <w:t>km</w:t>
            </w:r>
            <w:r>
              <w:rPr>
                <w:rFonts w:hint="eastAsia" w:ascii="仿宋_GB2312" w:hAnsi="宋体" w:cs="Times New Roman"/>
                <w:color w:val="000000"/>
                <w:sz w:val="16"/>
                <w:szCs w:val="16"/>
              </w:rPr>
              <w:t>）</w:t>
            </w:r>
          </w:p>
        </w:tc>
        <w:tc>
          <w:tcPr>
            <w:tcW w:w="519" w:type="pct"/>
            <w:shd w:val="clear" w:color="auto" w:fill="auto"/>
            <w:vAlign w:val="center"/>
          </w:tcPr>
          <w:p w14:paraId="07B491DE">
            <w:pPr>
              <w:spacing w:line="240" w:lineRule="auto"/>
              <w:ind w:firstLine="0" w:firstLineChars="0"/>
              <w:jc w:val="center"/>
              <w:rPr>
                <w:rFonts w:ascii="仿宋_GB2312" w:cs="Times New Roman"/>
                <w:color w:val="000000"/>
                <w:sz w:val="16"/>
                <w:szCs w:val="16"/>
              </w:rPr>
            </w:pPr>
            <w:r>
              <w:rPr>
                <w:rFonts w:hint="eastAsia" w:ascii="仿宋_GB2312" w:hAnsi="宋体" w:cs="Times New Roman"/>
                <w:color w:val="000000"/>
                <w:sz w:val="16"/>
                <w:szCs w:val="16"/>
              </w:rPr>
              <w:t>斗渠防渗长度</w:t>
            </w:r>
            <w:r>
              <w:rPr>
                <w:rFonts w:hint="eastAsia" w:ascii="仿宋_GB2312" w:hAnsi="宋体" w:cs="Times New Roman"/>
                <w:color w:val="000000"/>
                <w:sz w:val="16"/>
                <w:szCs w:val="16"/>
              </w:rPr>
              <w:br w:type="textWrapping"/>
            </w:r>
            <w:r>
              <w:rPr>
                <w:rFonts w:hint="eastAsia" w:ascii="仿宋_GB2312" w:cs="Times New Roman"/>
                <w:color w:val="000000"/>
                <w:sz w:val="16"/>
                <w:szCs w:val="16"/>
              </w:rPr>
              <w:t>(km)</w:t>
            </w:r>
          </w:p>
        </w:tc>
      </w:tr>
      <w:tr w14:paraId="41AF2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322" w:type="pct"/>
            <w:shd w:val="clear" w:color="auto" w:fill="auto"/>
            <w:noWrap/>
            <w:vAlign w:val="center"/>
          </w:tcPr>
          <w:p w14:paraId="5981419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1</w:t>
            </w:r>
          </w:p>
        </w:tc>
        <w:tc>
          <w:tcPr>
            <w:tcW w:w="803" w:type="pct"/>
            <w:shd w:val="clear" w:color="auto" w:fill="auto"/>
            <w:noWrap/>
            <w:vAlign w:val="center"/>
          </w:tcPr>
          <w:p w14:paraId="4EBF5C49">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白杨河灌区</w:t>
            </w:r>
          </w:p>
        </w:tc>
        <w:tc>
          <w:tcPr>
            <w:tcW w:w="327" w:type="pct"/>
            <w:shd w:val="clear" w:color="auto" w:fill="auto"/>
            <w:noWrap/>
            <w:vAlign w:val="center"/>
          </w:tcPr>
          <w:p w14:paraId="1E442919">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大型</w:t>
            </w:r>
          </w:p>
        </w:tc>
        <w:tc>
          <w:tcPr>
            <w:tcW w:w="368" w:type="pct"/>
            <w:shd w:val="clear" w:color="auto" w:fill="auto"/>
            <w:vAlign w:val="center"/>
          </w:tcPr>
          <w:p w14:paraId="37E96FFC">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白杨河</w:t>
            </w:r>
          </w:p>
        </w:tc>
        <w:tc>
          <w:tcPr>
            <w:tcW w:w="519" w:type="pct"/>
            <w:shd w:val="clear" w:color="auto" w:fill="auto"/>
            <w:noWrap/>
            <w:vAlign w:val="center"/>
          </w:tcPr>
          <w:p w14:paraId="1179F077">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32.00 </w:t>
            </w:r>
          </w:p>
        </w:tc>
        <w:tc>
          <w:tcPr>
            <w:tcW w:w="368" w:type="pct"/>
            <w:shd w:val="clear" w:color="auto" w:fill="auto"/>
            <w:noWrap/>
            <w:vAlign w:val="center"/>
          </w:tcPr>
          <w:p w14:paraId="0E0AB783">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8.47 </w:t>
            </w:r>
          </w:p>
        </w:tc>
        <w:tc>
          <w:tcPr>
            <w:tcW w:w="519" w:type="pct"/>
            <w:shd w:val="clear" w:color="auto" w:fill="auto"/>
            <w:noWrap/>
            <w:vAlign w:val="center"/>
          </w:tcPr>
          <w:p w14:paraId="4C2ECB7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7.42 </w:t>
            </w:r>
          </w:p>
        </w:tc>
        <w:tc>
          <w:tcPr>
            <w:tcW w:w="368" w:type="pct"/>
            <w:shd w:val="clear" w:color="auto" w:fill="auto"/>
            <w:noWrap/>
            <w:vAlign w:val="center"/>
          </w:tcPr>
          <w:p w14:paraId="3A4195BD">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77.95 </w:t>
            </w:r>
          </w:p>
        </w:tc>
        <w:tc>
          <w:tcPr>
            <w:tcW w:w="519" w:type="pct"/>
            <w:shd w:val="clear" w:color="auto" w:fill="auto"/>
            <w:noWrap/>
            <w:vAlign w:val="center"/>
          </w:tcPr>
          <w:p w14:paraId="011A3BE5">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77.64 </w:t>
            </w:r>
          </w:p>
        </w:tc>
        <w:tc>
          <w:tcPr>
            <w:tcW w:w="368" w:type="pct"/>
            <w:shd w:val="clear" w:color="auto" w:fill="auto"/>
            <w:noWrap/>
            <w:vAlign w:val="center"/>
          </w:tcPr>
          <w:p w14:paraId="66787790">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244.20 </w:t>
            </w:r>
          </w:p>
        </w:tc>
        <w:tc>
          <w:tcPr>
            <w:tcW w:w="519" w:type="pct"/>
            <w:shd w:val="clear" w:color="auto" w:fill="auto"/>
            <w:noWrap/>
            <w:vAlign w:val="center"/>
          </w:tcPr>
          <w:p w14:paraId="368FB212">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210.33 </w:t>
            </w:r>
          </w:p>
        </w:tc>
      </w:tr>
      <w:tr w14:paraId="75D58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22" w:type="pct"/>
            <w:shd w:val="clear" w:color="auto" w:fill="auto"/>
            <w:noWrap/>
            <w:vAlign w:val="center"/>
          </w:tcPr>
          <w:p w14:paraId="780E2CB2">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2</w:t>
            </w:r>
          </w:p>
        </w:tc>
        <w:tc>
          <w:tcPr>
            <w:tcW w:w="803" w:type="pct"/>
            <w:shd w:val="clear" w:color="auto" w:fill="auto"/>
            <w:noWrap/>
            <w:vAlign w:val="center"/>
          </w:tcPr>
          <w:p w14:paraId="52D592C3">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水磨河灌区</w:t>
            </w:r>
          </w:p>
        </w:tc>
        <w:tc>
          <w:tcPr>
            <w:tcW w:w="327" w:type="pct"/>
            <w:shd w:val="clear" w:color="auto" w:fill="auto"/>
            <w:noWrap/>
            <w:vAlign w:val="center"/>
          </w:tcPr>
          <w:p w14:paraId="666C2478">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中型</w:t>
            </w:r>
          </w:p>
        </w:tc>
        <w:tc>
          <w:tcPr>
            <w:tcW w:w="368" w:type="pct"/>
            <w:shd w:val="clear" w:color="auto" w:fill="auto"/>
            <w:vAlign w:val="center"/>
          </w:tcPr>
          <w:p w14:paraId="5DC0036E">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水磨河</w:t>
            </w:r>
          </w:p>
        </w:tc>
        <w:tc>
          <w:tcPr>
            <w:tcW w:w="519" w:type="pct"/>
            <w:shd w:val="clear" w:color="auto" w:fill="auto"/>
            <w:noWrap/>
            <w:vAlign w:val="center"/>
          </w:tcPr>
          <w:p w14:paraId="2A508C1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6.00 </w:t>
            </w:r>
          </w:p>
        </w:tc>
        <w:tc>
          <w:tcPr>
            <w:tcW w:w="368" w:type="pct"/>
            <w:shd w:val="clear" w:color="auto" w:fill="auto"/>
            <w:noWrap/>
            <w:vAlign w:val="center"/>
          </w:tcPr>
          <w:p w14:paraId="6F1C5015">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6.79 </w:t>
            </w:r>
          </w:p>
        </w:tc>
        <w:tc>
          <w:tcPr>
            <w:tcW w:w="519" w:type="pct"/>
            <w:shd w:val="clear" w:color="auto" w:fill="auto"/>
            <w:noWrap/>
            <w:vAlign w:val="center"/>
          </w:tcPr>
          <w:p w14:paraId="2C393921">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6.79 </w:t>
            </w:r>
          </w:p>
        </w:tc>
        <w:tc>
          <w:tcPr>
            <w:tcW w:w="368" w:type="pct"/>
            <w:shd w:val="clear" w:color="auto" w:fill="auto"/>
            <w:noWrap/>
            <w:vAlign w:val="center"/>
          </w:tcPr>
          <w:p w14:paraId="2A517870">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20.98 </w:t>
            </w:r>
          </w:p>
        </w:tc>
        <w:tc>
          <w:tcPr>
            <w:tcW w:w="519" w:type="pct"/>
            <w:shd w:val="clear" w:color="auto" w:fill="auto"/>
            <w:noWrap/>
            <w:vAlign w:val="center"/>
          </w:tcPr>
          <w:p w14:paraId="1286252D">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19.48 </w:t>
            </w:r>
          </w:p>
        </w:tc>
        <w:tc>
          <w:tcPr>
            <w:tcW w:w="368" w:type="pct"/>
            <w:shd w:val="clear" w:color="auto" w:fill="auto"/>
            <w:noWrap/>
            <w:vAlign w:val="center"/>
          </w:tcPr>
          <w:p w14:paraId="3F4CE393">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58.19 </w:t>
            </w:r>
          </w:p>
        </w:tc>
        <w:tc>
          <w:tcPr>
            <w:tcW w:w="519" w:type="pct"/>
            <w:shd w:val="clear" w:color="auto" w:fill="auto"/>
            <w:noWrap/>
            <w:vAlign w:val="center"/>
          </w:tcPr>
          <w:p w14:paraId="03C34909">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42.80 </w:t>
            </w:r>
          </w:p>
        </w:tc>
      </w:tr>
      <w:tr w14:paraId="4E7E2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22" w:type="pct"/>
            <w:shd w:val="clear" w:color="auto" w:fill="auto"/>
            <w:noWrap/>
            <w:vAlign w:val="center"/>
          </w:tcPr>
          <w:p w14:paraId="1CC6A3C0">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3</w:t>
            </w:r>
          </w:p>
        </w:tc>
        <w:tc>
          <w:tcPr>
            <w:tcW w:w="803" w:type="pct"/>
            <w:shd w:val="clear" w:color="auto" w:fill="auto"/>
            <w:noWrap/>
            <w:vAlign w:val="center"/>
          </w:tcPr>
          <w:p w14:paraId="0B84CBCE">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三工河灌区</w:t>
            </w:r>
          </w:p>
        </w:tc>
        <w:tc>
          <w:tcPr>
            <w:tcW w:w="327" w:type="pct"/>
            <w:shd w:val="clear" w:color="auto" w:fill="auto"/>
            <w:noWrap/>
            <w:vAlign w:val="center"/>
          </w:tcPr>
          <w:p w14:paraId="008B4328">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中型</w:t>
            </w:r>
          </w:p>
        </w:tc>
        <w:tc>
          <w:tcPr>
            <w:tcW w:w="368" w:type="pct"/>
            <w:shd w:val="clear" w:color="auto" w:fill="auto"/>
            <w:vAlign w:val="center"/>
          </w:tcPr>
          <w:p w14:paraId="799BF42C">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三工河</w:t>
            </w:r>
          </w:p>
        </w:tc>
        <w:tc>
          <w:tcPr>
            <w:tcW w:w="519" w:type="pct"/>
            <w:shd w:val="clear" w:color="auto" w:fill="auto"/>
            <w:noWrap/>
            <w:vAlign w:val="center"/>
          </w:tcPr>
          <w:p w14:paraId="6EF3475A">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9.36 </w:t>
            </w:r>
          </w:p>
        </w:tc>
        <w:tc>
          <w:tcPr>
            <w:tcW w:w="368" w:type="pct"/>
            <w:shd w:val="clear" w:color="auto" w:fill="auto"/>
            <w:noWrap/>
            <w:vAlign w:val="center"/>
          </w:tcPr>
          <w:p w14:paraId="06052762">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24.91 </w:t>
            </w:r>
          </w:p>
        </w:tc>
        <w:tc>
          <w:tcPr>
            <w:tcW w:w="519" w:type="pct"/>
            <w:shd w:val="clear" w:color="auto" w:fill="auto"/>
            <w:noWrap/>
            <w:vAlign w:val="center"/>
          </w:tcPr>
          <w:p w14:paraId="0EC48C6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24.43 </w:t>
            </w:r>
          </w:p>
        </w:tc>
        <w:tc>
          <w:tcPr>
            <w:tcW w:w="368" w:type="pct"/>
            <w:shd w:val="clear" w:color="auto" w:fill="auto"/>
            <w:noWrap/>
            <w:vAlign w:val="center"/>
          </w:tcPr>
          <w:p w14:paraId="254C29C9">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62.65 </w:t>
            </w:r>
          </w:p>
        </w:tc>
        <w:tc>
          <w:tcPr>
            <w:tcW w:w="519" w:type="pct"/>
            <w:shd w:val="clear" w:color="auto" w:fill="auto"/>
            <w:noWrap/>
            <w:vAlign w:val="center"/>
          </w:tcPr>
          <w:p w14:paraId="75EBC4FB">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59.44 </w:t>
            </w:r>
          </w:p>
        </w:tc>
        <w:tc>
          <w:tcPr>
            <w:tcW w:w="368" w:type="pct"/>
            <w:shd w:val="clear" w:color="auto" w:fill="auto"/>
            <w:noWrap/>
            <w:vAlign w:val="center"/>
          </w:tcPr>
          <w:p w14:paraId="70F0BD87">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144.19 </w:t>
            </w:r>
          </w:p>
        </w:tc>
        <w:tc>
          <w:tcPr>
            <w:tcW w:w="519" w:type="pct"/>
            <w:shd w:val="clear" w:color="auto" w:fill="auto"/>
            <w:noWrap/>
            <w:vAlign w:val="center"/>
          </w:tcPr>
          <w:p w14:paraId="5EA3D70E">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100.95 </w:t>
            </w:r>
          </w:p>
        </w:tc>
      </w:tr>
      <w:tr w14:paraId="22FBC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trPr>
        <w:tc>
          <w:tcPr>
            <w:tcW w:w="322" w:type="pct"/>
            <w:shd w:val="clear" w:color="auto" w:fill="auto"/>
            <w:noWrap/>
            <w:vAlign w:val="center"/>
          </w:tcPr>
          <w:p w14:paraId="59A05874">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4</w:t>
            </w:r>
          </w:p>
        </w:tc>
        <w:tc>
          <w:tcPr>
            <w:tcW w:w="803" w:type="pct"/>
            <w:shd w:val="clear" w:color="auto" w:fill="auto"/>
            <w:noWrap/>
            <w:vAlign w:val="center"/>
          </w:tcPr>
          <w:p w14:paraId="776E2F08">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四工河灌区</w:t>
            </w:r>
          </w:p>
        </w:tc>
        <w:tc>
          <w:tcPr>
            <w:tcW w:w="327" w:type="pct"/>
            <w:shd w:val="clear" w:color="auto" w:fill="auto"/>
            <w:noWrap/>
            <w:vAlign w:val="center"/>
          </w:tcPr>
          <w:p w14:paraId="590F3E64">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中型</w:t>
            </w:r>
          </w:p>
        </w:tc>
        <w:tc>
          <w:tcPr>
            <w:tcW w:w="368" w:type="pct"/>
            <w:shd w:val="clear" w:color="auto" w:fill="auto"/>
            <w:vAlign w:val="center"/>
          </w:tcPr>
          <w:p w14:paraId="38D95F2A">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四工河</w:t>
            </w:r>
          </w:p>
        </w:tc>
        <w:tc>
          <w:tcPr>
            <w:tcW w:w="519" w:type="pct"/>
            <w:shd w:val="clear" w:color="auto" w:fill="auto"/>
            <w:noWrap/>
            <w:vAlign w:val="center"/>
          </w:tcPr>
          <w:p w14:paraId="0624AA20">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4.00 </w:t>
            </w:r>
          </w:p>
        </w:tc>
        <w:tc>
          <w:tcPr>
            <w:tcW w:w="368" w:type="pct"/>
            <w:shd w:val="clear" w:color="auto" w:fill="auto"/>
            <w:noWrap/>
            <w:vAlign w:val="center"/>
          </w:tcPr>
          <w:p w14:paraId="479F3543">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2.45 </w:t>
            </w:r>
          </w:p>
        </w:tc>
        <w:tc>
          <w:tcPr>
            <w:tcW w:w="519" w:type="pct"/>
            <w:shd w:val="clear" w:color="auto" w:fill="auto"/>
            <w:noWrap/>
            <w:vAlign w:val="center"/>
          </w:tcPr>
          <w:p w14:paraId="41CB288D">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2.45 </w:t>
            </w:r>
          </w:p>
        </w:tc>
        <w:tc>
          <w:tcPr>
            <w:tcW w:w="368" w:type="pct"/>
            <w:shd w:val="clear" w:color="auto" w:fill="auto"/>
            <w:noWrap/>
            <w:vAlign w:val="center"/>
          </w:tcPr>
          <w:p w14:paraId="29DF8191">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19.80 </w:t>
            </w:r>
          </w:p>
        </w:tc>
        <w:tc>
          <w:tcPr>
            <w:tcW w:w="519" w:type="pct"/>
            <w:shd w:val="clear" w:color="auto" w:fill="auto"/>
            <w:noWrap/>
            <w:vAlign w:val="center"/>
          </w:tcPr>
          <w:p w14:paraId="7E7A5111">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19.80 </w:t>
            </w:r>
          </w:p>
        </w:tc>
        <w:tc>
          <w:tcPr>
            <w:tcW w:w="368" w:type="pct"/>
            <w:shd w:val="clear" w:color="auto" w:fill="auto"/>
            <w:noWrap/>
            <w:vAlign w:val="center"/>
          </w:tcPr>
          <w:p w14:paraId="3584FEA0">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74.77 </w:t>
            </w:r>
          </w:p>
        </w:tc>
        <w:tc>
          <w:tcPr>
            <w:tcW w:w="519" w:type="pct"/>
            <w:shd w:val="clear" w:color="auto" w:fill="auto"/>
            <w:noWrap/>
            <w:vAlign w:val="center"/>
          </w:tcPr>
          <w:p w14:paraId="4A2906E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66.71 </w:t>
            </w:r>
          </w:p>
        </w:tc>
      </w:tr>
      <w:tr w14:paraId="72B2C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22" w:type="pct"/>
            <w:shd w:val="clear" w:color="auto" w:fill="auto"/>
            <w:noWrap/>
            <w:vAlign w:val="center"/>
          </w:tcPr>
          <w:p w14:paraId="30B13A95">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5</w:t>
            </w:r>
          </w:p>
        </w:tc>
        <w:tc>
          <w:tcPr>
            <w:tcW w:w="803" w:type="pct"/>
            <w:shd w:val="clear" w:color="auto" w:fill="auto"/>
            <w:noWrap/>
            <w:vAlign w:val="center"/>
          </w:tcPr>
          <w:p w14:paraId="1A2121ED">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黄山河灌区</w:t>
            </w:r>
          </w:p>
        </w:tc>
        <w:tc>
          <w:tcPr>
            <w:tcW w:w="327" w:type="pct"/>
            <w:shd w:val="clear" w:color="auto" w:fill="auto"/>
            <w:noWrap/>
            <w:vAlign w:val="center"/>
          </w:tcPr>
          <w:p w14:paraId="041F32A1">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中型</w:t>
            </w:r>
          </w:p>
        </w:tc>
        <w:tc>
          <w:tcPr>
            <w:tcW w:w="368" w:type="pct"/>
            <w:shd w:val="clear" w:color="auto" w:fill="auto"/>
            <w:vAlign w:val="center"/>
          </w:tcPr>
          <w:p w14:paraId="3BE60070">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黄山河</w:t>
            </w:r>
          </w:p>
        </w:tc>
        <w:tc>
          <w:tcPr>
            <w:tcW w:w="519" w:type="pct"/>
            <w:shd w:val="clear" w:color="auto" w:fill="auto"/>
            <w:noWrap/>
            <w:vAlign w:val="center"/>
          </w:tcPr>
          <w:p w14:paraId="01AB9A24">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3.60 </w:t>
            </w:r>
          </w:p>
        </w:tc>
        <w:tc>
          <w:tcPr>
            <w:tcW w:w="368" w:type="pct"/>
            <w:shd w:val="clear" w:color="auto" w:fill="auto"/>
            <w:noWrap/>
            <w:vAlign w:val="center"/>
          </w:tcPr>
          <w:p w14:paraId="2F44F533">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6.60 </w:t>
            </w:r>
          </w:p>
        </w:tc>
        <w:tc>
          <w:tcPr>
            <w:tcW w:w="519" w:type="pct"/>
            <w:shd w:val="clear" w:color="auto" w:fill="auto"/>
            <w:noWrap/>
            <w:vAlign w:val="center"/>
          </w:tcPr>
          <w:p w14:paraId="037F801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0.00 </w:t>
            </w:r>
          </w:p>
        </w:tc>
        <w:tc>
          <w:tcPr>
            <w:tcW w:w="368" w:type="pct"/>
            <w:shd w:val="clear" w:color="auto" w:fill="auto"/>
            <w:noWrap/>
            <w:vAlign w:val="center"/>
          </w:tcPr>
          <w:p w14:paraId="4D62E088">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7.00 </w:t>
            </w:r>
          </w:p>
        </w:tc>
        <w:tc>
          <w:tcPr>
            <w:tcW w:w="519" w:type="pct"/>
            <w:shd w:val="clear" w:color="auto" w:fill="auto"/>
            <w:noWrap/>
            <w:vAlign w:val="center"/>
          </w:tcPr>
          <w:p w14:paraId="654C8EE1">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0.00 </w:t>
            </w:r>
          </w:p>
        </w:tc>
        <w:tc>
          <w:tcPr>
            <w:tcW w:w="368" w:type="pct"/>
            <w:shd w:val="clear" w:color="auto" w:fill="auto"/>
            <w:noWrap/>
            <w:vAlign w:val="center"/>
          </w:tcPr>
          <w:p w14:paraId="451246E6">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29.07 </w:t>
            </w:r>
          </w:p>
        </w:tc>
        <w:tc>
          <w:tcPr>
            <w:tcW w:w="519" w:type="pct"/>
            <w:shd w:val="clear" w:color="auto" w:fill="auto"/>
            <w:noWrap/>
            <w:vAlign w:val="center"/>
          </w:tcPr>
          <w:p w14:paraId="6936B461">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25.33 </w:t>
            </w:r>
          </w:p>
        </w:tc>
      </w:tr>
      <w:tr w14:paraId="46B77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22" w:type="pct"/>
            <w:shd w:val="clear" w:color="auto" w:fill="auto"/>
            <w:noWrap/>
            <w:vAlign w:val="center"/>
          </w:tcPr>
          <w:p w14:paraId="500A963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7</w:t>
            </w:r>
          </w:p>
        </w:tc>
        <w:tc>
          <w:tcPr>
            <w:tcW w:w="803" w:type="pct"/>
            <w:shd w:val="clear" w:color="auto" w:fill="auto"/>
            <w:noWrap/>
            <w:vAlign w:val="center"/>
          </w:tcPr>
          <w:p w14:paraId="4132D2EB">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西沟河灌区</w:t>
            </w:r>
          </w:p>
        </w:tc>
        <w:tc>
          <w:tcPr>
            <w:tcW w:w="327" w:type="pct"/>
            <w:shd w:val="clear" w:color="auto" w:fill="auto"/>
            <w:noWrap/>
            <w:vAlign w:val="center"/>
          </w:tcPr>
          <w:p w14:paraId="55D247A7">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中型</w:t>
            </w:r>
          </w:p>
        </w:tc>
        <w:tc>
          <w:tcPr>
            <w:tcW w:w="368" w:type="pct"/>
            <w:shd w:val="clear" w:color="auto" w:fill="auto"/>
            <w:vAlign w:val="center"/>
          </w:tcPr>
          <w:p w14:paraId="7F13BA0A">
            <w:pPr>
              <w:spacing w:line="240" w:lineRule="auto"/>
              <w:ind w:firstLine="0" w:firstLineChars="0"/>
              <w:jc w:val="center"/>
              <w:rPr>
                <w:rFonts w:hint="eastAsia" w:ascii="仿宋_GB2312" w:hAnsi="宋体"/>
                <w:color w:val="000000"/>
                <w:sz w:val="16"/>
                <w:szCs w:val="16"/>
              </w:rPr>
            </w:pPr>
            <w:r>
              <w:rPr>
                <w:rFonts w:hint="eastAsia" w:ascii="仿宋_GB2312" w:hAnsi="宋体"/>
                <w:color w:val="000000"/>
                <w:sz w:val="16"/>
                <w:szCs w:val="16"/>
              </w:rPr>
              <w:t>西沟河</w:t>
            </w:r>
          </w:p>
        </w:tc>
        <w:tc>
          <w:tcPr>
            <w:tcW w:w="519" w:type="pct"/>
            <w:shd w:val="clear" w:color="auto" w:fill="auto"/>
            <w:noWrap/>
            <w:vAlign w:val="center"/>
          </w:tcPr>
          <w:p w14:paraId="32D512CF">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6.00 </w:t>
            </w:r>
          </w:p>
        </w:tc>
        <w:tc>
          <w:tcPr>
            <w:tcW w:w="368" w:type="pct"/>
            <w:shd w:val="clear" w:color="auto" w:fill="auto"/>
            <w:noWrap/>
            <w:vAlign w:val="center"/>
          </w:tcPr>
          <w:p w14:paraId="333F6EBC">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5.25 </w:t>
            </w:r>
          </w:p>
        </w:tc>
        <w:tc>
          <w:tcPr>
            <w:tcW w:w="519" w:type="pct"/>
            <w:shd w:val="clear" w:color="auto" w:fill="auto"/>
            <w:noWrap/>
            <w:vAlign w:val="center"/>
          </w:tcPr>
          <w:p w14:paraId="2387EC7A">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0.57 </w:t>
            </w:r>
          </w:p>
        </w:tc>
        <w:tc>
          <w:tcPr>
            <w:tcW w:w="368" w:type="pct"/>
            <w:shd w:val="clear" w:color="auto" w:fill="auto"/>
            <w:noWrap/>
            <w:vAlign w:val="center"/>
          </w:tcPr>
          <w:p w14:paraId="3087D76B">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16.56 </w:t>
            </w:r>
          </w:p>
        </w:tc>
        <w:tc>
          <w:tcPr>
            <w:tcW w:w="519" w:type="pct"/>
            <w:shd w:val="clear" w:color="auto" w:fill="auto"/>
            <w:noWrap/>
            <w:vAlign w:val="center"/>
          </w:tcPr>
          <w:p w14:paraId="665FE834">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4.10 </w:t>
            </w:r>
          </w:p>
        </w:tc>
        <w:tc>
          <w:tcPr>
            <w:tcW w:w="368" w:type="pct"/>
            <w:shd w:val="clear" w:color="auto" w:fill="auto"/>
            <w:noWrap/>
            <w:vAlign w:val="center"/>
          </w:tcPr>
          <w:p w14:paraId="085C05E9">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39.77 </w:t>
            </w:r>
          </w:p>
        </w:tc>
        <w:tc>
          <w:tcPr>
            <w:tcW w:w="519" w:type="pct"/>
            <w:shd w:val="clear" w:color="auto" w:fill="auto"/>
            <w:noWrap/>
            <w:vAlign w:val="center"/>
          </w:tcPr>
          <w:p w14:paraId="4D5B6827">
            <w:pPr>
              <w:spacing w:line="240" w:lineRule="auto"/>
              <w:ind w:firstLine="0" w:firstLineChars="0"/>
              <w:jc w:val="center"/>
              <w:rPr>
                <w:rFonts w:ascii="仿宋_GB2312" w:cs="Times New Roman"/>
                <w:color w:val="000000"/>
                <w:sz w:val="16"/>
                <w:szCs w:val="16"/>
              </w:rPr>
            </w:pPr>
            <w:r>
              <w:rPr>
                <w:rFonts w:hint="eastAsia" w:ascii="仿宋_GB2312" w:cs="Times New Roman"/>
                <w:color w:val="000000"/>
                <w:sz w:val="16"/>
                <w:szCs w:val="16"/>
              </w:rPr>
              <w:t xml:space="preserve">36.70 </w:t>
            </w:r>
          </w:p>
        </w:tc>
      </w:tr>
    </w:tbl>
    <w:p w14:paraId="7F03B97B">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5510A220">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附表十              水土保持区划成果表</w:t>
      </w:r>
    </w:p>
    <w:tbl>
      <w:tblPr>
        <w:tblStyle w:val="48"/>
        <w:tblW w:w="5000" w:type="pct"/>
        <w:tblInd w:w="0" w:type="dxa"/>
        <w:tblLayout w:type="autofit"/>
        <w:tblCellMar>
          <w:top w:w="0" w:type="dxa"/>
          <w:left w:w="108" w:type="dxa"/>
          <w:bottom w:w="0" w:type="dxa"/>
          <w:right w:w="108" w:type="dxa"/>
        </w:tblCellMar>
      </w:tblPr>
      <w:tblGrid>
        <w:gridCol w:w="923"/>
        <w:gridCol w:w="641"/>
        <w:gridCol w:w="1476"/>
        <w:gridCol w:w="1831"/>
        <w:gridCol w:w="983"/>
        <w:gridCol w:w="2675"/>
      </w:tblGrid>
      <w:tr w14:paraId="3AEF5A8B">
        <w:tblPrEx>
          <w:tblCellMar>
            <w:top w:w="0" w:type="dxa"/>
            <w:left w:w="108" w:type="dxa"/>
            <w:bottom w:w="0" w:type="dxa"/>
            <w:right w:w="108" w:type="dxa"/>
          </w:tblCellMar>
        </w:tblPrEx>
        <w:trPr>
          <w:trHeight w:val="560" w:hRule="atLeast"/>
        </w:trPr>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14:paraId="1CF3945B">
            <w:pPr>
              <w:spacing w:line="240" w:lineRule="auto"/>
              <w:ind w:firstLine="0" w:firstLineChars="0"/>
              <w:jc w:val="center"/>
              <w:rPr>
                <w:rFonts w:hint="eastAsia" w:ascii="仿宋_GB2312" w:hAnsi="宋体"/>
                <w:sz w:val="21"/>
                <w:szCs w:val="21"/>
              </w:rPr>
            </w:pPr>
            <w:r>
              <w:rPr>
                <w:rFonts w:hint="eastAsia" w:ascii="仿宋_GB2312" w:hAnsi="宋体"/>
                <w:sz w:val="21"/>
                <w:szCs w:val="21"/>
              </w:rPr>
              <w:t>一级区代码及名称</w:t>
            </w:r>
          </w:p>
        </w:tc>
        <w:tc>
          <w:tcPr>
            <w:tcW w:w="397" w:type="pct"/>
            <w:tcBorders>
              <w:top w:val="single" w:color="auto" w:sz="4" w:space="0"/>
              <w:left w:val="nil"/>
              <w:bottom w:val="single" w:color="auto" w:sz="4" w:space="0"/>
              <w:right w:val="single" w:color="auto" w:sz="4" w:space="0"/>
            </w:tcBorders>
            <w:shd w:val="clear" w:color="auto" w:fill="auto"/>
            <w:vAlign w:val="center"/>
          </w:tcPr>
          <w:p w14:paraId="478F3A14">
            <w:pPr>
              <w:spacing w:line="240" w:lineRule="auto"/>
              <w:ind w:firstLine="0" w:firstLineChars="0"/>
              <w:jc w:val="center"/>
              <w:rPr>
                <w:rFonts w:hint="eastAsia" w:ascii="仿宋_GB2312" w:hAnsi="宋体"/>
                <w:sz w:val="21"/>
                <w:szCs w:val="21"/>
              </w:rPr>
            </w:pPr>
            <w:r>
              <w:rPr>
                <w:rFonts w:hint="eastAsia" w:ascii="仿宋_GB2312" w:hAnsi="宋体"/>
                <w:sz w:val="21"/>
                <w:szCs w:val="21"/>
              </w:rPr>
              <w:t>二级区代码及名称</w:t>
            </w:r>
          </w:p>
        </w:tc>
        <w:tc>
          <w:tcPr>
            <w:tcW w:w="760" w:type="pct"/>
            <w:tcBorders>
              <w:top w:val="single" w:color="auto" w:sz="4" w:space="0"/>
              <w:left w:val="nil"/>
              <w:bottom w:val="single" w:color="auto" w:sz="4" w:space="0"/>
              <w:right w:val="single" w:color="auto" w:sz="4" w:space="0"/>
            </w:tcBorders>
            <w:shd w:val="clear" w:color="auto" w:fill="auto"/>
            <w:vAlign w:val="center"/>
          </w:tcPr>
          <w:p w14:paraId="5CB3F4FE">
            <w:pPr>
              <w:spacing w:line="240" w:lineRule="auto"/>
              <w:ind w:firstLine="0" w:firstLineChars="0"/>
              <w:jc w:val="center"/>
              <w:rPr>
                <w:rFonts w:hint="eastAsia" w:ascii="仿宋_GB2312" w:hAnsi="宋体"/>
                <w:sz w:val="21"/>
                <w:szCs w:val="21"/>
              </w:rPr>
            </w:pPr>
            <w:r>
              <w:rPr>
                <w:rFonts w:hint="eastAsia" w:ascii="仿宋_GB2312" w:hAnsi="宋体"/>
                <w:sz w:val="21"/>
                <w:szCs w:val="21"/>
              </w:rPr>
              <w:t>三级区代码及名称</w:t>
            </w:r>
          </w:p>
        </w:tc>
        <w:tc>
          <w:tcPr>
            <w:tcW w:w="1094" w:type="pct"/>
            <w:tcBorders>
              <w:top w:val="single" w:color="auto" w:sz="4" w:space="0"/>
              <w:left w:val="nil"/>
              <w:bottom w:val="single" w:color="auto" w:sz="4" w:space="0"/>
              <w:right w:val="single" w:color="auto" w:sz="4" w:space="0"/>
            </w:tcBorders>
            <w:shd w:val="clear" w:color="auto" w:fill="auto"/>
            <w:vAlign w:val="center"/>
          </w:tcPr>
          <w:p w14:paraId="7ECAAB68">
            <w:pPr>
              <w:spacing w:line="240" w:lineRule="auto"/>
              <w:ind w:firstLine="0" w:firstLineChars="0"/>
              <w:jc w:val="center"/>
              <w:rPr>
                <w:rFonts w:hint="eastAsia" w:ascii="仿宋_GB2312" w:hAnsi="宋体"/>
                <w:sz w:val="22"/>
                <w:szCs w:val="22"/>
              </w:rPr>
            </w:pPr>
            <w:r>
              <w:rPr>
                <w:rFonts w:hint="eastAsia" w:ascii="仿宋_GB2312" w:hAnsi="宋体"/>
                <w:sz w:val="22"/>
                <w:szCs w:val="22"/>
              </w:rPr>
              <w:t>四级区代码及名称</w:t>
            </w:r>
          </w:p>
        </w:tc>
        <w:tc>
          <w:tcPr>
            <w:tcW w:w="597" w:type="pct"/>
            <w:tcBorders>
              <w:top w:val="single" w:color="auto" w:sz="4" w:space="0"/>
              <w:left w:val="nil"/>
              <w:bottom w:val="single" w:color="auto" w:sz="4" w:space="0"/>
              <w:right w:val="single" w:color="auto" w:sz="4" w:space="0"/>
            </w:tcBorders>
            <w:shd w:val="clear" w:color="auto" w:fill="auto"/>
            <w:vAlign w:val="center"/>
          </w:tcPr>
          <w:p w14:paraId="73F845F7">
            <w:pPr>
              <w:spacing w:line="240" w:lineRule="auto"/>
              <w:ind w:firstLine="0" w:firstLineChars="0"/>
              <w:jc w:val="center"/>
              <w:rPr>
                <w:rFonts w:hint="eastAsia" w:ascii="仿宋_GB2312" w:hAnsi="宋体"/>
                <w:sz w:val="22"/>
                <w:szCs w:val="22"/>
              </w:rPr>
            </w:pPr>
            <w:r>
              <w:rPr>
                <w:rFonts w:hint="eastAsia" w:ascii="仿宋_GB2312" w:hAnsi="宋体"/>
                <w:sz w:val="22"/>
                <w:szCs w:val="22"/>
              </w:rPr>
              <w:t>面积（km</w:t>
            </w:r>
            <w:r>
              <w:rPr>
                <w:rFonts w:hint="eastAsia" w:ascii="仿宋_GB2312" w:hAnsi="宋体"/>
                <w:sz w:val="22"/>
                <w:szCs w:val="22"/>
                <w:vertAlign w:val="superscript"/>
              </w:rPr>
              <w:t>2</w:t>
            </w:r>
            <w:r>
              <w:rPr>
                <w:rFonts w:hint="eastAsia" w:ascii="仿宋_GB2312" w:hAnsi="宋体"/>
                <w:sz w:val="22"/>
                <w:szCs w:val="22"/>
              </w:rPr>
              <w:t>）</w:t>
            </w:r>
          </w:p>
        </w:tc>
        <w:tc>
          <w:tcPr>
            <w:tcW w:w="1589" w:type="pct"/>
            <w:tcBorders>
              <w:top w:val="single" w:color="auto" w:sz="4" w:space="0"/>
              <w:left w:val="nil"/>
              <w:bottom w:val="single" w:color="auto" w:sz="4" w:space="0"/>
              <w:right w:val="single" w:color="auto" w:sz="4" w:space="0"/>
            </w:tcBorders>
            <w:shd w:val="clear" w:color="auto" w:fill="auto"/>
            <w:vAlign w:val="center"/>
          </w:tcPr>
          <w:p w14:paraId="16A10952">
            <w:pPr>
              <w:spacing w:line="240" w:lineRule="auto"/>
              <w:ind w:firstLine="0" w:firstLineChars="0"/>
              <w:jc w:val="center"/>
              <w:rPr>
                <w:rFonts w:hint="eastAsia" w:ascii="仿宋_GB2312" w:hAnsi="黑体"/>
                <w:sz w:val="17"/>
                <w:szCs w:val="17"/>
              </w:rPr>
            </w:pPr>
            <w:r>
              <w:rPr>
                <w:rFonts w:hint="eastAsia" w:ascii="仿宋_GB2312" w:hAnsi="黑体"/>
                <w:sz w:val="17"/>
                <w:szCs w:val="17"/>
              </w:rPr>
              <w:t>　</w:t>
            </w:r>
          </w:p>
        </w:tc>
      </w:tr>
      <w:tr w14:paraId="79A3A7AF">
        <w:tblPrEx>
          <w:tblCellMar>
            <w:top w:w="0" w:type="dxa"/>
            <w:left w:w="108" w:type="dxa"/>
            <w:bottom w:w="0" w:type="dxa"/>
            <w:right w:w="108" w:type="dxa"/>
          </w:tblCellMar>
        </w:tblPrEx>
        <w:trPr>
          <w:trHeight w:val="550" w:hRule="atLeast"/>
        </w:trPr>
        <w:tc>
          <w:tcPr>
            <w:tcW w:w="562" w:type="pct"/>
            <w:vMerge w:val="restart"/>
            <w:tcBorders>
              <w:top w:val="nil"/>
              <w:left w:val="single" w:color="auto" w:sz="4" w:space="0"/>
              <w:bottom w:val="single" w:color="auto" w:sz="4" w:space="0"/>
              <w:right w:val="single" w:color="auto" w:sz="4" w:space="0"/>
            </w:tcBorders>
            <w:shd w:val="clear" w:color="auto" w:fill="auto"/>
            <w:vAlign w:val="center"/>
          </w:tcPr>
          <w:p w14:paraId="0B71527A">
            <w:pPr>
              <w:spacing w:line="240" w:lineRule="auto"/>
              <w:ind w:firstLine="0" w:firstLineChars="0"/>
              <w:jc w:val="center"/>
              <w:rPr>
                <w:rFonts w:hint="eastAsia" w:ascii="仿宋_GB2312" w:hAnsi="宋体"/>
                <w:sz w:val="21"/>
                <w:szCs w:val="21"/>
              </w:rPr>
            </w:pPr>
            <w:r>
              <w:rPr>
                <w:rFonts w:hint="eastAsia" w:ascii="仿宋_GB2312" w:hAnsi="宋体"/>
                <w:sz w:val="21"/>
                <w:szCs w:val="21"/>
              </w:rPr>
              <w:t>北方风沙区</w:t>
            </w:r>
          </w:p>
        </w:tc>
        <w:tc>
          <w:tcPr>
            <w:tcW w:w="397" w:type="pct"/>
            <w:vMerge w:val="restart"/>
            <w:tcBorders>
              <w:top w:val="nil"/>
              <w:left w:val="single" w:color="auto" w:sz="4" w:space="0"/>
              <w:bottom w:val="single" w:color="auto" w:sz="4" w:space="0"/>
              <w:right w:val="single" w:color="auto" w:sz="4" w:space="0"/>
            </w:tcBorders>
            <w:shd w:val="clear" w:color="auto" w:fill="auto"/>
            <w:vAlign w:val="center"/>
          </w:tcPr>
          <w:p w14:paraId="1575CCD8">
            <w:pPr>
              <w:spacing w:line="240" w:lineRule="auto"/>
              <w:ind w:firstLine="0" w:firstLineChars="0"/>
              <w:jc w:val="center"/>
              <w:rPr>
                <w:rFonts w:hint="eastAsia" w:ascii="仿宋_GB2312" w:hAnsi="宋体"/>
                <w:sz w:val="21"/>
                <w:szCs w:val="21"/>
              </w:rPr>
            </w:pPr>
            <w:r>
              <w:rPr>
                <w:rFonts w:hint="eastAsia" w:ascii="仿宋_GB2312" w:hAnsi="宋体"/>
                <w:sz w:val="21"/>
                <w:szCs w:val="21"/>
              </w:rPr>
              <w:t>北疆山地盆地区</w:t>
            </w:r>
          </w:p>
        </w:tc>
        <w:tc>
          <w:tcPr>
            <w:tcW w:w="760" w:type="pct"/>
            <w:vMerge w:val="restart"/>
            <w:tcBorders>
              <w:top w:val="nil"/>
              <w:left w:val="single" w:color="auto" w:sz="4" w:space="0"/>
              <w:bottom w:val="single" w:color="auto" w:sz="4" w:space="0"/>
              <w:right w:val="single" w:color="auto" w:sz="4" w:space="0"/>
            </w:tcBorders>
            <w:shd w:val="clear" w:color="auto" w:fill="auto"/>
            <w:vAlign w:val="center"/>
          </w:tcPr>
          <w:p w14:paraId="6340289F">
            <w:pPr>
              <w:spacing w:line="240" w:lineRule="auto"/>
              <w:ind w:firstLine="0" w:firstLineChars="0"/>
              <w:jc w:val="center"/>
              <w:rPr>
                <w:rFonts w:hint="eastAsia" w:ascii="仿宋_GB2312" w:hAnsi="宋体"/>
                <w:sz w:val="21"/>
                <w:szCs w:val="21"/>
              </w:rPr>
            </w:pPr>
            <w:r>
              <w:rPr>
                <w:rFonts w:hint="eastAsia" w:ascii="仿宋_GB2312" w:hAnsi="宋体"/>
                <w:sz w:val="21"/>
                <w:szCs w:val="21"/>
              </w:rPr>
              <w:t>天山北坡人居环境农田防护区（</w:t>
            </w:r>
            <w:r>
              <w:rPr>
                <w:rFonts w:hint="eastAsia" w:ascii="仿宋_GB2312" w:cs="Times New Roman"/>
                <w:sz w:val="21"/>
                <w:szCs w:val="21"/>
              </w:rPr>
              <w:t>Ⅱ-3-2rn</w:t>
            </w:r>
            <w:r>
              <w:rPr>
                <w:rFonts w:hint="eastAsia" w:ascii="仿宋_GB2312" w:hAnsi="宋体"/>
                <w:sz w:val="21"/>
                <w:szCs w:val="21"/>
              </w:rPr>
              <w:t>）</w:t>
            </w:r>
          </w:p>
        </w:tc>
        <w:tc>
          <w:tcPr>
            <w:tcW w:w="1094" w:type="pct"/>
            <w:tcBorders>
              <w:top w:val="nil"/>
              <w:left w:val="nil"/>
              <w:bottom w:val="single" w:color="auto" w:sz="4" w:space="0"/>
              <w:right w:val="single" w:color="auto" w:sz="4" w:space="0"/>
            </w:tcBorders>
            <w:shd w:val="clear" w:color="auto" w:fill="auto"/>
            <w:vAlign w:val="center"/>
          </w:tcPr>
          <w:p w14:paraId="2F6357C5">
            <w:pPr>
              <w:spacing w:line="240" w:lineRule="auto"/>
              <w:ind w:firstLine="0" w:firstLineChars="0"/>
              <w:jc w:val="center"/>
              <w:rPr>
                <w:rFonts w:hint="eastAsia" w:ascii="仿宋_GB2312" w:hAnsi="宋体"/>
                <w:sz w:val="21"/>
                <w:szCs w:val="21"/>
              </w:rPr>
            </w:pPr>
            <w:r>
              <w:rPr>
                <w:rFonts w:hint="eastAsia" w:ascii="仿宋_GB2312" w:hAnsi="宋体"/>
                <w:sz w:val="21"/>
                <w:szCs w:val="21"/>
              </w:rPr>
              <w:t>南部中高山冻融区（Ⅱ</w:t>
            </w:r>
            <w:r>
              <w:rPr>
                <w:rFonts w:hint="eastAsia" w:ascii="仿宋_GB2312" w:cs="Times New Roman"/>
                <w:sz w:val="21"/>
                <w:szCs w:val="21"/>
              </w:rPr>
              <w:t>-3-2rn-1</w:t>
            </w:r>
            <w:r>
              <w:rPr>
                <w:rFonts w:hint="eastAsia" w:ascii="仿宋_GB2312" w:hAnsi="宋体"/>
                <w:sz w:val="21"/>
                <w:szCs w:val="21"/>
              </w:rPr>
              <w:t>）</w:t>
            </w:r>
          </w:p>
        </w:tc>
        <w:tc>
          <w:tcPr>
            <w:tcW w:w="597" w:type="pct"/>
            <w:tcBorders>
              <w:top w:val="nil"/>
              <w:left w:val="nil"/>
              <w:bottom w:val="single" w:color="auto" w:sz="4" w:space="0"/>
              <w:right w:val="single" w:color="auto" w:sz="4" w:space="0"/>
            </w:tcBorders>
            <w:shd w:val="clear" w:color="auto" w:fill="auto"/>
            <w:vAlign w:val="center"/>
          </w:tcPr>
          <w:p w14:paraId="369EF2EE">
            <w:pPr>
              <w:spacing w:line="240" w:lineRule="auto"/>
              <w:ind w:firstLine="0" w:firstLineChars="0"/>
              <w:jc w:val="center"/>
              <w:rPr>
                <w:rFonts w:ascii="仿宋_GB2312" w:cs="Times New Roman"/>
                <w:sz w:val="22"/>
                <w:szCs w:val="22"/>
              </w:rPr>
            </w:pPr>
            <w:r>
              <w:rPr>
                <w:rFonts w:hint="eastAsia" w:ascii="仿宋_GB2312" w:cs="Times New Roman"/>
                <w:sz w:val="22"/>
                <w:szCs w:val="22"/>
              </w:rPr>
              <w:t>171</w:t>
            </w:r>
          </w:p>
        </w:tc>
        <w:tc>
          <w:tcPr>
            <w:tcW w:w="1589" w:type="pct"/>
            <w:tcBorders>
              <w:top w:val="nil"/>
              <w:left w:val="nil"/>
              <w:bottom w:val="single" w:color="auto" w:sz="4" w:space="0"/>
              <w:right w:val="single" w:color="auto" w:sz="4" w:space="0"/>
            </w:tcBorders>
            <w:shd w:val="clear" w:color="auto" w:fill="auto"/>
            <w:vAlign w:val="center"/>
          </w:tcPr>
          <w:p w14:paraId="0ADA7413">
            <w:pPr>
              <w:spacing w:line="240" w:lineRule="auto"/>
              <w:ind w:firstLine="0" w:firstLineChars="0"/>
              <w:jc w:val="center"/>
              <w:rPr>
                <w:rFonts w:hint="eastAsia" w:ascii="仿宋_GB2312" w:hAnsi="宋体"/>
                <w:sz w:val="22"/>
                <w:szCs w:val="22"/>
              </w:rPr>
            </w:pPr>
            <w:r>
              <w:rPr>
                <w:rFonts w:hint="eastAsia" w:ascii="仿宋_GB2312" w:hAnsi="宋体"/>
                <w:sz w:val="22"/>
                <w:szCs w:val="22"/>
              </w:rPr>
              <w:t>三工河乡、上户沟哈萨克民族乡、水磨沟乡</w:t>
            </w:r>
          </w:p>
        </w:tc>
      </w:tr>
      <w:tr w14:paraId="0798E931">
        <w:tblPrEx>
          <w:tblCellMar>
            <w:top w:w="0" w:type="dxa"/>
            <w:left w:w="108" w:type="dxa"/>
            <w:bottom w:w="0" w:type="dxa"/>
            <w:right w:w="108" w:type="dxa"/>
          </w:tblCellMar>
        </w:tblPrEx>
        <w:trPr>
          <w:trHeight w:val="820" w:hRule="atLeast"/>
        </w:trPr>
        <w:tc>
          <w:tcPr>
            <w:tcW w:w="562" w:type="pct"/>
            <w:vMerge w:val="continue"/>
            <w:tcBorders>
              <w:top w:val="nil"/>
              <w:left w:val="single" w:color="auto" w:sz="4" w:space="0"/>
              <w:bottom w:val="single" w:color="auto" w:sz="4" w:space="0"/>
              <w:right w:val="single" w:color="auto" w:sz="4" w:space="0"/>
            </w:tcBorders>
            <w:vAlign w:val="center"/>
          </w:tcPr>
          <w:p w14:paraId="1664D9EA">
            <w:pPr>
              <w:spacing w:line="240" w:lineRule="auto"/>
              <w:ind w:firstLine="0" w:firstLineChars="0"/>
              <w:rPr>
                <w:rFonts w:hint="eastAsia" w:ascii="仿宋_GB2312" w:hAnsi="宋体"/>
                <w:sz w:val="21"/>
                <w:szCs w:val="21"/>
              </w:rPr>
            </w:pPr>
          </w:p>
        </w:tc>
        <w:tc>
          <w:tcPr>
            <w:tcW w:w="397" w:type="pct"/>
            <w:vMerge w:val="continue"/>
            <w:tcBorders>
              <w:top w:val="nil"/>
              <w:left w:val="single" w:color="auto" w:sz="4" w:space="0"/>
              <w:bottom w:val="single" w:color="auto" w:sz="4" w:space="0"/>
              <w:right w:val="single" w:color="auto" w:sz="4" w:space="0"/>
            </w:tcBorders>
            <w:vAlign w:val="center"/>
          </w:tcPr>
          <w:p w14:paraId="3608AADE">
            <w:pPr>
              <w:spacing w:line="240" w:lineRule="auto"/>
              <w:ind w:firstLine="0" w:firstLineChars="0"/>
              <w:rPr>
                <w:rFonts w:hint="eastAsia" w:ascii="仿宋_GB2312" w:hAnsi="宋体"/>
                <w:sz w:val="21"/>
                <w:szCs w:val="21"/>
              </w:rPr>
            </w:pPr>
          </w:p>
        </w:tc>
        <w:tc>
          <w:tcPr>
            <w:tcW w:w="760" w:type="pct"/>
            <w:vMerge w:val="continue"/>
            <w:tcBorders>
              <w:top w:val="nil"/>
              <w:left w:val="single" w:color="auto" w:sz="4" w:space="0"/>
              <w:bottom w:val="single" w:color="auto" w:sz="4" w:space="0"/>
              <w:right w:val="single" w:color="auto" w:sz="4" w:space="0"/>
            </w:tcBorders>
            <w:vAlign w:val="center"/>
          </w:tcPr>
          <w:p w14:paraId="058FDDB8">
            <w:pPr>
              <w:spacing w:line="240" w:lineRule="auto"/>
              <w:ind w:firstLine="0" w:firstLineChars="0"/>
              <w:rPr>
                <w:rFonts w:hint="eastAsia" w:ascii="仿宋_GB2312" w:hAnsi="宋体"/>
                <w:sz w:val="21"/>
                <w:szCs w:val="21"/>
              </w:rPr>
            </w:pPr>
          </w:p>
        </w:tc>
        <w:tc>
          <w:tcPr>
            <w:tcW w:w="1094" w:type="pct"/>
            <w:tcBorders>
              <w:top w:val="nil"/>
              <w:left w:val="nil"/>
              <w:bottom w:val="single" w:color="auto" w:sz="4" w:space="0"/>
              <w:right w:val="single" w:color="auto" w:sz="4" w:space="0"/>
            </w:tcBorders>
            <w:shd w:val="clear" w:color="auto" w:fill="auto"/>
            <w:vAlign w:val="center"/>
          </w:tcPr>
          <w:p w14:paraId="7B3991DD">
            <w:pPr>
              <w:spacing w:line="240" w:lineRule="auto"/>
              <w:ind w:firstLine="0" w:firstLineChars="0"/>
              <w:jc w:val="center"/>
              <w:rPr>
                <w:rFonts w:hint="eastAsia" w:ascii="仿宋_GB2312" w:hAnsi="宋体"/>
                <w:sz w:val="21"/>
                <w:szCs w:val="21"/>
              </w:rPr>
            </w:pPr>
            <w:r>
              <w:rPr>
                <w:rFonts w:hint="eastAsia" w:ascii="仿宋_GB2312" w:hAnsi="宋体"/>
                <w:sz w:val="21"/>
                <w:szCs w:val="21"/>
              </w:rPr>
              <w:t>南部中低山丘陵水源涵养生态保护区（Ⅱ</w:t>
            </w:r>
            <w:r>
              <w:rPr>
                <w:rFonts w:hint="eastAsia" w:ascii="仿宋_GB2312" w:cs="Times New Roman"/>
                <w:sz w:val="21"/>
                <w:szCs w:val="21"/>
              </w:rPr>
              <w:t>-3-2rn-2</w:t>
            </w:r>
            <w:r>
              <w:rPr>
                <w:rFonts w:hint="eastAsia" w:ascii="仿宋_GB2312" w:hAnsi="宋体"/>
                <w:sz w:val="21"/>
                <w:szCs w:val="21"/>
              </w:rPr>
              <w:t>）</w:t>
            </w:r>
          </w:p>
        </w:tc>
        <w:tc>
          <w:tcPr>
            <w:tcW w:w="597" w:type="pct"/>
            <w:tcBorders>
              <w:top w:val="nil"/>
              <w:left w:val="nil"/>
              <w:bottom w:val="single" w:color="auto" w:sz="4" w:space="0"/>
              <w:right w:val="single" w:color="auto" w:sz="4" w:space="0"/>
            </w:tcBorders>
            <w:shd w:val="clear" w:color="auto" w:fill="auto"/>
            <w:vAlign w:val="center"/>
          </w:tcPr>
          <w:p w14:paraId="425DAE8A">
            <w:pPr>
              <w:spacing w:line="240" w:lineRule="auto"/>
              <w:ind w:firstLine="0" w:firstLineChars="0"/>
              <w:jc w:val="center"/>
              <w:rPr>
                <w:rFonts w:ascii="仿宋_GB2312" w:cs="Times New Roman"/>
                <w:sz w:val="22"/>
                <w:szCs w:val="22"/>
              </w:rPr>
            </w:pPr>
            <w:r>
              <w:rPr>
                <w:rFonts w:hint="eastAsia" w:ascii="仿宋_GB2312" w:cs="Times New Roman"/>
                <w:sz w:val="22"/>
                <w:szCs w:val="22"/>
              </w:rPr>
              <w:t>691</w:t>
            </w:r>
          </w:p>
        </w:tc>
        <w:tc>
          <w:tcPr>
            <w:tcW w:w="1589" w:type="pct"/>
            <w:tcBorders>
              <w:top w:val="nil"/>
              <w:left w:val="nil"/>
              <w:bottom w:val="single" w:color="auto" w:sz="4" w:space="0"/>
              <w:right w:val="single" w:color="auto" w:sz="4" w:space="0"/>
            </w:tcBorders>
            <w:shd w:val="clear" w:color="auto" w:fill="auto"/>
            <w:vAlign w:val="center"/>
          </w:tcPr>
          <w:p w14:paraId="1EFDBF19">
            <w:pPr>
              <w:spacing w:line="240" w:lineRule="auto"/>
              <w:ind w:firstLine="0" w:firstLineChars="0"/>
              <w:jc w:val="center"/>
              <w:rPr>
                <w:rFonts w:hint="eastAsia" w:ascii="仿宋_GB2312" w:hAnsi="宋体"/>
                <w:sz w:val="22"/>
                <w:szCs w:val="22"/>
              </w:rPr>
            </w:pPr>
            <w:r>
              <w:rPr>
                <w:rFonts w:hint="eastAsia" w:ascii="仿宋_GB2312" w:hAnsi="宋体"/>
                <w:sz w:val="22"/>
                <w:szCs w:val="22"/>
              </w:rPr>
              <w:t>三工河乡、上户沟哈萨克民族乡、水磨沟乡</w:t>
            </w:r>
          </w:p>
        </w:tc>
      </w:tr>
      <w:tr w14:paraId="19B6A47C">
        <w:tblPrEx>
          <w:tblCellMar>
            <w:top w:w="0" w:type="dxa"/>
            <w:left w:w="108" w:type="dxa"/>
            <w:bottom w:w="0" w:type="dxa"/>
            <w:right w:w="108" w:type="dxa"/>
          </w:tblCellMar>
        </w:tblPrEx>
        <w:trPr>
          <w:trHeight w:val="830" w:hRule="atLeast"/>
        </w:trPr>
        <w:tc>
          <w:tcPr>
            <w:tcW w:w="562" w:type="pct"/>
            <w:vMerge w:val="continue"/>
            <w:tcBorders>
              <w:top w:val="nil"/>
              <w:left w:val="single" w:color="auto" w:sz="4" w:space="0"/>
              <w:bottom w:val="single" w:color="auto" w:sz="4" w:space="0"/>
              <w:right w:val="single" w:color="auto" w:sz="4" w:space="0"/>
            </w:tcBorders>
            <w:vAlign w:val="center"/>
          </w:tcPr>
          <w:p w14:paraId="1036BEBE">
            <w:pPr>
              <w:spacing w:line="240" w:lineRule="auto"/>
              <w:ind w:firstLine="0" w:firstLineChars="0"/>
              <w:rPr>
                <w:rFonts w:hint="eastAsia" w:ascii="仿宋_GB2312" w:hAnsi="宋体"/>
                <w:sz w:val="21"/>
                <w:szCs w:val="21"/>
              </w:rPr>
            </w:pPr>
          </w:p>
        </w:tc>
        <w:tc>
          <w:tcPr>
            <w:tcW w:w="397" w:type="pct"/>
            <w:vMerge w:val="continue"/>
            <w:tcBorders>
              <w:top w:val="nil"/>
              <w:left w:val="single" w:color="auto" w:sz="4" w:space="0"/>
              <w:bottom w:val="single" w:color="auto" w:sz="4" w:space="0"/>
              <w:right w:val="single" w:color="auto" w:sz="4" w:space="0"/>
            </w:tcBorders>
            <w:vAlign w:val="center"/>
          </w:tcPr>
          <w:p w14:paraId="1F402C82">
            <w:pPr>
              <w:spacing w:line="240" w:lineRule="auto"/>
              <w:ind w:firstLine="0" w:firstLineChars="0"/>
              <w:rPr>
                <w:rFonts w:hint="eastAsia" w:ascii="仿宋_GB2312" w:hAnsi="宋体"/>
                <w:sz w:val="21"/>
                <w:szCs w:val="21"/>
              </w:rPr>
            </w:pPr>
          </w:p>
        </w:tc>
        <w:tc>
          <w:tcPr>
            <w:tcW w:w="760" w:type="pct"/>
            <w:vMerge w:val="continue"/>
            <w:tcBorders>
              <w:top w:val="nil"/>
              <w:left w:val="single" w:color="auto" w:sz="4" w:space="0"/>
              <w:bottom w:val="single" w:color="auto" w:sz="4" w:space="0"/>
              <w:right w:val="single" w:color="auto" w:sz="4" w:space="0"/>
            </w:tcBorders>
            <w:vAlign w:val="center"/>
          </w:tcPr>
          <w:p w14:paraId="7BF83484">
            <w:pPr>
              <w:spacing w:line="240" w:lineRule="auto"/>
              <w:ind w:firstLine="0" w:firstLineChars="0"/>
              <w:rPr>
                <w:rFonts w:hint="eastAsia" w:ascii="仿宋_GB2312" w:hAnsi="宋体"/>
                <w:sz w:val="21"/>
                <w:szCs w:val="21"/>
              </w:rPr>
            </w:pPr>
          </w:p>
        </w:tc>
        <w:tc>
          <w:tcPr>
            <w:tcW w:w="1094" w:type="pct"/>
            <w:tcBorders>
              <w:top w:val="single" w:color="auto" w:sz="4" w:space="0"/>
              <w:left w:val="single" w:color="auto" w:sz="4" w:space="0"/>
              <w:bottom w:val="nil"/>
              <w:right w:val="single" w:color="auto" w:sz="4" w:space="0"/>
            </w:tcBorders>
            <w:shd w:val="clear" w:color="auto" w:fill="auto"/>
            <w:vAlign w:val="center"/>
          </w:tcPr>
          <w:p w14:paraId="7C039C1E">
            <w:pPr>
              <w:spacing w:line="240" w:lineRule="auto"/>
              <w:ind w:firstLine="0" w:firstLineChars="0"/>
              <w:jc w:val="center"/>
              <w:rPr>
                <w:rFonts w:hint="eastAsia" w:ascii="仿宋_GB2312" w:hAnsi="宋体"/>
                <w:sz w:val="21"/>
                <w:szCs w:val="21"/>
              </w:rPr>
            </w:pPr>
            <w:r>
              <w:rPr>
                <w:rFonts w:hint="eastAsia" w:ascii="仿宋_GB2312" w:hAnsi="宋体"/>
                <w:sz w:val="21"/>
                <w:szCs w:val="21"/>
              </w:rPr>
              <w:t>南部低山丘陵土壤保持区（Ⅱ</w:t>
            </w:r>
            <w:r>
              <w:rPr>
                <w:rFonts w:hint="eastAsia" w:ascii="仿宋_GB2312" w:cs="Times New Roman"/>
                <w:sz w:val="21"/>
                <w:szCs w:val="21"/>
              </w:rPr>
              <w:t>-3-2rn-3</w:t>
            </w:r>
            <w:r>
              <w:rPr>
                <w:rFonts w:hint="eastAsia" w:ascii="仿宋_GB2312" w:hAnsi="宋体"/>
                <w:sz w:val="21"/>
                <w:szCs w:val="21"/>
              </w:rPr>
              <w:t>）</w:t>
            </w:r>
          </w:p>
        </w:tc>
        <w:tc>
          <w:tcPr>
            <w:tcW w:w="597" w:type="pct"/>
            <w:tcBorders>
              <w:top w:val="nil"/>
              <w:left w:val="nil"/>
              <w:bottom w:val="single" w:color="auto" w:sz="4" w:space="0"/>
              <w:right w:val="single" w:color="auto" w:sz="4" w:space="0"/>
            </w:tcBorders>
            <w:shd w:val="clear" w:color="auto" w:fill="auto"/>
            <w:vAlign w:val="center"/>
          </w:tcPr>
          <w:p w14:paraId="75CE9B9F">
            <w:pPr>
              <w:spacing w:line="240" w:lineRule="auto"/>
              <w:ind w:firstLine="0" w:firstLineChars="0"/>
              <w:jc w:val="center"/>
              <w:rPr>
                <w:rFonts w:ascii="仿宋_GB2312" w:cs="Times New Roman"/>
                <w:sz w:val="22"/>
                <w:szCs w:val="22"/>
              </w:rPr>
            </w:pPr>
            <w:r>
              <w:rPr>
                <w:rFonts w:hint="eastAsia" w:ascii="仿宋_GB2312" w:cs="Times New Roman"/>
                <w:sz w:val="22"/>
                <w:szCs w:val="22"/>
              </w:rPr>
              <w:t>1119</w:t>
            </w:r>
          </w:p>
        </w:tc>
        <w:tc>
          <w:tcPr>
            <w:tcW w:w="1589" w:type="pct"/>
            <w:tcBorders>
              <w:top w:val="nil"/>
              <w:left w:val="nil"/>
              <w:bottom w:val="single" w:color="auto" w:sz="4" w:space="0"/>
              <w:right w:val="single" w:color="auto" w:sz="4" w:space="0"/>
            </w:tcBorders>
            <w:shd w:val="clear" w:color="auto" w:fill="auto"/>
            <w:vAlign w:val="center"/>
          </w:tcPr>
          <w:p w14:paraId="123516C1">
            <w:pPr>
              <w:spacing w:line="240" w:lineRule="auto"/>
              <w:ind w:firstLine="0" w:firstLineChars="0"/>
              <w:jc w:val="center"/>
              <w:rPr>
                <w:rFonts w:hint="eastAsia" w:ascii="仿宋_GB2312" w:hAnsi="宋体"/>
                <w:sz w:val="22"/>
                <w:szCs w:val="22"/>
              </w:rPr>
            </w:pPr>
            <w:r>
              <w:rPr>
                <w:rFonts w:hint="eastAsia" w:ascii="仿宋_GB2312" w:hAnsi="宋体"/>
                <w:sz w:val="22"/>
                <w:szCs w:val="22"/>
              </w:rPr>
              <w:t>城关镇、甘河子镇、九运街镇、三工河乡、上户沟哈萨克民族乡、水磨沟乡、滋泥泉子镇</w:t>
            </w:r>
          </w:p>
        </w:tc>
      </w:tr>
      <w:tr w14:paraId="3D006500">
        <w:tblPrEx>
          <w:tblCellMar>
            <w:top w:w="0" w:type="dxa"/>
            <w:left w:w="108" w:type="dxa"/>
            <w:bottom w:w="0" w:type="dxa"/>
            <w:right w:w="108" w:type="dxa"/>
          </w:tblCellMar>
        </w:tblPrEx>
        <w:trPr>
          <w:trHeight w:val="810" w:hRule="atLeast"/>
        </w:trPr>
        <w:tc>
          <w:tcPr>
            <w:tcW w:w="562" w:type="pct"/>
            <w:vMerge w:val="continue"/>
            <w:tcBorders>
              <w:top w:val="nil"/>
              <w:left w:val="single" w:color="auto" w:sz="4" w:space="0"/>
              <w:bottom w:val="single" w:color="auto" w:sz="4" w:space="0"/>
              <w:right w:val="single" w:color="auto" w:sz="4" w:space="0"/>
            </w:tcBorders>
            <w:vAlign w:val="center"/>
          </w:tcPr>
          <w:p w14:paraId="0ED0EFA2">
            <w:pPr>
              <w:spacing w:line="240" w:lineRule="auto"/>
              <w:ind w:firstLine="0" w:firstLineChars="0"/>
              <w:rPr>
                <w:rFonts w:hint="eastAsia" w:ascii="仿宋_GB2312" w:hAnsi="宋体"/>
                <w:sz w:val="21"/>
                <w:szCs w:val="21"/>
              </w:rPr>
            </w:pPr>
          </w:p>
        </w:tc>
        <w:tc>
          <w:tcPr>
            <w:tcW w:w="397" w:type="pct"/>
            <w:vMerge w:val="continue"/>
            <w:tcBorders>
              <w:top w:val="nil"/>
              <w:left w:val="single" w:color="auto" w:sz="4" w:space="0"/>
              <w:bottom w:val="single" w:color="auto" w:sz="4" w:space="0"/>
              <w:right w:val="single" w:color="auto" w:sz="4" w:space="0"/>
            </w:tcBorders>
            <w:vAlign w:val="center"/>
          </w:tcPr>
          <w:p w14:paraId="0085D161">
            <w:pPr>
              <w:spacing w:line="240" w:lineRule="auto"/>
              <w:ind w:firstLine="0" w:firstLineChars="0"/>
              <w:rPr>
                <w:rFonts w:hint="eastAsia" w:ascii="仿宋_GB2312" w:hAnsi="宋体"/>
                <w:sz w:val="21"/>
                <w:szCs w:val="21"/>
              </w:rPr>
            </w:pPr>
          </w:p>
        </w:tc>
        <w:tc>
          <w:tcPr>
            <w:tcW w:w="760" w:type="pct"/>
            <w:vMerge w:val="continue"/>
            <w:tcBorders>
              <w:top w:val="nil"/>
              <w:left w:val="single" w:color="auto" w:sz="4" w:space="0"/>
              <w:bottom w:val="single" w:color="auto" w:sz="4" w:space="0"/>
              <w:right w:val="single" w:color="auto" w:sz="4" w:space="0"/>
            </w:tcBorders>
            <w:vAlign w:val="center"/>
          </w:tcPr>
          <w:p w14:paraId="28BE1A35">
            <w:pPr>
              <w:spacing w:line="240" w:lineRule="auto"/>
              <w:ind w:firstLine="0" w:firstLineChars="0"/>
              <w:rPr>
                <w:rFonts w:hint="eastAsia" w:ascii="仿宋_GB2312" w:hAnsi="宋体"/>
                <w:sz w:val="21"/>
                <w:szCs w:val="21"/>
              </w:rPr>
            </w:pPr>
          </w:p>
        </w:tc>
        <w:tc>
          <w:tcPr>
            <w:tcW w:w="1094" w:type="pct"/>
            <w:tcBorders>
              <w:top w:val="single" w:color="auto" w:sz="4" w:space="0"/>
              <w:left w:val="nil"/>
              <w:bottom w:val="single" w:color="auto" w:sz="4" w:space="0"/>
              <w:right w:val="single" w:color="auto" w:sz="4" w:space="0"/>
            </w:tcBorders>
            <w:shd w:val="clear" w:color="auto" w:fill="auto"/>
            <w:vAlign w:val="center"/>
          </w:tcPr>
          <w:p w14:paraId="20001DED">
            <w:pPr>
              <w:spacing w:line="240" w:lineRule="auto"/>
              <w:ind w:firstLine="0" w:firstLineChars="0"/>
              <w:jc w:val="center"/>
              <w:rPr>
                <w:rFonts w:hint="eastAsia" w:ascii="仿宋_GB2312" w:hAnsi="宋体"/>
                <w:sz w:val="21"/>
                <w:szCs w:val="21"/>
              </w:rPr>
            </w:pPr>
            <w:r>
              <w:rPr>
                <w:rFonts w:hint="eastAsia" w:ascii="仿宋_GB2312" w:hAnsi="宋体"/>
                <w:sz w:val="21"/>
                <w:szCs w:val="21"/>
              </w:rPr>
              <w:t>中部绿洲人居环境农田防护区（Ⅱ-3-2rn-4）</w:t>
            </w:r>
          </w:p>
        </w:tc>
        <w:tc>
          <w:tcPr>
            <w:tcW w:w="597" w:type="pct"/>
            <w:tcBorders>
              <w:top w:val="nil"/>
              <w:left w:val="nil"/>
              <w:bottom w:val="single" w:color="auto" w:sz="4" w:space="0"/>
              <w:right w:val="single" w:color="auto" w:sz="4" w:space="0"/>
            </w:tcBorders>
            <w:shd w:val="clear" w:color="auto" w:fill="auto"/>
            <w:vAlign w:val="center"/>
          </w:tcPr>
          <w:p w14:paraId="7F546659">
            <w:pPr>
              <w:spacing w:line="240" w:lineRule="auto"/>
              <w:ind w:firstLine="0" w:firstLineChars="0"/>
              <w:jc w:val="center"/>
              <w:rPr>
                <w:rFonts w:ascii="仿宋_GB2312" w:cs="Times New Roman"/>
                <w:sz w:val="22"/>
                <w:szCs w:val="22"/>
              </w:rPr>
            </w:pPr>
            <w:r>
              <w:rPr>
                <w:rFonts w:hint="eastAsia" w:ascii="仿宋_GB2312" w:cs="Times New Roman"/>
                <w:sz w:val="22"/>
                <w:szCs w:val="22"/>
              </w:rPr>
              <w:t>2100</w:t>
            </w:r>
          </w:p>
        </w:tc>
        <w:tc>
          <w:tcPr>
            <w:tcW w:w="1589" w:type="pct"/>
            <w:tcBorders>
              <w:top w:val="nil"/>
              <w:left w:val="nil"/>
              <w:bottom w:val="single" w:color="auto" w:sz="4" w:space="0"/>
              <w:right w:val="single" w:color="auto" w:sz="4" w:space="0"/>
            </w:tcBorders>
            <w:shd w:val="clear" w:color="auto" w:fill="auto"/>
            <w:vAlign w:val="center"/>
          </w:tcPr>
          <w:p w14:paraId="63E756F8">
            <w:pPr>
              <w:spacing w:line="240" w:lineRule="auto"/>
              <w:ind w:firstLine="0" w:firstLineChars="0"/>
              <w:jc w:val="center"/>
              <w:rPr>
                <w:rFonts w:hint="eastAsia" w:ascii="仿宋_GB2312" w:hAnsi="宋体"/>
                <w:sz w:val="22"/>
                <w:szCs w:val="22"/>
              </w:rPr>
            </w:pPr>
            <w:r>
              <w:rPr>
                <w:rFonts w:hint="eastAsia" w:ascii="仿宋_GB2312" w:hAnsi="宋体"/>
                <w:sz w:val="22"/>
                <w:szCs w:val="22"/>
              </w:rPr>
              <w:t>城关镇、九运街镇、三工河乡、上户沟哈萨克民族乡、水磨沟乡、土墩子镇、滋泥泉子镇、荒漠区、准东开发区、兵团</w:t>
            </w:r>
          </w:p>
        </w:tc>
      </w:tr>
      <w:tr w14:paraId="69C0FD1D">
        <w:tblPrEx>
          <w:tblCellMar>
            <w:top w:w="0" w:type="dxa"/>
            <w:left w:w="108" w:type="dxa"/>
            <w:bottom w:w="0" w:type="dxa"/>
            <w:right w:w="108" w:type="dxa"/>
          </w:tblCellMar>
        </w:tblPrEx>
        <w:trPr>
          <w:trHeight w:val="810" w:hRule="atLeast"/>
        </w:trPr>
        <w:tc>
          <w:tcPr>
            <w:tcW w:w="562" w:type="pct"/>
            <w:vMerge w:val="continue"/>
            <w:tcBorders>
              <w:top w:val="nil"/>
              <w:left w:val="single" w:color="auto" w:sz="4" w:space="0"/>
              <w:bottom w:val="single" w:color="auto" w:sz="4" w:space="0"/>
              <w:right w:val="single" w:color="auto" w:sz="4" w:space="0"/>
            </w:tcBorders>
            <w:vAlign w:val="center"/>
          </w:tcPr>
          <w:p w14:paraId="532F82F9">
            <w:pPr>
              <w:spacing w:line="240" w:lineRule="auto"/>
              <w:ind w:firstLine="0" w:firstLineChars="0"/>
              <w:rPr>
                <w:rFonts w:hint="eastAsia" w:ascii="仿宋_GB2312" w:hAnsi="宋体"/>
                <w:sz w:val="21"/>
                <w:szCs w:val="21"/>
              </w:rPr>
            </w:pPr>
          </w:p>
        </w:tc>
        <w:tc>
          <w:tcPr>
            <w:tcW w:w="397" w:type="pct"/>
            <w:vMerge w:val="continue"/>
            <w:tcBorders>
              <w:top w:val="nil"/>
              <w:left w:val="single" w:color="auto" w:sz="4" w:space="0"/>
              <w:bottom w:val="single" w:color="auto" w:sz="4" w:space="0"/>
              <w:right w:val="single" w:color="auto" w:sz="4" w:space="0"/>
            </w:tcBorders>
            <w:vAlign w:val="center"/>
          </w:tcPr>
          <w:p w14:paraId="60C0595B">
            <w:pPr>
              <w:spacing w:line="240" w:lineRule="auto"/>
              <w:ind w:firstLine="0" w:firstLineChars="0"/>
              <w:rPr>
                <w:rFonts w:hint="eastAsia" w:ascii="仿宋_GB2312" w:hAnsi="宋体"/>
                <w:sz w:val="21"/>
                <w:szCs w:val="21"/>
              </w:rPr>
            </w:pPr>
          </w:p>
        </w:tc>
        <w:tc>
          <w:tcPr>
            <w:tcW w:w="760" w:type="pct"/>
            <w:vMerge w:val="continue"/>
            <w:tcBorders>
              <w:top w:val="nil"/>
              <w:left w:val="single" w:color="auto" w:sz="4" w:space="0"/>
              <w:bottom w:val="single" w:color="auto" w:sz="4" w:space="0"/>
              <w:right w:val="single" w:color="auto" w:sz="4" w:space="0"/>
            </w:tcBorders>
            <w:vAlign w:val="center"/>
          </w:tcPr>
          <w:p w14:paraId="4E30DC2A">
            <w:pPr>
              <w:spacing w:line="240" w:lineRule="auto"/>
              <w:ind w:firstLine="0" w:firstLineChars="0"/>
              <w:rPr>
                <w:rFonts w:hint="eastAsia" w:ascii="仿宋_GB2312" w:hAnsi="宋体"/>
                <w:sz w:val="21"/>
                <w:szCs w:val="21"/>
              </w:rPr>
            </w:pPr>
          </w:p>
        </w:tc>
        <w:tc>
          <w:tcPr>
            <w:tcW w:w="1094" w:type="pct"/>
            <w:tcBorders>
              <w:top w:val="nil"/>
              <w:left w:val="nil"/>
              <w:bottom w:val="single" w:color="auto" w:sz="4" w:space="0"/>
              <w:right w:val="single" w:color="auto" w:sz="4" w:space="0"/>
            </w:tcBorders>
            <w:shd w:val="clear" w:color="auto" w:fill="auto"/>
            <w:vAlign w:val="center"/>
          </w:tcPr>
          <w:p w14:paraId="437B0482">
            <w:pPr>
              <w:spacing w:line="240" w:lineRule="auto"/>
              <w:ind w:firstLine="0" w:firstLineChars="0"/>
              <w:jc w:val="center"/>
              <w:rPr>
                <w:rFonts w:hint="eastAsia" w:ascii="仿宋_GB2312" w:hAnsi="宋体"/>
                <w:sz w:val="21"/>
                <w:szCs w:val="21"/>
              </w:rPr>
            </w:pPr>
            <w:r>
              <w:rPr>
                <w:rFonts w:hint="eastAsia" w:ascii="仿宋_GB2312" w:hAnsi="宋体"/>
                <w:sz w:val="21"/>
                <w:szCs w:val="21"/>
              </w:rPr>
              <w:t>北部荒漠生态维护防风治沙区（Ⅱ-3-2rn-5）</w:t>
            </w:r>
          </w:p>
        </w:tc>
        <w:tc>
          <w:tcPr>
            <w:tcW w:w="597" w:type="pct"/>
            <w:tcBorders>
              <w:top w:val="nil"/>
              <w:left w:val="nil"/>
              <w:bottom w:val="single" w:color="auto" w:sz="4" w:space="0"/>
              <w:right w:val="single" w:color="auto" w:sz="4" w:space="0"/>
            </w:tcBorders>
            <w:shd w:val="clear" w:color="auto" w:fill="auto"/>
            <w:vAlign w:val="center"/>
          </w:tcPr>
          <w:p w14:paraId="0D85F0E0">
            <w:pPr>
              <w:spacing w:line="240" w:lineRule="auto"/>
              <w:ind w:firstLine="0" w:firstLineChars="0"/>
              <w:jc w:val="center"/>
              <w:rPr>
                <w:rFonts w:ascii="仿宋_GB2312" w:cs="Times New Roman"/>
                <w:sz w:val="22"/>
                <w:szCs w:val="22"/>
              </w:rPr>
            </w:pPr>
            <w:r>
              <w:rPr>
                <w:rFonts w:hint="eastAsia" w:ascii="仿宋_GB2312" w:cs="Times New Roman"/>
                <w:sz w:val="22"/>
                <w:szCs w:val="22"/>
              </w:rPr>
              <w:t>4448</w:t>
            </w:r>
          </w:p>
        </w:tc>
        <w:tc>
          <w:tcPr>
            <w:tcW w:w="1589" w:type="pct"/>
            <w:tcBorders>
              <w:top w:val="nil"/>
              <w:left w:val="nil"/>
              <w:bottom w:val="single" w:color="auto" w:sz="4" w:space="0"/>
              <w:right w:val="single" w:color="auto" w:sz="4" w:space="0"/>
            </w:tcBorders>
            <w:shd w:val="clear" w:color="auto" w:fill="auto"/>
            <w:vAlign w:val="center"/>
          </w:tcPr>
          <w:p w14:paraId="66767706">
            <w:pPr>
              <w:spacing w:line="240" w:lineRule="auto"/>
              <w:ind w:firstLine="0" w:firstLineChars="0"/>
              <w:jc w:val="center"/>
              <w:rPr>
                <w:rFonts w:hint="eastAsia" w:ascii="仿宋_GB2312" w:hAnsi="宋体"/>
                <w:sz w:val="22"/>
                <w:szCs w:val="22"/>
              </w:rPr>
            </w:pPr>
            <w:r>
              <w:rPr>
                <w:rFonts w:hint="eastAsia" w:ascii="仿宋_GB2312" w:hAnsi="宋体"/>
                <w:sz w:val="22"/>
                <w:szCs w:val="22"/>
              </w:rPr>
              <w:t>荒漠区、三红河乡、上户沟哈萨克民族乡、兵团</w:t>
            </w:r>
          </w:p>
        </w:tc>
      </w:tr>
    </w:tbl>
    <w:p w14:paraId="18F34B5B">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附表十一             水土流失重点预防区成果表</w:t>
      </w:r>
    </w:p>
    <w:tbl>
      <w:tblPr>
        <w:tblStyle w:val="48"/>
        <w:tblW w:w="5000" w:type="pct"/>
        <w:tblInd w:w="0" w:type="dxa"/>
        <w:tblLayout w:type="autofit"/>
        <w:tblCellMar>
          <w:top w:w="0" w:type="dxa"/>
          <w:left w:w="108" w:type="dxa"/>
          <w:bottom w:w="0" w:type="dxa"/>
          <w:right w:w="108" w:type="dxa"/>
        </w:tblCellMar>
      </w:tblPr>
      <w:tblGrid>
        <w:gridCol w:w="1539"/>
        <w:gridCol w:w="3079"/>
        <w:gridCol w:w="3911"/>
      </w:tblGrid>
      <w:tr w14:paraId="57853F5F">
        <w:tblPrEx>
          <w:tblCellMar>
            <w:top w:w="0" w:type="dxa"/>
            <w:left w:w="108" w:type="dxa"/>
            <w:bottom w:w="0" w:type="dxa"/>
            <w:right w:w="108" w:type="dxa"/>
          </w:tblCellMar>
        </w:tblPrEx>
        <w:trPr>
          <w:trHeight w:val="377" w:hRule="atLeast"/>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53CEA223">
            <w:pPr>
              <w:spacing w:line="240" w:lineRule="auto"/>
              <w:ind w:firstLine="0" w:firstLineChars="0"/>
              <w:jc w:val="center"/>
              <w:rPr>
                <w:rFonts w:hint="eastAsia" w:ascii="仿宋_GB2312" w:hAnsi="宋体"/>
                <w:sz w:val="20"/>
                <w:szCs w:val="20"/>
              </w:rPr>
            </w:pPr>
            <w:r>
              <w:rPr>
                <w:rFonts w:hint="eastAsia" w:ascii="仿宋_GB2312" w:hAnsi="宋体"/>
                <w:sz w:val="20"/>
                <w:szCs w:val="20"/>
              </w:rPr>
              <w:t>区名称</w:t>
            </w:r>
          </w:p>
        </w:tc>
        <w:tc>
          <w:tcPr>
            <w:tcW w:w="1805" w:type="pct"/>
            <w:tcBorders>
              <w:top w:val="single" w:color="auto" w:sz="4" w:space="0"/>
              <w:left w:val="nil"/>
              <w:bottom w:val="single" w:color="auto" w:sz="4" w:space="0"/>
              <w:right w:val="single" w:color="auto" w:sz="4" w:space="0"/>
            </w:tcBorders>
            <w:shd w:val="clear" w:color="auto" w:fill="auto"/>
            <w:vAlign w:val="center"/>
          </w:tcPr>
          <w:p w14:paraId="392F00F1">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涉及乡镇</w:t>
            </w:r>
          </w:p>
        </w:tc>
        <w:tc>
          <w:tcPr>
            <w:tcW w:w="2293" w:type="pct"/>
            <w:tcBorders>
              <w:top w:val="single" w:color="auto" w:sz="4" w:space="0"/>
              <w:left w:val="nil"/>
              <w:bottom w:val="single" w:color="auto" w:sz="4" w:space="0"/>
              <w:right w:val="single" w:color="auto" w:sz="4" w:space="0"/>
            </w:tcBorders>
            <w:shd w:val="clear" w:color="auto" w:fill="auto"/>
            <w:vAlign w:val="center"/>
          </w:tcPr>
          <w:p w14:paraId="5B43EA6D">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涉及重点预防区面积（</w:t>
            </w:r>
            <w:r>
              <w:rPr>
                <w:rFonts w:hint="eastAsia" w:ascii="仿宋_GB2312" w:cs="Times New Roman"/>
                <w:sz w:val="20"/>
                <w:szCs w:val="20"/>
              </w:rPr>
              <w:t>km</w:t>
            </w:r>
            <w:r>
              <w:rPr>
                <w:rFonts w:hint="eastAsia" w:ascii="仿宋_GB2312" w:cs="Times New Roman"/>
                <w:sz w:val="20"/>
                <w:szCs w:val="20"/>
                <w:vertAlign w:val="superscript"/>
              </w:rPr>
              <w:t>2</w:t>
            </w:r>
            <w:r>
              <w:rPr>
                <w:rFonts w:hint="eastAsia" w:ascii="仿宋_GB2312" w:hAnsi="宋体"/>
                <w:sz w:val="20"/>
                <w:szCs w:val="20"/>
              </w:rPr>
              <w:t>）</w:t>
            </w:r>
          </w:p>
        </w:tc>
      </w:tr>
      <w:tr w14:paraId="61D235C4">
        <w:tblPrEx>
          <w:tblCellMar>
            <w:top w:w="0" w:type="dxa"/>
            <w:left w:w="108" w:type="dxa"/>
            <w:bottom w:w="0" w:type="dxa"/>
            <w:right w:w="108" w:type="dxa"/>
          </w:tblCellMar>
        </w:tblPrEx>
        <w:trPr>
          <w:trHeight w:val="290" w:hRule="atLeast"/>
        </w:trPr>
        <w:tc>
          <w:tcPr>
            <w:tcW w:w="902" w:type="pct"/>
            <w:vMerge w:val="restart"/>
            <w:tcBorders>
              <w:top w:val="nil"/>
              <w:left w:val="single" w:color="auto" w:sz="4" w:space="0"/>
              <w:bottom w:val="single" w:color="auto" w:sz="4" w:space="0"/>
              <w:right w:val="single" w:color="auto" w:sz="4" w:space="0"/>
            </w:tcBorders>
            <w:shd w:val="clear" w:color="auto" w:fill="auto"/>
            <w:vAlign w:val="center"/>
          </w:tcPr>
          <w:p w14:paraId="2DDD0F4E">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水土流失重点预防区</w:t>
            </w:r>
          </w:p>
        </w:tc>
        <w:tc>
          <w:tcPr>
            <w:tcW w:w="1805" w:type="pct"/>
            <w:tcBorders>
              <w:top w:val="nil"/>
              <w:left w:val="nil"/>
              <w:bottom w:val="single" w:color="auto" w:sz="4" w:space="0"/>
              <w:right w:val="single" w:color="auto" w:sz="4" w:space="0"/>
            </w:tcBorders>
            <w:shd w:val="clear" w:color="auto" w:fill="auto"/>
            <w:vAlign w:val="center"/>
          </w:tcPr>
          <w:p w14:paraId="14A0FD7A">
            <w:pPr>
              <w:spacing w:line="240" w:lineRule="auto"/>
              <w:ind w:firstLine="0" w:firstLineChars="0"/>
              <w:jc w:val="center"/>
              <w:rPr>
                <w:rFonts w:hint="eastAsia" w:ascii="仿宋_GB2312" w:hAnsi="宋体"/>
                <w:sz w:val="20"/>
                <w:szCs w:val="20"/>
              </w:rPr>
            </w:pPr>
            <w:r>
              <w:rPr>
                <w:rFonts w:hint="eastAsia" w:ascii="仿宋_GB2312" w:hAnsi="宋体"/>
                <w:sz w:val="20"/>
                <w:szCs w:val="20"/>
              </w:rPr>
              <w:t>水磨沟乡</w:t>
            </w:r>
          </w:p>
        </w:tc>
        <w:tc>
          <w:tcPr>
            <w:tcW w:w="2293" w:type="pct"/>
            <w:tcBorders>
              <w:top w:val="nil"/>
              <w:left w:val="nil"/>
              <w:bottom w:val="single" w:color="auto" w:sz="4" w:space="0"/>
              <w:right w:val="single" w:color="auto" w:sz="4" w:space="0"/>
            </w:tcBorders>
            <w:shd w:val="clear" w:color="auto" w:fill="auto"/>
            <w:vAlign w:val="center"/>
          </w:tcPr>
          <w:p w14:paraId="7F28F880">
            <w:pPr>
              <w:spacing w:line="240" w:lineRule="auto"/>
              <w:ind w:firstLine="0" w:firstLineChars="0"/>
              <w:jc w:val="center"/>
              <w:rPr>
                <w:rFonts w:ascii="仿宋_GB2312" w:cs="Times New Roman"/>
                <w:sz w:val="20"/>
                <w:szCs w:val="20"/>
              </w:rPr>
            </w:pPr>
            <w:r>
              <w:rPr>
                <w:rFonts w:hint="eastAsia" w:ascii="仿宋_GB2312" w:cs="Times New Roman"/>
                <w:sz w:val="20"/>
                <w:szCs w:val="20"/>
              </w:rPr>
              <w:t>144</w:t>
            </w:r>
          </w:p>
        </w:tc>
      </w:tr>
      <w:tr w14:paraId="5140A276">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5865965D">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4C4658C8">
            <w:pPr>
              <w:spacing w:line="240" w:lineRule="auto"/>
              <w:ind w:firstLine="0" w:firstLineChars="0"/>
              <w:jc w:val="center"/>
              <w:rPr>
                <w:rFonts w:hint="eastAsia" w:ascii="仿宋_GB2312" w:hAnsi="宋体"/>
                <w:sz w:val="20"/>
                <w:szCs w:val="20"/>
              </w:rPr>
            </w:pPr>
            <w:r>
              <w:rPr>
                <w:rFonts w:hint="eastAsia" w:ascii="仿宋_GB2312" w:hAnsi="宋体"/>
                <w:sz w:val="20"/>
                <w:szCs w:val="20"/>
              </w:rPr>
              <w:t>三工河乡</w:t>
            </w:r>
          </w:p>
        </w:tc>
        <w:tc>
          <w:tcPr>
            <w:tcW w:w="2293" w:type="pct"/>
            <w:tcBorders>
              <w:top w:val="nil"/>
              <w:left w:val="nil"/>
              <w:bottom w:val="single" w:color="auto" w:sz="4" w:space="0"/>
              <w:right w:val="single" w:color="auto" w:sz="4" w:space="0"/>
            </w:tcBorders>
            <w:shd w:val="clear" w:color="auto" w:fill="auto"/>
            <w:vAlign w:val="center"/>
          </w:tcPr>
          <w:p w14:paraId="41C8D92E">
            <w:pPr>
              <w:spacing w:line="240" w:lineRule="auto"/>
              <w:ind w:firstLine="0" w:firstLineChars="0"/>
              <w:jc w:val="center"/>
              <w:rPr>
                <w:rFonts w:ascii="仿宋_GB2312" w:cs="Times New Roman"/>
                <w:sz w:val="20"/>
                <w:szCs w:val="20"/>
              </w:rPr>
            </w:pPr>
            <w:r>
              <w:rPr>
                <w:rFonts w:hint="eastAsia" w:ascii="仿宋_GB2312" w:cs="Times New Roman"/>
                <w:sz w:val="20"/>
                <w:szCs w:val="20"/>
              </w:rPr>
              <w:t>322</w:t>
            </w:r>
          </w:p>
        </w:tc>
      </w:tr>
      <w:tr w14:paraId="0891EA3F">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37A56029">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5E66CFD2">
            <w:pPr>
              <w:spacing w:line="240" w:lineRule="auto"/>
              <w:ind w:firstLine="0" w:firstLineChars="0"/>
              <w:jc w:val="center"/>
              <w:rPr>
                <w:rFonts w:hint="eastAsia" w:ascii="仿宋_GB2312" w:hAnsi="宋体"/>
                <w:sz w:val="20"/>
                <w:szCs w:val="20"/>
              </w:rPr>
            </w:pPr>
            <w:r>
              <w:rPr>
                <w:rFonts w:hint="eastAsia" w:ascii="仿宋_GB2312" w:hAnsi="宋体"/>
                <w:sz w:val="20"/>
                <w:szCs w:val="20"/>
              </w:rPr>
              <w:t>上户沟乡</w:t>
            </w:r>
          </w:p>
        </w:tc>
        <w:tc>
          <w:tcPr>
            <w:tcW w:w="2293" w:type="pct"/>
            <w:tcBorders>
              <w:top w:val="nil"/>
              <w:left w:val="nil"/>
              <w:bottom w:val="single" w:color="auto" w:sz="4" w:space="0"/>
              <w:right w:val="single" w:color="auto" w:sz="4" w:space="0"/>
            </w:tcBorders>
            <w:shd w:val="clear" w:color="auto" w:fill="auto"/>
            <w:vAlign w:val="center"/>
          </w:tcPr>
          <w:p w14:paraId="293F9DB5">
            <w:pPr>
              <w:spacing w:line="240" w:lineRule="auto"/>
              <w:ind w:firstLine="0" w:firstLineChars="0"/>
              <w:jc w:val="center"/>
              <w:rPr>
                <w:rFonts w:ascii="仿宋_GB2312" w:cs="Times New Roman"/>
                <w:sz w:val="20"/>
                <w:szCs w:val="20"/>
              </w:rPr>
            </w:pPr>
            <w:r>
              <w:rPr>
                <w:rFonts w:hint="eastAsia" w:ascii="仿宋_GB2312" w:cs="Times New Roman"/>
                <w:sz w:val="20"/>
                <w:szCs w:val="20"/>
              </w:rPr>
              <w:t>551</w:t>
            </w:r>
          </w:p>
        </w:tc>
      </w:tr>
      <w:tr w14:paraId="536229DE">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60D41CEB">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44665FC1">
            <w:pPr>
              <w:spacing w:line="240" w:lineRule="auto"/>
              <w:ind w:firstLine="0" w:firstLineChars="0"/>
              <w:jc w:val="center"/>
              <w:rPr>
                <w:rFonts w:hint="eastAsia" w:ascii="仿宋_GB2312" w:hAnsi="宋体"/>
                <w:sz w:val="20"/>
                <w:szCs w:val="20"/>
              </w:rPr>
            </w:pPr>
            <w:r>
              <w:rPr>
                <w:rFonts w:hint="eastAsia" w:ascii="仿宋_GB2312" w:hAnsi="宋体"/>
                <w:sz w:val="20"/>
                <w:szCs w:val="20"/>
              </w:rPr>
              <w:t>北部荒漠区</w:t>
            </w:r>
          </w:p>
        </w:tc>
        <w:tc>
          <w:tcPr>
            <w:tcW w:w="2293" w:type="pct"/>
            <w:tcBorders>
              <w:top w:val="nil"/>
              <w:left w:val="nil"/>
              <w:bottom w:val="single" w:color="auto" w:sz="4" w:space="0"/>
              <w:right w:val="single" w:color="auto" w:sz="4" w:space="0"/>
            </w:tcBorders>
            <w:shd w:val="clear" w:color="auto" w:fill="auto"/>
            <w:vAlign w:val="center"/>
          </w:tcPr>
          <w:p w14:paraId="267436AC">
            <w:pPr>
              <w:spacing w:line="240" w:lineRule="auto"/>
              <w:ind w:firstLine="0" w:firstLineChars="0"/>
              <w:jc w:val="center"/>
              <w:rPr>
                <w:rFonts w:ascii="仿宋_GB2312" w:cs="Times New Roman"/>
                <w:sz w:val="20"/>
                <w:szCs w:val="20"/>
              </w:rPr>
            </w:pPr>
            <w:r>
              <w:rPr>
                <w:rFonts w:hint="eastAsia" w:ascii="仿宋_GB2312" w:cs="Times New Roman"/>
                <w:sz w:val="20"/>
                <w:szCs w:val="20"/>
              </w:rPr>
              <w:t>509</w:t>
            </w:r>
          </w:p>
        </w:tc>
      </w:tr>
      <w:tr w14:paraId="64F6E9B9">
        <w:tblPrEx>
          <w:tblCellMar>
            <w:top w:w="0" w:type="dxa"/>
            <w:left w:w="108" w:type="dxa"/>
            <w:bottom w:w="0" w:type="dxa"/>
            <w:right w:w="108" w:type="dxa"/>
          </w:tblCellMar>
        </w:tblPrEx>
        <w:trPr>
          <w:trHeight w:val="280" w:hRule="atLeast"/>
        </w:trPr>
        <w:tc>
          <w:tcPr>
            <w:tcW w:w="902" w:type="pct"/>
            <w:tcBorders>
              <w:top w:val="nil"/>
              <w:left w:val="single" w:color="auto" w:sz="4" w:space="0"/>
              <w:bottom w:val="single" w:color="auto" w:sz="4" w:space="0"/>
              <w:right w:val="single" w:color="auto" w:sz="4" w:space="0"/>
            </w:tcBorders>
            <w:shd w:val="clear" w:color="auto" w:fill="auto"/>
            <w:vAlign w:val="center"/>
          </w:tcPr>
          <w:p w14:paraId="77ED0B21">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805" w:type="pct"/>
            <w:tcBorders>
              <w:top w:val="nil"/>
              <w:left w:val="nil"/>
              <w:bottom w:val="single" w:color="auto" w:sz="4" w:space="0"/>
              <w:right w:val="single" w:color="auto" w:sz="4" w:space="0"/>
            </w:tcBorders>
            <w:shd w:val="clear" w:color="auto" w:fill="auto"/>
            <w:vAlign w:val="center"/>
          </w:tcPr>
          <w:p w14:paraId="5BD0D6E4">
            <w:pPr>
              <w:spacing w:line="240" w:lineRule="auto"/>
              <w:ind w:firstLine="0" w:firstLineChars="0"/>
              <w:jc w:val="center"/>
              <w:rPr>
                <w:rFonts w:hint="eastAsia" w:ascii="仿宋_GB2312" w:hAnsi="宋体"/>
                <w:sz w:val="20"/>
                <w:szCs w:val="20"/>
              </w:rPr>
            </w:pPr>
            <w:r>
              <w:rPr>
                <w:rFonts w:hint="eastAsia" w:ascii="仿宋_GB2312" w:hAnsi="宋体"/>
                <w:sz w:val="20"/>
                <w:szCs w:val="20"/>
              </w:rPr>
              <w:t>　</w:t>
            </w:r>
          </w:p>
        </w:tc>
        <w:tc>
          <w:tcPr>
            <w:tcW w:w="2293" w:type="pct"/>
            <w:tcBorders>
              <w:top w:val="nil"/>
              <w:left w:val="nil"/>
              <w:bottom w:val="single" w:color="auto" w:sz="4" w:space="0"/>
              <w:right w:val="single" w:color="auto" w:sz="4" w:space="0"/>
            </w:tcBorders>
            <w:shd w:val="clear" w:color="auto" w:fill="auto"/>
            <w:vAlign w:val="center"/>
          </w:tcPr>
          <w:p w14:paraId="75D0C3DD">
            <w:pPr>
              <w:spacing w:line="240" w:lineRule="auto"/>
              <w:ind w:firstLine="0" w:firstLineChars="0"/>
              <w:jc w:val="center"/>
              <w:rPr>
                <w:rFonts w:ascii="仿宋_GB2312" w:cs="Times New Roman"/>
                <w:b/>
                <w:bCs/>
                <w:sz w:val="20"/>
                <w:szCs w:val="20"/>
              </w:rPr>
            </w:pPr>
            <w:r>
              <w:rPr>
                <w:rFonts w:hint="eastAsia" w:ascii="仿宋_GB2312" w:cs="Times New Roman"/>
                <w:b/>
                <w:bCs/>
                <w:sz w:val="20"/>
                <w:szCs w:val="20"/>
              </w:rPr>
              <w:t>1526</w:t>
            </w:r>
          </w:p>
        </w:tc>
      </w:tr>
    </w:tbl>
    <w:p w14:paraId="5F4A24EC">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3A774AE6">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附表十二              水土流失重点治理区成果表</w:t>
      </w:r>
    </w:p>
    <w:tbl>
      <w:tblPr>
        <w:tblStyle w:val="48"/>
        <w:tblW w:w="5000" w:type="pct"/>
        <w:tblInd w:w="0" w:type="dxa"/>
        <w:tblLayout w:type="autofit"/>
        <w:tblCellMar>
          <w:top w:w="0" w:type="dxa"/>
          <w:left w:w="108" w:type="dxa"/>
          <w:bottom w:w="0" w:type="dxa"/>
          <w:right w:w="108" w:type="dxa"/>
        </w:tblCellMar>
      </w:tblPr>
      <w:tblGrid>
        <w:gridCol w:w="1539"/>
        <w:gridCol w:w="3079"/>
        <w:gridCol w:w="3911"/>
      </w:tblGrid>
      <w:tr w14:paraId="11708B34">
        <w:tblPrEx>
          <w:tblCellMar>
            <w:top w:w="0" w:type="dxa"/>
            <w:left w:w="108" w:type="dxa"/>
            <w:bottom w:w="0" w:type="dxa"/>
            <w:right w:w="108" w:type="dxa"/>
          </w:tblCellMar>
        </w:tblPrEx>
        <w:trPr>
          <w:trHeight w:val="256" w:hRule="atLeast"/>
        </w:trPr>
        <w:tc>
          <w:tcPr>
            <w:tcW w:w="902" w:type="pct"/>
            <w:tcBorders>
              <w:top w:val="single" w:color="auto" w:sz="4" w:space="0"/>
              <w:left w:val="single" w:color="auto" w:sz="4" w:space="0"/>
              <w:bottom w:val="single" w:color="auto" w:sz="4" w:space="0"/>
              <w:right w:val="single" w:color="auto" w:sz="4" w:space="0"/>
            </w:tcBorders>
            <w:shd w:val="clear" w:color="auto" w:fill="auto"/>
            <w:vAlign w:val="center"/>
          </w:tcPr>
          <w:p w14:paraId="75DC026A">
            <w:pPr>
              <w:spacing w:line="240" w:lineRule="auto"/>
              <w:ind w:firstLine="0" w:firstLineChars="0"/>
              <w:jc w:val="center"/>
              <w:rPr>
                <w:rFonts w:hint="eastAsia" w:ascii="仿宋_GB2312" w:hAnsi="宋体"/>
                <w:sz w:val="20"/>
                <w:szCs w:val="20"/>
              </w:rPr>
            </w:pPr>
            <w:r>
              <w:rPr>
                <w:rFonts w:hint="eastAsia" w:ascii="仿宋_GB2312" w:hAnsi="宋体"/>
                <w:sz w:val="20"/>
                <w:szCs w:val="20"/>
              </w:rPr>
              <w:t>区名称</w:t>
            </w:r>
          </w:p>
        </w:tc>
        <w:tc>
          <w:tcPr>
            <w:tcW w:w="1805" w:type="pct"/>
            <w:tcBorders>
              <w:top w:val="single" w:color="auto" w:sz="4" w:space="0"/>
              <w:left w:val="nil"/>
              <w:bottom w:val="single" w:color="auto" w:sz="4" w:space="0"/>
              <w:right w:val="single" w:color="auto" w:sz="4" w:space="0"/>
            </w:tcBorders>
            <w:shd w:val="clear" w:color="auto" w:fill="auto"/>
            <w:vAlign w:val="center"/>
          </w:tcPr>
          <w:p w14:paraId="1455936C">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涉及乡镇</w:t>
            </w:r>
          </w:p>
        </w:tc>
        <w:tc>
          <w:tcPr>
            <w:tcW w:w="2293" w:type="pct"/>
            <w:tcBorders>
              <w:top w:val="single" w:color="auto" w:sz="4" w:space="0"/>
              <w:left w:val="nil"/>
              <w:bottom w:val="single" w:color="auto" w:sz="4" w:space="0"/>
              <w:right w:val="single" w:color="auto" w:sz="4" w:space="0"/>
            </w:tcBorders>
            <w:shd w:val="clear" w:color="auto" w:fill="auto"/>
            <w:vAlign w:val="center"/>
          </w:tcPr>
          <w:p w14:paraId="320553E7">
            <w:pPr>
              <w:spacing w:line="240" w:lineRule="auto"/>
              <w:ind w:firstLine="0" w:firstLineChars="0"/>
              <w:jc w:val="center"/>
              <w:rPr>
                <w:rFonts w:hint="eastAsia" w:ascii="仿宋_GB2312" w:hAnsi="宋体"/>
                <w:sz w:val="20"/>
                <w:szCs w:val="20"/>
              </w:rPr>
            </w:pPr>
            <w:r>
              <w:rPr>
                <w:rFonts w:hint="eastAsia" w:ascii="仿宋_GB2312" w:hAnsi="宋体"/>
                <w:sz w:val="20"/>
                <w:szCs w:val="20"/>
              </w:rPr>
              <w:t>涉及重点治理区面积（km</w:t>
            </w:r>
            <w:r>
              <w:rPr>
                <w:rFonts w:hint="eastAsia" w:ascii="仿宋_GB2312" w:hAnsi="宋体"/>
                <w:sz w:val="20"/>
                <w:szCs w:val="20"/>
                <w:vertAlign w:val="superscript"/>
              </w:rPr>
              <w:t>2</w:t>
            </w:r>
            <w:r>
              <w:rPr>
                <w:rFonts w:hint="eastAsia" w:ascii="仿宋_GB2312" w:hAnsi="宋体"/>
                <w:sz w:val="20"/>
                <w:szCs w:val="20"/>
              </w:rPr>
              <w:t>）</w:t>
            </w:r>
          </w:p>
        </w:tc>
      </w:tr>
      <w:tr w14:paraId="546A65D9">
        <w:tblPrEx>
          <w:tblCellMar>
            <w:top w:w="0" w:type="dxa"/>
            <w:left w:w="108" w:type="dxa"/>
            <w:bottom w:w="0" w:type="dxa"/>
            <w:right w:w="108" w:type="dxa"/>
          </w:tblCellMar>
        </w:tblPrEx>
        <w:trPr>
          <w:trHeight w:val="280" w:hRule="atLeast"/>
        </w:trPr>
        <w:tc>
          <w:tcPr>
            <w:tcW w:w="902" w:type="pct"/>
            <w:vMerge w:val="restart"/>
            <w:tcBorders>
              <w:top w:val="nil"/>
              <w:left w:val="single" w:color="auto" w:sz="4" w:space="0"/>
              <w:bottom w:val="single" w:color="auto" w:sz="4" w:space="0"/>
              <w:right w:val="single" w:color="auto" w:sz="4" w:space="0"/>
            </w:tcBorders>
            <w:shd w:val="clear" w:color="auto" w:fill="auto"/>
            <w:vAlign w:val="center"/>
          </w:tcPr>
          <w:p w14:paraId="25990BE8">
            <w:pPr>
              <w:spacing w:line="240" w:lineRule="auto"/>
              <w:ind w:firstLine="0" w:firstLineChars="0"/>
              <w:jc w:val="center"/>
              <w:rPr>
                <w:rFonts w:hint="eastAsia" w:ascii="仿宋_GB2312" w:hAnsi="宋体"/>
                <w:sz w:val="20"/>
                <w:szCs w:val="20"/>
              </w:rPr>
            </w:pPr>
            <w:r>
              <w:rPr>
                <w:rFonts w:hint="eastAsia" w:ascii="仿宋_GB2312" w:hAnsi="宋体"/>
                <w:sz w:val="20"/>
                <w:szCs w:val="20"/>
              </w:rPr>
              <w:t>水土流失重点治理区</w:t>
            </w:r>
          </w:p>
        </w:tc>
        <w:tc>
          <w:tcPr>
            <w:tcW w:w="1805" w:type="pct"/>
            <w:tcBorders>
              <w:top w:val="nil"/>
              <w:left w:val="nil"/>
              <w:bottom w:val="single" w:color="auto" w:sz="4" w:space="0"/>
              <w:right w:val="single" w:color="auto" w:sz="4" w:space="0"/>
            </w:tcBorders>
            <w:shd w:val="clear" w:color="auto" w:fill="auto"/>
            <w:vAlign w:val="center"/>
          </w:tcPr>
          <w:p w14:paraId="7B6A77BA">
            <w:pPr>
              <w:spacing w:line="240" w:lineRule="auto"/>
              <w:ind w:firstLine="0" w:firstLineChars="0"/>
              <w:jc w:val="center"/>
              <w:rPr>
                <w:rFonts w:hint="eastAsia" w:ascii="仿宋_GB2312" w:hAnsi="宋体"/>
                <w:sz w:val="20"/>
                <w:szCs w:val="20"/>
              </w:rPr>
            </w:pPr>
            <w:r>
              <w:rPr>
                <w:rFonts w:hint="eastAsia" w:ascii="仿宋_GB2312" w:hAnsi="宋体"/>
                <w:sz w:val="20"/>
                <w:szCs w:val="20"/>
              </w:rPr>
              <w:t>水磨沟乡</w:t>
            </w:r>
          </w:p>
        </w:tc>
        <w:tc>
          <w:tcPr>
            <w:tcW w:w="2293" w:type="pct"/>
            <w:tcBorders>
              <w:top w:val="nil"/>
              <w:left w:val="nil"/>
              <w:bottom w:val="single" w:color="auto" w:sz="4" w:space="0"/>
              <w:right w:val="single" w:color="auto" w:sz="4" w:space="0"/>
            </w:tcBorders>
            <w:shd w:val="clear" w:color="auto" w:fill="auto"/>
            <w:vAlign w:val="center"/>
          </w:tcPr>
          <w:p w14:paraId="3E802078">
            <w:pPr>
              <w:spacing w:line="240" w:lineRule="auto"/>
              <w:ind w:firstLine="0" w:firstLineChars="0"/>
              <w:jc w:val="center"/>
              <w:rPr>
                <w:rFonts w:hint="eastAsia" w:ascii="仿宋_GB2312" w:hAnsi="宋体"/>
                <w:sz w:val="20"/>
                <w:szCs w:val="20"/>
              </w:rPr>
            </w:pPr>
            <w:r>
              <w:rPr>
                <w:rFonts w:hint="eastAsia" w:ascii="仿宋_GB2312" w:hAnsi="宋体"/>
                <w:sz w:val="20"/>
                <w:szCs w:val="20"/>
              </w:rPr>
              <w:t>111</w:t>
            </w:r>
          </w:p>
        </w:tc>
      </w:tr>
      <w:tr w14:paraId="4B2EDA91">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10D20FE6">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65B8AAC4">
            <w:pPr>
              <w:spacing w:line="240" w:lineRule="auto"/>
              <w:ind w:firstLine="0" w:firstLineChars="0"/>
              <w:jc w:val="center"/>
              <w:rPr>
                <w:rFonts w:hint="eastAsia" w:ascii="仿宋_GB2312" w:hAnsi="宋体"/>
                <w:sz w:val="20"/>
                <w:szCs w:val="20"/>
              </w:rPr>
            </w:pPr>
            <w:r>
              <w:rPr>
                <w:rFonts w:hint="eastAsia" w:ascii="仿宋_GB2312" w:hAnsi="宋体"/>
                <w:sz w:val="20"/>
                <w:szCs w:val="20"/>
              </w:rPr>
              <w:t>三工河乡</w:t>
            </w:r>
          </w:p>
        </w:tc>
        <w:tc>
          <w:tcPr>
            <w:tcW w:w="2293" w:type="pct"/>
            <w:tcBorders>
              <w:top w:val="nil"/>
              <w:left w:val="nil"/>
              <w:bottom w:val="single" w:color="auto" w:sz="4" w:space="0"/>
              <w:right w:val="single" w:color="auto" w:sz="4" w:space="0"/>
            </w:tcBorders>
            <w:shd w:val="clear" w:color="auto" w:fill="auto"/>
            <w:vAlign w:val="center"/>
          </w:tcPr>
          <w:p w14:paraId="787C1497">
            <w:pPr>
              <w:spacing w:line="240" w:lineRule="auto"/>
              <w:ind w:firstLine="0" w:firstLineChars="0"/>
              <w:jc w:val="center"/>
              <w:rPr>
                <w:rFonts w:hint="eastAsia" w:ascii="仿宋_GB2312" w:hAnsi="宋体"/>
                <w:sz w:val="20"/>
                <w:szCs w:val="20"/>
              </w:rPr>
            </w:pPr>
            <w:r>
              <w:rPr>
                <w:rFonts w:hint="eastAsia" w:ascii="仿宋_GB2312" w:hAnsi="宋体"/>
                <w:sz w:val="20"/>
                <w:szCs w:val="20"/>
              </w:rPr>
              <w:t>92</w:t>
            </w:r>
          </w:p>
        </w:tc>
      </w:tr>
      <w:tr w14:paraId="547CE17D">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5F83D44D">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5F746FD4">
            <w:pPr>
              <w:spacing w:line="240" w:lineRule="auto"/>
              <w:ind w:firstLine="0" w:firstLineChars="0"/>
              <w:jc w:val="center"/>
              <w:rPr>
                <w:rFonts w:hint="eastAsia" w:ascii="仿宋_GB2312" w:hAnsi="宋体"/>
                <w:sz w:val="20"/>
                <w:szCs w:val="20"/>
              </w:rPr>
            </w:pPr>
            <w:r>
              <w:rPr>
                <w:rFonts w:hint="eastAsia" w:ascii="仿宋_GB2312" w:hAnsi="宋体"/>
                <w:sz w:val="20"/>
                <w:szCs w:val="20"/>
              </w:rPr>
              <w:t>上户沟乡</w:t>
            </w:r>
          </w:p>
        </w:tc>
        <w:tc>
          <w:tcPr>
            <w:tcW w:w="2293" w:type="pct"/>
            <w:tcBorders>
              <w:top w:val="nil"/>
              <w:left w:val="nil"/>
              <w:bottom w:val="single" w:color="auto" w:sz="4" w:space="0"/>
              <w:right w:val="single" w:color="auto" w:sz="4" w:space="0"/>
            </w:tcBorders>
            <w:shd w:val="clear" w:color="auto" w:fill="auto"/>
            <w:vAlign w:val="center"/>
          </w:tcPr>
          <w:p w14:paraId="10F2FA66">
            <w:pPr>
              <w:spacing w:line="240" w:lineRule="auto"/>
              <w:ind w:firstLine="0" w:firstLineChars="0"/>
              <w:jc w:val="center"/>
              <w:rPr>
                <w:rFonts w:hint="eastAsia" w:ascii="仿宋_GB2312" w:hAnsi="宋体"/>
                <w:sz w:val="20"/>
                <w:szCs w:val="20"/>
              </w:rPr>
            </w:pPr>
            <w:r>
              <w:rPr>
                <w:rFonts w:hint="eastAsia" w:ascii="仿宋_GB2312" w:hAnsi="宋体"/>
                <w:sz w:val="20"/>
                <w:szCs w:val="20"/>
              </w:rPr>
              <w:t>218</w:t>
            </w:r>
          </w:p>
        </w:tc>
      </w:tr>
      <w:tr w14:paraId="33467C16">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55E3485C">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0B5BC3FF">
            <w:pPr>
              <w:spacing w:line="240" w:lineRule="auto"/>
              <w:ind w:firstLine="0" w:firstLineChars="0"/>
              <w:jc w:val="center"/>
              <w:rPr>
                <w:rFonts w:hint="eastAsia" w:ascii="仿宋_GB2312" w:hAnsi="宋体"/>
                <w:sz w:val="20"/>
                <w:szCs w:val="20"/>
              </w:rPr>
            </w:pPr>
            <w:r>
              <w:rPr>
                <w:rFonts w:hint="eastAsia" w:ascii="仿宋_GB2312" w:hAnsi="宋体"/>
                <w:sz w:val="20"/>
                <w:szCs w:val="20"/>
              </w:rPr>
              <w:t>甘河子镇</w:t>
            </w:r>
          </w:p>
        </w:tc>
        <w:tc>
          <w:tcPr>
            <w:tcW w:w="2293" w:type="pct"/>
            <w:tcBorders>
              <w:top w:val="nil"/>
              <w:left w:val="nil"/>
              <w:bottom w:val="single" w:color="auto" w:sz="4" w:space="0"/>
              <w:right w:val="single" w:color="auto" w:sz="4" w:space="0"/>
            </w:tcBorders>
            <w:shd w:val="clear" w:color="auto" w:fill="auto"/>
            <w:vAlign w:val="center"/>
          </w:tcPr>
          <w:p w14:paraId="5A7AC78E">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r>
      <w:tr w14:paraId="37E282CF">
        <w:tblPrEx>
          <w:tblCellMar>
            <w:top w:w="0" w:type="dxa"/>
            <w:left w:w="108" w:type="dxa"/>
            <w:bottom w:w="0" w:type="dxa"/>
            <w:right w:w="108" w:type="dxa"/>
          </w:tblCellMar>
        </w:tblPrEx>
        <w:trPr>
          <w:trHeight w:val="280" w:hRule="atLeast"/>
        </w:trPr>
        <w:tc>
          <w:tcPr>
            <w:tcW w:w="902" w:type="pct"/>
            <w:vMerge w:val="continue"/>
            <w:tcBorders>
              <w:top w:val="nil"/>
              <w:left w:val="single" w:color="auto" w:sz="4" w:space="0"/>
              <w:bottom w:val="single" w:color="auto" w:sz="4" w:space="0"/>
              <w:right w:val="single" w:color="auto" w:sz="4" w:space="0"/>
            </w:tcBorders>
            <w:vAlign w:val="center"/>
          </w:tcPr>
          <w:p w14:paraId="3213283E">
            <w:pPr>
              <w:spacing w:line="240" w:lineRule="auto"/>
              <w:ind w:firstLine="0" w:firstLineChars="0"/>
              <w:rPr>
                <w:rFonts w:hint="eastAsia" w:ascii="仿宋_GB2312" w:hAnsi="宋体"/>
                <w:sz w:val="20"/>
                <w:szCs w:val="20"/>
              </w:rPr>
            </w:pPr>
          </w:p>
        </w:tc>
        <w:tc>
          <w:tcPr>
            <w:tcW w:w="1805" w:type="pct"/>
            <w:tcBorders>
              <w:top w:val="nil"/>
              <w:left w:val="nil"/>
              <w:bottom w:val="single" w:color="auto" w:sz="4" w:space="0"/>
              <w:right w:val="single" w:color="auto" w:sz="4" w:space="0"/>
            </w:tcBorders>
            <w:shd w:val="clear" w:color="auto" w:fill="auto"/>
            <w:vAlign w:val="center"/>
          </w:tcPr>
          <w:p w14:paraId="23FB9A9B">
            <w:pPr>
              <w:spacing w:line="240" w:lineRule="auto"/>
              <w:ind w:firstLine="0" w:firstLineChars="0"/>
              <w:jc w:val="center"/>
              <w:rPr>
                <w:rFonts w:hint="eastAsia" w:ascii="仿宋_GB2312" w:hAnsi="宋体"/>
                <w:sz w:val="20"/>
                <w:szCs w:val="20"/>
              </w:rPr>
            </w:pPr>
            <w:r>
              <w:rPr>
                <w:rFonts w:hint="eastAsia" w:ascii="仿宋_GB2312" w:hAnsi="宋体"/>
                <w:sz w:val="20"/>
                <w:szCs w:val="20"/>
              </w:rPr>
              <w:t>九运街镇</w:t>
            </w:r>
          </w:p>
        </w:tc>
        <w:tc>
          <w:tcPr>
            <w:tcW w:w="2293" w:type="pct"/>
            <w:tcBorders>
              <w:top w:val="nil"/>
              <w:left w:val="nil"/>
              <w:bottom w:val="single" w:color="auto" w:sz="4" w:space="0"/>
              <w:right w:val="single" w:color="auto" w:sz="4" w:space="0"/>
            </w:tcBorders>
            <w:shd w:val="clear" w:color="auto" w:fill="auto"/>
            <w:vAlign w:val="center"/>
          </w:tcPr>
          <w:p w14:paraId="0666FC1C">
            <w:pPr>
              <w:spacing w:line="240" w:lineRule="auto"/>
              <w:ind w:firstLine="0" w:firstLineChars="0"/>
              <w:jc w:val="center"/>
              <w:rPr>
                <w:rFonts w:hint="eastAsia" w:ascii="仿宋_GB2312" w:hAnsi="宋体"/>
                <w:sz w:val="20"/>
                <w:szCs w:val="20"/>
              </w:rPr>
            </w:pPr>
            <w:r>
              <w:rPr>
                <w:rFonts w:hint="eastAsia" w:ascii="仿宋_GB2312" w:hAnsi="宋体"/>
                <w:sz w:val="20"/>
                <w:szCs w:val="20"/>
              </w:rPr>
              <w:t>35</w:t>
            </w:r>
          </w:p>
        </w:tc>
      </w:tr>
      <w:tr w14:paraId="0B27DD87">
        <w:tblPrEx>
          <w:tblCellMar>
            <w:top w:w="0" w:type="dxa"/>
            <w:left w:w="108" w:type="dxa"/>
            <w:bottom w:w="0" w:type="dxa"/>
            <w:right w:w="108" w:type="dxa"/>
          </w:tblCellMar>
        </w:tblPrEx>
        <w:trPr>
          <w:trHeight w:val="280" w:hRule="atLeast"/>
        </w:trPr>
        <w:tc>
          <w:tcPr>
            <w:tcW w:w="902" w:type="pct"/>
            <w:tcBorders>
              <w:top w:val="nil"/>
              <w:left w:val="single" w:color="auto" w:sz="4" w:space="0"/>
              <w:bottom w:val="single" w:color="auto" w:sz="4" w:space="0"/>
              <w:right w:val="single" w:color="auto" w:sz="4" w:space="0"/>
            </w:tcBorders>
            <w:shd w:val="clear" w:color="auto" w:fill="auto"/>
            <w:vAlign w:val="center"/>
          </w:tcPr>
          <w:p w14:paraId="0DC2ED43">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805" w:type="pct"/>
            <w:tcBorders>
              <w:top w:val="nil"/>
              <w:left w:val="nil"/>
              <w:bottom w:val="single" w:color="auto" w:sz="4" w:space="0"/>
              <w:right w:val="single" w:color="auto" w:sz="4" w:space="0"/>
            </w:tcBorders>
            <w:shd w:val="clear" w:color="auto" w:fill="auto"/>
            <w:vAlign w:val="center"/>
          </w:tcPr>
          <w:p w14:paraId="0A14E4D5">
            <w:pPr>
              <w:spacing w:line="240" w:lineRule="auto"/>
              <w:ind w:firstLine="0" w:firstLineChars="0"/>
              <w:rPr>
                <w:rFonts w:hint="eastAsia" w:ascii="仿宋_GB2312" w:hAnsi="宋体"/>
                <w:sz w:val="20"/>
                <w:szCs w:val="20"/>
              </w:rPr>
            </w:pPr>
            <w:r>
              <w:rPr>
                <w:rFonts w:hint="eastAsia" w:ascii="仿宋_GB2312" w:hAnsi="宋体"/>
                <w:sz w:val="20"/>
                <w:szCs w:val="20"/>
              </w:rPr>
              <w:t>　</w:t>
            </w:r>
          </w:p>
        </w:tc>
        <w:tc>
          <w:tcPr>
            <w:tcW w:w="2293" w:type="pct"/>
            <w:tcBorders>
              <w:top w:val="nil"/>
              <w:left w:val="nil"/>
              <w:bottom w:val="single" w:color="auto" w:sz="4" w:space="0"/>
              <w:right w:val="single" w:color="auto" w:sz="4" w:space="0"/>
            </w:tcBorders>
            <w:shd w:val="clear" w:color="auto" w:fill="auto"/>
            <w:vAlign w:val="center"/>
          </w:tcPr>
          <w:p w14:paraId="5E9B696A">
            <w:pPr>
              <w:spacing w:line="240" w:lineRule="auto"/>
              <w:ind w:firstLine="0" w:firstLineChars="0"/>
              <w:jc w:val="center"/>
              <w:rPr>
                <w:rFonts w:hint="eastAsia" w:ascii="仿宋_GB2312" w:hAnsi="宋体"/>
                <w:b/>
                <w:bCs/>
                <w:sz w:val="20"/>
                <w:szCs w:val="20"/>
              </w:rPr>
            </w:pPr>
            <w:r>
              <w:rPr>
                <w:rFonts w:hint="eastAsia" w:ascii="仿宋_GB2312" w:hAnsi="宋体"/>
                <w:b/>
                <w:bCs/>
                <w:sz w:val="20"/>
                <w:szCs w:val="20"/>
              </w:rPr>
              <w:t>457</w:t>
            </w:r>
          </w:p>
        </w:tc>
      </w:tr>
    </w:tbl>
    <w:p w14:paraId="07BFB3FE">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77EBA533">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附表十三 水土流失重点项目成果表</w:t>
      </w:r>
    </w:p>
    <w:tbl>
      <w:tblPr>
        <w:tblStyle w:val="48"/>
        <w:tblW w:w="5000" w:type="pct"/>
        <w:tblInd w:w="0" w:type="dxa"/>
        <w:tblLayout w:type="autofit"/>
        <w:tblCellMar>
          <w:top w:w="0" w:type="dxa"/>
          <w:left w:w="108" w:type="dxa"/>
          <w:bottom w:w="0" w:type="dxa"/>
          <w:right w:w="108" w:type="dxa"/>
        </w:tblCellMar>
      </w:tblPr>
      <w:tblGrid>
        <w:gridCol w:w="428"/>
        <w:gridCol w:w="2187"/>
        <w:gridCol w:w="873"/>
        <w:gridCol w:w="1022"/>
        <w:gridCol w:w="2915"/>
        <w:gridCol w:w="1104"/>
      </w:tblGrid>
      <w:tr w14:paraId="5A438FAA">
        <w:tblPrEx>
          <w:tblCellMar>
            <w:top w:w="0" w:type="dxa"/>
            <w:left w:w="108" w:type="dxa"/>
            <w:bottom w:w="0" w:type="dxa"/>
            <w:right w:w="108" w:type="dxa"/>
          </w:tblCellMar>
        </w:tblPrEx>
        <w:trPr>
          <w:trHeight w:val="570" w:hRule="atLeast"/>
        </w:trPr>
        <w:tc>
          <w:tcPr>
            <w:tcW w:w="251" w:type="pct"/>
            <w:tcBorders>
              <w:top w:val="single" w:color="auto" w:sz="8" w:space="0"/>
              <w:left w:val="single" w:color="auto" w:sz="8" w:space="0"/>
              <w:bottom w:val="single" w:color="auto" w:sz="8" w:space="0"/>
              <w:right w:val="single" w:color="auto" w:sz="8" w:space="0"/>
            </w:tcBorders>
            <w:shd w:val="clear" w:color="auto" w:fill="auto"/>
            <w:vAlign w:val="center"/>
          </w:tcPr>
          <w:p w14:paraId="2FC7EA0A">
            <w:pPr>
              <w:spacing w:line="240" w:lineRule="auto"/>
              <w:ind w:firstLine="0" w:firstLineChars="0"/>
              <w:jc w:val="center"/>
              <w:rPr>
                <w:rFonts w:ascii="仿宋_GB2312" w:hAnsi="宋体"/>
                <w:sz w:val="20"/>
                <w:szCs w:val="20"/>
              </w:rPr>
            </w:pPr>
            <w:r>
              <w:rPr>
                <w:rFonts w:hint="eastAsia" w:ascii="仿宋_GB2312" w:hAnsi="宋体"/>
                <w:sz w:val="20"/>
                <w:szCs w:val="20"/>
              </w:rPr>
              <w:t>序号</w:t>
            </w:r>
          </w:p>
        </w:tc>
        <w:tc>
          <w:tcPr>
            <w:tcW w:w="1282" w:type="pct"/>
            <w:tcBorders>
              <w:top w:val="single" w:color="auto" w:sz="8" w:space="0"/>
              <w:left w:val="nil"/>
              <w:bottom w:val="single" w:color="auto" w:sz="8" w:space="0"/>
              <w:right w:val="single" w:color="auto" w:sz="8" w:space="0"/>
            </w:tcBorders>
            <w:shd w:val="clear" w:color="auto" w:fill="auto"/>
            <w:vAlign w:val="center"/>
          </w:tcPr>
          <w:p w14:paraId="236A3C87">
            <w:pPr>
              <w:spacing w:line="240" w:lineRule="auto"/>
              <w:ind w:firstLine="0" w:firstLineChars="0"/>
              <w:jc w:val="center"/>
              <w:rPr>
                <w:rFonts w:hint="eastAsia" w:ascii="仿宋_GB2312" w:hAnsi="宋体"/>
                <w:sz w:val="20"/>
                <w:szCs w:val="20"/>
              </w:rPr>
            </w:pPr>
            <w:r>
              <w:rPr>
                <w:rFonts w:hint="eastAsia" w:ascii="仿宋_GB2312" w:hAnsi="宋体"/>
                <w:sz w:val="20"/>
                <w:szCs w:val="20"/>
              </w:rPr>
              <w:t>项目名称</w:t>
            </w:r>
          </w:p>
        </w:tc>
        <w:tc>
          <w:tcPr>
            <w:tcW w:w="512" w:type="pct"/>
            <w:tcBorders>
              <w:top w:val="single" w:color="auto" w:sz="8" w:space="0"/>
              <w:left w:val="nil"/>
              <w:bottom w:val="single" w:color="auto" w:sz="8" w:space="0"/>
              <w:right w:val="single" w:color="auto" w:sz="8" w:space="0"/>
            </w:tcBorders>
            <w:shd w:val="clear" w:color="auto" w:fill="auto"/>
            <w:vAlign w:val="center"/>
          </w:tcPr>
          <w:p w14:paraId="3DA0D80A">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治理面积(km</w:t>
            </w:r>
            <w:r>
              <w:rPr>
                <w:rFonts w:hint="eastAsia" w:ascii="仿宋_GB2312" w:hAnsi="宋体"/>
                <w:sz w:val="20"/>
                <w:szCs w:val="20"/>
                <w:vertAlign w:val="superscript"/>
              </w:rPr>
              <w:t>2</w:t>
            </w:r>
            <w:r>
              <w:rPr>
                <w:rFonts w:hint="eastAsia" w:ascii="仿宋_GB2312" w:hAnsi="宋体"/>
                <w:sz w:val="20"/>
                <w:szCs w:val="20"/>
              </w:rPr>
              <w:t>)</w:t>
            </w:r>
          </w:p>
        </w:tc>
        <w:tc>
          <w:tcPr>
            <w:tcW w:w="599" w:type="pct"/>
            <w:tcBorders>
              <w:top w:val="single" w:color="auto" w:sz="8" w:space="0"/>
              <w:left w:val="nil"/>
              <w:bottom w:val="single" w:color="auto" w:sz="8" w:space="0"/>
              <w:right w:val="single" w:color="auto" w:sz="8" w:space="0"/>
            </w:tcBorders>
            <w:shd w:val="clear" w:color="auto" w:fill="auto"/>
            <w:vAlign w:val="center"/>
          </w:tcPr>
          <w:p w14:paraId="5E8CDF08">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投资（万元）</w:t>
            </w:r>
          </w:p>
        </w:tc>
        <w:tc>
          <w:tcPr>
            <w:tcW w:w="1709" w:type="pct"/>
            <w:tcBorders>
              <w:top w:val="single" w:color="auto" w:sz="8" w:space="0"/>
              <w:left w:val="nil"/>
              <w:bottom w:val="single" w:color="auto" w:sz="8" w:space="0"/>
              <w:right w:val="single" w:color="auto" w:sz="8" w:space="0"/>
            </w:tcBorders>
            <w:shd w:val="clear" w:color="auto" w:fill="auto"/>
            <w:vAlign w:val="center"/>
          </w:tcPr>
          <w:p w14:paraId="5D552938">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治理措施</w:t>
            </w:r>
          </w:p>
        </w:tc>
        <w:tc>
          <w:tcPr>
            <w:tcW w:w="647" w:type="pct"/>
            <w:tcBorders>
              <w:top w:val="single" w:color="auto" w:sz="8" w:space="0"/>
              <w:left w:val="nil"/>
              <w:bottom w:val="single" w:color="auto" w:sz="8" w:space="0"/>
              <w:right w:val="single" w:color="auto" w:sz="8" w:space="0"/>
            </w:tcBorders>
            <w:vAlign w:val="center"/>
          </w:tcPr>
          <w:p w14:paraId="271B3817">
            <w:pPr>
              <w:spacing w:line="240" w:lineRule="auto"/>
              <w:ind w:firstLine="0" w:firstLineChars="0"/>
              <w:jc w:val="center"/>
              <w:rPr>
                <w:rFonts w:hint="eastAsia" w:ascii="仿宋_GB2312" w:hAnsi="宋体"/>
                <w:sz w:val="20"/>
                <w:szCs w:val="20"/>
              </w:rPr>
            </w:pPr>
            <w:r>
              <w:rPr>
                <w:rFonts w:hint="eastAsia" w:ascii="仿宋_GB2312" w:hAnsi="宋体"/>
                <w:sz w:val="20"/>
                <w:szCs w:val="20"/>
              </w:rPr>
              <w:t>实施年限</w:t>
            </w:r>
          </w:p>
        </w:tc>
      </w:tr>
      <w:tr w14:paraId="6C01D5F2">
        <w:tblPrEx>
          <w:tblCellMar>
            <w:top w:w="0" w:type="dxa"/>
            <w:left w:w="108" w:type="dxa"/>
            <w:bottom w:w="0" w:type="dxa"/>
            <w:right w:w="108" w:type="dxa"/>
          </w:tblCellMar>
        </w:tblPrEx>
        <w:trPr>
          <w:trHeight w:val="54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6CEB4745">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1282" w:type="pct"/>
            <w:tcBorders>
              <w:top w:val="nil"/>
              <w:left w:val="nil"/>
              <w:bottom w:val="single" w:color="auto" w:sz="8" w:space="0"/>
              <w:right w:val="single" w:color="auto" w:sz="8" w:space="0"/>
            </w:tcBorders>
            <w:shd w:val="clear" w:color="auto" w:fill="auto"/>
            <w:vAlign w:val="center"/>
          </w:tcPr>
          <w:p w14:paraId="191A0C18">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阜康市三工河乡花儿沟村水土保持生态清洁型小流域综合治理项目（一期）</w:t>
            </w:r>
          </w:p>
        </w:tc>
        <w:tc>
          <w:tcPr>
            <w:tcW w:w="512" w:type="pct"/>
            <w:tcBorders>
              <w:top w:val="nil"/>
              <w:left w:val="nil"/>
              <w:bottom w:val="single" w:color="auto" w:sz="8" w:space="0"/>
              <w:right w:val="single" w:color="auto" w:sz="8" w:space="0"/>
            </w:tcBorders>
            <w:shd w:val="clear" w:color="auto" w:fill="auto"/>
            <w:vAlign w:val="center"/>
          </w:tcPr>
          <w:p w14:paraId="174EA91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w:t>
            </w:r>
          </w:p>
        </w:tc>
        <w:tc>
          <w:tcPr>
            <w:tcW w:w="599" w:type="pct"/>
            <w:tcBorders>
              <w:top w:val="nil"/>
              <w:left w:val="nil"/>
              <w:bottom w:val="single" w:color="auto" w:sz="8" w:space="0"/>
              <w:right w:val="single" w:color="auto" w:sz="8" w:space="0"/>
            </w:tcBorders>
            <w:shd w:val="clear" w:color="000000" w:fill="FFFFFF"/>
            <w:vAlign w:val="center"/>
          </w:tcPr>
          <w:p w14:paraId="3FB9D64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600</w:t>
            </w:r>
          </w:p>
        </w:tc>
        <w:tc>
          <w:tcPr>
            <w:tcW w:w="1709" w:type="pct"/>
            <w:tcBorders>
              <w:top w:val="nil"/>
              <w:left w:val="nil"/>
              <w:bottom w:val="single" w:color="auto" w:sz="8" w:space="0"/>
              <w:right w:val="single" w:color="auto" w:sz="8" w:space="0"/>
            </w:tcBorders>
            <w:shd w:val="clear" w:color="auto" w:fill="auto"/>
            <w:vAlign w:val="center"/>
          </w:tcPr>
          <w:p w14:paraId="575E7CD2">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治理水土流失面积10km</w:t>
            </w:r>
            <w:r>
              <w:rPr>
                <w:rFonts w:hint="eastAsia" w:ascii="仿宋_GB2312" w:hAnsi="宋体"/>
                <w:sz w:val="20"/>
                <w:szCs w:val="20"/>
                <w:vertAlign w:val="superscript"/>
              </w:rPr>
              <w:t>2</w:t>
            </w:r>
            <w:r>
              <w:rPr>
                <w:rFonts w:hint="eastAsia" w:ascii="仿宋_GB2312" w:hAnsi="宋体"/>
                <w:sz w:val="20"/>
                <w:szCs w:val="20"/>
              </w:rPr>
              <w:t>，村容村貌建设，营造水土保持林160hm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5EE75702">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r>
      <w:tr w14:paraId="13C50E46">
        <w:tblPrEx>
          <w:tblCellMar>
            <w:top w:w="0" w:type="dxa"/>
            <w:left w:w="108" w:type="dxa"/>
            <w:bottom w:w="0" w:type="dxa"/>
            <w:right w:w="108" w:type="dxa"/>
          </w:tblCellMar>
        </w:tblPrEx>
        <w:trPr>
          <w:trHeight w:val="31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1D79862C">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1282" w:type="pct"/>
            <w:tcBorders>
              <w:top w:val="nil"/>
              <w:left w:val="nil"/>
              <w:bottom w:val="single" w:color="auto" w:sz="8" w:space="0"/>
              <w:right w:val="single" w:color="auto" w:sz="8" w:space="0"/>
            </w:tcBorders>
            <w:shd w:val="clear" w:color="auto" w:fill="auto"/>
            <w:vAlign w:val="center"/>
          </w:tcPr>
          <w:p w14:paraId="5A1D1721">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阜康市天山天池白杨沟水土保持治理项目</w:t>
            </w:r>
          </w:p>
        </w:tc>
        <w:tc>
          <w:tcPr>
            <w:tcW w:w="512" w:type="pct"/>
            <w:tcBorders>
              <w:top w:val="nil"/>
              <w:left w:val="nil"/>
              <w:bottom w:val="single" w:color="auto" w:sz="8" w:space="0"/>
              <w:right w:val="single" w:color="auto" w:sz="8" w:space="0"/>
            </w:tcBorders>
            <w:shd w:val="clear" w:color="auto" w:fill="auto"/>
            <w:vAlign w:val="center"/>
          </w:tcPr>
          <w:p w14:paraId="290D4254">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12.5</w:t>
            </w:r>
          </w:p>
        </w:tc>
        <w:tc>
          <w:tcPr>
            <w:tcW w:w="599" w:type="pct"/>
            <w:tcBorders>
              <w:top w:val="nil"/>
              <w:left w:val="nil"/>
              <w:bottom w:val="single" w:color="auto" w:sz="8" w:space="0"/>
              <w:right w:val="single" w:color="auto" w:sz="8" w:space="0"/>
            </w:tcBorders>
            <w:shd w:val="clear" w:color="000000" w:fill="FFFFFF"/>
            <w:vAlign w:val="center"/>
          </w:tcPr>
          <w:p w14:paraId="7CB6553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1000</w:t>
            </w:r>
          </w:p>
        </w:tc>
        <w:tc>
          <w:tcPr>
            <w:tcW w:w="1709" w:type="pct"/>
            <w:tcBorders>
              <w:top w:val="nil"/>
              <w:left w:val="nil"/>
              <w:bottom w:val="single" w:color="auto" w:sz="8" w:space="0"/>
              <w:right w:val="single" w:color="auto" w:sz="8" w:space="0"/>
            </w:tcBorders>
            <w:shd w:val="clear" w:color="auto" w:fill="auto"/>
            <w:vAlign w:val="center"/>
          </w:tcPr>
          <w:p w14:paraId="79F05B32">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治理水土流失面积12.5km</w:t>
            </w:r>
            <w:r>
              <w:rPr>
                <w:rFonts w:hint="eastAsia" w:ascii="仿宋_GB2312" w:hAnsi="宋体"/>
                <w:sz w:val="20"/>
                <w:szCs w:val="20"/>
                <w:vertAlign w:val="superscript"/>
              </w:rPr>
              <w:t>2</w:t>
            </w:r>
            <w:r>
              <w:rPr>
                <w:rFonts w:hint="eastAsia" w:ascii="仿宋_GB2312" w:hAnsi="宋体"/>
                <w:sz w:val="20"/>
                <w:szCs w:val="20"/>
              </w:rPr>
              <w:t>，冲洪沟治理及封禁治理。</w:t>
            </w:r>
          </w:p>
        </w:tc>
        <w:tc>
          <w:tcPr>
            <w:tcW w:w="647" w:type="pct"/>
            <w:tcBorders>
              <w:top w:val="nil"/>
              <w:left w:val="nil"/>
              <w:bottom w:val="single" w:color="auto" w:sz="8" w:space="0"/>
              <w:right w:val="single" w:color="auto" w:sz="8" w:space="0"/>
            </w:tcBorders>
            <w:vAlign w:val="center"/>
          </w:tcPr>
          <w:p w14:paraId="14E79829">
            <w:pPr>
              <w:spacing w:line="240" w:lineRule="auto"/>
              <w:ind w:firstLine="0" w:firstLineChars="0"/>
              <w:jc w:val="center"/>
              <w:rPr>
                <w:rFonts w:hint="eastAsia" w:ascii="仿宋_GB2312" w:hAnsi="宋体"/>
                <w:sz w:val="20"/>
                <w:szCs w:val="20"/>
              </w:rPr>
            </w:pPr>
            <w:r>
              <w:rPr>
                <w:rFonts w:hint="eastAsia" w:ascii="仿宋_GB2312" w:hAnsi="宋体"/>
                <w:sz w:val="20"/>
                <w:szCs w:val="20"/>
              </w:rPr>
              <w:t>2026年</w:t>
            </w:r>
          </w:p>
        </w:tc>
      </w:tr>
      <w:tr w14:paraId="79F6AC17">
        <w:tblPrEx>
          <w:tblCellMar>
            <w:top w:w="0" w:type="dxa"/>
            <w:left w:w="108" w:type="dxa"/>
            <w:bottom w:w="0" w:type="dxa"/>
            <w:right w:w="108" w:type="dxa"/>
          </w:tblCellMar>
        </w:tblPrEx>
        <w:trPr>
          <w:trHeight w:val="62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09C161CF">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1282" w:type="pct"/>
            <w:tcBorders>
              <w:top w:val="nil"/>
              <w:left w:val="nil"/>
              <w:bottom w:val="single" w:color="auto" w:sz="8" w:space="0"/>
              <w:right w:val="single" w:color="auto" w:sz="8" w:space="0"/>
            </w:tcBorders>
            <w:shd w:val="clear" w:color="auto" w:fill="auto"/>
            <w:vAlign w:val="center"/>
          </w:tcPr>
          <w:p w14:paraId="5AD1F586">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阜康市红星水库周边水土保持生态清洁型小流域综合治理项目</w:t>
            </w:r>
          </w:p>
        </w:tc>
        <w:tc>
          <w:tcPr>
            <w:tcW w:w="512" w:type="pct"/>
            <w:tcBorders>
              <w:top w:val="nil"/>
              <w:left w:val="nil"/>
              <w:bottom w:val="single" w:color="auto" w:sz="8" w:space="0"/>
              <w:right w:val="single" w:color="auto" w:sz="8" w:space="0"/>
            </w:tcBorders>
            <w:shd w:val="clear" w:color="auto" w:fill="auto"/>
            <w:vAlign w:val="center"/>
          </w:tcPr>
          <w:p w14:paraId="43C4FFC7">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15</w:t>
            </w:r>
          </w:p>
        </w:tc>
        <w:tc>
          <w:tcPr>
            <w:tcW w:w="599" w:type="pct"/>
            <w:tcBorders>
              <w:top w:val="nil"/>
              <w:left w:val="nil"/>
              <w:bottom w:val="single" w:color="auto" w:sz="8" w:space="0"/>
              <w:right w:val="single" w:color="auto" w:sz="8" w:space="0"/>
            </w:tcBorders>
            <w:shd w:val="clear" w:color="000000" w:fill="FFFFFF"/>
            <w:vAlign w:val="center"/>
          </w:tcPr>
          <w:p w14:paraId="779556EC">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900</w:t>
            </w:r>
          </w:p>
        </w:tc>
        <w:tc>
          <w:tcPr>
            <w:tcW w:w="1709" w:type="pct"/>
            <w:tcBorders>
              <w:top w:val="nil"/>
              <w:left w:val="nil"/>
              <w:bottom w:val="single" w:color="auto" w:sz="8" w:space="0"/>
              <w:right w:val="single" w:color="auto" w:sz="8" w:space="0"/>
            </w:tcBorders>
            <w:shd w:val="clear" w:color="auto" w:fill="auto"/>
            <w:vAlign w:val="center"/>
          </w:tcPr>
          <w:p w14:paraId="37348F93">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治理水土流失面积15km</w:t>
            </w:r>
            <w:r>
              <w:rPr>
                <w:rFonts w:hint="eastAsia" w:ascii="仿宋_GB2312" w:hAnsi="宋体"/>
                <w:sz w:val="20"/>
                <w:szCs w:val="20"/>
                <w:vertAlign w:val="superscript"/>
              </w:rPr>
              <w:t>2</w:t>
            </w:r>
            <w:r>
              <w:rPr>
                <w:rFonts w:hint="eastAsia" w:ascii="仿宋_GB2312" w:hAnsi="宋体"/>
                <w:sz w:val="20"/>
                <w:szCs w:val="20"/>
              </w:rPr>
              <w:t>，村容村貌建设，营造水土保持林200hm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7674CD58">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4953BD3B">
        <w:tblPrEx>
          <w:tblCellMar>
            <w:top w:w="0" w:type="dxa"/>
            <w:left w:w="108" w:type="dxa"/>
            <w:bottom w:w="0" w:type="dxa"/>
            <w:right w:w="108" w:type="dxa"/>
          </w:tblCellMar>
        </w:tblPrEx>
        <w:trPr>
          <w:trHeight w:val="53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0734E9C4">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1282" w:type="pct"/>
            <w:tcBorders>
              <w:top w:val="nil"/>
              <w:left w:val="nil"/>
              <w:bottom w:val="single" w:color="auto" w:sz="8" w:space="0"/>
              <w:right w:val="single" w:color="auto" w:sz="8" w:space="0"/>
            </w:tcBorders>
            <w:shd w:val="clear" w:color="auto" w:fill="auto"/>
            <w:vAlign w:val="center"/>
          </w:tcPr>
          <w:p w14:paraId="13F8BDFA">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阜康市四工河水库上下游段小流域水土保持综合治理工程</w:t>
            </w:r>
          </w:p>
        </w:tc>
        <w:tc>
          <w:tcPr>
            <w:tcW w:w="512" w:type="pct"/>
            <w:tcBorders>
              <w:top w:val="nil"/>
              <w:left w:val="nil"/>
              <w:bottom w:val="single" w:color="auto" w:sz="8" w:space="0"/>
              <w:right w:val="single" w:color="auto" w:sz="8" w:space="0"/>
            </w:tcBorders>
            <w:shd w:val="clear" w:color="auto" w:fill="auto"/>
            <w:vAlign w:val="center"/>
          </w:tcPr>
          <w:p w14:paraId="489CD505">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5</w:t>
            </w:r>
          </w:p>
        </w:tc>
        <w:tc>
          <w:tcPr>
            <w:tcW w:w="599" w:type="pct"/>
            <w:tcBorders>
              <w:top w:val="nil"/>
              <w:left w:val="nil"/>
              <w:bottom w:val="single" w:color="auto" w:sz="8" w:space="0"/>
              <w:right w:val="single" w:color="auto" w:sz="8" w:space="0"/>
            </w:tcBorders>
            <w:shd w:val="clear" w:color="000000" w:fill="FFFFFF"/>
            <w:vAlign w:val="center"/>
          </w:tcPr>
          <w:p w14:paraId="43A4F94F">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300</w:t>
            </w:r>
          </w:p>
        </w:tc>
        <w:tc>
          <w:tcPr>
            <w:tcW w:w="1709" w:type="pct"/>
            <w:tcBorders>
              <w:top w:val="nil"/>
              <w:left w:val="nil"/>
              <w:bottom w:val="single" w:color="auto" w:sz="8" w:space="0"/>
              <w:right w:val="single" w:color="auto" w:sz="8" w:space="0"/>
            </w:tcBorders>
            <w:shd w:val="clear" w:color="auto" w:fill="auto"/>
            <w:vAlign w:val="center"/>
          </w:tcPr>
          <w:p w14:paraId="2AFD1308">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治理水土流失面积5km</w:t>
            </w:r>
            <w:r>
              <w:rPr>
                <w:rFonts w:hint="eastAsia" w:ascii="仿宋_GB2312" w:hAnsi="宋体"/>
                <w:sz w:val="20"/>
                <w:szCs w:val="20"/>
                <w:vertAlign w:val="superscript"/>
              </w:rPr>
              <w:t>2</w:t>
            </w:r>
            <w:r>
              <w:rPr>
                <w:rFonts w:hint="eastAsia" w:ascii="仿宋_GB2312" w:hAnsi="宋体"/>
                <w:sz w:val="20"/>
                <w:szCs w:val="20"/>
              </w:rPr>
              <w:t>，河道护岸工程1.5km，营造水土保持林65hm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49CFF0BF">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5F5F4FA1">
        <w:tblPrEx>
          <w:tblCellMar>
            <w:top w:w="0" w:type="dxa"/>
            <w:left w:w="108" w:type="dxa"/>
            <w:bottom w:w="0" w:type="dxa"/>
            <w:right w:w="108" w:type="dxa"/>
          </w:tblCellMar>
        </w:tblPrEx>
        <w:trPr>
          <w:trHeight w:val="53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2C8F6537">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1282" w:type="pct"/>
            <w:tcBorders>
              <w:top w:val="nil"/>
              <w:left w:val="nil"/>
              <w:bottom w:val="single" w:color="auto" w:sz="8" w:space="0"/>
              <w:right w:val="single" w:color="auto" w:sz="8" w:space="0"/>
            </w:tcBorders>
            <w:shd w:val="clear" w:color="auto" w:fill="auto"/>
            <w:vAlign w:val="center"/>
          </w:tcPr>
          <w:p w14:paraId="142AAE39">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阜康市卡拉麦里自然保护区水土保持综合治理工程</w:t>
            </w:r>
          </w:p>
        </w:tc>
        <w:tc>
          <w:tcPr>
            <w:tcW w:w="512" w:type="pct"/>
            <w:tcBorders>
              <w:top w:val="nil"/>
              <w:left w:val="nil"/>
              <w:bottom w:val="single" w:color="auto" w:sz="8" w:space="0"/>
              <w:right w:val="single" w:color="auto" w:sz="8" w:space="0"/>
            </w:tcBorders>
            <w:shd w:val="clear" w:color="auto" w:fill="auto"/>
            <w:vAlign w:val="center"/>
          </w:tcPr>
          <w:p w14:paraId="446A7FDF">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509</w:t>
            </w:r>
          </w:p>
        </w:tc>
        <w:tc>
          <w:tcPr>
            <w:tcW w:w="599" w:type="pct"/>
            <w:tcBorders>
              <w:top w:val="nil"/>
              <w:left w:val="nil"/>
              <w:bottom w:val="single" w:color="auto" w:sz="8" w:space="0"/>
              <w:right w:val="single" w:color="auto" w:sz="8" w:space="0"/>
            </w:tcBorders>
            <w:shd w:val="clear" w:color="000000" w:fill="FFFFFF"/>
            <w:vAlign w:val="center"/>
          </w:tcPr>
          <w:p w14:paraId="44B86C92">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1500</w:t>
            </w:r>
          </w:p>
        </w:tc>
        <w:tc>
          <w:tcPr>
            <w:tcW w:w="1709" w:type="pct"/>
            <w:tcBorders>
              <w:top w:val="nil"/>
              <w:left w:val="nil"/>
              <w:bottom w:val="single" w:color="auto" w:sz="8" w:space="0"/>
              <w:right w:val="single" w:color="auto" w:sz="8" w:space="0"/>
            </w:tcBorders>
            <w:shd w:val="clear" w:color="auto" w:fill="auto"/>
            <w:vAlign w:val="center"/>
          </w:tcPr>
          <w:p w14:paraId="7229FFB8">
            <w:pPr>
              <w:spacing w:line="240" w:lineRule="auto"/>
              <w:ind w:firstLine="0" w:firstLineChars="0"/>
              <w:jc w:val="center"/>
              <w:rPr>
                <w:rFonts w:hint="eastAsia" w:ascii="仿宋_GB2312" w:hAnsi="宋体"/>
                <w:sz w:val="20"/>
                <w:szCs w:val="20"/>
              </w:rPr>
            </w:pPr>
            <w:r>
              <w:rPr>
                <w:rFonts w:hint="eastAsia" w:ascii="仿宋_GB2312" w:hAnsi="宋体"/>
                <w:sz w:val="20"/>
                <w:szCs w:val="20"/>
              </w:rPr>
              <w:t>主要对卡拉麦里保护区封禁治理</w:t>
            </w:r>
          </w:p>
        </w:tc>
        <w:tc>
          <w:tcPr>
            <w:tcW w:w="647" w:type="pct"/>
            <w:tcBorders>
              <w:top w:val="nil"/>
              <w:left w:val="nil"/>
              <w:bottom w:val="single" w:color="auto" w:sz="8" w:space="0"/>
              <w:right w:val="single" w:color="auto" w:sz="8" w:space="0"/>
            </w:tcBorders>
            <w:vAlign w:val="center"/>
          </w:tcPr>
          <w:p w14:paraId="50441826">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3BECB8A3">
        <w:tblPrEx>
          <w:tblCellMar>
            <w:top w:w="0" w:type="dxa"/>
            <w:left w:w="108" w:type="dxa"/>
            <w:bottom w:w="0" w:type="dxa"/>
            <w:right w:w="108" w:type="dxa"/>
          </w:tblCellMar>
        </w:tblPrEx>
        <w:trPr>
          <w:trHeight w:val="29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667ECDEB">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1282" w:type="pct"/>
            <w:tcBorders>
              <w:top w:val="nil"/>
              <w:left w:val="nil"/>
              <w:bottom w:val="single" w:color="auto" w:sz="8" w:space="0"/>
              <w:right w:val="single" w:color="auto" w:sz="8" w:space="0"/>
            </w:tcBorders>
            <w:shd w:val="clear" w:color="auto" w:fill="auto"/>
            <w:vAlign w:val="center"/>
          </w:tcPr>
          <w:p w14:paraId="29AEA8EF">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阜康市水土保持信息化平台建设项目</w:t>
            </w:r>
          </w:p>
        </w:tc>
        <w:tc>
          <w:tcPr>
            <w:tcW w:w="512" w:type="pct"/>
            <w:tcBorders>
              <w:top w:val="nil"/>
              <w:left w:val="nil"/>
              <w:bottom w:val="single" w:color="auto" w:sz="8" w:space="0"/>
              <w:right w:val="single" w:color="auto" w:sz="8" w:space="0"/>
            </w:tcBorders>
            <w:shd w:val="clear" w:color="auto" w:fill="auto"/>
            <w:vAlign w:val="center"/>
          </w:tcPr>
          <w:p w14:paraId="2C939644">
            <w:pPr>
              <w:spacing w:line="240" w:lineRule="auto"/>
              <w:ind w:firstLine="0" w:firstLineChars="0"/>
              <w:jc w:val="center"/>
              <w:rPr>
                <w:rFonts w:hint="eastAsia" w:ascii="仿宋_GB2312" w:hAnsi="宋体"/>
                <w:color w:val="000000"/>
                <w:sz w:val="20"/>
                <w:szCs w:val="20"/>
              </w:rPr>
            </w:pPr>
          </w:p>
        </w:tc>
        <w:tc>
          <w:tcPr>
            <w:tcW w:w="599" w:type="pct"/>
            <w:tcBorders>
              <w:top w:val="nil"/>
              <w:left w:val="nil"/>
              <w:bottom w:val="single" w:color="auto" w:sz="8" w:space="0"/>
              <w:right w:val="single" w:color="auto" w:sz="8" w:space="0"/>
            </w:tcBorders>
            <w:shd w:val="clear" w:color="000000" w:fill="FFFFFF"/>
            <w:vAlign w:val="center"/>
          </w:tcPr>
          <w:p w14:paraId="34F88672">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200</w:t>
            </w:r>
          </w:p>
        </w:tc>
        <w:tc>
          <w:tcPr>
            <w:tcW w:w="1709" w:type="pct"/>
            <w:tcBorders>
              <w:top w:val="nil"/>
              <w:left w:val="nil"/>
              <w:bottom w:val="single" w:color="auto" w:sz="8" w:space="0"/>
              <w:right w:val="single" w:color="auto" w:sz="8" w:space="0"/>
            </w:tcBorders>
            <w:shd w:val="clear" w:color="auto" w:fill="auto"/>
            <w:vAlign w:val="center"/>
          </w:tcPr>
          <w:p w14:paraId="3D4A91CA">
            <w:pPr>
              <w:spacing w:line="240" w:lineRule="auto"/>
              <w:ind w:firstLine="0" w:firstLineChars="0"/>
              <w:jc w:val="center"/>
              <w:rPr>
                <w:rFonts w:hint="eastAsia" w:ascii="仿宋_GB2312" w:hAnsi="宋体"/>
                <w:sz w:val="20"/>
                <w:szCs w:val="20"/>
              </w:rPr>
            </w:pPr>
            <w:r>
              <w:rPr>
                <w:rFonts w:hint="eastAsia" w:ascii="仿宋_GB2312" w:hAnsi="宋体"/>
                <w:sz w:val="20"/>
                <w:szCs w:val="20"/>
              </w:rPr>
              <w:t>信息化平台建设，软件开发及设备购买，人员培训等</w:t>
            </w:r>
          </w:p>
        </w:tc>
        <w:tc>
          <w:tcPr>
            <w:tcW w:w="647" w:type="pct"/>
            <w:tcBorders>
              <w:top w:val="nil"/>
              <w:left w:val="nil"/>
              <w:bottom w:val="single" w:color="auto" w:sz="8" w:space="0"/>
              <w:right w:val="single" w:color="auto" w:sz="8" w:space="0"/>
            </w:tcBorders>
            <w:vAlign w:val="center"/>
          </w:tcPr>
          <w:p w14:paraId="70C7CC12">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261980AE">
        <w:tblPrEx>
          <w:tblCellMar>
            <w:top w:w="0" w:type="dxa"/>
            <w:left w:w="108" w:type="dxa"/>
            <w:bottom w:w="0" w:type="dxa"/>
            <w:right w:w="108" w:type="dxa"/>
          </w:tblCellMar>
        </w:tblPrEx>
        <w:trPr>
          <w:trHeight w:val="53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037426DA">
            <w:pPr>
              <w:spacing w:line="240" w:lineRule="auto"/>
              <w:ind w:firstLine="0" w:firstLineChars="0"/>
              <w:jc w:val="center"/>
              <w:rPr>
                <w:rFonts w:hint="eastAsia" w:ascii="仿宋_GB2312" w:hAnsi="宋体"/>
                <w:sz w:val="20"/>
                <w:szCs w:val="20"/>
              </w:rPr>
            </w:pPr>
            <w:r>
              <w:rPr>
                <w:rFonts w:hint="eastAsia" w:ascii="仿宋_GB2312" w:hAnsi="宋体"/>
                <w:sz w:val="20"/>
                <w:szCs w:val="20"/>
              </w:rPr>
              <w:t>7</w:t>
            </w:r>
          </w:p>
        </w:tc>
        <w:tc>
          <w:tcPr>
            <w:tcW w:w="1282" w:type="pct"/>
            <w:tcBorders>
              <w:top w:val="nil"/>
              <w:left w:val="nil"/>
              <w:bottom w:val="single" w:color="auto" w:sz="8" w:space="0"/>
              <w:right w:val="single" w:color="auto" w:sz="8" w:space="0"/>
            </w:tcBorders>
            <w:shd w:val="clear" w:color="auto" w:fill="auto"/>
            <w:vAlign w:val="center"/>
          </w:tcPr>
          <w:p w14:paraId="1A03204F">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阜康市三工河乡花儿沟村水土保持生态清洁型小流域综合治理项目（二期）</w:t>
            </w:r>
          </w:p>
        </w:tc>
        <w:tc>
          <w:tcPr>
            <w:tcW w:w="512" w:type="pct"/>
            <w:tcBorders>
              <w:top w:val="nil"/>
              <w:left w:val="nil"/>
              <w:bottom w:val="single" w:color="auto" w:sz="8" w:space="0"/>
              <w:right w:val="single" w:color="auto" w:sz="8" w:space="0"/>
            </w:tcBorders>
            <w:shd w:val="clear" w:color="auto" w:fill="auto"/>
            <w:vAlign w:val="center"/>
          </w:tcPr>
          <w:p w14:paraId="04FB4980">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10</w:t>
            </w:r>
          </w:p>
        </w:tc>
        <w:tc>
          <w:tcPr>
            <w:tcW w:w="599" w:type="pct"/>
            <w:tcBorders>
              <w:top w:val="nil"/>
              <w:left w:val="nil"/>
              <w:bottom w:val="single" w:color="auto" w:sz="8" w:space="0"/>
              <w:right w:val="single" w:color="auto" w:sz="8" w:space="0"/>
            </w:tcBorders>
            <w:shd w:val="clear" w:color="000000" w:fill="FFFFFF"/>
            <w:vAlign w:val="center"/>
          </w:tcPr>
          <w:p w14:paraId="373F5BF6">
            <w:pPr>
              <w:spacing w:line="240" w:lineRule="auto"/>
              <w:ind w:firstLine="0" w:firstLineChars="0"/>
              <w:jc w:val="center"/>
              <w:rPr>
                <w:rFonts w:hint="eastAsia" w:ascii="仿宋_GB2312" w:hAnsi="宋体"/>
                <w:color w:val="000000"/>
                <w:sz w:val="20"/>
                <w:szCs w:val="20"/>
              </w:rPr>
            </w:pPr>
            <w:r>
              <w:rPr>
                <w:rFonts w:hint="eastAsia" w:ascii="仿宋_GB2312" w:hAnsi="宋体"/>
                <w:color w:val="000000"/>
                <w:sz w:val="20"/>
                <w:szCs w:val="20"/>
              </w:rPr>
              <w:t>600</w:t>
            </w:r>
          </w:p>
        </w:tc>
        <w:tc>
          <w:tcPr>
            <w:tcW w:w="1709" w:type="pct"/>
            <w:tcBorders>
              <w:top w:val="nil"/>
              <w:left w:val="nil"/>
              <w:bottom w:val="single" w:color="auto" w:sz="8" w:space="0"/>
              <w:right w:val="single" w:color="auto" w:sz="8" w:space="0"/>
            </w:tcBorders>
            <w:shd w:val="clear" w:color="auto" w:fill="auto"/>
            <w:vAlign w:val="center"/>
          </w:tcPr>
          <w:p w14:paraId="14B7C982">
            <w:pPr>
              <w:spacing w:line="240" w:lineRule="auto"/>
              <w:ind w:firstLine="0" w:firstLineChars="0"/>
              <w:jc w:val="center"/>
              <w:rPr>
                <w:rFonts w:hint="eastAsia" w:ascii="仿宋_GB2312" w:hAnsi="宋体"/>
                <w:sz w:val="20"/>
                <w:szCs w:val="20"/>
              </w:rPr>
            </w:pPr>
            <w:r>
              <w:rPr>
                <w:rFonts w:hint="eastAsia" w:ascii="仿宋_GB2312" w:hAnsi="宋体"/>
                <w:sz w:val="20"/>
                <w:szCs w:val="20"/>
              </w:rPr>
              <w:t>治理水土流失面积10km</w:t>
            </w:r>
            <w:r>
              <w:rPr>
                <w:rFonts w:hint="eastAsia" w:ascii="仿宋_GB2312" w:hAnsi="宋体"/>
                <w:sz w:val="20"/>
                <w:szCs w:val="20"/>
                <w:vertAlign w:val="superscript"/>
              </w:rPr>
              <w:t>2</w:t>
            </w:r>
            <w:r>
              <w:rPr>
                <w:rFonts w:hint="eastAsia" w:ascii="仿宋_GB2312" w:hAnsi="宋体"/>
                <w:sz w:val="20"/>
                <w:szCs w:val="20"/>
              </w:rPr>
              <w:t>，村容村貌建设，营造水土保持林200hm</w:t>
            </w:r>
            <w:r>
              <w:rPr>
                <w:rFonts w:hint="eastAsia" w:ascii="仿宋_GB2312" w:hAnsi="宋体"/>
                <w:sz w:val="20"/>
                <w:szCs w:val="20"/>
                <w:vertAlign w:val="superscript"/>
              </w:rPr>
              <w:t>2</w:t>
            </w:r>
            <w:r>
              <w:rPr>
                <w:rFonts w:hint="eastAsia" w:ascii="仿宋_GB2312" w:hAnsi="宋体"/>
                <w:sz w:val="20"/>
                <w:szCs w:val="20"/>
              </w:rPr>
              <w:t>及配套灌溉工程。</w:t>
            </w:r>
          </w:p>
        </w:tc>
        <w:tc>
          <w:tcPr>
            <w:tcW w:w="647" w:type="pct"/>
            <w:tcBorders>
              <w:top w:val="nil"/>
              <w:left w:val="nil"/>
              <w:bottom w:val="single" w:color="auto" w:sz="8" w:space="0"/>
              <w:right w:val="single" w:color="auto" w:sz="8" w:space="0"/>
            </w:tcBorders>
            <w:vAlign w:val="center"/>
          </w:tcPr>
          <w:p w14:paraId="69BA2B3C">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r w14:paraId="12F059E2">
        <w:tblPrEx>
          <w:tblCellMar>
            <w:top w:w="0" w:type="dxa"/>
            <w:left w:w="108" w:type="dxa"/>
            <w:bottom w:w="0" w:type="dxa"/>
            <w:right w:w="108" w:type="dxa"/>
          </w:tblCellMar>
        </w:tblPrEx>
        <w:trPr>
          <w:trHeight w:val="290" w:hRule="atLeast"/>
        </w:trPr>
        <w:tc>
          <w:tcPr>
            <w:tcW w:w="251" w:type="pct"/>
            <w:tcBorders>
              <w:top w:val="nil"/>
              <w:left w:val="single" w:color="auto" w:sz="8" w:space="0"/>
              <w:bottom w:val="single" w:color="auto" w:sz="8" w:space="0"/>
              <w:right w:val="single" w:color="auto" w:sz="8" w:space="0"/>
            </w:tcBorders>
            <w:shd w:val="clear" w:color="auto" w:fill="auto"/>
            <w:vAlign w:val="center"/>
          </w:tcPr>
          <w:p w14:paraId="3B6A4B8F">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1282" w:type="pct"/>
            <w:tcBorders>
              <w:top w:val="nil"/>
              <w:left w:val="nil"/>
              <w:bottom w:val="single" w:color="auto" w:sz="8" w:space="0"/>
              <w:right w:val="single" w:color="auto" w:sz="8" w:space="0"/>
            </w:tcBorders>
            <w:shd w:val="clear" w:color="auto" w:fill="auto"/>
            <w:vAlign w:val="center"/>
          </w:tcPr>
          <w:p w14:paraId="77E17733">
            <w:pPr>
              <w:spacing w:line="240" w:lineRule="auto"/>
              <w:ind w:firstLine="0" w:firstLineChars="0"/>
              <w:jc w:val="center"/>
              <w:rPr>
                <w:rFonts w:hint="eastAsia" w:ascii="仿宋_GB2312" w:hAnsi="宋体"/>
                <w:sz w:val="20"/>
                <w:szCs w:val="20"/>
              </w:rPr>
            </w:pPr>
          </w:p>
        </w:tc>
        <w:tc>
          <w:tcPr>
            <w:tcW w:w="512" w:type="pct"/>
            <w:tcBorders>
              <w:top w:val="nil"/>
              <w:left w:val="nil"/>
              <w:bottom w:val="single" w:color="auto" w:sz="8" w:space="0"/>
              <w:right w:val="single" w:color="auto" w:sz="8" w:space="0"/>
            </w:tcBorders>
            <w:shd w:val="clear" w:color="auto" w:fill="auto"/>
            <w:vAlign w:val="center"/>
          </w:tcPr>
          <w:p w14:paraId="1FA6DFF5">
            <w:pPr>
              <w:spacing w:line="240" w:lineRule="auto"/>
              <w:ind w:firstLine="0" w:firstLineChars="0"/>
              <w:jc w:val="center"/>
              <w:rPr>
                <w:rFonts w:hint="eastAsia" w:ascii="仿宋_GB2312" w:hAnsi="宋体"/>
                <w:sz w:val="20"/>
                <w:szCs w:val="20"/>
              </w:rPr>
            </w:pPr>
            <w:r>
              <w:rPr>
                <w:rFonts w:hint="eastAsia" w:ascii="仿宋_GB2312" w:hAnsi="宋体"/>
                <w:sz w:val="20"/>
                <w:szCs w:val="20"/>
              </w:rPr>
              <w:t>561.5</w:t>
            </w:r>
          </w:p>
        </w:tc>
        <w:tc>
          <w:tcPr>
            <w:tcW w:w="599" w:type="pct"/>
            <w:tcBorders>
              <w:top w:val="nil"/>
              <w:left w:val="nil"/>
              <w:bottom w:val="single" w:color="auto" w:sz="8" w:space="0"/>
              <w:right w:val="single" w:color="auto" w:sz="8" w:space="0"/>
            </w:tcBorders>
            <w:shd w:val="clear" w:color="auto" w:fill="auto"/>
            <w:vAlign w:val="center"/>
          </w:tcPr>
          <w:p w14:paraId="5FEA7A5E">
            <w:pPr>
              <w:spacing w:line="240" w:lineRule="auto"/>
              <w:ind w:firstLine="0" w:firstLineChars="0"/>
              <w:jc w:val="center"/>
              <w:rPr>
                <w:rFonts w:hint="eastAsia" w:ascii="仿宋_GB2312" w:hAnsi="宋体"/>
                <w:sz w:val="20"/>
                <w:szCs w:val="20"/>
              </w:rPr>
            </w:pPr>
            <w:r>
              <w:rPr>
                <w:rFonts w:hint="eastAsia" w:ascii="仿宋_GB2312" w:hAnsi="宋体"/>
                <w:sz w:val="20"/>
                <w:szCs w:val="20"/>
              </w:rPr>
              <w:t>5100</w:t>
            </w:r>
          </w:p>
        </w:tc>
        <w:tc>
          <w:tcPr>
            <w:tcW w:w="1709" w:type="pct"/>
            <w:tcBorders>
              <w:top w:val="nil"/>
              <w:left w:val="nil"/>
              <w:bottom w:val="single" w:color="auto" w:sz="8" w:space="0"/>
              <w:right w:val="single" w:color="auto" w:sz="8" w:space="0"/>
            </w:tcBorders>
            <w:shd w:val="clear" w:color="auto" w:fill="auto"/>
            <w:vAlign w:val="center"/>
          </w:tcPr>
          <w:p w14:paraId="4165431D">
            <w:pPr>
              <w:spacing w:line="240" w:lineRule="auto"/>
              <w:ind w:firstLine="0" w:firstLineChars="0"/>
              <w:jc w:val="center"/>
              <w:rPr>
                <w:rFonts w:hint="eastAsia" w:ascii="仿宋_GB2312" w:hAnsi="宋体"/>
                <w:sz w:val="20"/>
                <w:szCs w:val="20"/>
              </w:rPr>
            </w:pPr>
          </w:p>
        </w:tc>
        <w:tc>
          <w:tcPr>
            <w:tcW w:w="647" w:type="pct"/>
            <w:tcBorders>
              <w:top w:val="nil"/>
              <w:left w:val="nil"/>
              <w:bottom w:val="single" w:color="auto" w:sz="8" w:space="0"/>
              <w:right w:val="single" w:color="auto" w:sz="8" w:space="0"/>
            </w:tcBorders>
            <w:vAlign w:val="center"/>
          </w:tcPr>
          <w:p w14:paraId="64CC76A4">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r>
    </w:tbl>
    <w:p w14:paraId="3DD6A40E">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1B1897C9">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p>
    <w:p w14:paraId="6EFC4C44">
      <w:pPr>
        <w:widowControl w:val="0"/>
        <w:autoSpaceDE w:val="0"/>
        <w:autoSpaceDN w:val="0"/>
        <w:adjustRightInd w:val="0"/>
        <w:snapToGrid w:val="0"/>
        <w:spacing w:line="240" w:lineRule="auto"/>
        <w:ind w:firstLine="0" w:firstLineChars="0"/>
        <w:jc w:val="both"/>
        <w:rPr>
          <w:rFonts w:hint="eastAsia" w:ascii="仿宋_GB2312" w:cs="Times New Roman"/>
          <w:sz w:val="28"/>
          <w:szCs w:val="28"/>
          <w:lang w:val="zh-CN"/>
        </w:rPr>
      </w:pPr>
    </w:p>
    <w:p w14:paraId="6E607B4F">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附表十四            水土流失重点预防区规划值</w:t>
      </w:r>
    </w:p>
    <w:tbl>
      <w:tblPr>
        <w:tblStyle w:val="48"/>
        <w:tblW w:w="5000" w:type="pct"/>
        <w:tblInd w:w="0" w:type="dxa"/>
        <w:tblLayout w:type="autofit"/>
        <w:tblCellMar>
          <w:top w:w="0" w:type="dxa"/>
          <w:left w:w="108" w:type="dxa"/>
          <w:bottom w:w="0" w:type="dxa"/>
          <w:right w:w="108" w:type="dxa"/>
        </w:tblCellMar>
      </w:tblPr>
      <w:tblGrid>
        <w:gridCol w:w="867"/>
        <w:gridCol w:w="1312"/>
        <w:gridCol w:w="1476"/>
        <w:gridCol w:w="1436"/>
        <w:gridCol w:w="1000"/>
        <w:gridCol w:w="1220"/>
        <w:gridCol w:w="1218"/>
      </w:tblGrid>
      <w:tr w14:paraId="6ECB1A57">
        <w:tblPrEx>
          <w:tblCellMar>
            <w:top w:w="0" w:type="dxa"/>
            <w:left w:w="108" w:type="dxa"/>
            <w:bottom w:w="0" w:type="dxa"/>
            <w:right w:w="108" w:type="dxa"/>
          </w:tblCellMar>
        </w:tblPrEx>
        <w:trPr>
          <w:trHeight w:val="541" w:hRule="atLeast"/>
        </w:trPr>
        <w:tc>
          <w:tcPr>
            <w:tcW w:w="50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FA62AAA">
            <w:pPr>
              <w:spacing w:line="240" w:lineRule="auto"/>
              <w:ind w:firstLine="0" w:firstLineChars="0"/>
              <w:jc w:val="center"/>
              <w:rPr>
                <w:rFonts w:hint="eastAsia" w:ascii="仿宋_GB2312" w:hAnsi="宋体"/>
                <w:sz w:val="20"/>
                <w:szCs w:val="20"/>
              </w:rPr>
            </w:pPr>
            <w:r>
              <w:rPr>
                <w:rFonts w:hint="eastAsia" w:ascii="仿宋_GB2312" w:hAnsi="宋体"/>
                <w:sz w:val="20"/>
                <w:szCs w:val="20"/>
              </w:rPr>
              <w:t>规划时段</w:t>
            </w:r>
          </w:p>
        </w:tc>
        <w:tc>
          <w:tcPr>
            <w:tcW w:w="769" w:type="pct"/>
            <w:tcBorders>
              <w:top w:val="single" w:color="auto" w:sz="4" w:space="0"/>
              <w:left w:val="nil"/>
              <w:bottom w:val="single" w:color="auto" w:sz="4" w:space="0"/>
              <w:right w:val="single" w:color="auto" w:sz="4" w:space="0"/>
            </w:tcBorders>
            <w:shd w:val="clear" w:color="auto" w:fill="auto"/>
            <w:vAlign w:val="center"/>
          </w:tcPr>
          <w:p w14:paraId="54BFB2F8">
            <w:pPr>
              <w:spacing w:line="240" w:lineRule="auto"/>
              <w:ind w:firstLine="0" w:firstLineChars="0"/>
              <w:jc w:val="center"/>
              <w:rPr>
                <w:rFonts w:hint="eastAsia" w:ascii="仿宋_GB2312" w:hAnsi="宋体"/>
                <w:sz w:val="20"/>
                <w:szCs w:val="20"/>
              </w:rPr>
            </w:pPr>
            <w:r>
              <w:rPr>
                <w:rFonts w:hint="eastAsia" w:ascii="仿宋_GB2312" w:hAnsi="宋体"/>
                <w:sz w:val="20"/>
                <w:szCs w:val="20"/>
              </w:rPr>
              <w:t>水源涵养区保护工程</w:t>
            </w:r>
          </w:p>
        </w:tc>
        <w:tc>
          <w:tcPr>
            <w:tcW w:w="865" w:type="pct"/>
            <w:tcBorders>
              <w:top w:val="single" w:color="auto" w:sz="4" w:space="0"/>
              <w:left w:val="nil"/>
              <w:bottom w:val="single" w:color="auto" w:sz="4" w:space="0"/>
              <w:right w:val="single" w:color="auto" w:sz="4" w:space="0"/>
            </w:tcBorders>
            <w:shd w:val="clear" w:color="auto" w:fill="auto"/>
            <w:vAlign w:val="center"/>
          </w:tcPr>
          <w:p w14:paraId="5941ADA2">
            <w:pPr>
              <w:spacing w:line="240" w:lineRule="auto"/>
              <w:ind w:firstLine="0" w:firstLineChars="0"/>
              <w:jc w:val="center"/>
              <w:rPr>
                <w:rFonts w:hint="eastAsia" w:ascii="仿宋_GB2312" w:hAnsi="宋体"/>
                <w:sz w:val="20"/>
                <w:szCs w:val="20"/>
              </w:rPr>
            </w:pPr>
            <w:r>
              <w:rPr>
                <w:rFonts w:hint="eastAsia" w:ascii="仿宋_GB2312" w:hAnsi="宋体"/>
                <w:sz w:val="20"/>
                <w:szCs w:val="20"/>
              </w:rPr>
              <w:t>饮用水源地保护工程</w:t>
            </w:r>
          </w:p>
        </w:tc>
        <w:tc>
          <w:tcPr>
            <w:tcW w:w="842" w:type="pct"/>
            <w:tcBorders>
              <w:top w:val="single" w:color="auto" w:sz="4" w:space="0"/>
              <w:left w:val="nil"/>
              <w:bottom w:val="single" w:color="auto" w:sz="4" w:space="0"/>
              <w:right w:val="single" w:color="auto" w:sz="4" w:space="0"/>
            </w:tcBorders>
            <w:shd w:val="clear" w:color="auto" w:fill="auto"/>
            <w:vAlign w:val="center"/>
          </w:tcPr>
          <w:p w14:paraId="47AEFC03">
            <w:pPr>
              <w:spacing w:line="240" w:lineRule="auto"/>
              <w:ind w:firstLine="0" w:firstLineChars="0"/>
              <w:jc w:val="center"/>
              <w:rPr>
                <w:rFonts w:hint="eastAsia" w:ascii="仿宋_GB2312" w:hAnsi="宋体"/>
                <w:sz w:val="20"/>
                <w:szCs w:val="20"/>
              </w:rPr>
            </w:pPr>
            <w:r>
              <w:rPr>
                <w:rFonts w:hint="eastAsia" w:ascii="仿宋_GB2312" w:hAnsi="宋体"/>
                <w:sz w:val="20"/>
                <w:szCs w:val="20"/>
              </w:rPr>
              <w:t>湖泊与湿地保护工程</w:t>
            </w:r>
          </w:p>
        </w:tc>
        <w:tc>
          <w:tcPr>
            <w:tcW w:w="1301" w:type="pct"/>
            <w:gridSpan w:val="2"/>
            <w:tcBorders>
              <w:top w:val="single" w:color="auto" w:sz="4" w:space="0"/>
              <w:left w:val="nil"/>
              <w:bottom w:val="single" w:color="auto" w:sz="4" w:space="0"/>
              <w:right w:val="single" w:color="auto" w:sz="4" w:space="0"/>
            </w:tcBorders>
            <w:shd w:val="clear" w:color="auto" w:fill="auto"/>
            <w:vAlign w:val="center"/>
          </w:tcPr>
          <w:p w14:paraId="1F06E8F7">
            <w:pPr>
              <w:spacing w:line="240" w:lineRule="auto"/>
              <w:ind w:firstLine="0" w:firstLineChars="0"/>
              <w:jc w:val="center"/>
              <w:rPr>
                <w:rFonts w:hint="eastAsia" w:ascii="仿宋_GB2312" w:hAnsi="宋体"/>
                <w:sz w:val="20"/>
                <w:szCs w:val="20"/>
              </w:rPr>
            </w:pPr>
            <w:r>
              <w:rPr>
                <w:rFonts w:hint="eastAsia" w:ascii="仿宋_GB2312" w:hAnsi="宋体"/>
                <w:sz w:val="20"/>
                <w:szCs w:val="20"/>
              </w:rPr>
              <w:t>草原建设工程</w:t>
            </w:r>
          </w:p>
        </w:tc>
        <w:tc>
          <w:tcPr>
            <w:tcW w:w="714" w:type="pct"/>
            <w:tcBorders>
              <w:top w:val="single" w:color="auto" w:sz="4" w:space="0"/>
              <w:left w:val="nil"/>
              <w:bottom w:val="single" w:color="auto" w:sz="4" w:space="0"/>
              <w:right w:val="single" w:color="auto" w:sz="4" w:space="0"/>
            </w:tcBorders>
            <w:shd w:val="clear" w:color="auto" w:fill="auto"/>
            <w:vAlign w:val="center"/>
          </w:tcPr>
          <w:p w14:paraId="67241874">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荒漠林草保护工程</w:t>
            </w:r>
          </w:p>
        </w:tc>
      </w:tr>
      <w:tr w14:paraId="418100DB">
        <w:tblPrEx>
          <w:tblCellMar>
            <w:top w:w="0" w:type="dxa"/>
            <w:left w:w="108" w:type="dxa"/>
            <w:bottom w:w="0" w:type="dxa"/>
            <w:right w:w="108" w:type="dxa"/>
          </w:tblCellMar>
        </w:tblPrEx>
        <w:trPr>
          <w:trHeight w:val="520" w:hRule="atLeast"/>
        </w:trPr>
        <w:tc>
          <w:tcPr>
            <w:tcW w:w="509" w:type="pct"/>
            <w:vMerge w:val="continue"/>
            <w:tcBorders>
              <w:top w:val="single" w:color="auto" w:sz="4" w:space="0"/>
              <w:left w:val="single" w:color="auto" w:sz="4" w:space="0"/>
              <w:bottom w:val="single" w:color="auto" w:sz="4" w:space="0"/>
              <w:right w:val="single" w:color="auto" w:sz="4" w:space="0"/>
            </w:tcBorders>
            <w:vAlign w:val="center"/>
          </w:tcPr>
          <w:p w14:paraId="00BE73A5">
            <w:pPr>
              <w:spacing w:line="240" w:lineRule="auto"/>
              <w:ind w:firstLine="0" w:firstLineChars="0"/>
              <w:rPr>
                <w:rFonts w:hint="eastAsia" w:ascii="仿宋_GB2312" w:hAnsi="宋体"/>
                <w:sz w:val="20"/>
                <w:szCs w:val="20"/>
              </w:rPr>
            </w:pPr>
          </w:p>
        </w:tc>
        <w:tc>
          <w:tcPr>
            <w:tcW w:w="769" w:type="pct"/>
            <w:tcBorders>
              <w:top w:val="nil"/>
              <w:left w:val="nil"/>
              <w:bottom w:val="single" w:color="auto" w:sz="4" w:space="0"/>
              <w:right w:val="single" w:color="auto" w:sz="4" w:space="0"/>
            </w:tcBorders>
            <w:shd w:val="clear" w:color="auto" w:fill="auto"/>
            <w:vAlign w:val="center"/>
          </w:tcPr>
          <w:p w14:paraId="2567341F">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865" w:type="pct"/>
            <w:tcBorders>
              <w:top w:val="nil"/>
              <w:left w:val="nil"/>
              <w:bottom w:val="single" w:color="auto" w:sz="4" w:space="0"/>
              <w:right w:val="single" w:color="auto" w:sz="4" w:space="0"/>
            </w:tcBorders>
            <w:shd w:val="clear" w:color="auto" w:fill="auto"/>
            <w:vAlign w:val="center"/>
          </w:tcPr>
          <w:p w14:paraId="03473F11">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842" w:type="pct"/>
            <w:tcBorders>
              <w:top w:val="nil"/>
              <w:left w:val="nil"/>
              <w:bottom w:val="single" w:color="auto" w:sz="4" w:space="0"/>
              <w:right w:val="single" w:color="auto" w:sz="4" w:space="0"/>
            </w:tcBorders>
            <w:shd w:val="clear" w:color="auto" w:fill="auto"/>
            <w:vAlign w:val="center"/>
          </w:tcPr>
          <w:p w14:paraId="5F4B17D3">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586" w:type="pct"/>
            <w:tcBorders>
              <w:top w:val="nil"/>
              <w:left w:val="nil"/>
              <w:bottom w:val="single" w:color="auto" w:sz="4" w:space="0"/>
              <w:right w:val="single" w:color="auto" w:sz="4" w:space="0"/>
            </w:tcBorders>
            <w:shd w:val="clear" w:color="auto" w:fill="auto"/>
            <w:vAlign w:val="center"/>
          </w:tcPr>
          <w:p w14:paraId="5EDDD507">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c>
          <w:tcPr>
            <w:tcW w:w="715" w:type="pct"/>
            <w:tcBorders>
              <w:top w:val="nil"/>
              <w:left w:val="nil"/>
              <w:bottom w:val="single" w:color="auto" w:sz="4" w:space="0"/>
              <w:right w:val="single" w:color="auto" w:sz="4" w:space="0"/>
            </w:tcBorders>
            <w:shd w:val="clear" w:color="auto" w:fill="auto"/>
            <w:vAlign w:val="center"/>
          </w:tcPr>
          <w:p w14:paraId="7F425EC2">
            <w:pPr>
              <w:spacing w:line="240" w:lineRule="auto"/>
              <w:ind w:firstLine="0" w:firstLineChars="0"/>
              <w:jc w:val="center"/>
              <w:rPr>
                <w:rFonts w:hint="eastAsia" w:ascii="仿宋_GB2312" w:hAnsi="宋体"/>
                <w:sz w:val="20"/>
                <w:szCs w:val="20"/>
              </w:rPr>
            </w:pPr>
            <w:r>
              <w:rPr>
                <w:rFonts w:hint="eastAsia" w:ascii="仿宋_GB2312" w:hAnsi="宋体"/>
                <w:sz w:val="20"/>
                <w:szCs w:val="20"/>
              </w:rPr>
              <w:t>植被恢复与建设</w:t>
            </w:r>
          </w:p>
        </w:tc>
        <w:tc>
          <w:tcPr>
            <w:tcW w:w="714" w:type="pct"/>
            <w:tcBorders>
              <w:top w:val="nil"/>
              <w:left w:val="nil"/>
              <w:bottom w:val="single" w:color="auto" w:sz="4" w:space="0"/>
              <w:right w:val="single" w:color="auto" w:sz="4" w:space="0"/>
            </w:tcBorders>
            <w:shd w:val="clear" w:color="auto" w:fill="auto"/>
            <w:vAlign w:val="center"/>
          </w:tcPr>
          <w:p w14:paraId="303A23ED">
            <w:pPr>
              <w:spacing w:line="240" w:lineRule="auto"/>
              <w:ind w:firstLine="0" w:firstLineChars="0"/>
              <w:jc w:val="center"/>
              <w:rPr>
                <w:rFonts w:hint="eastAsia" w:ascii="仿宋_GB2312" w:hAnsi="宋体"/>
                <w:sz w:val="20"/>
                <w:szCs w:val="20"/>
              </w:rPr>
            </w:pPr>
            <w:r>
              <w:rPr>
                <w:rFonts w:hint="eastAsia" w:ascii="仿宋_GB2312" w:hAnsi="宋体"/>
                <w:sz w:val="20"/>
                <w:szCs w:val="20"/>
              </w:rPr>
              <w:t>封禁保护</w:t>
            </w:r>
          </w:p>
        </w:tc>
      </w:tr>
      <w:tr w14:paraId="6012DD8B">
        <w:tblPrEx>
          <w:tblCellMar>
            <w:top w:w="0" w:type="dxa"/>
            <w:left w:w="108" w:type="dxa"/>
            <w:bottom w:w="0" w:type="dxa"/>
            <w:right w:w="108" w:type="dxa"/>
          </w:tblCellMar>
        </w:tblPrEx>
        <w:trPr>
          <w:trHeight w:val="280" w:hRule="atLeast"/>
        </w:trPr>
        <w:tc>
          <w:tcPr>
            <w:tcW w:w="509" w:type="pct"/>
            <w:tcBorders>
              <w:top w:val="nil"/>
              <w:left w:val="single" w:color="auto" w:sz="4" w:space="0"/>
              <w:bottom w:val="single" w:color="auto" w:sz="4" w:space="0"/>
              <w:right w:val="single" w:color="auto" w:sz="4" w:space="0"/>
            </w:tcBorders>
            <w:shd w:val="clear" w:color="auto" w:fill="auto"/>
            <w:vAlign w:val="center"/>
          </w:tcPr>
          <w:p w14:paraId="0D0AAF86">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769" w:type="pct"/>
            <w:tcBorders>
              <w:top w:val="nil"/>
              <w:left w:val="nil"/>
              <w:bottom w:val="single" w:color="auto" w:sz="4" w:space="0"/>
              <w:right w:val="single" w:color="auto" w:sz="4" w:space="0"/>
            </w:tcBorders>
            <w:shd w:val="clear" w:color="auto" w:fill="auto"/>
            <w:vAlign w:val="center"/>
          </w:tcPr>
          <w:p w14:paraId="6DFC529C">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c>
          <w:tcPr>
            <w:tcW w:w="865" w:type="pct"/>
            <w:tcBorders>
              <w:top w:val="nil"/>
              <w:left w:val="nil"/>
              <w:bottom w:val="single" w:color="auto" w:sz="4" w:space="0"/>
              <w:right w:val="single" w:color="auto" w:sz="4" w:space="0"/>
            </w:tcBorders>
            <w:shd w:val="clear" w:color="auto" w:fill="auto"/>
            <w:vAlign w:val="center"/>
          </w:tcPr>
          <w:p w14:paraId="03FA2DF3">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842" w:type="pct"/>
            <w:tcBorders>
              <w:top w:val="nil"/>
              <w:left w:val="nil"/>
              <w:bottom w:val="single" w:color="auto" w:sz="4" w:space="0"/>
              <w:right w:val="single" w:color="auto" w:sz="4" w:space="0"/>
            </w:tcBorders>
            <w:shd w:val="clear" w:color="auto" w:fill="auto"/>
            <w:vAlign w:val="center"/>
          </w:tcPr>
          <w:p w14:paraId="2FC17FBF">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586" w:type="pct"/>
            <w:tcBorders>
              <w:top w:val="nil"/>
              <w:left w:val="nil"/>
              <w:bottom w:val="single" w:color="auto" w:sz="4" w:space="0"/>
              <w:right w:val="single" w:color="auto" w:sz="4" w:space="0"/>
            </w:tcBorders>
            <w:shd w:val="clear" w:color="auto" w:fill="auto"/>
            <w:vAlign w:val="center"/>
          </w:tcPr>
          <w:p w14:paraId="2D4E8C44">
            <w:pPr>
              <w:spacing w:line="240" w:lineRule="auto"/>
              <w:ind w:firstLine="0" w:firstLineChars="0"/>
              <w:jc w:val="center"/>
              <w:rPr>
                <w:rFonts w:hint="eastAsia" w:ascii="仿宋_GB2312" w:hAnsi="宋体"/>
                <w:sz w:val="20"/>
                <w:szCs w:val="20"/>
              </w:rPr>
            </w:pPr>
            <w:r>
              <w:rPr>
                <w:rFonts w:hint="eastAsia" w:ascii="仿宋_GB2312" w:hAnsi="宋体"/>
                <w:sz w:val="20"/>
                <w:szCs w:val="20"/>
              </w:rPr>
              <w:t>400</w:t>
            </w:r>
          </w:p>
        </w:tc>
        <w:tc>
          <w:tcPr>
            <w:tcW w:w="715" w:type="pct"/>
            <w:tcBorders>
              <w:top w:val="nil"/>
              <w:left w:val="nil"/>
              <w:bottom w:val="single" w:color="auto" w:sz="4" w:space="0"/>
              <w:right w:val="single" w:color="auto" w:sz="4" w:space="0"/>
            </w:tcBorders>
            <w:shd w:val="clear" w:color="auto" w:fill="auto"/>
            <w:vAlign w:val="center"/>
          </w:tcPr>
          <w:p w14:paraId="3967EA4A">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714" w:type="pct"/>
            <w:tcBorders>
              <w:top w:val="nil"/>
              <w:left w:val="nil"/>
              <w:bottom w:val="single" w:color="auto" w:sz="4" w:space="0"/>
              <w:right w:val="single" w:color="auto" w:sz="4" w:space="0"/>
            </w:tcBorders>
            <w:shd w:val="clear" w:color="auto" w:fill="auto"/>
            <w:vAlign w:val="center"/>
          </w:tcPr>
          <w:p w14:paraId="6293EDB3">
            <w:pPr>
              <w:spacing w:line="240" w:lineRule="auto"/>
              <w:ind w:firstLine="0" w:firstLineChars="0"/>
              <w:jc w:val="center"/>
              <w:rPr>
                <w:rFonts w:hint="eastAsia" w:ascii="仿宋_GB2312" w:hAnsi="宋体"/>
                <w:sz w:val="20"/>
                <w:szCs w:val="20"/>
              </w:rPr>
            </w:pPr>
            <w:r>
              <w:rPr>
                <w:rFonts w:hint="eastAsia" w:ascii="仿宋_GB2312" w:hAnsi="宋体"/>
                <w:sz w:val="20"/>
                <w:szCs w:val="20"/>
              </w:rPr>
              <w:t>6</w:t>
            </w:r>
          </w:p>
        </w:tc>
      </w:tr>
      <w:tr w14:paraId="72F27D6E">
        <w:tblPrEx>
          <w:tblCellMar>
            <w:top w:w="0" w:type="dxa"/>
            <w:left w:w="108" w:type="dxa"/>
            <w:bottom w:w="0" w:type="dxa"/>
            <w:right w:w="108" w:type="dxa"/>
          </w:tblCellMar>
        </w:tblPrEx>
        <w:trPr>
          <w:trHeight w:val="280" w:hRule="atLeast"/>
        </w:trPr>
        <w:tc>
          <w:tcPr>
            <w:tcW w:w="509" w:type="pct"/>
            <w:tcBorders>
              <w:top w:val="nil"/>
              <w:left w:val="single" w:color="auto" w:sz="4" w:space="0"/>
              <w:bottom w:val="single" w:color="auto" w:sz="4" w:space="0"/>
              <w:right w:val="single" w:color="auto" w:sz="4" w:space="0"/>
            </w:tcBorders>
            <w:shd w:val="clear" w:color="auto" w:fill="auto"/>
            <w:vAlign w:val="center"/>
          </w:tcPr>
          <w:p w14:paraId="4EC9FE74">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769" w:type="pct"/>
            <w:tcBorders>
              <w:top w:val="nil"/>
              <w:left w:val="nil"/>
              <w:bottom w:val="single" w:color="auto" w:sz="4" w:space="0"/>
              <w:right w:val="single" w:color="auto" w:sz="4" w:space="0"/>
            </w:tcBorders>
            <w:shd w:val="clear" w:color="auto" w:fill="auto"/>
            <w:vAlign w:val="center"/>
          </w:tcPr>
          <w:p w14:paraId="363383A1">
            <w:pPr>
              <w:spacing w:line="240" w:lineRule="auto"/>
              <w:ind w:firstLine="0" w:firstLineChars="0"/>
              <w:jc w:val="center"/>
              <w:rPr>
                <w:rFonts w:hint="eastAsia" w:ascii="仿宋_GB2312" w:hAnsi="宋体"/>
                <w:sz w:val="20"/>
                <w:szCs w:val="20"/>
              </w:rPr>
            </w:pPr>
            <w:r>
              <w:rPr>
                <w:rFonts w:hint="eastAsia" w:ascii="仿宋_GB2312" w:hAnsi="宋体"/>
                <w:sz w:val="20"/>
                <w:szCs w:val="20"/>
              </w:rPr>
              <w:t>24</w:t>
            </w:r>
          </w:p>
        </w:tc>
        <w:tc>
          <w:tcPr>
            <w:tcW w:w="865" w:type="pct"/>
            <w:tcBorders>
              <w:top w:val="nil"/>
              <w:left w:val="nil"/>
              <w:bottom w:val="single" w:color="auto" w:sz="4" w:space="0"/>
              <w:right w:val="single" w:color="auto" w:sz="4" w:space="0"/>
            </w:tcBorders>
            <w:shd w:val="clear" w:color="auto" w:fill="auto"/>
            <w:vAlign w:val="center"/>
          </w:tcPr>
          <w:p w14:paraId="714D8902">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842" w:type="pct"/>
            <w:tcBorders>
              <w:top w:val="nil"/>
              <w:left w:val="nil"/>
              <w:bottom w:val="single" w:color="auto" w:sz="4" w:space="0"/>
              <w:right w:val="single" w:color="auto" w:sz="4" w:space="0"/>
            </w:tcBorders>
            <w:shd w:val="clear" w:color="auto" w:fill="auto"/>
            <w:vAlign w:val="center"/>
          </w:tcPr>
          <w:p w14:paraId="468E038B">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c>
          <w:tcPr>
            <w:tcW w:w="586" w:type="pct"/>
            <w:tcBorders>
              <w:top w:val="nil"/>
              <w:left w:val="nil"/>
              <w:bottom w:val="single" w:color="auto" w:sz="4" w:space="0"/>
              <w:right w:val="single" w:color="auto" w:sz="4" w:space="0"/>
            </w:tcBorders>
            <w:shd w:val="clear" w:color="auto" w:fill="auto"/>
            <w:vAlign w:val="center"/>
          </w:tcPr>
          <w:p w14:paraId="512AC20A">
            <w:pPr>
              <w:spacing w:line="240" w:lineRule="auto"/>
              <w:ind w:firstLine="0" w:firstLineChars="0"/>
              <w:jc w:val="center"/>
              <w:rPr>
                <w:rFonts w:hint="eastAsia" w:ascii="仿宋_GB2312" w:hAnsi="宋体"/>
                <w:sz w:val="20"/>
                <w:szCs w:val="20"/>
              </w:rPr>
            </w:pPr>
            <w:r>
              <w:rPr>
                <w:rFonts w:hint="eastAsia" w:ascii="仿宋_GB2312" w:hAnsi="宋体"/>
                <w:sz w:val="20"/>
                <w:szCs w:val="20"/>
              </w:rPr>
              <w:t>1651</w:t>
            </w:r>
          </w:p>
        </w:tc>
        <w:tc>
          <w:tcPr>
            <w:tcW w:w="715" w:type="pct"/>
            <w:tcBorders>
              <w:top w:val="nil"/>
              <w:left w:val="nil"/>
              <w:bottom w:val="single" w:color="auto" w:sz="4" w:space="0"/>
              <w:right w:val="single" w:color="auto" w:sz="4" w:space="0"/>
            </w:tcBorders>
            <w:shd w:val="clear" w:color="auto" w:fill="auto"/>
            <w:vAlign w:val="center"/>
          </w:tcPr>
          <w:p w14:paraId="7062CB9A">
            <w:pPr>
              <w:spacing w:line="240" w:lineRule="auto"/>
              <w:ind w:firstLine="0" w:firstLineChars="0"/>
              <w:jc w:val="center"/>
              <w:rPr>
                <w:rFonts w:hint="eastAsia" w:ascii="仿宋_GB2312" w:hAnsi="宋体"/>
                <w:sz w:val="20"/>
                <w:szCs w:val="20"/>
              </w:rPr>
            </w:pPr>
            <w:r>
              <w:rPr>
                <w:rFonts w:hint="eastAsia" w:ascii="仿宋_GB2312" w:hAnsi="宋体"/>
                <w:sz w:val="20"/>
                <w:szCs w:val="20"/>
              </w:rPr>
              <w:t>23</w:t>
            </w:r>
          </w:p>
        </w:tc>
        <w:tc>
          <w:tcPr>
            <w:tcW w:w="714" w:type="pct"/>
            <w:tcBorders>
              <w:top w:val="nil"/>
              <w:left w:val="nil"/>
              <w:bottom w:val="single" w:color="auto" w:sz="4" w:space="0"/>
              <w:right w:val="single" w:color="auto" w:sz="4" w:space="0"/>
            </w:tcBorders>
            <w:shd w:val="clear" w:color="auto" w:fill="auto"/>
            <w:vAlign w:val="center"/>
          </w:tcPr>
          <w:p w14:paraId="1929C836">
            <w:pPr>
              <w:spacing w:line="240" w:lineRule="auto"/>
              <w:ind w:firstLine="0" w:firstLineChars="0"/>
              <w:jc w:val="center"/>
              <w:rPr>
                <w:rFonts w:hint="eastAsia" w:ascii="仿宋_GB2312" w:hAnsi="宋体"/>
                <w:sz w:val="20"/>
                <w:szCs w:val="20"/>
              </w:rPr>
            </w:pPr>
            <w:r>
              <w:rPr>
                <w:rFonts w:hint="eastAsia" w:ascii="仿宋_GB2312" w:hAnsi="宋体"/>
                <w:sz w:val="20"/>
                <w:szCs w:val="20"/>
              </w:rPr>
              <w:t>30</w:t>
            </w:r>
          </w:p>
        </w:tc>
      </w:tr>
      <w:tr w14:paraId="570D469E">
        <w:tblPrEx>
          <w:tblCellMar>
            <w:top w:w="0" w:type="dxa"/>
            <w:left w:w="108" w:type="dxa"/>
            <w:bottom w:w="0" w:type="dxa"/>
            <w:right w:w="108" w:type="dxa"/>
          </w:tblCellMar>
        </w:tblPrEx>
        <w:trPr>
          <w:trHeight w:val="280" w:hRule="atLeast"/>
        </w:trPr>
        <w:tc>
          <w:tcPr>
            <w:tcW w:w="509" w:type="pct"/>
            <w:tcBorders>
              <w:top w:val="nil"/>
              <w:left w:val="single" w:color="auto" w:sz="4" w:space="0"/>
              <w:bottom w:val="single" w:color="auto" w:sz="4" w:space="0"/>
              <w:right w:val="single" w:color="auto" w:sz="4" w:space="0"/>
            </w:tcBorders>
            <w:shd w:val="clear" w:color="auto" w:fill="auto"/>
            <w:noWrap/>
            <w:vAlign w:val="bottom"/>
          </w:tcPr>
          <w:p w14:paraId="5BC2DF8B">
            <w:pPr>
              <w:spacing w:line="240" w:lineRule="auto"/>
              <w:ind w:firstLine="0" w:firstLineChars="0"/>
              <w:jc w:val="center"/>
              <w:rPr>
                <w:rFonts w:hint="eastAsia" w:ascii="仿宋_GB2312" w:hAnsi="宋体"/>
                <w:sz w:val="20"/>
                <w:szCs w:val="20"/>
              </w:rPr>
            </w:pPr>
            <w:r>
              <w:rPr>
                <w:rFonts w:hint="eastAsia" w:ascii="仿宋_GB2312" w:hAnsi="宋体"/>
                <w:sz w:val="20"/>
                <w:szCs w:val="20"/>
              </w:rPr>
              <w:t>合计</w:t>
            </w:r>
          </w:p>
        </w:tc>
        <w:tc>
          <w:tcPr>
            <w:tcW w:w="769" w:type="pct"/>
            <w:tcBorders>
              <w:top w:val="nil"/>
              <w:left w:val="nil"/>
              <w:bottom w:val="single" w:color="auto" w:sz="4" w:space="0"/>
              <w:right w:val="single" w:color="auto" w:sz="4" w:space="0"/>
            </w:tcBorders>
            <w:shd w:val="clear" w:color="auto" w:fill="auto"/>
            <w:noWrap/>
            <w:vAlign w:val="bottom"/>
          </w:tcPr>
          <w:p w14:paraId="5E06B7A1">
            <w:pPr>
              <w:spacing w:line="240" w:lineRule="auto"/>
              <w:ind w:firstLine="0" w:firstLineChars="0"/>
              <w:jc w:val="center"/>
              <w:rPr>
                <w:rFonts w:hint="eastAsia" w:ascii="仿宋_GB2312" w:hAnsi="宋体"/>
                <w:sz w:val="20"/>
                <w:szCs w:val="20"/>
              </w:rPr>
            </w:pPr>
            <w:r>
              <w:rPr>
                <w:rFonts w:hint="eastAsia" w:ascii="仿宋_GB2312" w:hAnsi="宋体"/>
                <w:sz w:val="20"/>
                <w:szCs w:val="20"/>
              </w:rPr>
              <w:t>30</w:t>
            </w:r>
          </w:p>
        </w:tc>
        <w:tc>
          <w:tcPr>
            <w:tcW w:w="865" w:type="pct"/>
            <w:tcBorders>
              <w:top w:val="nil"/>
              <w:left w:val="nil"/>
              <w:bottom w:val="single" w:color="auto" w:sz="4" w:space="0"/>
              <w:right w:val="single" w:color="auto" w:sz="4" w:space="0"/>
            </w:tcBorders>
            <w:shd w:val="clear" w:color="auto" w:fill="auto"/>
            <w:noWrap/>
            <w:vAlign w:val="bottom"/>
          </w:tcPr>
          <w:p w14:paraId="42BF770D">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842" w:type="pct"/>
            <w:tcBorders>
              <w:top w:val="nil"/>
              <w:left w:val="nil"/>
              <w:bottom w:val="single" w:color="auto" w:sz="4" w:space="0"/>
              <w:right w:val="single" w:color="auto" w:sz="4" w:space="0"/>
            </w:tcBorders>
            <w:shd w:val="clear" w:color="auto" w:fill="auto"/>
            <w:noWrap/>
            <w:vAlign w:val="bottom"/>
          </w:tcPr>
          <w:p w14:paraId="46470637">
            <w:pPr>
              <w:spacing w:line="240" w:lineRule="auto"/>
              <w:ind w:firstLine="0" w:firstLineChars="0"/>
              <w:jc w:val="center"/>
              <w:rPr>
                <w:rFonts w:hint="eastAsia" w:ascii="仿宋_GB2312" w:hAnsi="宋体"/>
                <w:sz w:val="20"/>
                <w:szCs w:val="20"/>
              </w:rPr>
            </w:pPr>
            <w:r>
              <w:rPr>
                <w:rFonts w:hint="eastAsia" w:ascii="仿宋_GB2312" w:hAnsi="宋体"/>
                <w:sz w:val="20"/>
                <w:szCs w:val="20"/>
              </w:rPr>
              <w:t>5</w:t>
            </w:r>
          </w:p>
        </w:tc>
        <w:tc>
          <w:tcPr>
            <w:tcW w:w="586" w:type="pct"/>
            <w:tcBorders>
              <w:top w:val="nil"/>
              <w:left w:val="nil"/>
              <w:bottom w:val="single" w:color="auto" w:sz="4" w:space="0"/>
              <w:right w:val="single" w:color="auto" w:sz="4" w:space="0"/>
            </w:tcBorders>
            <w:shd w:val="clear" w:color="auto" w:fill="auto"/>
            <w:noWrap/>
            <w:vAlign w:val="bottom"/>
          </w:tcPr>
          <w:p w14:paraId="2DC63350">
            <w:pPr>
              <w:spacing w:line="240" w:lineRule="auto"/>
              <w:ind w:firstLine="0" w:firstLineChars="0"/>
              <w:jc w:val="center"/>
              <w:rPr>
                <w:rFonts w:hint="eastAsia" w:ascii="仿宋_GB2312" w:hAnsi="宋体"/>
                <w:sz w:val="20"/>
                <w:szCs w:val="20"/>
              </w:rPr>
            </w:pPr>
            <w:r>
              <w:rPr>
                <w:rFonts w:hint="eastAsia" w:ascii="仿宋_GB2312" w:hAnsi="宋体"/>
                <w:sz w:val="20"/>
                <w:szCs w:val="20"/>
              </w:rPr>
              <w:t>2051</w:t>
            </w:r>
          </w:p>
        </w:tc>
        <w:tc>
          <w:tcPr>
            <w:tcW w:w="715" w:type="pct"/>
            <w:tcBorders>
              <w:top w:val="nil"/>
              <w:left w:val="nil"/>
              <w:bottom w:val="single" w:color="auto" w:sz="4" w:space="0"/>
              <w:right w:val="single" w:color="auto" w:sz="4" w:space="0"/>
            </w:tcBorders>
            <w:shd w:val="clear" w:color="auto" w:fill="auto"/>
            <w:noWrap/>
            <w:vAlign w:val="bottom"/>
          </w:tcPr>
          <w:p w14:paraId="27AB5AE8">
            <w:pPr>
              <w:spacing w:line="240" w:lineRule="auto"/>
              <w:ind w:firstLine="0" w:firstLineChars="0"/>
              <w:jc w:val="center"/>
              <w:rPr>
                <w:rFonts w:hint="eastAsia" w:ascii="仿宋_GB2312" w:hAnsi="宋体"/>
                <w:sz w:val="20"/>
                <w:szCs w:val="20"/>
              </w:rPr>
            </w:pPr>
            <w:r>
              <w:rPr>
                <w:rFonts w:hint="eastAsia" w:ascii="仿宋_GB2312" w:hAnsi="宋体"/>
                <w:sz w:val="20"/>
                <w:szCs w:val="20"/>
              </w:rPr>
              <w:t>28</w:t>
            </w:r>
          </w:p>
        </w:tc>
        <w:tc>
          <w:tcPr>
            <w:tcW w:w="714" w:type="pct"/>
            <w:tcBorders>
              <w:top w:val="nil"/>
              <w:left w:val="nil"/>
              <w:bottom w:val="single" w:color="auto" w:sz="4" w:space="0"/>
              <w:right w:val="single" w:color="auto" w:sz="4" w:space="0"/>
            </w:tcBorders>
            <w:shd w:val="clear" w:color="auto" w:fill="auto"/>
            <w:noWrap/>
            <w:vAlign w:val="bottom"/>
          </w:tcPr>
          <w:p w14:paraId="73CB3DC3">
            <w:pPr>
              <w:spacing w:line="240" w:lineRule="auto"/>
              <w:ind w:firstLine="0" w:firstLineChars="0"/>
              <w:jc w:val="center"/>
              <w:rPr>
                <w:rFonts w:hint="eastAsia" w:ascii="仿宋_GB2312" w:hAnsi="宋体"/>
                <w:sz w:val="20"/>
                <w:szCs w:val="20"/>
              </w:rPr>
            </w:pPr>
            <w:r>
              <w:rPr>
                <w:rFonts w:hint="eastAsia" w:ascii="仿宋_GB2312" w:hAnsi="宋体"/>
                <w:sz w:val="20"/>
                <w:szCs w:val="20"/>
              </w:rPr>
              <w:t>36</w:t>
            </w:r>
          </w:p>
        </w:tc>
      </w:tr>
    </w:tbl>
    <w:p w14:paraId="0CF95B4D">
      <w:pPr>
        <w:widowControl w:val="0"/>
        <w:autoSpaceDE w:val="0"/>
        <w:autoSpaceDN w:val="0"/>
        <w:adjustRightInd w:val="0"/>
        <w:snapToGrid w:val="0"/>
        <w:spacing w:line="240" w:lineRule="auto"/>
        <w:ind w:firstLine="0" w:firstLineChars="0"/>
        <w:jc w:val="both"/>
        <w:rPr>
          <w:rFonts w:ascii="仿宋_GB2312" w:cs="Times New Roman"/>
          <w:sz w:val="28"/>
          <w:szCs w:val="28"/>
          <w:lang w:val="zh-CN"/>
        </w:rPr>
      </w:pPr>
      <w:r>
        <w:rPr>
          <w:rFonts w:hint="eastAsia" w:ascii="仿宋_GB2312" w:cs="Times New Roman"/>
          <w:sz w:val="28"/>
          <w:szCs w:val="28"/>
          <w:lang w:val="zh-CN"/>
        </w:rPr>
        <w:t>附表十五            水土流失重点治理区规划值</w:t>
      </w:r>
    </w:p>
    <w:tbl>
      <w:tblPr>
        <w:tblStyle w:val="4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4"/>
        <w:gridCol w:w="1215"/>
        <w:gridCol w:w="1215"/>
        <w:gridCol w:w="1215"/>
        <w:gridCol w:w="1215"/>
        <w:gridCol w:w="2455"/>
      </w:tblGrid>
      <w:tr w14:paraId="668E9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712" w:type="pct"/>
            <w:vMerge w:val="restart"/>
            <w:shd w:val="clear" w:color="auto" w:fill="auto"/>
            <w:vAlign w:val="center"/>
          </w:tcPr>
          <w:p w14:paraId="469D49CA">
            <w:pPr>
              <w:spacing w:line="240" w:lineRule="auto"/>
              <w:ind w:firstLine="0" w:firstLineChars="0"/>
              <w:jc w:val="center"/>
              <w:rPr>
                <w:rFonts w:hint="eastAsia" w:ascii="仿宋_GB2312" w:hAnsi="宋体"/>
                <w:sz w:val="20"/>
                <w:szCs w:val="20"/>
              </w:rPr>
            </w:pPr>
            <w:r>
              <w:rPr>
                <w:rFonts w:hint="eastAsia" w:ascii="仿宋_GB2312" w:hAnsi="宋体"/>
                <w:sz w:val="20"/>
                <w:szCs w:val="20"/>
              </w:rPr>
              <w:t>规划时段</w:t>
            </w:r>
          </w:p>
        </w:tc>
        <w:tc>
          <w:tcPr>
            <w:tcW w:w="2136" w:type="pct"/>
            <w:gridSpan w:val="3"/>
            <w:shd w:val="clear" w:color="auto" w:fill="auto"/>
            <w:vAlign w:val="center"/>
          </w:tcPr>
          <w:p w14:paraId="1B2492D7">
            <w:pPr>
              <w:spacing w:line="240" w:lineRule="auto"/>
              <w:ind w:firstLine="0" w:firstLineChars="0"/>
              <w:jc w:val="center"/>
              <w:rPr>
                <w:rFonts w:hint="eastAsia" w:ascii="仿宋_GB2312" w:hAnsi="宋体"/>
                <w:sz w:val="20"/>
                <w:szCs w:val="20"/>
              </w:rPr>
            </w:pPr>
            <w:r>
              <w:rPr>
                <w:rFonts w:hint="eastAsia" w:ascii="仿宋_GB2312" w:hAnsi="宋体"/>
                <w:sz w:val="20"/>
                <w:szCs w:val="20"/>
              </w:rPr>
              <w:t>绿洲防护生态安全保障体系</w:t>
            </w:r>
          </w:p>
        </w:tc>
        <w:tc>
          <w:tcPr>
            <w:tcW w:w="2151" w:type="pct"/>
            <w:gridSpan w:val="2"/>
            <w:shd w:val="clear" w:color="auto" w:fill="auto"/>
            <w:vAlign w:val="center"/>
          </w:tcPr>
          <w:p w14:paraId="65220E61">
            <w:pPr>
              <w:spacing w:line="240" w:lineRule="auto"/>
              <w:ind w:firstLine="0" w:firstLineChars="0"/>
              <w:jc w:val="center"/>
              <w:rPr>
                <w:rFonts w:hint="eastAsia" w:ascii="仿宋_GB2312" w:hAnsi="宋体"/>
                <w:sz w:val="20"/>
                <w:szCs w:val="20"/>
              </w:rPr>
            </w:pPr>
            <w:r>
              <w:rPr>
                <w:rFonts w:hint="eastAsia" w:ascii="仿宋_GB2312" w:hAnsi="宋体"/>
                <w:sz w:val="20"/>
                <w:szCs w:val="20"/>
              </w:rPr>
              <w:t>重点区域（流域）和重要行业水土保持综合治理体系</w:t>
            </w:r>
          </w:p>
        </w:tc>
      </w:tr>
      <w:tr w14:paraId="039B5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trPr>
        <w:tc>
          <w:tcPr>
            <w:tcW w:w="712" w:type="pct"/>
            <w:vMerge w:val="continue"/>
            <w:vAlign w:val="center"/>
          </w:tcPr>
          <w:p w14:paraId="080349AD">
            <w:pPr>
              <w:spacing w:line="240" w:lineRule="auto"/>
              <w:ind w:firstLine="0" w:firstLineChars="0"/>
              <w:rPr>
                <w:rFonts w:hint="eastAsia" w:ascii="仿宋_GB2312" w:hAnsi="宋体"/>
                <w:sz w:val="20"/>
                <w:szCs w:val="20"/>
              </w:rPr>
            </w:pPr>
          </w:p>
        </w:tc>
        <w:tc>
          <w:tcPr>
            <w:tcW w:w="712" w:type="pct"/>
            <w:shd w:val="clear" w:color="auto" w:fill="auto"/>
            <w:vAlign w:val="center"/>
          </w:tcPr>
          <w:p w14:paraId="012E22A1">
            <w:pPr>
              <w:spacing w:line="240" w:lineRule="auto"/>
              <w:ind w:firstLine="0" w:firstLineChars="0"/>
              <w:jc w:val="center"/>
              <w:rPr>
                <w:rFonts w:hint="eastAsia" w:ascii="仿宋_GB2312" w:hAnsi="宋体"/>
                <w:sz w:val="20"/>
                <w:szCs w:val="20"/>
              </w:rPr>
            </w:pPr>
            <w:r>
              <w:rPr>
                <w:rFonts w:hint="eastAsia" w:ascii="仿宋_GB2312" w:hAnsi="宋体"/>
                <w:sz w:val="20"/>
                <w:szCs w:val="20"/>
              </w:rPr>
              <w:t>侵蚀沟综合治理工程（条）</w:t>
            </w:r>
          </w:p>
        </w:tc>
        <w:tc>
          <w:tcPr>
            <w:tcW w:w="712" w:type="pct"/>
            <w:shd w:val="clear" w:color="auto" w:fill="auto"/>
            <w:vAlign w:val="center"/>
          </w:tcPr>
          <w:p w14:paraId="61F3377A">
            <w:pPr>
              <w:spacing w:line="240" w:lineRule="auto"/>
              <w:ind w:firstLine="0" w:firstLineChars="0"/>
              <w:jc w:val="center"/>
              <w:rPr>
                <w:rFonts w:hint="eastAsia" w:ascii="仿宋_GB2312" w:hAnsi="宋体"/>
                <w:sz w:val="20"/>
                <w:szCs w:val="20"/>
              </w:rPr>
            </w:pPr>
            <w:r>
              <w:rPr>
                <w:rFonts w:hint="eastAsia" w:ascii="仿宋_GB2312" w:hAnsi="宋体"/>
                <w:sz w:val="20"/>
                <w:szCs w:val="20"/>
              </w:rPr>
              <w:t>荒漠化治理工程（km</w:t>
            </w:r>
            <w:r>
              <w:rPr>
                <w:rFonts w:hint="eastAsia" w:ascii="仿宋_GB2312" w:hAnsi="宋体"/>
                <w:sz w:val="20"/>
                <w:szCs w:val="20"/>
                <w:vertAlign w:val="superscript"/>
              </w:rPr>
              <w:t>2</w:t>
            </w:r>
            <w:r>
              <w:rPr>
                <w:rFonts w:hint="eastAsia" w:ascii="仿宋_GB2312" w:hAnsi="宋体"/>
                <w:sz w:val="20"/>
                <w:szCs w:val="20"/>
              </w:rPr>
              <w:t>）</w:t>
            </w:r>
          </w:p>
        </w:tc>
        <w:tc>
          <w:tcPr>
            <w:tcW w:w="712" w:type="pct"/>
            <w:shd w:val="clear" w:color="auto" w:fill="auto"/>
            <w:vAlign w:val="center"/>
          </w:tcPr>
          <w:p w14:paraId="4AA43DFB">
            <w:pPr>
              <w:spacing w:line="240" w:lineRule="auto"/>
              <w:ind w:firstLine="0" w:firstLineChars="0"/>
              <w:jc w:val="center"/>
              <w:rPr>
                <w:rFonts w:hint="eastAsia" w:ascii="仿宋_GB2312" w:hAnsi="宋体"/>
                <w:sz w:val="20"/>
                <w:szCs w:val="20"/>
              </w:rPr>
            </w:pPr>
            <w:r>
              <w:rPr>
                <w:rFonts w:hint="eastAsia" w:ascii="仿宋_GB2312" w:hAnsi="宋体"/>
                <w:sz w:val="20"/>
                <w:szCs w:val="20"/>
              </w:rPr>
              <w:t>城郊型清洁小流域建设（km</w:t>
            </w:r>
            <w:r>
              <w:rPr>
                <w:rFonts w:hint="eastAsia" w:ascii="仿宋_GB2312" w:hAnsi="宋体"/>
                <w:sz w:val="20"/>
                <w:szCs w:val="20"/>
                <w:vertAlign w:val="superscript"/>
              </w:rPr>
              <w:t>2</w:t>
            </w:r>
            <w:r>
              <w:rPr>
                <w:rFonts w:hint="eastAsia" w:ascii="仿宋_GB2312" w:hAnsi="宋体"/>
                <w:sz w:val="20"/>
                <w:szCs w:val="20"/>
              </w:rPr>
              <w:t>）</w:t>
            </w:r>
          </w:p>
        </w:tc>
        <w:tc>
          <w:tcPr>
            <w:tcW w:w="712" w:type="pct"/>
            <w:shd w:val="clear" w:color="auto" w:fill="auto"/>
            <w:vAlign w:val="center"/>
          </w:tcPr>
          <w:p w14:paraId="19EA9263">
            <w:pPr>
              <w:spacing w:line="240" w:lineRule="auto"/>
              <w:ind w:firstLine="0" w:firstLineChars="0"/>
              <w:jc w:val="center"/>
              <w:rPr>
                <w:rFonts w:hint="eastAsia" w:ascii="仿宋_GB2312" w:hAnsi="宋体"/>
                <w:sz w:val="20"/>
                <w:szCs w:val="20"/>
              </w:rPr>
            </w:pPr>
            <w:r>
              <w:rPr>
                <w:rFonts w:hint="eastAsia" w:ascii="仿宋_GB2312" w:hAnsi="宋体"/>
                <w:sz w:val="20"/>
                <w:szCs w:val="20"/>
              </w:rPr>
              <w:t>生态修复（km</w:t>
            </w:r>
            <w:r>
              <w:rPr>
                <w:rFonts w:hint="eastAsia" w:ascii="仿宋_GB2312" w:hAnsi="宋体"/>
                <w:sz w:val="20"/>
                <w:szCs w:val="20"/>
                <w:vertAlign w:val="superscript"/>
              </w:rPr>
              <w:t>2</w:t>
            </w:r>
            <w:r>
              <w:rPr>
                <w:rFonts w:hint="eastAsia" w:ascii="仿宋_GB2312" w:hAnsi="宋体"/>
                <w:sz w:val="20"/>
                <w:szCs w:val="20"/>
              </w:rPr>
              <w:t>）</w:t>
            </w:r>
          </w:p>
        </w:tc>
        <w:tc>
          <w:tcPr>
            <w:tcW w:w="1439" w:type="pct"/>
            <w:shd w:val="clear" w:color="auto" w:fill="auto"/>
            <w:vAlign w:val="center"/>
          </w:tcPr>
          <w:p w14:paraId="56FEAF63">
            <w:pPr>
              <w:spacing w:line="240" w:lineRule="auto"/>
              <w:ind w:firstLine="0" w:firstLineChars="0"/>
              <w:jc w:val="center"/>
              <w:rPr>
                <w:rFonts w:hint="eastAsia" w:ascii="仿宋_GB2312" w:hAnsi="宋体"/>
                <w:sz w:val="20"/>
                <w:szCs w:val="20"/>
              </w:rPr>
            </w:pPr>
            <w:r>
              <w:rPr>
                <w:rFonts w:hint="eastAsia" w:ascii="仿宋_GB2312" w:hAnsi="宋体"/>
                <w:sz w:val="20"/>
                <w:szCs w:val="20"/>
              </w:rPr>
              <w:t>土地整治工程（km</w:t>
            </w:r>
            <w:r>
              <w:rPr>
                <w:rFonts w:hint="eastAsia" w:ascii="仿宋_GB2312" w:hAnsi="宋体"/>
                <w:sz w:val="20"/>
                <w:szCs w:val="20"/>
                <w:vertAlign w:val="superscript"/>
              </w:rPr>
              <w:t>2</w:t>
            </w:r>
            <w:r>
              <w:rPr>
                <w:rFonts w:hint="eastAsia" w:ascii="仿宋_GB2312" w:hAnsi="宋体"/>
                <w:sz w:val="20"/>
                <w:szCs w:val="20"/>
              </w:rPr>
              <w:t>）</w:t>
            </w:r>
          </w:p>
        </w:tc>
      </w:tr>
      <w:tr w14:paraId="67D18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12" w:type="pct"/>
            <w:shd w:val="clear" w:color="auto" w:fill="auto"/>
            <w:vAlign w:val="center"/>
          </w:tcPr>
          <w:p w14:paraId="797806D0">
            <w:pPr>
              <w:spacing w:line="240" w:lineRule="auto"/>
              <w:ind w:firstLine="0" w:firstLineChars="0"/>
              <w:jc w:val="center"/>
              <w:rPr>
                <w:rFonts w:hint="eastAsia" w:ascii="仿宋_GB2312" w:hAnsi="宋体"/>
                <w:sz w:val="20"/>
                <w:szCs w:val="20"/>
              </w:rPr>
            </w:pPr>
            <w:r>
              <w:rPr>
                <w:rFonts w:hint="eastAsia" w:ascii="仿宋_GB2312" w:hAnsi="宋体"/>
                <w:sz w:val="20"/>
                <w:szCs w:val="20"/>
              </w:rPr>
              <w:t>近期</w:t>
            </w:r>
          </w:p>
        </w:tc>
        <w:tc>
          <w:tcPr>
            <w:tcW w:w="712" w:type="pct"/>
            <w:shd w:val="clear" w:color="auto" w:fill="auto"/>
            <w:vAlign w:val="center"/>
          </w:tcPr>
          <w:p w14:paraId="0CAA4071">
            <w:pPr>
              <w:spacing w:line="240" w:lineRule="auto"/>
              <w:ind w:firstLine="0" w:firstLineChars="0"/>
              <w:jc w:val="center"/>
              <w:rPr>
                <w:rFonts w:hint="eastAsia" w:ascii="仿宋_GB2312" w:hAnsi="宋体"/>
                <w:sz w:val="20"/>
                <w:szCs w:val="20"/>
              </w:rPr>
            </w:pPr>
            <w:r>
              <w:rPr>
                <w:rFonts w:hint="eastAsia" w:ascii="仿宋_GB2312" w:hAnsi="宋体"/>
                <w:sz w:val="20"/>
                <w:szCs w:val="20"/>
              </w:rPr>
              <w:t>1</w:t>
            </w:r>
          </w:p>
        </w:tc>
        <w:tc>
          <w:tcPr>
            <w:tcW w:w="712" w:type="pct"/>
            <w:shd w:val="clear" w:color="auto" w:fill="auto"/>
            <w:vAlign w:val="center"/>
          </w:tcPr>
          <w:p w14:paraId="7A76F1A9">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712" w:type="pct"/>
            <w:shd w:val="clear" w:color="auto" w:fill="auto"/>
            <w:vAlign w:val="center"/>
          </w:tcPr>
          <w:p w14:paraId="4021CC97">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712" w:type="pct"/>
            <w:shd w:val="clear" w:color="auto" w:fill="auto"/>
            <w:vAlign w:val="center"/>
          </w:tcPr>
          <w:p w14:paraId="6BB2A1C8">
            <w:pPr>
              <w:spacing w:line="240" w:lineRule="auto"/>
              <w:ind w:firstLine="0" w:firstLineChars="0"/>
              <w:jc w:val="center"/>
              <w:rPr>
                <w:rFonts w:hint="eastAsia" w:ascii="仿宋_GB2312" w:hAnsi="宋体"/>
                <w:sz w:val="20"/>
                <w:szCs w:val="20"/>
              </w:rPr>
            </w:pPr>
            <w:r>
              <w:rPr>
                <w:rFonts w:hint="eastAsia" w:ascii="仿宋_GB2312" w:hAnsi="宋体"/>
                <w:sz w:val="20"/>
                <w:szCs w:val="20"/>
              </w:rPr>
              <w:t>12</w:t>
            </w:r>
          </w:p>
        </w:tc>
        <w:tc>
          <w:tcPr>
            <w:tcW w:w="1439" w:type="pct"/>
            <w:shd w:val="clear" w:color="auto" w:fill="auto"/>
            <w:vAlign w:val="center"/>
          </w:tcPr>
          <w:p w14:paraId="3EF56932">
            <w:pPr>
              <w:spacing w:line="240" w:lineRule="auto"/>
              <w:ind w:firstLine="0" w:firstLineChars="0"/>
              <w:jc w:val="center"/>
              <w:rPr>
                <w:rFonts w:hint="eastAsia" w:ascii="仿宋_GB2312" w:hAnsi="宋体"/>
                <w:sz w:val="20"/>
                <w:szCs w:val="20"/>
              </w:rPr>
            </w:pPr>
            <w:r>
              <w:rPr>
                <w:rFonts w:hint="eastAsia" w:ascii="仿宋_GB2312" w:hAnsi="宋体"/>
                <w:sz w:val="20"/>
                <w:szCs w:val="20"/>
              </w:rPr>
              <w:t>4</w:t>
            </w:r>
          </w:p>
        </w:tc>
      </w:tr>
      <w:tr w14:paraId="4A105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12" w:type="pct"/>
            <w:shd w:val="clear" w:color="auto" w:fill="auto"/>
            <w:vAlign w:val="center"/>
          </w:tcPr>
          <w:p w14:paraId="6B3F5AD3">
            <w:pPr>
              <w:spacing w:line="240" w:lineRule="auto"/>
              <w:ind w:firstLine="0" w:firstLineChars="0"/>
              <w:jc w:val="center"/>
              <w:rPr>
                <w:rFonts w:hint="eastAsia" w:ascii="仿宋_GB2312" w:hAnsi="宋体"/>
                <w:sz w:val="20"/>
                <w:szCs w:val="20"/>
              </w:rPr>
            </w:pPr>
            <w:r>
              <w:rPr>
                <w:rFonts w:hint="eastAsia" w:ascii="仿宋_GB2312" w:hAnsi="宋体"/>
                <w:sz w:val="20"/>
                <w:szCs w:val="20"/>
              </w:rPr>
              <w:t>远期</w:t>
            </w:r>
          </w:p>
        </w:tc>
        <w:tc>
          <w:tcPr>
            <w:tcW w:w="712" w:type="pct"/>
            <w:shd w:val="clear" w:color="auto" w:fill="auto"/>
            <w:vAlign w:val="center"/>
          </w:tcPr>
          <w:p w14:paraId="788C4A68">
            <w:pPr>
              <w:spacing w:line="240" w:lineRule="auto"/>
              <w:ind w:firstLine="0" w:firstLineChars="0"/>
              <w:jc w:val="center"/>
              <w:rPr>
                <w:rFonts w:hint="eastAsia" w:ascii="仿宋_GB2312" w:hAnsi="宋体"/>
                <w:sz w:val="20"/>
                <w:szCs w:val="20"/>
              </w:rPr>
            </w:pPr>
            <w:r>
              <w:rPr>
                <w:rFonts w:hint="eastAsia" w:ascii="仿宋_GB2312" w:hAnsi="宋体"/>
                <w:sz w:val="20"/>
                <w:szCs w:val="20"/>
              </w:rPr>
              <w:t>2</w:t>
            </w:r>
          </w:p>
        </w:tc>
        <w:tc>
          <w:tcPr>
            <w:tcW w:w="712" w:type="pct"/>
            <w:shd w:val="clear" w:color="auto" w:fill="auto"/>
            <w:vAlign w:val="center"/>
          </w:tcPr>
          <w:p w14:paraId="390F7E6E">
            <w:pPr>
              <w:spacing w:line="240" w:lineRule="auto"/>
              <w:ind w:firstLine="0" w:firstLineChars="0"/>
              <w:jc w:val="center"/>
              <w:rPr>
                <w:rFonts w:hint="eastAsia" w:ascii="仿宋_GB2312" w:hAnsi="宋体"/>
                <w:sz w:val="20"/>
                <w:szCs w:val="20"/>
              </w:rPr>
            </w:pPr>
            <w:r>
              <w:rPr>
                <w:rFonts w:hint="eastAsia" w:ascii="仿宋_GB2312" w:hAnsi="宋体"/>
                <w:sz w:val="20"/>
                <w:szCs w:val="20"/>
              </w:rPr>
              <w:t>8</w:t>
            </w:r>
          </w:p>
        </w:tc>
        <w:tc>
          <w:tcPr>
            <w:tcW w:w="712" w:type="pct"/>
            <w:shd w:val="clear" w:color="auto" w:fill="auto"/>
            <w:vAlign w:val="center"/>
          </w:tcPr>
          <w:p w14:paraId="2272052C">
            <w:pPr>
              <w:spacing w:line="240" w:lineRule="auto"/>
              <w:ind w:firstLine="0" w:firstLineChars="0"/>
              <w:jc w:val="center"/>
              <w:rPr>
                <w:rFonts w:hint="eastAsia" w:ascii="仿宋_GB2312" w:hAnsi="宋体"/>
                <w:sz w:val="20"/>
                <w:szCs w:val="20"/>
              </w:rPr>
            </w:pPr>
            <w:r>
              <w:rPr>
                <w:rFonts w:hint="eastAsia" w:ascii="仿宋_GB2312" w:hAnsi="宋体"/>
                <w:sz w:val="20"/>
                <w:szCs w:val="20"/>
              </w:rPr>
              <w:t>17</w:t>
            </w:r>
          </w:p>
        </w:tc>
        <w:tc>
          <w:tcPr>
            <w:tcW w:w="712" w:type="pct"/>
            <w:shd w:val="clear" w:color="auto" w:fill="auto"/>
            <w:vAlign w:val="center"/>
          </w:tcPr>
          <w:p w14:paraId="0B3D4034">
            <w:pPr>
              <w:spacing w:line="240" w:lineRule="auto"/>
              <w:ind w:firstLine="0" w:firstLineChars="0"/>
              <w:jc w:val="center"/>
              <w:rPr>
                <w:rFonts w:hint="eastAsia" w:ascii="仿宋_GB2312" w:hAnsi="宋体"/>
                <w:sz w:val="20"/>
                <w:szCs w:val="20"/>
              </w:rPr>
            </w:pPr>
            <w:r>
              <w:rPr>
                <w:rFonts w:hint="eastAsia" w:ascii="仿宋_GB2312" w:hAnsi="宋体"/>
                <w:sz w:val="20"/>
                <w:szCs w:val="20"/>
              </w:rPr>
              <w:t>47</w:t>
            </w:r>
          </w:p>
        </w:tc>
        <w:tc>
          <w:tcPr>
            <w:tcW w:w="1439" w:type="pct"/>
            <w:shd w:val="clear" w:color="auto" w:fill="auto"/>
            <w:vAlign w:val="center"/>
          </w:tcPr>
          <w:p w14:paraId="47D4CEDA">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r>
      <w:tr w14:paraId="1BF94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12" w:type="pct"/>
            <w:shd w:val="clear" w:color="auto" w:fill="auto"/>
            <w:vAlign w:val="center"/>
          </w:tcPr>
          <w:p w14:paraId="6F0E6A9F">
            <w:pPr>
              <w:spacing w:line="240" w:lineRule="auto"/>
              <w:ind w:firstLine="0" w:firstLineChars="0"/>
              <w:jc w:val="center"/>
              <w:rPr>
                <w:rFonts w:hint="eastAsia" w:ascii="仿宋_GB2312" w:hAnsi="宋体"/>
                <w:sz w:val="20"/>
                <w:szCs w:val="20"/>
              </w:rPr>
            </w:pPr>
          </w:p>
        </w:tc>
        <w:tc>
          <w:tcPr>
            <w:tcW w:w="712" w:type="pct"/>
            <w:shd w:val="clear" w:color="auto" w:fill="auto"/>
            <w:vAlign w:val="center"/>
          </w:tcPr>
          <w:p w14:paraId="171D500C">
            <w:pPr>
              <w:spacing w:line="240" w:lineRule="auto"/>
              <w:ind w:firstLine="0" w:firstLineChars="0"/>
              <w:jc w:val="center"/>
              <w:rPr>
                <w:rFonts w:hint="eastAsia" w:ascii="仿宋_GB2312" w:hAnsi="宋体"/>
                <w:sz w:val="20"/>
                <w:szCs w:val="20"/>
              </w:rPr>
            </w:pPr>
            <w:r>
              <w:rPr>
                <w:rFonts w:hint="eastAsia" w:ascii="仿宋_GB2312" w:hAnsi="宋体"/>
                <w:sz w:val="20"/>
                <w:szCs w:val="20"/>
              </w:rPr>
              <w:t>3</w:t>
            </w:r>
          </w:p>
        </w:tc>
        <w:tc>
          <w:tcPr>
            <w:tcW w:w="712" w:type="pct"/>
            <w:shd w:val="clear" w:color="auto" w:fill="auto"/>
            <w:vAlign w:val="center"/>
          </w:tcPr>
          <w:p w14:paraId="5A94A09E">
            <w:pPr>
              <w:spacing w:line="240" w:lineRule="auto"/>
              <w:ind w:firstLine="0" w:firstLineChars="0"/>
              <w:jc w:val="center"/>
              <w:rPr>
                <w:rFonts w:hint="eastAsia" w:ascii="仿宋_GB2312" w:hAnsi="宋体"/>
                <w:sz w:val="20"/>
                <w:szCs w:val="20"/>
              </w:rPr>
            </w:pPr>
            <w:r>
              <w:rPr>
                <w:rFonts w:hint="eastAsia" w:ascii="仿宋_GB2312" w:hAnsi="宋体"/>
                <w:sz w:val="20"/>
                <w:szCs w:val="20"/>
              </w:rPr>
              <w:t>10</w:t>
            </w:r>
          </w:p>
        </w:tc>
        <w:tc>
          <w:tcPr>
            <w:tcW w:w="712" w:type="pct"/>
            <w:shd w:val="clear" w:color="auto" w:fill="auto"/>
            <w:vAlign w:val="center"/>
          </w:tcPr>
          <w:p w14:paraId="12E2B973">
            <w:pPr>
              <w:spacing w:line="240" w:lineRule="auto"/>
              <w:ind w:firstLine="0" w:firstLineChars="0"/>
              <w:jc w:val="center"/>
              <w:rPr>
                <w:rFonts w:hint="eastAsia" w:ascii="仿宋_GB2312" w:hAnsi="宋体"/>
                <w:sz w:val="20"/>
                <w:szCs w:val="20"/>
              </w:rPr>
            </w:pPr>
            <w:r>
              <w:rPr>
                <w:rFonts w:hint="eastAsia" w:ascii="仿宋_GB2312" w:hAnsi="宋体"/>
                <w:sz w:val="20"/>
                <w:szCs w:val="20"/>
              </w:rPr>
              <w:t>20</w:t>
            </w:r>
          </w:p>
        </w:tc>
        <w:tc>
          <w:tcPr>
            <w:tcW w:w="712" w:type="pct"/>
            <w:shd w:val="clear" w:color="auto" w:fill="auto"/>
            <w:vAlign w:val="center"/>
          </w:tcPr>
          <w:p w14:paraId="1EF12168">
            <w:pPr>
              <w:spacing w:line="240" w:lineRule="auto"/>
              <w:ind w:firstLine="0" w:firstLineChars="0"/>
              <w:jc w:val="center"/>
              <w:rPr>
                <w:rFonts w:hint="eastAsia" w:ascii="仿宋_GB2312" w:hAnsi="宋体"/>
                <w:sz w:val="20"/>
                <w:szCs w:val="20"/>
              </w:rPr>
            </w:pPr>
            <w:r>
              <w:rPr>
                <w:rFonts w:hint="eastAsia" w:ascii="仿宋_GB2312" w:hAnsi="宋体"/>
                <w:sz w:val="20"/>
                <w:szCs w:val="20"/>
              </w:rPr>
              <w:t>59</w:t>
            </w:r>
          </w:p>
        </w:tc>
        <w:tc>
          <w:tcPr>
            <w:tcW w:w="1439" w:type="pct"/>
            <w:shd w:val="clear" w:color="auto" w:fill="auto"/>
            <w:vAlign w:val="center"/>
          </w:tcPr>
          <w:p w14:paraId="239B6834">
            <w:pPr>
              <w:spacing w:line="240" w:lineRule="auto"/>
              <w:ind w:firstLine="0" w:firstLineChars="0"/>
              <w:jc w:val="center"/>
              <w:rPr>
                <w:rFonts w:hint="eastAsia" w:ascii="仿宋_GB2312" w:hAnsi="宋体"/>
                <w:sz w:val="20"/>
                <w:szCs w:val="20"/>
              </w:rPr>
            </w:pPr>
            <w:r>
              <w:rPr>
                <w:rFonts w:hint="eastAsia" w:ascii="仿宋_GB2312" w:hAnsi="宋体"/>
                <w:sz w:val="20"/>
                <w:szCs w:val="20"/>
              </w:rPr>
              <w:t>14</w:t>
            </w:r>
          </w:p>
        </w:tc>
      </w:tr>
    </w:tbl>
    <w:p w14:paraId="27490922">
      <w:pPr>
        <w:widowControl w:val="0"/>
        <w:autoSpaceDE w:val="0"/>
        <w:autoSpaceDN w:val="0"/>
        <w:adjustRightInd w:val="0"/>
        <w:snapToGrid w:val="0"/>
        <w:ind w:firstLine="0" w:firstLineChars="0"/>
        <w:jc w:val="both"/>
        <w:rPr>
          <w:rFonts w:ascii="仿宋_GB2312" w:cs="Times New Roman"/>
          <w:b/>
          <w:bCs/>
        </w:rPr>
      </w:pPr>
    </w:p>
    <w:sectPr>
      <w:pgSz w:w="11907" w:h="16840"/>
      <w:pgMar w:top="1440" w:right="1797" w:bottom="1440" w:left="1797" w:header="851" w:footer="992" w:gutter="0"/>
      <w:cols w:space="720" w:num="1"/>
      <w:docGrid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Arial Unicode MS">
    <w:panose1 w:val="020B0604020202020204"/>
    <w:charset w:val="86"/>
    <w:family w:val="swiss"/>
    <w:pitch w:val="default"/>
    <w:sig w:usb0="FFFFFFFF" w:usb1="E9FFFFFF" w:usb2="0000003F" w:usb3="00000000" w:csb0="603F01FF" w:csb1="FFFF0000"/>
  </w:font>
  <w:font w:name="Tahoma">
    <w:panose1 w:val="020B0604030504040204"/>
    <w:charset w:val="00"/>
    <w:family w:val="swiss"/>
    <w:pitch w:val="default"/>
    <w:sig w:usb0="E1002EFF" w:usb1="C000605B" w:usb2="00000029" w:usb3="00000000" w:csb0="200101FF" w:csb1="20280000"/>
  </w:font>
  <w:font w:name="宋体繁体">
    <w:altName w:val="宋体"/>
    <w:panose1 w:val="00000000000000000000"/>
    <w:charset w:val="86"/>
    <w:family w:val="roma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Symbol">
    <w:panose1 w:val="020B0502040204020203"/>
    <w:charset w:val="00"/>
    <w:family w:val="swiss"/>
    <w:pitch w:val="default"/>
    <w:sig w:usb0="800001E3" w:usb1="1200FFEF" w:usb2="00040000" w:usb3="04000000" w:csb0="00000001" w:csb1="40000000"/>
  </w:font>
  <w:font w:name="MS Gothic">
    <w:panose1 w:val="020B0609070205080204"/>
    <w:charset w:val="80"/>
    <w:family w:val="modern"/>
    <w:pitch w:val="default"/>
    <w:sig w:usb0="E00002FF" w:usb1="6AC7FDFB" w:usb2="08000012" w:usb3="00000000" w:csb0="4002009F" w:csb1="DFD70000"/>
  </w:font>
  <w:font w:name="MicrosoftYaHei">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07EA64">
    <w:pPr>
      <w:pStyle w:val="2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B3738">
    <w:pPr>
      <w:pStyle w:val="28"/>
      <w:framePr w:wrap="around" w:vAnchor="text" w:hAnchor="margin" w:xAlign="center" w:y="1"/>
      <w:ind w:firstLine="360"/>
      <w:rPr>
        <w:rStyle w:val="52"/>
      </w:rPr>
    </w:pPr>
    <w:r>
      <w:fldChar w:fldCharType="begin"/>
    </w:r>
    <w:r>
      <w:rPr>
        <w:rStyle w:val="52"/>
      </w:rPr>
      <w:instrText xml:space="preserve">PAGE  </w:instrText>
    </w:r>
    <w:r>
      <w:fldChar w:fldCharType="separate"/>
    </w:r>
    <w:r>
      <w:rPr>
        <w:rStyle w:val="52"/>
      </w:rPr>
      <w:t>84</w:t>
    </w:r>
    <w:r>
      <w:fldChar w:fldCharType="end"/>
    </w:r>
  </w:p>
  <w:p w14:paraId="52F24518">
    <w:pPr>
      <w:pStyle w:val="28"/>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3F2665">
    <w:pPr>
      <w:pStyle w:val="2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8283341"/>
      <w:docPartObj>
        <w:docPartGallery w:val="autotext"/>
      </w:docPartObj>
    </w:sdtPr>
    <w:sdtContent>
      <w:p w14:paraId="65EA805D">
        <w:pPr>
          <w:pStyle w:val="28"/>
          <w:ind w:firstLine="360"/>
          <w:jc w:val="center"/>
        </w:pPr>
        <w:r>
          <w:fldChar w:fldCharType="begin"/>
        </w:r>
        <w:r>
          <w:instrText xml:space="preserve">PAGE   \* MERGEFORMAT</w:instrText>
        </w:r>
        <w:r>
          <w:fldChar w:fldCharType="separate"/>
        </w:r>
        <w:r>
          <w:rPr>
            <w:lang w:val="zh-CN"/>
          </w:rPr>
          <w:t>3</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9A8F8">
    <w:pPr>
      <w:pStyle w:val="28"/>
      <w:ind w:firstLine="360"/>
      <w:jc w:val="center"/>
    </w:pPr>
    <w:r>
      <w:rPr>
        <w:lang w:val="zh-TW"/>
      </w:rPr>
      <w:fldChar w:fldCharType="begin"/>
    </w:r>
    <w:r>
      <w:instrText xml:space="preserve">PAGE   \* MERGEFORMAT</w:instrText>
    </w:r>
    <w:r>
      <w:rPr>
        <w:lang w:val="zh-TW"/>
      </w:rPr>
      <w:fldChar w:fldCharType="separate"/>
    </w:r>
    <w:r>
      <w:rPr>
        <w:lang w:val="zh-CN"/>
      </w:rPr>
      <w:t>98</w:t>
    </w:r>
    <w:r>
      <w:rPr>
        <w:lang w:val="zh-CN"/>
      </w:rPr>
      <w:fldChar w:fldCharType="end"/>
    </w:r>
  </w:p>
  <w:p w14:paraId="5163E1F9">
    <w:pPr>
      <w:spacing w:line="14" w:lineRule="auto"/>
      <w:ind w:firstLine="400"/>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7ABBC1">
    <w:pPr>
      <w:pStyle w:val="28"/>
      <w:ind w:firstLine="360"/>
      <w:jc w:val="center"/>
    </w:pPr>
  </w:p>
  <w:p w14:paraId="6981BDCB">
    <w:pPr>
      <w:spacing w:line="14" w:lineRule="auto"/>
      <w:ind w:firstLine="400"/>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B269E">
    <w:pPr>
      <w:ind w:left="48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E0D22E">
    <w:pPr>
      <w:pStyle w:val="2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CAABE">
    <w:pPr>
      <w:pStyle w:val="29"/>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962AEC">
    <w:pPr>
      <w:ind w:left="480" w:firstLine="0" w:firstLineChars="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5EFACAB"/>
    <w:multiLevelType w:val="multilevel"/>
    <w:tmpl w:val="25EFACAB"/>
    <w:lvl w:ilvl="0" w:tentative="0">
      <w:start w:val="1"/>
      <w:numFmt w:val="decimal"/>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suff w:val="nothing"/>
      <w:lvlText w:val="%1.%2.%3."/>
      <w:lvlJc w:val="left"/>
      <w:pPr>
        <w:tabs>
          <w:tab w:val="left" w:pos="420"/>
        </w:tabs>
        <w:ind w:left="283" w:hanging="283"/>
      </w:pPr>
      <w:rPr>
        <w:rFonts w:hint="default"/>
      </w:rPr>
    </w:lvl>
    <w:lvl w:ilvl="3" w:tentative="0">
      <w:start w:val="1"/>
      <w:numFmt w:val="decimal"/>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pStyle w:val="8"/>
      <w:lvlText w:val="%1.%2.%3.%4.%5.%6."/>
      <w:lvlJc w:val="left"/>
      <w:pPr>
        <w:ind w:left="1151" w:hanging="1151"/>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3" w:hanging="1583"/>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hideSpellingErrors/>
  <w:documentProtection w:enforcement="0"/>
  <w:defaultTabStop w:val="50"/>
  <w:drawingGridHorizontalSpacing w:val="120"/>
  <w:drawingGridVerticalSpacing w:val="163"/>
  <w:displayHorizontalDrawingGridEvery w:val="1"/>
  <w:displayVerticalDrawingGridEvery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IxODA0YzJhMmEwZWFiYzBhMDc4YmVkMjc2YTNmZTMifQ=="/>
  </w:docVars>
  <w:rsids>
    <w:rsidRoot w:val="00172A27"/>
    <w:rsid w:val="0000050C"/>
    <w:rsid w:val="00000615"/>
    <w:rsid w:val="00001A06"/>
    <w:rsid w:val="00001A7D"/>
    <w:rsid w:val="00002A1C"/>
    <w:rsid w:val="00003F98"/>
    <w:rsid w:val="000043FA"/>
    <w:rsid w:val="00004526"/>
    <w:rsid w:val="0000575D"/>
    <w:rsid w:val="00005C60"/>
    <w:rsid w:val="00005EB8"/>
    <w:rsid w:val="000062EC"/>
    <w:rsid w:val="00006808"/>
    <w:rsid w:val="0000689A"/>
    <w:rsid w:val="00006B0D"/>
    <w:rsid w:val="00007DA9"/>
    <w:rsid w:val="000103DB"/>
    <w:rsid w:val="00010C66"/>
    <w:rsid w:val="00011E85"/>
    <w:rsid w:val="00012724"/>
    <w:rsid w:val="000145C1"/>
    <w:rsid w:val="0001475C"/>
    <w:rsid w:val="0001540D"/>
    <w:rsid w:val="000162D5"/>
    <w:rsid w:val="00017473"/>
    <w:rsid w:val="00017ACF"/>
    <w:rsid w:val="0002040C"/>
    <w:rsid w:val="00021AFF"/>
    <w:rsid w:val="0002225D"/>
    <w:rsid w:val="00022E77"/>
    <w:rsid w:val="00022F6F"/>
    <w:rsid w:val="00023774"/>
    <w:rsid w:val="0002395B"/>
    <w:rsid w:val="00024A40"/>
    <w:rsid w:val="00024D0B"/>
    <w:rsid w:val="00025971"/>
    <w:rsid w:val="00025EFF"/>
    <w:rsid w:val="000265F8"/>
    <w:rsid w:val="00027902"/>
    <w:rsid w:val="000279FD"/>
    <w:rsid w:val="00030545"/>
    <w:rsid w:val="00030730"/>
    <w:rsid w:val="000307DB"/>
    <w:rsid w:val="00030BB2"/>
    <w:rsid w:val="00030C96"/>
    <w:rsid w:val="0003264E"/>
    <w:rsid w:val="00032703"/>
    <w:rsid w:val="00032873"/>
    <w:rsid w:val="000346D4"/>
    <w:rsid w:val="0003492E"/>
    <w:rsid w:val="00037CF8"/>
    <w:rsid w:val="00041777"/>
    <w:rsid w:val="000417F6"/>
    <w:rsid w:val="000428EF"/>
    <w:rsid w:val="000437F9"/>
    <w:rsid w:val="00043CC8"/>
    <w:rsid w:val="00044A27"/>
    <w:rsid w:val="0004534E"/>
    <w:rsid w:val="000453D1"/>
    <w:rsid w:val="00045ECB"/>
    <w:rsid w:val="00045FED"/>
    <w:rsid w:val="0004674C"/>
    <w:rsid w:val="0005105C"/>
    <w:rsid w:val="00051BF4"/>
    <w:rsid w:val="00052399"/>
    <w:rsid w:val="000524AE"/>
    <w:rsid w:val="000524EA"/>
    <w:rsid w:val="00052D94"/>
    <w:rsid w:val="00054BDA"/>
    <w:rsid w:val="00054CF6"/>
    <w:rsid w:val="00054D8B"/>
    <w:rsid w:val="0005549C"/>
    <w:rsid w:val="00055851"/>
    <w:rsid w:val="0005588F"/>
    <w:rsid w:val="00056A22"/>
    <w:rsid w:val="00056DCD"/>
    <w:rsid w:val="00057350"/>
    <w:rsid w:val="00057905"/>
    <w:rsid w:val="000604F5"/>
    <w:rsid w:val="000605B6"/>
    <w:rsid w:val="0006243C"/>
    <w:rsid w:val="00062CC1"/>
    <w:rsid w:val="00064E32"/>
    <w:rsid w:val="00065307"/>
    <w:rsid w:val="000657DC"/>
    <w:rsid w:val="00066507"/>
    <w:rsid w:val="00066599"/>
    <w:rsid w:val="00067659"/>
    <w:rsid w:val="00067978"/>
    <w:rsid w:val="000679A7"/>
    <w:rsid w:val="00067EED"/>
    <w:rsid w:val="00067F85"/>
    <w:rsid w:val="000700D4"/>
    <w:rsid w:val="0007037A"/>
    <w:rsid w:val="000709D0"/>
    <w:rsid w:val="00070BAE"/>
    <w:rsid w:val="000720F7"/>
    <w:rsid w:val="00073478"/>
    <w:rsid w:val="000737C7"/>
    <w:rsid w:val="00074486"/>
    <w:rsid w:val="00074B3A"/>
    <w:rsid w:val="00074BD4"/>
    <w:rsid w:val="000752A8"/>
    <w:rsid w:val="00080434"/>
    <w:rsid w:val="000813A7"/>
    <w:rsid w:val="00081680"/>
    <w:rsid w:val="00081700"/>
    <w:rsid w:val="00081EAB"/>
    <w:rsid w:val="000827B7"/>
    <w:rsid w:val="00083950"/>
    <w:rsid w:val="000849BD"/>
    <w:rsid w:val="00085366"/>
    <w:rsid w:val="00085A4D"/>
    <w:rsid w:val="00086853"/>
    <w:rsid w:val="0009126C"/>
    <w:rsid w:val="00091956"/>
    <w:rsid w:val="00091CB7"/>
    <w:rsid w:val="000923E4"/>
    <w:rsid w:val="00093007"/>
    <w:rsid w:val="00093967"/>
    <w:rsid w:val="00094095"/>
    <w:rsid w:val="000958F9"/>
    <w:rsid w:val="00095C0C"/>
    <w:rsid w:val="000A091E"/>
    <w:rsid w:val="000A1036"/>
    <w:rsid w:val="000A1489"/>
    <w:rsid w:val="000A17D9"/>
    <w:rsid w:val="000A22C1"/>
    <w:rsid w:val="000A380E"/>
    <w:rsid w:val="000A3BAC"/>
    <w:rsid w:val="000A3ED3"/>
    <w:rsid w:val="000A46DE"/>
    <w:rsid w:val="000A5542"/>
    <w:rsid w:val="000A6930"/>
    <w:rsid w:val="000A6C8E"/>
    <w:rsid w:val="000A7C64"/>
    <w:rsid w:val="000A7CD7"/>
    <w:rsid w:val="000B0154"/>
    <w:rsid w:val="000B07F9"/>
    <w:rsid w:val="000B3028"/>
    <w:rsid w:val="000B3339"/>
    <w:rsid w:val="000B33D5"/>
    <w:rsid w:val="000B4A0B"/>
    <w:rsid w:val="000B5F4C"/>
    <w:rsid w:val="000B5FB4"/>
    <w:rsid w:val="000B6292"/>
    <w:rsid w:val="000B6A11"/>
    <w:rsid w:val="000B7DEF"/>
    <w:rsid w:val="000C12BA"/>
    <w:rsid w:val="000C35A0"/>
    <w:rsid w:val="000C37DE"/>
    <w:rsid w:val="000C40A7"/>
    <w:rsid w:val="000C5AC1"/>
    <w:rsid w:val="000C5FAB"/>
    <w:rsid w:val="000C66E3"/>
    <w:rsid w:val="000C6BE3"/>
    <w:rsid w:val="000C6BE6"/>
    <w:rsid w:val="000C6FB2"/>
    <w:rsid w:val="000C7386"/>
    <w:rsid w:val="000C7463"/>
    <w:rsid w:val="000D0063"/>
    <w:rsid w:val="000D07A9"/>
    <w:rsid w:val="000D0A2E"/>
    <w:rsid w:val="000D113B"/>
    <w:rsid w:val="000D1CB6"/>
    <w:rsid w:val="000D2391"/>
    <w:rsid w:val="000D27A0"/>
    <w:rsid w:val="000D36FC"/>
    <w:rsid w:val="000D3E09"/>
    <w:rsid w:val="000D46D9"/>
    <w:rsid w:val="000D5845"/>
    <w:rsid w:val="000D5DD8"/>
    <w:rsid w:val="000D714F"/>
    <w:rsid w:val="000E11D3"/>
    <w:rsid w:val="000E27E3"/>
    <w:rsid w:val="000E339A"/>
    <w:rsid w:val="000E4AEA"/>
    <w:rsid w:val="000E5B04"/>
    <w:rsid w:val="000E5B60"/>
    <w:rsid w:val="000E6E3A"/>
    <w:rsid w:val="000F05DB"/>
    <w:rsid w:val="000F0FA3"/>
    <w:rsid w:val="000F1784"/>
    <w:rsid w:val="000F2E77"/>
    <w:rsid w:val="000F31EA"/>
    <w:rsid w:val="000F3BAD"/>
    <w:rsid w:val="000F42C4"/>
    <w:rsid w:val="000F42E4"/>
    <w:rsid w:val="000F4598"/>
    <w:rsid w:val="000F45DF"/>
    <w:rsid w:val="000F5396"/>
    <w:rsid w:val="000F5E9F"/>
    <w:rsid w:val="000F6215"/>
    <w:rsid w:val="000F6352"/>
    <w:rsid w:val="000F7FAE"/>
    <w:rsid w:val="001010D0"/>
    <w:rsid w:val="001017D9"/>
    <w:rsid w:val="00101E76"/>
    <w:rsid w:val="001029CF"/>
    <w:rsid w:val="00102E4D"/>
    <w:rsid w:val="00102E62"/>
    <w:rsid w:val="00103434"/>
    <w:rsid w:val="00104493"/>
    <w:rsid w:val="00104DA5"/>
    <w:rsid w:val="00105393"/>
    <w:rsid w:val="001062FC"/>
    <w:rsid w:val="00107718"/>
    <w:rsid w:val="00107C0D"/>
    <w:rsid w:val="00107F34"/>
    <w:rsid w:val="001103FB"/>
    <w:rsid w:val="001106EA"/>
    <w:rsid w:val="00110F76"/>
    <w:rsid w:val="00111079"/>
    <w:rsid w:val="001120D8"/>
    <w:rsid w:val="00112D69"/>
    <w:rsid w:val="001131CA"/>
    <w:rsid w:val="001138FB"/>
    <w:rsid w:val="00114B79"/>
    <w:rsid w:val="00114E38"/>
    <w:rsid w:val="00115648"/>
    <w:rsid w:val="00115715"/>
    <w:rsid w:val="00115C0E"/>
    <w:rsid w:val="001173CA"/>
    <w:rsid w:val="00117B01"/>
    <w:rsid w:val="00117D19"/>
    <w:rsid w:val="00120B40"/>
    <w:rsid w:val="00121C93"/>
    <w:rsid w:val="00124E05"/>
    <w:rsid w:val="00124EC8"/>
    <w:rsid w:val="001250EB"/>
    <w:rsid w:val="001268F4"/>
    <w:rsid w:val="0012712E"/>
    <w:rsid w:val="00127686"/>
    <w:rsid w:val="00127898"/>
    <w:rsid w:val="00130443"/>
    <w:rsid w:val="00130DBB"/>
    <w:rsid w:val="0013141C"/>
    <w:rsid w:val="00131674"/>
    <w:rsid w:val="001318F0"/>
    <w:rsid w:val="001327D1"/>
    <w:rsid w:val="001328EF"/>
    <w:rsid w:val="00133C80"/>
    <w:rsid w:val="00133C9A"/>
    <w:rsid w:val="00134809"/>
    <w:rsid w:val="0013506C"/>
    <w:rsid w:val="00136509"/>
    <w:rsid w:val="001373A0"/>
    <w:rsid w:val="00140411"/>
    <w:rsid w:val="00140B68"/>
    <w:rsid w:val="001412F4"/>
    <w:rsid w:val="001417B4"/>
    <w:rsid w:val="00142A1B"/>
    <w:rsid w:val="00142CF1"/>
    <w:rsid w:val="0014332F"/>
    <w:rsid w:val="00143FD3"/>
    <w:rsid w:val="0014452F"/>
    <w:rsid w:val="00144CDB"/>
    <w:rsid w:val="00144D0E"/>
    <w:rsid w:val="00145B0C"/>
    <w:rsid w:val="00145DE7"/>
    <w:rsid w:val="001465C6"/>
    <w:rsid w:val="00146C67"/>
    <w:rsid w:val="00150051"/>
    <w:rsid w:val="00150C38"/>
    <w:rsid w:val="00150C5E"/>
    <w:rsid w:val="001510E0"/>
    <w:rsid w:val="00151F71"/>
    <w:rsid w:val="00152757"/>
    <w:rsid w:val="00152958"/>
    <w:rsid w:val="00153E0E"/>
    <w:rsid w:val="001545C4"/>
    <w:rsid w:val="00154C4F"/>
    <w:rsid w:val="00154FC2"/>
    <w:rsid w:val="00155224"/>
    <w:rsid w:val="001558AB"/>
    <w:rsid w:val="00155BE0"/>
    <w:rsid w:val="001570F4"/>
    <w:rsid w:val="00157237"/>
    <w:rsid w:val="001576D1"/>
    <w:rsid w:val="00157D9F"/>
    <w:rsid w:val="001602AA"/>
    <w:rsid w:val="00160DA5"/>
    <w:rsid w:val="001633D7"/>
    <w:rsid w:val="00163E17"/>
    <w:rsid w:val="00164910"/>
    <w:rsid w:val="00164B8B"/>
    <w:rsid w:val="00164ED3"/>
    <w:rsid w:val="0016544C"/>
    <w:rsid w:val="00165851"/>
    <w:rsid w:val="00166A86"/>
    <w:rsid w:val="00167461"/>
    <w:rsid w:val="00167DBF"/>
    <w:rsid w:val="00170362"/>
    <w:rsid w:val="00171464"/>
    <w:rsid w:val="001721CC"/>
    <w:rsid w:val="00172A27"/>
    <w:rsid w:val="00172B29"/>
    <w:rsid w:val="00172B2E"/>
    <w:rsid w:val="00172EFF"/>
    <w:rsid w:val="0017341F"/>
    <w:rsid w:val="00173E33"/>
    <w:rsid w:val="001772AE"/>
    <w:rsid w:val="00177333"/>
    <w:rsid w:val="00177337"/>
    <w:rsid w:val="00181BCB"/>
    <w:rsid w:val="001829FA"/>
    <w:rsid w:val="00183646"/>
    <w:rsid w:val="00183B8B"/>
    <w:rsid w:val="00184609"/>
    <w:rsid w:val="00184D6C"/>
    <w:rsid w:val="00184E74"/>
    <w:rsid w:val="00185BDF"/>
    <w:rsid w:val="00185ED3"/>
    <w:rsid w:val="00186906"/>
    <w:rsid w:val="00187D9B"/>
    <w:rsid w:val="00191A23"/>
    <w:rsid w:val="00192671"/>
    <w:rsid w:val="001931C5"/>
    <w:rsid w:val="0019336E"/>
    <w:rsid w:val="0019418F"/>
    <w:rsid w:val="00195497"/>
    <w:rsid w:val="00195526"/>
    <w:rsid w:val="00195C26"/>
    <w:rsid w:val="001A012D"/>
    <w:rsid w:val="001A13DD"/>
    <w:rsid w:val="001A21FC"/>
    <w:rsid w:val="001A24E4"/>
    <w:rsid w:val="001A39BC"/>
    <w:rsid w:val="001A3FB1"/>
    <w:rsid w:val="001A4CFA"/>
    <w:rsid w:val="001A5781"/>
    <w:rsid w:val="001A6C17"/>
    <w:rsid w:val="001A7718"/>
    <w:rsid w:val="001A776D"/>
    <w:rsid w:val="001A79E9"/>
    <w:rsid w:val="001B06FF"/>
    <w:rsid w:val="001B1140"/>
    <w:rsid w:val="001B1953"/>
    <w:rsid w:val="001B1B4A"/>
    <w:rsid w:val="001B2B26"/>
    <w:rsid w:val="001B3166"/>
    <w:rsid w:val="001B4790"/>
    <w:rsid w:val="001B5C1E"/>
    <w:rsid w:val="001C2811"/>
    <w:rsid w:val="001C40BC"/>
    <w:rsid w:val="001C4197"/>
    <w:rsid w:val="001C4C18"/>
    <w:rsid w:val="001C556E"/>
    <w:rsid w:val="001C5D3D"/>
    <w:rsid w:val="001C5F15"/>
    <w:rsid w:val="001C7C32"/>
    <w:rsid w:val="001C7C84"/>
    <w:rsid w:val="001C7F13"/>
    <w:rsid w:val="001D08D0"/>
    <w:rsid w:val="001D0FDB"/>
    <w:rsid w:val="001D11C0"/>
    <w:rsid w:val="001D1CCE"/>
    <w:rsid w:val="001D2E5E"/>
    <w:rsid w:val="001D32DC"/>
    <w:rsid w:val="001D3AC6"/>
    <w:rsid w:val="001D4A76"/>
    <w:rsid w:val="001D56E6"/>
    <w:rsid w:val="001D571F"/>
    <w:rsid w:val="001D7566"/>
    <w:rsid w:val="001D7AAE"/>
    <w:rsid w:val="001E0CF9"/>
    <w:rsid w:val="001E12FB"/>
    <w:rsid w:val="001E1418"/>
    <w:rsid w:val="001E193B"/>
    <w:rsid w:val="001E224F"/>
    <w:rsid w:val="001E2B22"/>
    <w:rsid w:val="001E32D9"/>
    <w:rsid w:val="001E5557"/>
    <w:rsid w:val="001E5B49"/>
    <w:rsid w:val="001E5EDD"/>
    <w:rsid w:val="001E66FA"/>
    <w:rsid w:val="001E6A8B"/>
    <w:rsid w:val="001E6FC1"/>
    <w:rsid w:val="001F03B9"/>
    <w:rsid w:val="001F0945"/>
    <w:rsid w:val="001F198F"/>
    <w:rsid w:val="001F207A"/>
    <w:rsid w:val="001F21BC"/>
    <w:rsid w:val="001F257E"/>
    <w:rsid w:val="001F2D1E"/>
    <w:rsid w:val="001F2DF7"/>
    <w:rsid w:val="001F3928"/>
    <w:rsid w:val="001F3CD3"/>
    <w:rsid w:val="001F4496"/>
    <w:rsid w:val="001F46D0"/>
    <w:rsid w:val="001F57A4"/>
    <w:rsid w:val="001F67EC"/>
    <w:rsid w:val="002003AE"/>
    <w:rsid w:val="0020204F"/>
    <w:rsid w:val="00202B66"/>
    <w:rsid w:val="00202C34"/>
    <w:rsid w:val="00203548"/>
    <w:rsid w:val="00203AEC"/>
    <w:rsid w:val="00204834"/>
    <w:rsid w:val="00205344"/>
    <w:rsid w:val="00205B41"/>
    <w:rsid w:val="0020715F"/>
    <w:rsid w:val="002075C0"/>
    <w:rsid w:val="002111EA"/>
    <w:rsid w:val="002113B8"/>
    <w:rsid w:val="00211B2F"/>
    <w:rsid w:val="00213479"/>
    <w:rsid w:val="00215658"/>
    <w:rsid w:val="00216BCD"/>
    <w:rsid w:val="00217B27"/>
    <w:rsid w:val="00217BF2"/>
    <w:rsid w:val="002232AD"/>
    <w:rsid w:val="00224829"/>
    <w:rsid w:val="00224853"/>
    <w:rsid w:val="00225232"/>
    <w:rsid w:val="00225309"/>
    <w:rsid w:val="002258D2"/>
    <w:rsid w:val="002259E2"/>
    <w:rsid w:val="002304BB"/>
    <w:rsid w:val="00230CB7"/>
    <w:rsid w:val="00231BF9"/>
    <w:rsid w:val="00231F6D"/>
    <w:rsid w:val="00232478"/>
    <w:rsid w:val="00232589"/>
    <w:rsid w:val="00233D17"/>
    <w:rsid w:val="00234379"/>
    <w:rsid w:val="002355B8"/>
    <w:rsid w:val="00235904"/>
    <w:rsid w:val="0023592A"/>
    <w:rsid w:val="00236D0F"/>
    <w:rsid w:val="00236E9A"/>
    <w:rsid w:val="002370D6"/>
    <w:rsid w:val="00237842"/>
    <w:rsid w:val="002426E5"/>
    <w:rsid w:val="00242E60"/>
    <w:rsid w:val="00244050"/>
    <w:rsid w:val="00244580"/>
    <w:rsid w:val="00244C26"/>
    <w:rsid w:val="00245646"/>
    <w:rsid w:val="00246265"/>
    <w:rsid w:val="00246452"/>
    <w:rsid w:val="0024665E"/>
    <w:rsid w:val="0024766E"/>
    <w:rsid w:val="00247B4C"/>
    <w:rsid w:val="002502BB"/>
    <w:rsid w:val="00250796"/>
    <w:rsid w:val="00250F9B"/>
    <w:rsid w:val="002511A7"/>
    <w:rsid w:val="00251D07"/>
    <w:rsid w:val="0025262A"/>
    <w:rsid w:val="00252B0A"/>
    <w:rsid w:val="00252DFA"/>
    <w:rsid w:val="00253588"/>
    <w:rsid w:val="0025499C"/>
    <w:rsid w:val="00254C17"/>
    <w:rsid w:val="00255465"/>
    <w:rsid w:val="00255A92"/>
    <w:rsid w:val="00255D35"/>
    <w:rsid w:val="00257500"/>
    <w:rsid w:val="00261471"/>
    <w:rsid w:val="0026156B"/>
    <w:rsid w:val="00261C79"/>
    <w:rsid w:val="00261D31"/>
    <w:rsid w:val="00261EB2"/>
    <w:rsid w:val="002629C6"/>
    <w:rsid w:val="00262F37"/>
    <w:rsid w:val="00262FAE"/>
    <w:rsid w:val="00263052"/>
    <w:rsid w:val="00263147"/>
    <w:rsid w:val="002650C6"/>
    <w:rsid w:val="00265A66"/>
    <w:rsid w:val="00265C0C"/>
    <w:rsid w:val="002671C6"/>
    <w:rsid w:val="00267296"/>
    <w:rsid w:val="002672C1"/>
    <w:rsid w:val="00267A19"/>
    <w:rsid w:val="00270040"/>
    <w:rsid w:val="00270591"/>
    <w:rsid w:val="00270795"/>
    <w:rsid w:val="0027192D"/>
    <w:rsid w:val="00271F09"/>
    <w:rsid w:val="0027399C"/>
    <w:rsid w:val="00274093"/>
    <w:rsid w:val="002751CB"/>
    <w:rsid w:val="00275311"/>
    <w:rsid w:val="0027553C"/>
    <w:rsid w:val="0027560A"/>
    <w:rsid w:val="002757F2"/>
    <w:rsid w:val="00275C3B"/>
    <w:rsid w:val="00275D81"/>
    <w:rsid w:val="002760AE"/>
    <w:rsid w:val="002765B9"/>
    <w:rsid w:val="00276B95"/>
    <w:rsid w:val="00276DBD"/>
    <w:rsid w:val="00276F10"/>
    <w:rsid w:val="00277CEE"/>
    <w:rsid w:val="00281EA6"/>
    <w:rsid w:val="002830F5"/>
    <w:rsid w:val="002832E0"/>
    <w:rsid w:val="0028331D"/>
    <w:rsid w:val="00283617"/>
    <w:rsid w:val="00283865"/>
    <w:rsid w:val="00283980"/>
    <w:rsid w:val="00284539"/>
    <w:rsid w:val="0028463E"/>
    <w:rsid w:val="00285237"/>
    <w:rsid w:val="00285336"/>
    <w:rsid w:val="002867F6"/>
    <w:rsid w:val="00287C8E"/>
    <w:rsid w:val="00290584"/>
    <w:rsid w:val="0029136C"/>
    <w:rsid w:val="00291DDC"/>
    <w:rsid w:val="00291DEC"/>
    <w:rsid w:val="00293755"/>
    <w:rsid w:val="002941A3"/>
    <w:rsid w:val="002941CC"/>
    <w:rsid w:val="00294C09"/>
    <w:rsid w:val="00294CEC"/>
    <w:rsid w:val="00294E21"/>
    <w:rsid w:val="002951DF"/>
    <w:rsid w:val="0029540D"/>
    <w:rsid w:val="00296729"/>
    <w:rsid w:val="00297E4C"/>
    <w:rsid w:val="002A027D"/>
    <w:rsid w:val="002A0336"/>
    <w:rsid w:val="002A0A95"/>
    <w:rsid w:val="002A0EF0"/>
    <w:rsid w:val="002A145E"/>
    <w:rsid w:val="002A2E83"/>
    <w:rsid w:val="002A317B"/>
    <w:rsid w:val="002A3253"/>
    <w:rsid w:val="002A3839"/>
    <w:rsid w:val="002A3AD6"/>
    <w:rsid w:val="002A4D99"/>
    <w:rsid w:val="002A68BF"/>
    <w:rsid w:val="002A7259"/>
    <w:rsid w:val="002A727C"/>
    <w:rsid w:val="002A78C8"/>
    <w:rsid w:val="002B03CE"/>
    <w:rsid w:val="002B20D9"/>
    <w:rsid w:val="002B2157"/>
    <w:rsid w:val="002B22A8"/>
    <w:rsid w:val="002B30B1"/>
    <w:rsid w:val="002B4ACB"/>
    <w:rsid w:val="002B59EB"/>
    <w:rsid w:val="002B5C83"/>
    <w:rsid w:val="002B5D5C"/>
    <w:rsid w:val="002B692D"/>
    <w:rsid w:val="002B694E"/>
    <w:rsid w:val="002B723D"/>
    <w:rsid w:val="002B76D4"/>
    <w:rsid w:val="002B7743"/>
    <w:rsid w:val="002C1483"/>
    <w:rsid w:val="002C17B4"/>
    <w:rsid w:val="002C18A8"/>
    <w:rsid w:val="002C213E"/>
    <w:rsid w:val="002C2FE3"/>
    <w:rsid w:val="002C3642"/>
    <w:rsid w:val="002C365E"/>
    <w:rsid w:val="002C3815"/>
    <w:rsid w:val="002C3F56"/>
    <w:rsid w:val="002C3F5B"/>
    <w:rsid w:val="002C42E7"/>
    <w:rsid w:val="002C6C54"/>
    <w:rsid w:val="002D11BB"/>
    <w:rsid w:val="002D12C9"/>
    <w:rsid w:val="002D3B1D"/>
    <w:rsid w:val="002D4DD6"/>
    <w:rsid w:val="002D6290"/>
    <w:rsid w:val="002D64F0"/>
    <w:rsid w:val="002D65E1"/>
    <w:rsid w:val="002D6E86"/>
    <w:rsid w:val="002D6EFD"/>
    <w:rsid w:val="002D714C"/>
    <w:rsid w:val="002D79F9"/>
    <w:rsid w:val="002E087D"/>
    <w:rsid w:val="002E0BAD"/>
    <w:rsid w:val="002E1841"/>
    <w:rsid w:val="002E28D9"/>
    <w:rsid w:val="002E2B7D"/>
    <w:rsid w:val="002E3456"/>
    <w:rsid w:val="002E357C"/>
    <w:rsid w:val="002E37D3"/>
    <w:rsid w:val="002E431B"/>
    <w:rsid w:val="002E47E9"/>
    <w:rsid w:val="002E512F"/>
    <w:rsid w:val="002E532C"/>
    <w:rsid w:val="002E53F5"/>
    <w:rsid w:val="002E560D"/>
    <w:rsid w:val="002E6885"/>
    <w:rsid w:val="002E6D11"/>
    <w:rsid w:val="002E6F74"/>
    <w:rsid w:val="002E7A40"/>
    <w:rsid w:val="002F0374"/>
    <w:rsid w:val="002F0767"/>
    <w:rsid w:val="002F08FC"/>
    <w:rsid w:val="002F1A6B"/>
    <w:rsid w:val="002F2024"/>
    <w:rsid w:val="002F23E6"/>
    <w:rsid w:val="002F2F02"/>
    <w:rsid w:val="002F3B6A"/>
    <w:rsid w:val="002F3C02"/>
    <w:rsid w:val="002F3FD3"/>
    <w:rsid w:val="002F42BA"/>
    <w:rsid w:val="002F4734"/>
    <w:rsid w:val="002F4A3E"/>
    <w:rsid w:val="002F5BBA"/>
    <w:rsid w:val="002F603A"/>
    <w:rsid w:val="002F7A84"/>
    <w:rsid w:val="002F7EFE"/>
    <w:rsid w:val="0030156B"/>
    <w:rsid w:val="00301782"/>
    <w:rsid w:val="003018F2"/>
    <w:rsid w:val="00301FB6"/>
    <w:rsid w:val="003020C7"/>
    <w:rsid w:val="003029D6"/>
    <w:rsid w:val="00303E41"/>
    <w:rsid w:val="0030554E"/>
    <w:rsid w:val="00305DF8"/>
    <w:rsid w:val="00307A13"/>
    <w:rsid w:val="00307EAE"/>
    <w:rsid w:val="00311296"/>
    <w:rsid w:val="003113A9"/>
    <w:rsid w:val="00311956"/>
    <w:rsid w:val="00311C5D"/>
    <w:rsid w:val="00312AA4"/>
    <w:rsid w:val="003132F9"/>
    <w:rsid w:val="00313715"/>
    <w:rsid w:val="003145DE"/>
    <w:rsid w:val="00314665"/>
    <w:rsid w:val="00314925"/>
    <w:rsid w:val="00314A03"/>
    <w:rsid w:val="0031700A"/>
    <w:rsid w:val="003200A1"/>
    <w:rsid w:val="003204A8"/>
    <w:rsid w:val="00322132"/>
    <w:rsid w:val="0032300D"/>
    <w:rsid w:val="003233B0"/>
    <w:rsid w:val="00323C46"/>
    <w:rsid w:val="00324692"/>
    <w:rsid w:val="00325A03"/>
    <w:rsid w:val="003321FE"/>
    <w:rsid w:val="00332C24"/>
    <w:rsid w:val="003335C3"/>
    <w:rsid w:val="003338D8"/>
    <w:rsid w:val="00333C3E"/>
    <w:rsid w:val="00334141"/>
    <w:rsid w:val="003341DC"/>
    <w:rsid w:val="00336EB2"/>
    <w:rsid w:val="00336F96"/>
    <w:rsid w:val="003409F2"/>
    <w:rsid w:val="003409FC"/>
    <w:rsid w:val="0034161A"/>
    <w:rsid w:val="00341B11"/>
    <w:rsid w:val="00342325"/>
    <w:rsid w:val="003424EF"/>
    <w:rsid w:val="00343BC7"/>
    <w:rsid w:val="00344C54"/>
    <w:rsid w:val="003505E9"/>
    <w:rsid w:val="003512A2"/>
    <w:rsid w:val="00351896"/>
    <w:rsid w:val="00351996"/>
    <w:rsid w:val="003530BD"/>
    <w:rsid w:val="00354409"/>
    <w:rsid w:val="00354AE9"/>
    <w:rsid w:val="003556CF"/>
    <w:rsid w:val="003556DD"/>
    <w:rsid w:val="00355D95"/>
    <w:rsid w:val="0035605D"/>
    <w:rsid w:val="00356B70"/>
    <w:rsid w:val="00357AB8"/>
    <w:rsid w:val="003620AD"/>
    <w:rsid w:val="0036210D"/>
    <w:rsid w:val="003638FD"/>
    <w:rsid w:val="00364141"/>
    <w:rsid w:val="00364774"/>
    <w:rsid w:val="003649B7"/>
    <w:rsid w:val="00364EE5"/>
    <w:rsid w:val="00366922"/>
    <w:rsid w:val="0036713C"/>
    <w:rsid w:val="003678D9"/>
    <w:rsid w:val="003707EC"/>
    <w:rsid w:val="00370BA0"/>
    <w:rsid w:val="003717C7"/>
    <w:rsid w:val="00371F33"/>
    <w:rsid w:val="00373339"/>
    <w:rsid w:val="003735E9"/>
    <w:rsid w:val="00373E4A"/>
    <w:rsid w:val="00373F55"/>
    <w:rsid w:val="00374166"/>
    <w:rsid w:val="00374712"/>
    <w:rsid w:val="003766FE"/>
    <w:rsid w:val="003777F3"/>
    <w:rsid w:val="003779B1"/>
    <w:rsid w:val="003802BA"/>
    <w:rsid w:val="0038326D"/>
    <w:rsid w:val="00383F04"/>
    <w:rsid w:val="00384278"/>
    <w:rsid w:val="003848E4"/>
    <w:rsid w:val="00385276"/>
    <w:rsid w:val="0038580F"/>
    <w:rsid w:val="00386FD4"/>
    <w:rsid w:val="00390C6B"/>
    <w:rsid w:val="003911AC"/>
    <w:rsid w:val="00391D4F"/>
    <w:rsid w:val="00391F8E"/>
    <w:rsid w:val="00392329"/>
    <w:rsid w:val="0039436F"/>
    <w:rsid w:val="0039494D"/>
    <w:rsid w:val="003956A7"/>
    <w:rsid w:val="00395E0F"/>
    <w:rsid w:val="00396309"/>
    <w:rsid w:val="003963A2"/>
    <w:rsid w:val="003A0C1A"/>
    <w:rsid w:val="003A1388"/>
    <w:rsid w:val="003A1C5D"/>
    <w:rsid w:val="003A1F3D"/>
    <w:rsid w:val="003A2387"/>
    <w:rsid w:val="003A2E3B"/>
    <w:rsid w:val="003A3252"/>
    <w:rsid w:val="003A41A6"/>
    <w:rsid w:val="003A4708"/>
    <w:rsid w:val="003A48CA"/>
    <w:rsid w:val="003A6644"/>
    <w:rsid w:val="003A6F28"/>
    <w:rsid w:val="003B0B68"/>
    <w:rsid w:val="003B1A07"/>
    <w:rsid w:val="003B1B11"/>
    <w:rsid w:val="003B1D98"/>
    <w:rsid w:val="003B238B"/>
    <w:rsid w:val="003B25AB"/>
    <w:rsid w:val="003B354F"/>
    <w:rsid w:val="003B39F3"/>
    <w:rsid w:val="003B4515"/>
    <w:rsid w:val="003B4777"/>
    <w:rsid w:val="003B61F6"/>
    <w:rsid w:val="003B7429"/>
    <w:rsid w:val="003B7721"/>
    <w:rsid w:val="003B7972"/>
    <w:rsid w:val="003C04F2"/>
    <w:rsid w:val="003C0D40"/>
    <w:rsid w:val="003C1C79"/>
    <w:rsid w:val="003C1E29"/>
    <w:rsid w:val="003C26A2"/>
    <w:rsid w:val="003C35FA"/>
    <w:rsid w:val="003C3704"/>
    <w:rsid w:val="003C395A"/>
    <w:rsid w:val="003C3BFC"/>
    <w:rsid w:val="003C484D"/>
    <w:rsid w:val="003C4BD8"/>
    <w:rsid w:val="003C6359"/>
    <w:rsid w:val="003C691A"/>
    <w:rsid w:val="003C76CB"/>
    <w:rsid w:val="003C7871"/>
    <w:rsid w:val="003C793E"/>
    <w:rsid w:val="003D00BC"/>
    <w:rsid w:val="003D041A"/>
    <w:rsid w:val="003D0699"/>
    <w:rsid w:val="003D2CAF"/>
    <w:rsid w:val="003D3301"/>
    <w:rsid w:val="003D37F5"/>
    <w:rsid w:val="003D5408"/>
    <w:rsid w:val="003D6EBB"/>
    <w:rsid w:val="003D71C8"/>
    <w:rsid w:val="003D7F8F"/>
    <w:rsid w:val="003E0064"/>
    <w:rsid w:val="003E0B5E"/>
    <w:rsid w:val="003E0D39"/>
    <w:rsid w:val="003E0F23"/>
    <w:rsid w:val="003E1043"/>
    <w:rsid w:val="003E17F4"/>
    <w:rsid w:val="003E2263"/>
    <w:rsid w:val="003E3F8D"/>
    <w:rsid w:val="003E4E7C"/>
    <w:rsid w:val="003E67E2"/>
    <w:rsid w:val="003E6976"/>
    <w:rsid w:val="003E6E20"/>
    <w:rsid w:val="003E73E6"/>
    <w:rsid w:val="003E79BB"/>
    <w:rsid w:val="003F0BD3"/>
    <w:rsid w:val="003F0CEA"/>
    <w:rsid w:val="003F0D51"/>
    <w:rsid w:val="003F119A"/>
    <w:rsid w:val="003F1AD3"/>
    <w:rsid w:val="003F2455"/>
    <w:rsid w:val="003F2CE3"/>
    <w:rsid w:val="003F32BB"/>
    <w:rsid w:val="003F3878"/>
    <w:rsid w:val="003F47D0"/>
    <w:rsid w:val="003F551C"/>
    <w:rsid w:val="003F5ED1"/>
    <w:rsid w:val="003F7120"/>
    <w:rsid w:val="004005D4"/>
    <w:rsid w:val="00401E53"/>
    <w:rsid w:val="00401F98"/>
    <w:rsid w:val="004020BB"/>
    <w:rsid w:val="004021C7"/>
    <w:rsid w:val="00402755"/>
    <w:rsid w:val="00406E59"/>
    <w:rsid w:val="00406F06"/>
    <w:rsid w:val="0040741D"/>
    <w:rsid w:val="00407FED"/>
    <w:rsid w:val="00410E63"/>
    <w:rsid w:val="0041159B"/>
    <w:rsid w:val="00412F13"/>
    <w:rsid w:val="00413A89"/>
    <w:rsid w:val="00414543"/>
    <w:rsid w:val="004157B4"/>
    <w:rsid w:val="004159EC"/>
    <w:rsid w:val="004165B6"/>
    <w:rsid w:val="004168F8"/>
    <w:rsid w:val="00416A5E"/>
    <w:rsid w:val="00416BAB"/>
    <w:rsid w:val="00417401"/>
    <w:rsid w:val="0041783E"/>
    <w:rsid w:val="00417CAF"/>
    <w:rsid w:val="0042039B"/>
    <w:rsid w:val="00422260"/>
    <w:rsid w:val="00422BE1"/>
    <w:rsid w:val="0042315B"/>
    <w:rsid w:val="00423808"/>
    <w:rsid w:val="00423A84"/>
    <w:rsid w:val="00424E35"/>
    <w:rsid w:val="00425006"/>
    <w:rsid w:val="0042534C"/>
    <w:rsid w:val="00425440"/>
    <w:rsid w:val="0042582E"/>
    <w:rsid w:val="00427726"/>
    <w:rsid w:val="004315BF"/>
    <w:rsid w:val="004318F3"/>
    <w:rsid w:val="004328F8"/>
    <w:rsid w:val="00432F97"/>
    <w:rsid w:val="004340B9"/>
    <w:rsid w:val="00434E2E"/>
    <w:rsid w:val="00436609"/>
    <w:rsid w:val="004374AE"/>
    <w:rsid w:val="00440DF2"/>
    <w:rsid w:val="00441555"/>
    <w:rsid w:val="00441F64"/>
    <w:rsid w:val="004420DA"/>
    <w:rsid w:val="0044352F"/>
    <w:rsid w:val="00444297"/>
    <w:rsid w:val="004460E5"/>
    <w:rsid w:val="00446C08"/>
    <w:rsid w:val="0044761D"/>
    <w:rsid w:val="00447C07"/>
    <w:rsid w:val="00447D0D"/>
    <w:rsid w:val="0045058F"/>
    <w:rsid w:val="00451470"/>
    <w:rsid w:val="004516E3"/>
    <w:rsid w:val="00451832"/>
    <w:rsid w:val="00453EAF"/>
    <w:rsid w:val="004542B6"/>
    <w:rsid w:val="004549EF"/>
    <w:rsid w:val="0045526D"/>
    <w:rsid w:val="004552E6"/>
    <w:rsid w:val="00456E61"/>
    <w:rsid w:val="00457F5D"/>
    <w:rsid w:val="00457F67"/>
    <w:rsid w:val="0046094A"/>
    <w:rsid w:val="00461C0C"/>
    <w:rsid w:val="0046213A"/>
    <w:rsid w:val="00462EB3"/>
    <w:rsid w:val="00463AA9"/>
    <w:rsid w:val="00465EBE"/>
    <w:rsid w:val="004661B8"/>
    <w:rsid w:val="004666E9"/>
    <w:rsid w:val="004667CF"/>
    <w:rsid w:val="004672CF"/>
    <w:rsid w:val="0046734F"/>
    <w:rsid w:val="0046774C"/>
    <w:rsid w:val="00467F6B"/>
    <w:rsid w:val="004709F4"/>
    <w:rsid w:val="0047124A"/>
    <w:rsid w:val="00471334"/>
    <w:rsid w:val="004717E9"/>
    <w:rsid w:val="00473958"/>
    <w:rsid w:val="00474A68"/>
    <w:rsid w:val="00474E42"/>
    <w:rsid w:val="004753BB"/>
    <w:rsid w:val="0047583A"/>
    <w:rsid w:val="00476EF4"/>
    <w:rsid w:val="00477613"/>
    <w:rsid w:val="00477652"/>
    <w:rsid w:val="00481742"/>
    <w:rsid w:val="00481C73"/>
    <w:rsid w:val="00481CA8"/>
    <w:rsid w:val="00481ED0"/>
    <w:rsid w:val="00482632"/>
    <w:rsid w:val="00483515"/>
    <w:rsid w:val="00483907"/>
    <w:rsid w:val="00483A12"/>
    <w:rsid w:val="0048405A"/>
    <w:rsid w:val="004852DB"/>
    <w:rsid w:val="0048616E"/>
    <w:rsid w:val="00486F73"/>
    <w:rsid w:val="0048772E"/>
    <w:rsid w:val="004879A5"/>
    <w:rsid w:val="0049007A"/>
    <w:rsid w:val="0049090E"/>
    <w:rsid w:val="00491B10"/>
    <w:rsid w:val="00492CE4"/>
    <w:rsid w:val="00493474"/>
    <w:rsid w:val="00493D9E"/>
    <w:rsid w:val="00494111"/>
    <w:rsid w:val="00495970"/>
    <w:rsid w:val="00495978"/>
    <w:rsid w:val="00496686"/>
    <w:rsid w:val="004967A2"/>
    <w:rsid w:val="00496CA6"/>
    <w:rsid w:val="00496D12"/>
    <w:rsid w:val="00497A32"/>
    <w:rsid w:val="004A11AD"/>
    <w:rsid w:val="004A1FB2"/>
    <w:rsid w:val="004A2057"/>
    <w:rsid w:val="004A3000"/>
    <w:rsid w:val="004A31B6"/>
    <w:rsid w:val="004A4610"/>
    <w:rsid w:val="004A4D78"/>
    <w:rsid w:val="004A4D79"/>
    <w:rsid w:val="004A5DBB"/>
    <w:rsid w:val="004A6C54"/>
    <w:rsid w:val="004A73E4"/>
    <w:rsid w:val="004A7FFA"/>
    <w:rsid w:val="004B0806"/>
    <w:rsid w:val="004B1896"/>
    <w:rsid w:val="004B1C4F"/>
    <w:rsid w:val="004B45E2"/>
    <w:rsid w:val="004B47E0"/>
    <w:rsid w:val="004B5253"/>
    <w:rsid w:val="004B6636"/>
    <w:rsid w:val="004B762D"/>
    <w:rsid w:val="004B7A8F"/>
    <w:rsid w:val="004C005B"/>
    <w:rsid w:val="004C04DE"/>
    <w:rsid w:val="004C0DAD"/>
    <w:rsid w:val="004C2678"/>
    <w:rsid w:val="004C26BB"/>
    <w:rsid w:val="004C32EA"/>
    <w:rsid w:val="004C388F"/>
    <w:rsid w:val="004C3BB0"/>
    <w:rsid w:val="004C443A"/>
    <w:rsid w:val="004C4B61"/>
    <w:rsid w:val="004C615B"/>
    <w:rsid w:val="004C6A51"/>
    <w:rsid w:val="004C6FD4"/>
    <w:rsid w:val="004C736D"/>
    <w:rsid w:val="004D0580"/>
    <w:rsid w:val="004D10D9"/>
    <w:rsid w:val="004D13FA"/>
    <w:rsid w:val="004D165F"/>
    <w:rsid w:val="004D1D8E"/>
    <w:rsid w:val="004D1FA1"/>
    <w:rsid w:val="004D27E7"/>
    <w:rsid w:val="004D2BF4"/>
    <w:rsid w:val="004D308D"/>
    <w:rsid w:val="004D3832"/>
    <w:rsid w:val="004D4513"/>
    <w:rsid w:val="004D46E0"/>
    <w:rsid w:val="004D4E9C"/>
    <w:rsid w:val="004D5D58"/>
    <w:rsid w:val="004D6487"/>
    <w:rsid w:val="004D64E3"/>
    <w:rsid w:val="004D6B42"/>
    <w:rsid w:val="004D772F"/>
    <w:rsid w:val="004D78CD"/>
    <w:rsid w:val="004E00A2"/>
    <w:rsid w:val="004E0944"/>
    <w:rsid w:val="004E0C17"/>
    <w:rsid w:val="004E0EB0"/>
    <w:rsid w:val="004E2BC1"/>
    <w:rsid w:val="004E31B8"/>
    <w:rsid w:val="004E3640"/>
    <w:rsid w:val="004E42DF"/>
    <w:rsid w:val="004E4453"/>
    <w:rsid w:val="004E4F70"/>
    <w:rsid w:val="004E6E83"/>
    <w:rsid w:val="004E7224"/>
    <w:rsid w:val="004E7862"/>
    <w:rsid w:val="004E7BF1"/>
    <w:rsid w:val="004E7D50"/>
    <w:rsid w:val="004F18FF"/>
    <w:rsid w:val="004F1AA2"/>
    <w:rsid w:val="004F1EC9"/>
    <w:rsid w:val="004F26BF"/>
    <w:rsid w:val="004F287D"/>
    <w:rsid w:val="004F3288"/>
    <w:rsid w:val="004F40FD"/>
    <w:rsid w:val="004F50CF"/>
    <w:rsid w:val="004F5252"/>
    <w:rsid w:val="004F6105"/>
    <w:rsid w:val="004F63B7"/>
    <w:rsid w:val="005006CE"/>
    <w:rsid w:val="005010CA"/>
    <w:rsid w:val="0050149D"/>
    <w:rsid w:val="00501B1C"/>
    <w:rsid w:val="00502078"/>
    <w:rsid w:val="0050250D"/>
    <w:rsid w:val="00503374"/>
    <w:rsid w:val="00503E07"/>
    <w:rsid w:val="00504A56"/>
    <w:rsid w:val="00505563"/>
    <w:rsid w:val="00505740"/>
    <w:rsid w:val="00507BC1"/>
    <w:rsid w:val="005102FA"/>
    <w:rsid w:val="005108FB"/>
    <w:rsid w:val="00510C59"/>
    <w:rsid w:val="0051132C"/>
    <w:rsid w:val="00511BAD"/>
    <w:rsid w:val="00511F26"/>
    <w:rsid w:val="00513E96"/>
    <w:rsid w:val="005150DF"/>
    <w:rsid w:val="00515ACC"/>
    <w:rsid w:val="005160B5"/>
    <w:rsid w:val="00516B73"/>
    <w:rsid w:val="00516FCA"/>
    <w:rsid w:val="0051794D"/>
    <w:rsid w:val="00517DFD"/>
    <w:rsid w:val="00520491"/>
    <w:rsid w:val="00520E2A"/>
    <w:rsid w:val="00522B32"/>
    <w:rsid w:val="00522F89"/>
    <w:rsid w:val="00524242"/>
    <w:rsid w:val="0052451B"/>
    <w:rsid w:val="005261DC"/>
    <w:rsid w:val="00526414"/>
    <w:rsid w:val="00526474"/>
    <w:rsid w:val="00526490"/>
    <w:rsid w:val="005269C2"/>
    <w:rsid w:val="00526EC0"/>
    <w:rsid w:val="005273CF"/>
    <w:rsid w:val="0053257A"/>
    <w:rsid w:val="0053281D"/>
    <w:rsid w:val="0053300C"/>
    <w:rsid w:val="00534189"/>
    <w:rsid w:val="00535586"/>
    <w:rsid w:val="00535B0A"/>
    <w:rsid w:val="00535E28"/>
    <w:rsid w:val="00536BE8"/>
    <w:rsid w:val="00536E0B"/>
    <w:rsid w:val="005373CF"/>
    <w:rsid w:val="00541676"/>
    <w:rsid w:val="005418C2"/>
    <w:rsid w:val="00541C6E"/>
    <w:rsid w:val="00543373"/>
    <w:rsid w:val="0054366B"/>
    <w:rsid w:val="0054574B"/>
    <w:rsid w:val="005457C3"/>
    <w:rsid w:val="005458BC"/>
    <w:rsid w:val="00545DCE"/>
    <w:rsid w:val="00546262"/>
    <w:rsid w:val="00546413"/>
    <w:rsid w:val="0054668E"/>
    <w:rsid w:val="00546800"/>
    <w:rsid w:val="00550603"/>
    <w:rsid w:val="00550695"/>
    <w:rsid w:val="00550B49"/>
    <w:rsid w:val="00551819"/>
    <w:rsid w:val="00553996"/>
    <w:rsid w:val="00554224"/>
    <w:rsid w:val="00554373"/>
    <w:rsid w:val="00554DE7"/>
    <w:rsid w:val="00555C8E"/>
    <w:rsid w:val="00556064"/>
    <w:rsid w:val="005601A2"/>
    <w:rsid w:val="00561AF4"/>
    <w:rsid w:val="00561CBA"/>
    <w:rsid w:val="005627AF"/>
    <w:rsid w:val="005628A4"/>
    <w:rsid w:val="005634F1"/>
    <w:rsid w:val="005637B5"/>
    <w:rsid w:val="0056429B"/>
    <w:rsid w:val="00564DB4"/>
    <w:rsid w:val="00564EAA"/>
    <w:rsid w:val="0056515C"/>
    <w:rsid w:val="005657D6"/>
    <w:rsid w:val="00565ED0"/>
    <w:rsid w:val="00566684"/>
    <w:rsid w:val="00567CD1"/>
    <w:rsid w:val="00567D8E"/>
    <w:rsid w:val="005702DB"/>
    <w:rsid w:val="0057056C"/>
    <w:rsid w:val="0057059B"/>
    <w:rsid w:val="005718F0"/>
    <w:rsid w:val="00571A67"/>
    <w:rsid w:val="00571EEC"/>
    <w:rsid w:val="005724A1"/>
    <w:rsid w:val="0057272C"/>
    <w:rsid w:val="00572BF7"/>
    <w:rsid w:val="00573A13"/>
    <w:rsid w:val="00573E77"/>
    <w:rsid w:val="005749CE"/>
    <w:rsid w:val="00574E37"/>
    <w:rsid w:val="0057553E"/>
    <w:rsid w:val="00576199"/>
    <w:rsid w:val="00576C8F"/>
    <w:rsid w:val="0058048D"/>
    <w:rsid w:val="005804D0"/>
    <w:rsid w:val="00582BC0"/>
    <w:rsid w:val="00584D5B"/>
    <w:rsid w:val="005877ED"/>
    <w:rsid w:val="0059046F"/>
    <w:rsid w:val="00590E3A"/>
    <w:rsid w:val="00591025"/>
    <w:rsid w:val="00591EAA"/>
    <w:rsid w:val="00592E35"/>
    <w:rsid w:val="00593453"/>
    <w:rsid w:val="00596D3C"/>
    <w:rsid w:val="00596DA1"/>
    <w:rsid w:val="00597195"/>
    <w:rsid w:val="00597A0A"/>
    <w:rsid w:val="00597FBC"/>
    <w:rsid w:val="005A0B2C"/>
    <w:rsid w:val="005A1F24"/>
    <w:rsid w:val="005A3759"/>
    <w:rsid w:val="005A3F07"/>
    <w:rsid w:val="005A45B8"/>
    <w:rsid w:val="005A4A63"/>
    <w:rsid w:val="005A4E01"/>
    <w:rsid w:val="005A52ED"/>
    <w:rsid w:val="005A674A"/>
    <w:rsid w:val="005A757B"/>
    <w:rsid w:val="005A78AF"/>
    <w:rsid w:val="005A7C49"/>
    <w:rsid w:val="005B02C7"/>
    <w:rsid w:val="005B2066"/>
    <w:rsid w:val="005B23AF"/>
    <w:rsid w:val="005B29E3"/>
    <w:rsid w:val="005B3B27"/>
    <w:rsid w:val="005B4AC9"/>
    <w:rsid w:val="005B577B"/>
    <w:rsid w:val="005B6313"/>
    <w:rsid w:val="005B6591"/>
    <w:rsid w:val="005B69F1"/>
    <w:rsid w:val="005B7F62"/>
    <w:rsid w:val="005C039F"/>
    <w:rsid w:val="005C46CA"/>
    <w:rsid w:val="005C4DBF"/>
    <w:rsid w:val="005C58D7"/>
    <w:rsid w:val="005C5F4D"/>
    <w:rsid w:val="005C6334"/>
    <w:rsid w:val="005C7651"/>
    <w:rsid w:val="005C7B09"/>
    <w:rsid w:val="005D0757"/>
    <w:rsid w:val="005D3526"/>
    <w:rsid w:val="005D3535"/>
    <w:rsid w:val="005D3D4F"/>
    <w:rsid w:val="005D3FF8"/>
    <w:rsid w:val="005D46F5"/>
    <w:rsid w:val="005D5A70"/>
    <w:rsid w:val="005D5ABD"/>
    <w:rsid w:val="005D7697"/>
    <w:rsid w:val="005E0057"/>
    <w:rsid w:val="005E0179"/>
    <w:rsid w:val="005E0595"/>
    <w:rsid w:val="005E10A0"/>
    <w:rsid w:val="005E3158"/>
    <w:rsid w:val="005E31A7"/>
    <w:rsid w:val="005E3632"/>
    <w:rsid w:val="005E559F"/>
    <w:rsid w:val="005E67AA"/>
    <w:rsid w:val="005E7AE7"/>
    <w:rsid w:val="005E7B5A"/>
    <w:rsid w:val="005F02E4"/>
    <w:rsid w:val="005F0BC2"/>
    <w:rsid w:val="005F0DF4"/>
    <w:rsid w:val="005F1B3D"/>
    <w:rsid w:val="005F1E3A"/>
    <w:rsid w:val="005F2462"/>
    <w:rsid w:val="005F2533"/>
    <w:rsid w:val="005F2544"/>
    <w:rsid w:val="005F319C"/>
    <w:rsid w:val="005F3CC5"/>
    <w:rsid w:val="005F4486"/>
    <w:rsid w:val="005F4A96"/>
    <w:rsid w:val="005F557A"/>
    <w:rsid w:val="005F55E1"/>
    <w:rsid w:val="005F583C"/>
    <w:rsid w:val="005F5BC4"/>
    <w:rsid w:val="005F5CFF"/>
    <w:rsid w:val="005F64C2"/>
    <w:rsid w:val="005F66F5"/>
    <w:rsid w:val="005F6A00"/>
    <w:rsid w:val="005F6F4B"/>
    <w:rsid w:val="0060002C"/>
    <w:rsid w:val="0060020B"/>
    <w:rsid w:val="0060185A"/>
    <w:rsid w:val="00601882"/>
    <w:rsid w:val="006033CD"/>
    <w:rsid w:val="00603449"/>
    <w:rsid w:val="0060364A"/>
    <w:rsid w:val="006038C3"/>
    <w:rsid w:val="0060676D"/>
    <w:rsid w:val="00607D16"/>
    <w:rsid w:val="0061029C"/>
    <w:rsid w:val="006105E7"/>
    <w:rsid w:val="006115DF"/>
    <w:rsid w:val="00612064"/>
    <w:rsid w:val="00612DC5"/>
    <w:rsid w:val="00614004"/>
    <w:rsid w:val="00614784"/>
    <w:rsid w:val="00614EAB"/>
    <w:rsid w:val="00615E8A"/>
    <w:rsid w:val="00616A47"/>
    <w:rsid w:val="00616C43"/>
    <w:rsid w:val="00621CEE"/>
    <w:rsid w:val="00622510"/>
    <w:rsid w:val="00623634"/>
    <w:rsid w:val="00625F7F"/>
    <w:rsid w:val="00626A50"/>
    <w:rsid w:val="00627184"/>
    <w:rsid w:val="00627560"/>
    <w:rsid w:val="00630B56"/>
    <w:rsid w:val="00631B71"/>
    <w:rsid w:val="0063258B"/>
    <w:rsid w:val="006332BA"/>
    <w:rsid w:val="00634CD2"/>
    <w:rsid w:val="00635D02"/>
    <w:rsid w:val="0063619B"/>
    <w:rsid w:val="006367B4"/>
    <w:rsid w:val="00637014"/>
    <w:rsid w:val="00640056"/>
    <w:rsid w:val="00640F95"/>
    <w:rsid w:val="0064119E"/>
    <w:rsid w:val="00641BD6"/>
    <w:rsid w:val="00641E3E"/>
    <w:rsid w:val="006428E3"/>
    <w:rsid w:val="00642CA8"/>
    <w:rsid w:val="00643D9F"/>
    <w:rsid w:val="006467D5"/>
    <w:rsid w:val="00647617"/>
    <w:rsid w:val="00647C36"/>
    <w:rsid w:val="006506B7"/>
    <w:rsid w:val="0065077F"/>
    <w:rsid w:val="00650D45"/>
    <w:rsid w:val="006513D8"/>
    <w:rsid w:val="00652F87"/>
    <w:rsid w:val="006541F5"/>
    <w:rsid w:val="00654CA7"/>
    <w:rsid w:val="00655680"/>
    <w:rsid w:val="00656AAB"/>
    <w:rsid w:val="00660C80"/>
    <w:rsid w:val="006621C8"/>
    <w:rsid w:val="00662C6F"/>
    <w:rsid w:val="00662C8B"/>
    <w:rsid w:val="00663BBC"/>
    <w:rsid w:val="00663C72"/>
    <w:rsid w:val="00663D8D"/>
    <w:rsid w:val="00663E7F"/>
    <w:rsid w:val="0066471A"/>
    <w:rsid w:val="00665148"/>
    <w:rsid w:val="00665366"/>
    <w:rsid w:val="00665491"/>
    <w:rsid w:val="00665E93"/>
    <w:rsid w:val="00666AD5"/>
    <w:rsid w:val="0066713D"/>
    <w:rsid w:val="00667C8B"/>
    <w:rsid w:val="00671B8D"/>
    <w:rsid w:val="00674268"/>
    <w:rsid w:val="006742E6"/>
    <w:rsid w:val="00674659"/>
    <w:rsid w:val="00674B57"/>
    <w:rsid w:val="006759A0"/>
    <w:rsid w:val="00675FB1"/>
    <w:rsid w:val="006761D7"/>
    <w:rsid w:val="00676C6A"/>
    <w:rsid w:val="00676DBE"/>
    <w:rsid w:val="00677713"/>
    <w:rsid w:val="00677D21"/>
    <w:rsid w:val="00680898"/>
    <w:rsid w:val="00681144"/>
    <w:rsid w:val="00681231"/>
    <w:rsid w:val="00681AB3"/>
    <w:rsid w:val="00681AC5"/>
    <w:rsid w:val="00681C6E"/>
    <w:rsid w:val="00681FBF"/>
    <w:rsid w:val="006822EE"/>
    <w:rsid w:val="0068359D"/>
    <w:rsid w:val="006837B2"/>
    <w:rsid w:val="00683CAF"/>
    <w:rsid w:val="00686147"/>
    <w:rsid w:val="00686B72"/>
    <w:rsid w:val="00686F1E"/>
    <w:rsid w:val="00686FC3"/>
    <w:rsid w:val="006913DF"/>
    <w:rsid w:val="006914C7"/>
    <w:rsid w:val="00692653"/>
    <w:rsid w:val="006926AF"/>
    <w:rsid w:val="0069302B"/>
    <w:rsid w:val="00693875"/>
    <w:rsid w:val="0069577C"/>
    <w:rsid w:val="00695F83"/>
    <w:rsid w:val="00696791"/>
    <w:rsid w:val="00696E0D"/>
    <w:rsid w:val="00696F30"/>
    <w:rsid w:val="0069717F"/>
    <w:rsid w:val="00697FD6"/>
    <w:rsid w:val="006A0ABE"/>
    <w:rsid w:val="006A2221"/>
    <w:rsid w:val="006A345D"/>
    <w:rsid w:val="006A4D82"/>
    <w:rsid w:val="006A4F8E"/>
    <w:rsid w:val="006A6542"/>
    <w:rsid w:val="006A6A23"/>
    <w:rsid w:val="006A797C"/>
    <w:rsid w:val="006B063C"/>
    <w:rsid w:val="006B1D90"/>
    <w:rsid w:val="006B241A"/>
    <w:rsid w:val="006B3755"/>
    <w:rsid w:val="006B3F26"/>
    <w:rsid w:val="006B4014"/>
    <w:rsid w:val="006B4B60"/>
    <w:rsid w:val="006B546C"/>
    <w:rsid w:val="006B5C4B"/>
    <w:rsid w:val="006B68AA"/>
    <w:rsid w:val="006B6D8B"/>
    <w:rsid w:val="006B7CF4"/>
    <w:rsid w:val="006C098E"/>
    <w:rsid w:val="006C1503"/>
    <w:rsid w:val="006C1606"/>
    <w:rsid w:val="006C232E"/>
    <w:rsid w:val="006C2E62"/>
    <w:rsid w:val="006C3519"/>
    <w:rsid w:val="006C368B"/>
    <w:rsid w:val="006C4A27"/>
    <w:rsid w:val="006C599D"/>
    <w:rsid w:val="006C5E07"/>
    <w:rsid w:val="006C643F"/>
    <w:rsid w:val="006C648C"/>
    <w:rsid w:val="006C6667"/>
    <w:rsid w:val="006C6AAF"/>
    <w:rsid w:val="006C7E99"/>
    <w:rsid w:val="006D0AD7"/>
    <w:rsid w:val="006D1176"/>
    <w:rsid w:val="006D1E29"/>
    <w:rsid w:val="006D2294"/>
    <w:rsid w:val="006D3D0E"/>
    <w:rsid w:val="006D527D"/>
    <w:rsid w:val="006D5765"/>
    <w:rsid w:val="006D5952"/>
    <w:rsid w:val="006D631B"/>
    <w:rsid w:val="006D6BB1"/>
    <w:rsid w:val="006D7554"/>
    <w:rsid w:val="006D7C9C"/>
    <w:rsid w:val="006E027F"/>
    <w:rsid w:val="006E02DA"/>
    <w:rsid w:val="006E0C02"/>
    <w:rsid w:val="006E1F19"/>
    <w:rsid w:val="006E25AE"/>
    <w:rsid w:val="006E6B29"/>
    <w:rsid w:val="006E7D0E"/>
    <w:rsid w:val="006F019E"/>
    <w:rsid w:val="006F01CC"/>
    <w:rsid w:val="006F10D2"/>
    <w:rsid w:val="006F18DA"/>
    <w:rsid w:val="006F1BE3"/>
    <w:rsid w:val="006F2B16"/>
    <w:rsid w:val="006F3499"/>
    <w:rsid w:val="006F4138"/>
    <w:rsid w:val="006F41C1"/>
    <w:rsid w:val="006F4328"/>
    <w:rsid w:val="006F4433"/>
    <w:rsid w:val="006F4C5D"/>
    <w:rsid w:val="006F61B8"/>
    <w:rsid w:val="006F6C57"/>
    <w:rsid w:val="006F7BA4"/>
    <w:rsid w:val="006F7D69"/>
    <w:rsid w:val="00700ACB"/>
    <w:rsid w:val="00702F2A"/>
    <w:rsid w:val="0070300F"/>
    <w:rsid w:val="0070380F"/>
    <w:rsid w:val="00704151"/>
    <w:rsid w:val="00704648"/>
    <w:rsid w:val="00704713"/>
    <w:rsid w:val="007048B8"/>
    <w:rsid w:val="007053DC"/>
    <w:rsid w:val="0070622C"/>
    <w:rsid w:val="00707415"/>
    <w:rsid w:val="00711600"/>
    <w:rsid w:val="0071221A"/>
    <w:rsid w:val="00714928"/>
    <w:rsid w:val="00714DF2"/>
    <w:rsid w:val="00715EAA"/>
    <w:rsid w:val="0071602E"/>
    <w:rsid w:val="007171FE"/>
    <w:rsid w:val="00717FB4"/>
    <w:rsid w:val="007208C6"/>
    <w:rsid w:val="00721332"/>
    <w:rsid w:val="007213B8"/>
    <w:rsid w:val="007225F2"/>
    <w:rsid w:val="007238E1"/>
    <w:rsid w:val="00723A3D"/>
    <w:rsid w:val="007256FD"/>
    <w:rsid w:val="00726A90"/>
    <w:rsid w:val="00727337"/>
    <w:rsid w:val="007278E6"/>
    <w:rsid w:val="007323C1"/>
    <w:rsid w:val="00732845"/>
    <w:rsid w:val="00733C54"/>
    <w:rsid w:val="00734781"/>
    <w:rsid w:val="00734BA8"/>
    <w:rsid w:val="00735049"/>
    <w:rsid w:val="00735244"/>
    <w:rsid w:val="0073582A"/>
    <w:rsid w:val="00735FB0"/>
    <w:rsid w:val="0073629A"/>
    <w:rsid w:val="00736F57"/>
    <w:rsid w:val="00737532"/>
    <w:rsid w:val="00737CA3"/>
    <w:rsid w:val="00737EA1"/>
    <w:rsid w:val="00740047"/>
    <w:rsid w:val="00742918"/>
    <w:rsid w:val="00742A62"/>
    <w:rsid w:val="00742F76"/>
    <w:rsid w:val="00743714"/>
    <w:rsid w:val="007442BD"/>
    <w:rsid w:val="00745E96"/>
    <w:rsid w:val="00746627"/>
    <w:rsid w:val="007466D9"/>
    <w:rsid w:val="007477BE"/>
    <w:rsid w:val="00747870"/>
    <w:rsid w:val="007504B4"/>
    <w:rsid w:val="00750EF2"/>
    <w:rsid w:val="00751391"/>
    <w:rsid w:val="0075240F"/>
    <w:rsid w:val="007525C8"/>
    <w:rsid w:val="0075305B"/>
    <w:rsid w:val="00753B66"/>
    <w:rsid w:val="0075429C"/>
    <w:rsid w:val="0075577D"/>
    <w:rsid w:val="0076033A"/>
    <w:rsid w:val="007608FA"/>
    <w:rsid w:val="0076123F"/>
    <w:rsid w:val="00762E5F"/>
    <w:rsid w:val="00762FCA"/>
    <w:rsid w:val="00764124"/>
    <w:rsid w:val="007643B6"/>
    <w:rsid w:val="007652D4"/>
    <w:rsid w:val="0076674A"/>
    <w:rsid w:val="0076748A"/>
    <w:rsid w:val="00770675"/>
    <w:rsid w:val="00770A5A"/>
    <w:rsid w:val="00771351"/>
    <w:rsid w:val="007730A3"/>
    <w:rsid w:val="00773316"/>
    <w:rsid w:val="007738B3"/>
    <w:rsid w:val="00773DE3"/>
    <w:rsid w:val="007740FF"/>
    <w:rsid w:val="00774BB3"/>
    <w:rsid w:val="00775071"/>
    <w:rsid w:val="00775B6A"/>
    <w:rsid w:val="00776437"/>
    <w:rsid w:val="00776755"/>
    <w:rsid w:val="0077677D"/>
    <w:rsid w:val="00776DFB"/>
    <w:rsid w:val="0077785F"/>
    <w:rsid w:val="00780596"/>
    <w:rsid w:val="00780BFB"/>
    <w:rsid w:val="00782278"/>
    <w:rsid w:val="00782305"/>
    <w:rsid w:val="0078314F"/>
    <w:rsid w:val="00783B92"/>
    <w:rsid w:val="00784814"/>
    <w:rsid w:val="00784955"/>
    <w:rsid w:val="00784FA2"/>
    <w:rsid w:val="00785F0F"/>
    <w:rsid w:val="0078697E"/>
    <w:rsid w:val="00786CE0"/>
    <w:rsid w:val="007909B6"/>
    <w:rsid w:val="00791EB6"/>
    <w:rsid w:val="00793DB7"/>
    <w:rsid w:val="0079529C"/>
    <w:rsid w:val="00795616"/>
    <w:rsid w:val="00796B4E"/>
    <w:rsid w:val="00797770"/>
    <w:rsid w:val="00797849"/>
    <w:rsid w:val="007A067C"/>
    <w:rsid w:val="007A0D6A"/>
    <w:rsid w:val="007A15C1"/>
    <w:rsid w:val="007A161D"/>
    <w:rsid w:val="007A1BDE"/>
    <w:rsid w:val="007A272C"/>
    <w:rsid w:val="007A2B57"/>
    <w:rsid w:val="007A2C38"/>
    <w:rsid w:val="007A2C62"/>
    <w:rsid w:val="007A2D7D"/>
    <w:rsid w:val="007A384B"/>
    <w:rsid w:val="007A3A4B"/>
    <w:rsid w:val="007A3A5C"/>
    <w:rsid w:val="007A3AA6"/>
    <w:rsid w:val="007A3F35"/>
    <w:rsid w:val="007A4C24"/>
    <w:rsid w:val="007A7392"/>
    <w:rsid w:val="007A76B2"/>
    <w:rsid w:val="007A7D2E"/>
    <w:rsid w:val="007B13A1"/>
    <w:rsid w:val="007B18A5"/>
    <w:rsid w:val="007B18F5"/>
    <w:rsid w:val="007B19C8"/>
    <w:rsid w:val="007B19E6"/>
    <w:rsid w:val="007B1D19"/>
    <w:rsid w:val="007B20EF"/>
    <w:rsid w:val="007B307B"/>
    <w:rsid w:val="007B402C"/>
    <w:rsid w:val="007B4B22"/>
    <w:rsid w:val="007B5069"/>
    <w:rsid w:val="007B5F80"/>
    <w:rsid w:val="007B6232"/>
    <w:rsid w:val="007B6388"/>
    <w:rsid w:val="007B6614"/>
    <w:rsid w:val="007B6F2F"/>
    <w:rsid w:val="007B748F"/>
    <w:rsid w:val="007B7F0C"/>
    <w:rsid w:val="007C0629"/>
    <w:rsid w:val="007C0B1E"/>
    <w:rsid w:val="007C1EB7"/>
    <w:rsid w:val="007C5DC6"/>
    <w:rsid w:val="007C5F72"/>
    <w:rsid w:val="007C6644"/>
    <w:rsid w:val="007C6737"/>
    <w:rsid w:val="007C72BC"/>
    <w:rsid w:val="007D0CDD"/>
    <w:rsid w:val="007D0DE1"/>
    <w:rsid w:val="007D0EEF"/>
    <w:rsid w:val="007D0FF7"/>
    <w:rsid w:val="007D1D0A"/>
    <w:rsid w:val="007D1DAA"/>
    <w:rsid w:val="007D24F0"/>
    <w:rsid w:val="007D2EE8"/>
    <w:rsid w:val="007D492D"/>
    <w:rsid w:val="007D4CEF"/>
    <w:rsid w:val="007D75B8"/>
    <w:rsid w:val="007E0261"/>
    <w:rsid w:val="007E0D53"/>
    <w:rsid w:val="007E14B3"/>
    <w:rsid w:val="007E1A9C"/>
    <w:rsid w:val="007E1E61"/>
    <w:rsid w:val="007E277E"/>
    <w:rsid w:val="007E2EDE"/>
    <w:rsid w:val="007E30DE"/>
    <w:rsid w:val="007E38A6"/>
    <w:rsid w:val="007E4ECC"/>
    <w:rsid w:val="007E50FD"/>
    <w:rsid w:val="007E65D0"/>
    <w:rsid w:val="007E6D8C"/>
    <w:rsid w:val="007E72E0"/>
    <w:rsid w:val="007F0B00"/>
    <w:rsid w:val="007F0DCC"/>
    <w:rsid w:val="007F1561"/>
    <w:rsid w:val="007F1B09"/>
    <w:rsid w:val="007F2482"/>
    <w:rsid w:val="007F3104"/>
    <w:rsid w:val="007F3CC4"/>
    <w:rsid w:val="007F47FF"/>
    <w:rsid w:val="007F481F"/>
    <w:rsid w:val="007F533F"/>
    <w:rsid w:val="007F55E2"/>
    <w:rsid w:val="007F582A"/>
    <w:rsid w:val="008006C4"/>
    <w:rsid w:val="008008FC"/>
    <w:rsid w:val="008012AE"/>
    <w:rsid w:val="0080163E"/>
    <w:rsid w:val="00805515"/>
    <w:rsid w:val="00805D6D"/>
    <w:rsid w:val="00805DA9"/>
    <w:rsid w:val="00805EBF"/>
    <w:rsid w:val="00806741"/>
    <w:rsid w:val="0080676C"/>
    <w:rsid w:val="00807DFF"/>
    <w:rsid w:val="008106DD"/>
    <w:rsid w:val="008111DC"/>
    <w:rsid w:val="0081209E"/>
    <w:rsid w:val="0081244D"/>
    <w:rsid w:val="0081261D"/>
    <w:rsid w:val="00815A5D"/>
    <w:rsid w:val="00815D90"/>
    <w:rsid w:val="008164E5"/>
    <w:rsid w:val="00817237"/>
    <w:rsid w:val="00817635"/>
    <w:rsid w:val="0081782F"/>
    <w:rsid w:val="00817A7F"/>
    <w:rsid w:val="00820E3E"/>
    <w:rsid w:val="008221B1"/>
    <w:rsid w:val="00822668"/>
    <w:rsid w:val="00822AA3"/>
    <w:rsid w:val="00822DFC"/>
    <w:rsid w:val="00823BA6"/>
    <w:rsid w:val="00825133"/>
    <w:rsid w:val="008255E5"/>
    <w:rsid w:val="0082615F"/>
    <w:rsid w:val="00826ADB"/>
    <w:rsid w:val="00826BEB"/>
    <w:rsid w:val="0083054A"/>
    <w:rsid w:val="008305DC"/>
    <w:rsid w:val="00830877"/>
    <w:rsid w:val="008309C4"/>
    <w:rsid w:val="00830D3F"/>
    <w:rsid w:val="00831726"/>
    <w:rsid w:val="0083174B"/>
    <w:rsid w:val="00832B33"/>
    <w:rsid w:val="008331AA"/>
    <w:rsid w:val="0083337D"/>
    <w:rsid w:val="00834A8B"/>
    <w:rsid w:val="00835900"/>
    <w:rsid w:val="0083613A"/>
    <w:rsid w:val="008364D9"/>
    <w:rsid w:val="00836BAE"/>
    <w:rsid w:val="0084027E"/>
    <w:rsid w:val="0084068B"/>
    <w:rsid w:val="008406AA"/>
    <w:rsid w:val="00840D18"/>
    <w:rsid w:val="00840EA5"/>
    <w:rsid w:val="0084186E"/>
    <w:rsid w:val="008435E1"/>
    <w:rsid w:val="00845C84"/>
    <w:rsid w:val="00846DED"/>
    <w:rsid w:val="00846E53"/>
    <w:rsid w:val="00847DC5"/>
    <w:rsid w:val="008507A5"/>
    <w:rsid w:val="00851080"/>
    <w:rsid w:val="00852156"/>
    <w:rsid w:val="00853D22"/>
    <w:rsid w:val="00854B57"/>
    <w:rsid w:val="00854CDC"/>
    <w:rsid w:val="00856DAC"/>
    <w:rsid w:val="008604FB"/>
    <w:rsid w:val="00860A9A"/>
    <w:rsid w:val="00860BAA"/>
    <w:rsid w:val="00861435"/>
    <w:rsid w:val="00861C2A"/>
    <w:rsid w:val="00861C7D"/>
    <w:rsid w:val="0086226E"/>
    <w:rsid w:val="00862C67"/>
    <w:rsid w:val="008661B5"/>
    <w:rsid w:val="008670C8"/>
    <w:rsid w:val="008677F1"/>
    <w:rsid w:val="008736B0"/>
    <w:rsid w:val="00873B36"/>
    <w:rsid w:val="00874877"/>
    <w:rsid w:val="00874943"/>
    <w:rsid w:val="00874D00"/>
    <w:rsid w:val="00875835"/>
    <w:rsid w:val="0087595A"/>
    <w:rsid w:val="008759CA"/>
    <w:rsid w:val="00875F14"/>
    <w:rsid w:val="00876184"/>
    <w:rsid w:val="0087659B"/>
    <w:rsid w:val="00876C73"/>
    <w:rsid w:val="00877339"/>
    <w:rsid w:val="00877665"/>
    <w:rsid w:val="00877984"/>
    <w:rsid w:val="00880E56"/>
    <w:rsid w:val="00881C28"/>
    <w:rsid w:val="00881DD5"/>
    <w:rsid w:val="0088216F"/>
    <w:rsid w:val="00882684"/>
    <w:rsid w:val="00882B82"/>
    <w:rsid w:val="0088478D"/>
    <w:rsid w:val="008852F4"/>
    <w:rsid w:val="0088539F"/>
    <w:rsid w:val="00885EB4"/>
    <w:rsid w:val="00886F4D"/>
    <w:rsid w:val="00887B8B"/>
    <w:rsid w:val="00890835"/>
    <w:rsid w:val="00890F11"/>
    <w:rsid w:val="008918DA"/>
    <w:rsid w:val="00892D00"/>
    <w:rsid w:val="008930E3"/>
    <w:rsid w:val="0089347E"/>
    <w:rsid w:val="0089348D"/>
    <w:rsid w:val="00893A2B"/>
    <w:rsid w:val="00893CA0"/>
    <w:rsid w:val="00894446"/>
    <w:rsid w:val="0089540F"/>
    <w:rsid w:val="00895C87"/>
    <w:rsid w:val="00896DB8"/>
    <w:rsid w:val="00896E6F"/>
    <w:rsid w:val="00897A2E"/>
    <w:rsid w:val="00897B23"/>
    <w:rsid w:val="008A1911"/>
    <w:rsid w:val="008A1BD2"/>
    <w:rsid w:val="008A2962"/>
    <w:rsid w:val="008A3BF9"/>
    <w:rsid w:val="008A4093"/>
    <w:rsid w:val="008A4363"/>
    <w:rsid w:val="008A4406"/>
    <w:rsid w:val="008A4700"/>
    <w:rsid w:val="008A552F"/>
    <w:rsid w:val="008A6869"/>
    <w:rsid w:val="008A74FE"/>
    <w:rsid w:val="008B0A8C"/>
    <w:rsid w:val="008B1802"/>
    <w:rsid w:val="008B1B28"/>
    <w:rsid w:val="008B20BA"/>
    <w:rsid w:val="008B24BA"/>
    <w:rsid w:val="008B25E6"/>
    <w:rsid w:val="008B2603"/>
    <w:rsid w:val="008B2D2E"/>
    <w:rsid w:val="008B38F9"/>
    <w:rsid w:val="008B4395"/>
    <w:rsid w:val="008B44DE"/>
    <w:rsid w:val="008B4771"/>
    <w:rsid w:val="008B5CBE"/>
    <w:rsid w:val="008B613F"/>
    <w:rsid w:val="008B7069"/>
    <w:rsid w:val="008B786D"/>
    <w:rsid w:val="008C0715"/>
    <w:rsid w:val="008C0902"/>
    <w:rsid w:val="008C27FF"/>
    <w:rsid w:val="008C2B5C"/>
    <w:rsid w:val="008C3381"/>
    <w:rsid w:val="008C503B"/>
    <w:rsid w:val="008C51B7"/>
    <w:rsid w:val="008C5577"/>
    <w:rsid w:val="008C6446"/>
    <w:rsid w:val="008C68D5"/>
    <w:rsid w:val="008C691E"/>
    <w:rsid w:val="008C6DF6"/>
    <w:rsid w:val="008C7498"/>
    <w:rsid w:val="008C78AA"/>
    <w:rsid w:val="008C7B1B"/>
    <w:rsid w:val="008D04EB"/>
    <w:rsid w:val="008D0B6E"/>
    <w:rsid w:val="008D0FCB"/>
    <w:rsid w:val="008D1202"/>
    <w:rsid w:val="008D133A"/>
    <w:rsid w:val="008D1AA6"/>
    <w:rsid w:val="008D1B53"/>
    <w:rsid w:val="008D1D4E"/>
    <w:rsid w:val="008D2625"/>
    <w:rsid w:val="008D3113"/>
    <w:rsid w:val="008D42D2"/>
    <w:rsid w:val="008D47D8"/>
    <w:rsid w:val="008D5C37"/>
    <w:rsid w:val="008D5C4F"/>
    <w:rsid w:val="008D5D64"/>
    <w:rsid w:val="008D5DD7"/>
    <w:rsid w:val="008D5EDA"/>
    <w:rsid w:val="008D6087"/>
    <w:rsid w:val="008D7F36"/>
    <w:rsid w:val="008E05FE"/>
    <w:rsid w:val="008E232E"/>
    <w:rsid w:val="008E3859"/>
    <w:rsid w:val="008E3D65"/>
    <w:rsid w:val="008E3F0D"/>
    <w:rsid w:val="008E43B7"/>
    <w:rsid w:val="008E49B6"/>
    <w:rsid w:val="008E549D"/>
    <w:rsid w:val="008E5636"/>
    <w:rsid w:val="008E6182"/>
    <w:rsid w:val="008E626A"/>
    <w:rsid w:val="008E6861"/>
    <w:rsid w:val="008E71B0"/>
    <w:rsid w:val="008E7804"/>
    <w:rsid w:val="008E7D29"/>
    <w:rsid w:val="008F0991"/>
    <w:rsid w:val="008F0EE2"/>
    <w:rsid w:val="008F25E6"/>
    <w:rsid w:val="008F31CB"/>
    <w:rsid w:val="008F321B"/>
    <w:rsid w:val="008F3E63"/>
    <w:rsid w:val="008F4B82"/>
    <w:rsid w:val="008F52D3"/>
    <w:rsid w:val="008F77BA"/>
    <w:rsid w:val="009005D5"/>
    <w:rsid w:val="009006CF"/>
    <w:rsid w:val="00900B03"/>
    <w:rsid w:val="00900F73"/>
    <w:rsid w:val="00902B48"/>
    <w:rsid w:val="0090353D"/>
    <w:rsid w:val="00904B40"/>
    <w:rsid w:val="0090516C"/>
    <w:rsid w:val="009052AF"/>
    <w:rsid w:val="00906C42"/>
    <w:rsid w:val="0091037E"/>
    <w:rsid w:val="00911CA5"/>
    <w:rsid w:val="00911CA6"/>
    <w:rsid w:val="009128D3"/>
    <w:rsid w:val="0091357C"/>
    <w:rsid w:val="009137AB"/>
    <w:rsid w:val="009143BF"/>
    <w:rsid w:val="00914F59"/>
    <w:rsid w:val="009151BE"/>
    <w:rsid w:val="009164F4"/>
    <w:rsid w:val="009167D8"/>
    <w:rsid w:val="009168AC"/>
    <w:rsid w:val="00917E87"/>
    <w:rsid w:val="00920634"/>
    <w:rsid w:val="00920C15"/>
    <w:rsid w:val="00921178"/>
    <w:rsid w:val="00921A93"/>
    <w:rsid w:val="0092221B"/>
    <w:rsid w:val="00922285"/>
    <w:rsid w:val="009228F1"/>
    <w:rsid w:val="009237A3"/>
    <w:rsid w:val="009239C4"/>
    <w:rsid w:val="009243E4"/>
    <w:rsid w:val="00924D25"/>
    <w:rsid w:val="00924EEF"/>
    <w:rsid w:val="009257B8"/>
    <w:rsid w:val="00925C2D"/>
    <w:rsid w:val="0092601F"/>
    <w:rsid w:val="00926275"/>
    <w:rsid w:val="00927337"/>
    <w:rsid w:val="0092736C"/>
    <w:rsid w:val="009273FB"/>
    <w:rsid w:val="009302C8"/>
    <w:rsid w:val="00931291"/>
    <w:rsid w:val="00931DFD"/>
    <w:rsid w:val="009335BA"/>
    <w:rsid w:val="00933BD5"/>
    <w:rsid w:val="00935F09"/>
    <w:rsid w:val="0093680A"/>
    <w:rsid w:val="009369F1"/>
    <w:rsid w:val="00936E4D"/>
    <w:rsid w:val="00937681"/>
    <w:rsid w:val="0093777F"/>
    <w:rsid w:val="0093780D"/>
    <w:rsid w:val="00937B2B"/>
    <w:rsid w:val="0094051F"/>
    <w:rsid w:val="00942187"/>
    <w:rsid w:val="00943EAE"/>
    <w:rsid w:val="0094452A"/>
    <w:rsid w:val="00945647"/>
    <w:rsid w:val="009468EA"/>
    <w:rsid w:val="00951086"/>
    <w:rsid w:val="0095164D"/>
    <w:rsid w:val="00952C12"/>
    <w:rsid w:val="00952EB6"/>
    <w:rsid w:val="00953445"/>
    <w:rsid w:val="009537B5"/>
    <w:rsid w:val="00953C98"/>
    <w:rsid w:val="00953DEB"/>
    <w:rsid w:val="0095478C"/>
    <w:rsid w:val="009556AB"/>
    <w:rsid w:val="00955F36"/>
    <w:rsid w:val="00956DB2"/>
    <w:rsid w:val="00957931"/>
    <w:rsid w:val="00957940"/>
    <w:rsid w:val="009603AE"/>
    <w:rsid w:val="009607B4"/>
    <w:rsid w:val="00961853"/>
    <w:rsid w:val="00962253"/>
    <w:rsid w:val="00962A03"/>
    <w:rsid w:val="00963628"/>
    <w:rsid w:val="00963F61"/>
    <w:rsid w:val="0096492A"/>
    <w:rsid w:val="0096591A"/>
    <w:rsid w:val="009677BA"/>
    <w:rsid w:val="0096794E"/>
    <w:rsid w:val="00967EB6"/>
    <w:rsid w:val="00971621"/>
    <w:rsid w:val="0097201D"/>
    <w:rsid w:val="009723BD"/>
    <w:rsid w:val="009726AA"/>
    <w:rsid w:val="009732F0"/>
    <w:rsid w:val="0097366D"/>
    <w:rsid w:val="00973698"/>
    <w:rsid w:val="00974312"/>
    <w:rsid w:val="009743CE"/>
    <w:rsid w:val="0097625E"/>
    <w:rsid w:val="00977666"/>
    <w:rsid w:val="00980B01"/>
    <w:rsid w:val="009834B0"/>
    <w:rsid w:val="00983EE4"/>
    <w:rsid w:val="009841CC"/>
    <w:rsid w:val="009843C5"/>
    <w:rsid w:val="0098577F"/>
    <w:rsid w:val="00985BCB"/>
    <w:rsid w:val="00985C2D"/>
    <w:rsid w:val="0098747A"/>
    <w:rsid w:val="00990594"/>
    <w:rsid w:val="0099073A"/>
    <w:rsid w:val="009907C1"/>
    <w:rsid w:val="00992098"/>
    <w:rsid w:val="00992174"/>
    <w:rsid w:val="009952BA"/>
    <w:rsid w:val="00995AC0"/>
    <w:rsid w:val="00997067"/>
    <w:rsid w:val="009976A0"/>
    <w:rsid w:val="009A0166"/>
    <w:rsid w:val="009A1D80"/>
    <w:rsid w:val="009A2735"/>
    <w:rsid w:val="009A2975"/>
    <w:rsid w:val="009A297E"/>
    <w:rsid w:val="009A2B6E"/>
    <w:rsid w:val="009A3DB6"/>
    <w:rsid w:val="009A54C1"/>
    <w:rsid w:val="009A7872"/>
    <w:rsid w:val="009A7DB1"/>
    <w:rsid w:val="009B2681"/>
    <w:rsid w:val="009B321D"/>
    <w:rsid w:val="009B47E0"/>
    <w:rsid w:val="009B51E6"/>
    <w:rsid w:val="009B585A"/>
    <w:rsid w:val="009B5F92"/>
    <w:rsid w:val="009B5FC0"/>
    <w:rsid w:val="009B6357"/>
    <w:rsid w:val="009B76B6"/>
    <w:rsid w:val="009B77BF"/>
    <w:rsid w:val="009C03EC"/>
    <w:rsid w:val="009C181B"/>
    <w:rsid w:val="009C19D5"/>
    <w:rsid w:val="009C3395"/>
    <w:rsid w:val="009C48C9"/>
    <w:rsid w:val="009C58C9"/>
    <w:rsid w:val="009C71B5"/>
    <w:rsid w:val="009C7280"/>
    <w:rsid w:val="009C78D9"/>
    <w:rsid w:val="009D0315"/>
    <w:rsid w:val="009D06EA"/>
    <w:rsid w:val="009D072D"/>
    <w:rsid w:val="009D0A74"/>
    <w:rsid w:val="009D1722"/>
    <w:rsid w:val="009D1799"/>
    <w:rsid w:val="009D1F06"/>
    <w:rsid w:val="009D1FE4"/>
    <w:rsid w:val="009D2544"/>
    <w:rsid w:val="009D366F"/>
    <w:rsid w:val="009D37C5"/>
    <w:rsid w:val="009D53E4"/>
    <w:rsid w:val="009D5C40"/>
    <w:rsid w:val="009D64EE"/>
    <w:rsid w:val="009D6868"/>
    <w:rsid w:val="009D6BC9"/>
    <w:rsid w:val="009D7842"/>
    <w:rsid w:val="009D795E"/>
    <w:rsid w:val="009E046D"/>
    <w:rsid w:val="009E0F1D"/>
    <w:rsid w:val="009E1223"/>
    <w:rsid w:val="009E1D71"/>
    <w:rsid w:val="009E41E6"/>
    <w:rsid w:val="009E6207"/>
    <w:rsid w:val="009E6CFB"/>
    <w:rsid w:val="009E785E"/>
    <w:rsid w:val="009E7B6A"/>
    <w:rsid w:val="009F073C"/>
    <w:rsid w:val="009F0DF2"/>
    <w:rsid w:val="009F0E5C"/>
    <w:rsid w:val="009F2A32"/>
    <w:rsid w:val="009F3550"/>
    <w:rsid w:val="009F3D27"/>
    <w:rsid w:val="009F4BF3"/>
    <w:rsid w:val="009F4C74"/>
    <w:rsid w:val="009F657F"/>
    <w:rsid w:val="009F7B44"/>
    <w:rsid w:val="00A00971"/>
    <w:rsid w:val="00A01118"/>
    <w:rsid w:val="00A01CD9"/>
    <w:rsid w:val="00A01FF6"/>
    <w:rsid w:val="00A0276A"/>
    <w:rsid w:val="00A0342F"/>
    <w:rsid w:val="00A042C2"/>
    <w:rsid w:val="00A045D4"/>
    <w:rsid w:val="00A0490F"/>
    <w:rsid w:val="00A052D8"/>
    <w:rsid w:val="00A05346"/>
    <w:rsid w:val="00A06850"/>
    <w:rsid w:val="00A06E16"/>
    <w:rsid w:val="00A1091E"/>
    <w:rsid w:val="00A11076"/>
    <w:rsid w:val="00A11212"/>
    <w:rsid w:val="00A11C95"/>
    <w:rsid w:val="00A13E79"/>
    <w:rsid w:val="00A14135"/>
    <w:rsid w:val="00A153B7"/>
    <w:rsid w:val="00A15532"/>
    <w:rsid w:val="00A16BD9"/>
    <w:rsid w:val="00A17A35"/>
    <w:rsid w:val="00A17F33"/>
    <w:rsid w:val="00A200B8"/>
    <w:rsid w:val="00A20941"/>
    <w:rsid w:val="00A24385"/>
    <w:rsid w:val="00A246EE"/>
    <w:rsid w:val="00A251BE"/>
    <w:rsid w:val="00A253D8"/>
    <w:rsid w:val="00A25E36"/>
    <w:rsid w:val="00A27C4F"/>
    <w:rsid w:val="00A27C7D"/>
    <w:rsid w:val="00A30A31"/>
    <w:rsid w:val="00A3112F"/>
    <w:rsid w:val="00A316CD"/>
    <w:rsid w:val="00A3265A"/>
    <w:rsid w:val="00A32844"/>
    <w:rsid w:val="00A33408"/>
    <w:rsid w:val="00A334A1"/>
    <w:rsid w:val="00A33A05"/>
    <w:rsid w:val="00A33A7A"/>
    <w:rsid w:val="00A3489F"/>
    <w:rsid w:val="00A34959"/>
    <w:rsid w:val="00A34BC3"/>
    <w:rsid w:val="00A34D46"/>
    <w:rsid w:val="00A3579A"/>
    <w:rsid w:val="00A364DB"/>
    <w:rsid w:val="00A3651A"/>
    <w:rsid w:val="00A37010"/>
    <w:rsid w:val="00A37816"/>
    <w:rsid w:val="00A4033B"/>
    <w:rsid w:val="00A40AC1"/>
    <w:rsid w:val="00A40D6F"/>
    <w:rsid w:val="00A41017"/>
    <w:rsid w:val="00A412F4"/>
    <w:rsid w:val="00A41512"/>
    <w:rsid w:val="00A42573"/>
    <w:rsid w:val="00A426F1"/>
    <w:rsid w:val="00A4320B"/>
    <w:rsid w:val="00A43210"/>
    <w:rsid w:val="00A435C5"/>
    <w:rsid w:val="00A4556C"/>
    <w:rsid w:val="00A473E9"/>
    <w:rsid w:val="00A47D9F"/>
    <w:rsid w:val="00A5008A"/>
    <w:rsid w:val="00A50226"/>
    <w:rsid w:val="00A50B32"/>
    <w:rsid w:val="00A52B55"/>
    <w:rsid w:val="00A52CC0"/>
    <w:rsid w:val="00A52D21"/>
    <w:rsid w:val="00A52D86"/>
    <w:rsid w:val="00A5490F"/>
    <w:rsid w:val="00A54F14"/>
    <w:rsid w:val="00A562E0"/>
    <w:rsid w:val="00A56FD3"/>
    <w:rsid w:val="00A57429"/>
    <w:rsid w:val="00A57907"/>
    <w:rsid w:val="00A57EB0"/>
    <w:rsid w:val="00A60B35"/>
    <w:rsid w:val="00A6137A"/>
    <w:rsid w:val="00A61715"/>
    <w:rsid w:val="00A61D24"/>
    <w:rsid w:val="00A62D92"/>
    <w:rsid w:val="00A64A91"/>
    <w:rsid w:val="00A65379"/>
    <w:rsid w:val="00A65BE9"/>
    <w:rsid w:val="00A70DD9"/>
    <w:rsid w:val="00A712DB"/>
    <w:rsid w:val="00A71ACD"/>
    <w:rsid w:val="00A72026"/>
    <w:rsid w:val="00A72761"/>
    <w:rsid w:val="00A731EF"/>
    <w:rsid w:val="00A749D1"/>
    <w:rsid w:val="00A74D3E"/>
    <w:rsid w:val="00A756C7"/>
    <w:rsid w:val="00A75979"/>
    <w:rsid w:val="00A76018"/>
    <w:rsid w:val="00A7664B"/>
    <w:rsid w:val="00A76EE4"/>
    <w:rsid w:val="00A76F8A"/>
    <w:rsid w:val="00A77D7D"/>
    <w:rsid w:val="00A82310"/>
    <w:rsid w:val="00A82A56"/>
    <w:rsid w:val="00A85A27"/>
    <w:rsid w:val="00A866A3"/>
    <w:rsid w:val="00A86920"/>
    <w:rsid w:val="00A87204"/>
    <w:rsid w:val="00A90187"/>
    <w:rsid w:val="00A90F75"/>
    <w:rsid w:val="00A91C8E"/>
    <w:rsid w:val="00A92015"/>
    <w:rsid w:val="00A9262B"/>
    <w:rsid w:val="00A9330B"/>
    <w:rsid w:val="00A95469"/>
    <w:rsid w:val="00A95542"/>
    <w:rsid w:val="00A95C38"/>
    <w:rsid w:val="00A96957"/>
    <w:rsid w:val="00A96E15"/>
    <w:rsid w:val="00A97AFB"/>
    <w:rsid w:val="00AA0294"/>
    <w:rsid w:val="00AA23F0"/>
    <w:rsid w:val="00AA3430"/>
    <w:rsid w:val="00AA36EE"/>
    <w:rsid w:val="00AA3B70"/>
    <w:rsid w:val="00AA4825"/>
    <w:rsid w:val="00AA51CA"/>
    <w:rsid w:val="00AA5CF5"/>
    <w:rsid w:val="00AA63C6"/>
    <w:rsid w:val="00AA65E8"/>
    <w:rsid w:val="00AB0063"/>
    <w:rsid w:val="00AB11D2"/>
    <w:rsid w:val="00AB14A5"/>
    <w:rsid w:val="00AB1641"/>
    <w:rsid w:val="00AB18CB"/>
    <w:rsid w:val="00AB1D04"/>
    <w:rsid w:val="00AB21A4"/>
    <w:rsid w:val="00AB2586"/>
    <w:rsid w:val="00AB2B99"/>
    <w:rsid w:val="00AB2E0B"/>
    <w:rsid w:val="00AB2F01"/>
    <w:rsid w:val="00AB3050"/>
    <w:rsid w:val="00AB35FD"/>
    <w:rsid w:val="00AB4B86"/>
    <w:rsid w:val="00AB4C12"/>
    <w:rsid w:val="00AB6395"/>
    <w:rsid w:val="00AB6419"/>
    <w:rsid w:val="00AC009D"/>
    <w:rsid w:val="00AC024E"/>
    <w:rsid w:val="00AC0ACB"/>
    <w:rsid w:val="00AC18E6"/>
    <w:rsid w:val="00AC1992"/>
    <w:rsid w:val="00AC22DA"/>
    <w:rsid w:val="00AC2644"/>
    <w:rsid w:val="00AC2701"/>
    <w:rsid w:val="00AC2998"/>
    <w:rsid w:val="00AC2AA1"/>
    <w:rsid w:val="00AC31F8"/>
    <w:rsid w:val="00AC33EC"/>
    <w:rsid w:val="00AC39CB"/>
    <w:rsid w:val="00AC4086"/>
    <w:rsid w:val="00AC47E0"/>
    <w:rsid w:val="00AC4F1F"/>
    <w:rsid w:val="00AC503A"/>
    <w:rsid w:val="00AC5BA9"/>
    <w:rsid w:val="00AC6DEE"/>
    <w:rsid w:val="00AC7282"/>
    <w:rsid w:val="00AC7B43"/>
    <w:rsid w:val="00AC7B88"/>
    <w:rsid w:val="00AD001D"/>
    <w:rsid w:val="00AD04B6"/>
    <w:rsid w:val="00AD0843"/>
    <w:rsid w:val="00AD104A"/>
    <w:rsid w:val="00AD1541"/>
    <w:rsid w:val="00AD250B"/>
    <w:rsid w:val="00AD2E86"/>
    <w:rsid w:val="00AD4B70"/>
    <w:rsid w:val="00AD4C10"/>
    <w:rsid w:val="00AD5632"/>
    <w:rsid w:val="00AD5BEF"/>
    <w:rsid w:val="00AD70BB"/>
    <w:rsid w:val="00AE028D"/>
    <w:rsid w:val="00AE0DB0"/>
    <w:rsid w:val="00AE100E"/>
    <w:rsid w:val="00AE1405"/>
    <w:rsid w:val="00AE17CB"/>
    <w:rsid w:val="00AE1EF6"/>
    <w:rsid w:val="00AE21B4"/>
    <w:rsid w:val="00AE2965"/>
    <w:rsid w:val="00AE2C28"/>
    <w:rsid w:val="00AE2CD4"/>
    <w:rsid w:val="00AE39D4"/>
    <w:rsid w:val="00AE3A69"/>
    <w:rsid w:val="00AE3B93"/>
    <w:rsid w:val="00AE4050"/>
    <w:rsid w:val="00AE40F4"/>
    <w:rsid w:val="00AE4107"/>
    <w:rsid w:val="00AE5CCB"/>
    <w:rsid w:val="00AE6A13"/>
    <w:rsid w:val="00AE6A61"/>
    <w:rsid w:val="00AE6AF9"/>
    <w:rsid w:val="00AE6FE1"/>
    <w:rsid w:val="00AE79A3"/>
    <w:rsid w:val="00AF0710"/>
    <w:rsid w:val="00AF0FEF"/>
    <w:rsid w:val="00AF1F71"/>
    <w:rsid w:val="00AF20C6"/>
    <w:rsid w:val="00AF27B3"/>
    <w:rsid w:val="00AF2FAC"/>
    <w:rsid w:val="00AF3B9B"/>
    <w:rsid w:val="00AF462C"/>
    <w:rsid w:val="00AF59DD"/>
    <w:rsid w:val="00AF5E89"/>
    <w:rsid w:val="00AF6808"/>
    <w:rsid w:val="00AF6CD4"/>
    <w:rsid w:val="00AF6EB9"/>
    <w:rsid w:val="00AF76CD"/>
    <w:rsid w:val="00B00EB1"/>
    <w:rsid w:val="00B00F19"/>
    <w:rsid w:val="00B0137C"/>
    <w:rsid w:val="00B026D4"/>
    <w:rsid w:val="00B028DE"/>
    <w:rsid w:val="00B02939"/>
    <w:rsid w:val="00B029B7"/>
    <w:rsid w:val="00B02AC4"/>
    <w:rsid w:val="00B04C95"/>
    <w:rsid w:val="00B0589C"/>
    <w:rsid w:val="00B05F52"/>
    <w:rsid w:val="00B06527"/>
    <w:rsid w:val="00B06968"/>
    <w:rsid w:val="00B069BF"/>
    <w:rsid w:val="00B07F95"/>
    <w:rsid w:val="00B1136B"/>
    <w:rsid w:val="00B11885"/>
    <w:rsid w:val="00B11E64"/>
    <w:rsid w:val="00B1339D"/>
    <w:rsid w:val="00B13C58"/>
    <w:rsid w:val="00B14219"/>
    <w:rsid w:val="00B146A4"/>
    <w:rsid w:val="00B1585B"/>
    <w:rsid w:val="00B15D6E"/>
    <w:rsid w:val="00B16820"/>
    <w:rsid w:val="00B17B9D"/>
    <w:rsid w:val="00B2071E"/>
    <w:rsid w:val="00B2112B"/>
    <w:rsid w:val="00B21A92"/>
    <w:rsid w:val="00B2214B"/>
    <w:rsid w:val="00B236DC"/>
    <w:rsid w:val="00B23C51"/>
    <w:rsid w:val="00B30175"/>
    <w:rsid w:val="00B305E9"/>
    <w:rsid w:val="00B31621"/>
    <w:rsid w:val="00B318EC"/>
    <w:rsid w:val="00B32CE4"/>
    <w:rsid w:val="00B32EAE"/>
    <w:rsid w:val="00B35256"/>
    <w:rsid w:val="00B35A72"/>
    <w:rsid w:val="00B36975"/>
    <w:rsid w:val="00B36D85"/>
    <w:rsid w:val="00B37235"/>
    <w:rsid w:val="00B37622"/>
    <w:rsid w:val="00B37B57"/>
    <w:rsid w:val="00B37FED"/>
    <w:rsid w:val="00B40249"/>
    <w:rsid w:val="00B42133"/>
    <w:rsid w:val="00B4343B"/>
    <w:rsid w:val="00B438E8"/>
    <w:rsid w:val="00B44580"/>
    <w:rsid w:val="00B446A0"/>
    <w:rsid w:val="00B44F6B"/>
    <w:rsid w:val="00B4574D"/>
    <w:rsid w:val="00B45B27"/>
    <w:rsid w:val="00B4615B"/>
    <w:rsid w:val="00B47262"/>
    <w:rsid w:val="00B515FA"/>
    <w:rsid w:val="00B55C23"/>
    <w:rsid w:val="00B566A0"/>
    <w:rsid w:val="00B57007"/>
    <w:rsid w:val="00B57238"/>
    <w:rsid w:val="00B61355"/>
    <w:rsid w:val="00B61B2A"/>
    <w:rsid w:val="00B63975"/>
    <w:rsid w:val="00B63FCD"/>
    <w:rsid w:val="00B659B7"/>
    <w:rsid w:val="00B7045E"/>
    <w:rsid w:val="00B71250"/>
    <w:rsid w:val="00B71926"/>
    <w:rsid w:val="00B71FA2"/>
    <w:rsid w:val="00B725E4"/>
    <w:rsid w:val="00B7348D"/>
    <w:rsid w:val="00B73534"/>
    <w:rsid w:val="00B7450D"/>
    <w:rsid w:val="00B75310"/>
    <w:rsid w:val="00B759E7"/>
    <w:rsid w:val="00B75A97"/>
    <w:rsid w:val="00B763D8"/>
    <w:rsid w:val="00B76B34"/>
    <w:rsid w:val="00B773F2"/>
    <w:rsid w:val="00B77473"/>
    <w:rsid w:val="00B7760A"/>
    <w:rsid w:val="00B778BF"/>
    <w:rsid w:val="00B779A9"/>
    <w:rsid w:val="00B77A74"/>
    <w:rsid w:val="00B80BB5"/>
    <w:rsid w:val="00B81067"/>
    <w:rsid w:val="00B810DE"/>
    <w:rsid w:val="00B812B0"/>
    <w:rsid w:val="00B82685"/>
    <w:rsid w:val="00B83140"/>
    <w:rsid w:val="00B85185"/>
    <w:rsid w:val="00B85F87"/>
    <w:rsid w:val="00B8607C"/>
    <w:rsid w:val="00B86F4F"/>
    <w:rsid w:val="00B90A37"/>
    <w:rsid w:val="00B93B95"/>
    <w:rsid w:val="00B93E93"/>
    <w:rsid w:val="00B9515D"/>
    <w:rsid w:val="00B95700"/>
    <w:rsid w:val="00B9736E"/>
    <w:rsid w:val="00B976AA"/>
    <w:rsid w:val="00B97EF4"/>
    <w:rsid w:val="00BA09EF"/>
    <w:rsid w:val="00BA0A5B"/>
    <w:rsid w:val="00BA12AA"/>
    <w:rsid w:val="00BA1562"/>
    <w:rsid w:val="00BA191C"/>
    <w:rsid w:val="00BA1B49"/>
    <w:rsid w:val="00BA26B0"/>
    <w:rsid w:val="00BA272A"/>
    <w:rsid w:val="00BA358B"/>
    <w:rsid w:val="00BA3BDD"/>
    <w:rsid w:val="00BA5BD3"/>
    <w:rsid w:val="00BA5F1B"/>
    <w:rsid w:val="00BA62D6"/>
    <w:rsid w:val="00BA7080"/>
    <w:rsid w:val="00BA72BE"/>
    <w:rsid w:val="00BA7A0A"/>
    <w:rsid w:val="00BA7E60"/>
    <w:rsid w:val="00BB01BD"/>
    <w:rsid w:val="00BB0BA0"/>
    <w:rsid w:val="00BB10C2"/>
    <w:rsid w:val="00BB134B"/>
    <w:rsid w:val="00BB1BA2"/>
    <w:rsid w:val="00BB2A87"/>
    <w:rsid w:val="00BB2B6B"/>
    <w:rsid w:val="00BB357B"/>
    <w:rsid w:val="00BB52B1"/>
    <w:rsid w:val="00BB57C9"/>
    <w:rsid w:val="00BB5A1E"/>
    <w:rsid w:val="00BB5B77"/>
    <w:rsid w:val="00BB6523"/>
    <w:rsid w:val="00BB6ABA"/>
    <w:rsid w:val="00BB72CC"/>
    <w:rsid w:val="00BB7B21"/>
    <w:rsid w:val="00BC0A60"/>
    <w:rsid w:val="00BC16C1"/>
    <w:rsid w:val="00BC1A1B"/>
    <w:rsid w:val="00BC2943"/>
    <w:rsid w:val="00BC5442"/>
    <w:rsid w:val="00BC5D8A"/>
    <w:rsid w:val="00BC6461"/>
    <w:rsid w:val="00BC7CED"/>
    <w:rsid w:val="00BD013C"/>
    <w:rsid w:val="00BD0D0A"/>
    <w:rsid w:val="00BD13FF"/>
    <w:rsid w:val="00BD1437"/>
    <w:rsid w:val="00BD1540"/>
    <w:rsid w:val="00BD33BE"/>
    <w:rsid w:val="00BD60BC"/>
    <w:rsid w:val="00BD6D6F"/>
    <w:rsid w:val="00BD7BE0"/>
    <w:rsid w:val="00BE0444"/>
    <w:rsid w:val="00BE0A37"/>
    <w:rsid w:val="00BE0F99"/>
    <w:rsid w:val="00BE1392"/>
    <w:rsid w:val="00BE2011"/>
    <w:rsid w:val="00BE43AD"/>
    <w:rsid w:val="00BE4670"/>
    <w:rsid w:val="00BE4B56"/>
    <w:rsid w:val="00BE4CDF"/>
    <w:rsid w:val="00BE4DF3"/>
    <w:rsid w:val="00BE50F3"/>
    <w:rsid w:val="00BE6E05"/>
    <w:rsid w:val="00BF1AD2"/>
    <w:rsid w:val="00BF2FB8"/>
    <w:rsid w:val="00BF318A"/>
    <w:rsid w:val="00BF3A44"/>
    <w:rsid w:val="00BF45DC"/>
    <w:rsid w:val="00BF482B"/>
    <w:rsid w:val="00BF4F0D"/>
    <w:rsid w:val="00BF5260"/>
    <w:rsid w:val="00BF5C4D"/>
    <w:rsid w:val="00BF633C"/>
    <w:rsid w:val="00BF7D0B"/>
    <w:rsid w:val="00C00745"/>
    <w:rsid w:val="00C0170B"/>
    <w:rsid w:val="00C02874"/>
    <w:rsid w:val="00C02A6B"/>
    <w:rsid w:val="00C030F7"/>
    <w:rsid w:val="00C0424F"/>
    <w:rsid w:val="00C04867"/>
    <w:rsid w:val="00C05714"/>
    <w:rsid w:val="00C05782"/>
    <w:rsid w:val="00C061B9"/>
    <w:rsid w:val="00C06724"/>
    <w:rsid w:val="00C0768E"/>
    <w:rsid w:val="00C100C9"/>
    <w:rsid w:val="00C10D16"/>
    <w:rsid w:val="00C110E3"/>
    <w:rsid w:val="00C12C9A"/>
    <w:rsid w:val="00C12F4A"/>
    <w:rsid w:val="00C13114"/>
    <w:rsid w:val="00C13A40"/>
    <w:rsid w:val="00C13D99"/>
    <w:rsid w:val="00C1417E"/>
    <w:rsid w:val="00C14363"/>
    <w:rsid w:val="00C14599"/>
    <w:rsid w:val="00C14CF1"/>
    <w:rsid w:val="00C150AE"/>
    <w:rsid w:val="00C1539C"/>
    <w:rsid w:val="00C15E1D"/>
    <w:rsid w:val="00C17016"/>
    <w:rsid w:val="00C172BA"/>
    <w:rsid w:val="00C17364"/>
    <w:rsid w:val="00C20C36"/>
    <w:rsid w:val="00C21152"/>
    <w:rsid w:val="00C21D4E"/>
    <w:rsid w:val="00C21F59"/>
    <w:rsid w:val="00C223B1"/>
    <w:rsid w:val="00C23443"/>
    <w:rsid w:val="00C23F0B"/>
    <w:rsid w:val="00C26D8E"/>
    <w:rsid w:val="00C26F31"/>
    <w:rsid w:val="00C274E9"/>
    <w:rsid w:val="00C279E0"/>
    <w:rsid w:val="00C27ABC"/>
    <w:rsid w:val="00C27BCF"/>
    <w:rsid w:val="00C300FD"/>
    <w:rsid w:val="00C34FAC"/>
    <w:rsid w:val="00C3509A"/>
    <w:rsid w:val="00C353C4"/>
    <w:rsid w:val="00C37CA8"/>
    <w:rsid w:val="00C4070B"/>
    <w:rsid w:val="00C424E4"/>
    <w:rsid w:val="00C42736"/>
    <w:rsid w:val="00C43989"/>
    <w:rsid w:val="00C44BB7"/>
    <w:rsid w:val="00C457CB"/>
    <w:rsid w:val="00C461D5"/>
    <w:rsid w:val="00C463C6"/>
    <w:rsid w:val="00C47521"/>
    <w:rsid w:val="00C47C84"/>
    <w:rsid w:val="00C501C5"/>
    <w:rsid w:val="00C5101B"/>
    <w:rsid w:val="00C514A2"/>
    <w:rsid w:val="00C515DD"/>
    <w:rsid w:val="00C51F59"/>
    <w:rsid w:val="00C5358F"/>
    <w:rsid w:val="00C5448D"/>
    <w:rsid w:val="00C544B1"/>
    <w:rsid w:val="00C5458A"/>
    <w:rsid w:val="00C54D80"/>
    <w:rsid w:val="00C567B0"/>
    <w:rsid w:val="00C56C25"/>
    <w:rsid w:val="00C5717D"/>
    <w:rsid w:val="00C5744B"/>
    <w:rsid w:val="00C57AB6"/>
    <w:rsid w:val="00C57E76"/>
    <w:rsid w:val="00C60066"/>
    <w:rsid w:val="00C6186E"/>
    <w:rsid w:val="00C61C27"/>
    <w:rsid w:val="00C621A6"/>
    <w:rsid w:val="00C62C6F"/>
    <w:rsid w:val="00C62EA8"/>
    <w:rsid w:val="00C635CD"/>
    <w:rsid w:val="00C63AB2"/>
    <w:rsid w:val="00C63B2A"/>
    <w:rsid w:val="00C63D65"/>
    <w:rsid w:val="00C640B7"/>
    <w:rsid w:val="00C64D23"/>
    <w:rsid w:val="00C64E08"/>
    <w:rsid w:val="00C66250"/>
    <w:rsid w:val="00C6660A"/>
    <w:rsid w:val="00C6718F"/>
    <w:rsid w:val="00C7125E"/>
    <w:rsid w:val="00C7257D"/>
    <w:rsid w:val="00C72929"/>
    <w:rsid w:val="00C72FF5"/>
    <w:rsid w:val="00C73BF1"/>
    <w:rsid w:val="00C74F1A"/>
    <w:rsid w:val="00C755E3"/>
    <w:rsid w:val="00C768EB"/>
    <w:rsid w:val="00C7723D"/>
    <w:rsid w:val="00C77343"/>
    <w:rsid w:val="00C77435"/>
    <w:rsid w:val="00C77735"/>
    <w:rsid w:val="00C77D23"/>
    <w:rsid w:val="00C80614"/>
    <w:rsid w:val="00C8062C"/>
    <w:rsid w:val="00C80C92"/>
    <w:rsid w:val="00C80E1A"/>
    <w:rsid w:val="00C81214"/>
    <w:rsid w:val="00C812C6"/>
    <w:rsid w:val="00C81989"/>
    <w:rsid w:val="00C81C68"/>
    <w:rsid w:val="00C845EC"/>
    <w:rsid w:val="00C84E11"/>
    <w:rsid w:val="00C8778B"/>
    <w:rsid w:val="00C90F17"/>
    <w:rsid w:val="00C9192A"/>
    <w:rsid w:val="00C92D16"/>
    <w:rsid w:val="00C93F52"/>
    <w:rsid w:val="00C95517"/>
    <w:rsid w:val="00C95768"/>
    <w:rsid w:val="00C95B94"/>
    <w:rsid w:val="00C95D37"/>
    <w:rsid w:val="00C95F0B"/>
    <w:rsid w:val="00C96269"/>
    <w:rsid w:val="00C97447"/>
    <w:rsid w:val="00C976CF"/>
    <w:rsid w:val="00C97ABE"/>
    <w:rsid w:val="00CA017D"/>
    <w:rsid w:val="00CA2AA9"/>
    <w:rsid w:val="00CA2E1A"/>
    <w:rsid w:val="00CA3734"/>
    <w:rsid w:val="00CA4707"/>
    <w:rsid w:val="00CA4D51"/>
    <w:rsid w:val="00CA4DD8"/>
    <w:rsid w:val="00CA5653"/>
    <w:rsid w:val="00CA5A11"/>
    <w:rsid w:val="00CA7A18"/>
    <w:rsid w:val="00CB093D"/>
    <w:rsid w:val="00CB0A3D"/>
    <w:rsid w:val="00CB1B8B"/>
    <w:rsid w:val="00CB2F18"/>
    <w:rsid w:val="00CB3E22"/>
    <w:rsid w:val="00CB4EA5"/>
    <w:rsid w:val="00CB5979"/>
    <w:rsid w:val="00CB5BA4"/>
    <w:rsid w:val="00CB6618"/>
    <w:rsid w:val="00CB67AE"/>
    <w:rsid w:val="00CB7411"/>
    <w:rsid w:val="00CB7495"/>
    <w:rsid w:val="00CB7729"/>
    <w:rsid w:val="00CB7A57"/>
    <w:rsid w:val="00CC1980"/>
    <w:rsid w:val="00CC1D16"/>
    <w:rsid w:val="00CC1E7A"/>
    <w:rsid w:val="00CC44C7"/>
    <w:rsid w:val="00CC5289"/>
    <w:rsid w:val="00CC52E4"/>
    <w:rsid w:val="00CC59F1"/>
    <w:rsid w:val="00CC5D95"/>
    <w:rsid w:val="00CC5F34"/>
    <w:rsid w:val="00CC7790"/>
    <w:rsid w:val="00CC7C97"/>
    <w:rsid w:val="00CD103E"/>
    <w:rsid w:val="00CD10D5"/>
    <w:rsid w:val="00CD10E1"/>
    <w:rsid w:val="00CD229D"/>
    <w:rsid w:val="00CD2EA0"/>
    <w:rsid w:val="00CD39DA"/>
    <w:rsid w:val="00CD3AE8"/>
    <w:rsid w:val="00CD4F88"/>
    <w:rsid w:val="00CD72EF"/>
    <w:rsid w:val="00CD76C5"/>
    <w:rsid w:val="00CD7BC9"/>
    <w:rsid w:val="00CE0092"/>
    <w:rsid w:val="00CE1615"/>
    <w:rsid w:val="00CE1BD8"/>
    <w:rsid w:val="00CE22BD"/>
    <w:rsid w:val="00CE31BC"/>
    <w:rsid w:val="00CE37D3"/>
    <w:rsid w:val="00CE46CE"/>
    <w:rsid w:val="00CE4A6D"/>
    <w:rsid w:val="00CE4BB2"/>
    <w:rsid w:val="00CE51D7"/>
    <w:rsid w:val="00CE5334"/>
    <w:rsid w:val="00CE543D"/>
    <w:rsid w:val="00CE6DD4"/>
    <w:rsid w:val="00CE786D"/>
    <w:rsid w:val="00CF009E"/>
    <w:rsid w:val="00CF080E"/>
    <w:rsid w:val="00CF1DA7"/>
    <w:rsid w:val="00CF24C2"/>
    <w:rsid w:val="00CF5911"/>
    <w:rsid w:val="00CF66CF"/>
    <w:rsid w:val="00CF6FAC"/>
    <w:rsid w:val="00CF7099"/>
    <w:rsid w:val="00CF71A5"/>
    <w:rsid w:val="00CF751C"/>
    <w:rsid w:val="00CF7992"/>
    <w:rsid w:val="00CF79F5"/>
    <w:rsid w:val="00D00B1B"/>
    <w:rsid w:val="00D01402"/>
    <w:rsid w:val="00D023C6"/>
    <w:rsid w:val="00D02B4F"/>
    <w:rsid w:val="00D034CF"/>
    <w:rsid w:val="00D03FA0"/>
    <w:rsid w:val="00D05625"/>
    <w:rsid w:val="00D05CBB"/>
    <w:rsid w:val="00D1108B"/>
    <w:rsid w:val="00D111A2"/>
    <w:rsid w:val="00D11B5D"/>
    <w:rsid w:val="00D120AA"/>
    <w:rsid w:val="00D125A1"/>
    <w:rsid w:val="00D1296B"/>
    <w:rsid w:val="00D12C58"/>
    <w:rsid w:val="00D13820"/>
    <w:rsid w:val="00D14292"/>
    <w:rsid w:val="00D14C15"/>
    <w:rsid w:val="00D15F5A"/>
    <w:rsid w:val="00D164FC"/>
    <w:rsid w:val="00D16B86"/>
    <w:rsid w:val="00D205B7"/>
    <w:rsid w:val="00D22541"/>
    <w:rsid w:val="00D23711"/>
    <w:rsid w:val="00D23761"/>
    <w:rsid w:val="00D24568"/>
    <w:rsid w:val="00D25823"/>
    <w:rsid w:val="00D25FC9"/>
    <w:rsid w:val="00D27A27"/>
    <w:rsid w:val="00D303D9"/>
    <w:rsid w:val="00D306AD"/>
    <w:rsid w:val="00D32524"/>
    <w:rsid w:val="00D32B78"/>
    <w:rsid w:val="00D32CEC"/>
    <w:rsid w:val="00D34B92"/>
    <w:rsid w:val="00D34D0B"/>
    <w:rsid w:val="00D350D5"/>
    <w:rsid w:val="00D35F7D"/>
    <w:rsid w:val="00D362AE"/>
    <w:rsid w:val="00D37AC5"/>
    <w:rsid w:val="00D37CF1"/>
    <w:rsid w:val="00D408E5"/>
    <w:rsid w:val="00D41390"/>
    <w:rsid w:val="00D41583"/>
    <w:rsid w:val="00D429D5"/>
    <w:rsid w:val="00D42BC9"/>
    <w:rsid w:val="00D433B3"/>
    <w:rsid w:val="00D438DF"/>
    <w:rsid w:val="00D449E1"/>
    <w:rsid w:val="00D45F52"/>
    <w:rsid w:val="00D46744"/>
    <w:rsid w:val="00D46F41"/>
    <w:rsid w:val="00D47671"/>
    <w:rsid w:val="00D47909"/>
    <w:rsid w:val="00D47AC6"/>
    <w:rsid w:val="00D47BF5"/>
    <w:rsid w:val="00D503A6"/>
    <w:rsid w:val="00D503AB"/>
    <w:rsid w:val="00D52043"/>
    <w:rsid w:val="00D52111"/>
    <w:rsid w:val="00D52312"/>
    <w:rsid w:val="00D525AF"/>
    <w:rsid w:val="00D5320D"/>
    <w:rsid w:val="00D53249"/>
    <w:rsid w:val="00D53819"/>
    <w:rsid w:val="00D54625"/>
    <w:rsid w:val="00D55794"/>
    <w:rsid w:val="00D56937"/>
    <w:rsid w:val="00D57338"/>
    <w:rsid w:val="00D57B22"/>
    <w:rsid w:val="00D60866"/>
    <w:rsid w:val="00D6152D"/>
    <w:rsid w:val="00D62168"/>
    <w:rsid w:val="00D627A8"/>
    <w:rsid w:val="00D63BD9"/>
    <w:rsid w:val="00D63E2F"/>
    <w:rsid w:val="00D63F29"/>
    <w:rsid w:val="00D647FF"/>
    <w:rsid w:val="00D648C1"/>
    <w:rsid w:val="00D64A23"/>
    <w:rsid w:val="00D66AE4"/>
    <w:rsid w:val="00D66FC8"/>
    <w:rsid w:val="00D671AB"/>
    <w:rsid w:val="00D6757E"/>
    <w:rsid w:val="00D677E0"/>
    <w:rsid w:val="00D67C28"/>
    <w:rsid w:val="00D70F1E"/>
    <w:rsid w:val="00D71798"/>
    <w:rsid w:val="00D74881"/>
    <w:rsid w:val="00D754C8"/>
    <w:rsid w:val="00D75C29"/>
    <w:rsid w:val="00D75C3D"/>
    <w:rsid w:val="00D76ADB"/>
    <w:rsid w:val="00D76F0B"/>
    <w:rsid w:val="00D774DA"/>
    <w:rsid w:val="00D77A81"/>
    <w:rsid w:val="00D80861"/>
    <w:rsid w:val="00D80E24"/>
    <w:rsid w:val="00D81204"/>
    <w:rsid w:val="00D81B08"/>
    <w:rsid w:val="00D81B9D"/>
    <w:rsid w:val="00D82940"/>
    <w:rsid w:val="00D844BA"/>
    <w:rsid w:val="00D84600"/>
    <w:rsid w:val="00D85B64"/>
    <w:rsid w:val="00D86665"/>
    <w:rsid w:val="00D867A3"/>
    <w:rsid w:val="00D87C2E"/>
    <w:rsid w:val="00D87D04"/>
    <w:rsid w:val="00D9006F"/>
    <w:rsid w:val="00D90E49"/>
    <w:rsid w:val="00D91BA4"/>
    <w:rsid w:val="00D92814"/>
    <w:rsid w:val="00D9377E"/>
    <w:rsid w:val="00D95C12"/>
    <w:rsid w:val="00D95ECA"/>
    <w:rsid w:val="00D96397"/>
    <w:rsid w:val="00D96A0D"/>
    <w:rsid w:val="00D96A43"/>
    <w:rsid w:val="00D978A5"/>
    <w:rsid w:val="00DA00DC"/>
    <w:rsid w:val="00DA05DC"/>
    <w:rsid w:val="00DA1543"/>
    <w:rsid w:val="00DA1C26"/>
    <w:rsid w:val="00DA1FBC"/>
    <w:rsid w:val="00DA21FD"/>
    <w:rsid w:val="00DA2449"/>
    <w:rsid w:val="00DA2B06"/>
    <w:rsid w:val="00DA2DF0"/>
    <w:rsid w:val="00DA2F86"/>
    <w:rsid w:val="00DA394D"/>
    <w:rsid w:val="00DA3D70"/>
    <w:rsid w:val="00DA4702"/>
    <w:rsid w:val="00DA4F5E"/>
    <w:rsid w:val="00DA62A4"/>
    <w:rsid w:val="00DA6731"/>
    <w:rsid w:val="00DA774F"/>
    <w:rsid w:val="00DB0E03"/>
    <w:rsid w:val="00DB1385"/>
    <w:rsid w:val="00DB1415"/>
    <w:rsid w:val="00DB177D"/>
    <w:rsid w:val="00DB2D1B"/>
    <w:rsid w:val="00DB34BC"/>
    <w:rsid w:val="00DB479B"/>
    <w:rsid w:val="00DB47D2"/>
    <w:rsid w:val="00DB5070"/>
    <w:rsid w:val="00DB510A"/>
    <w:rsid w:val="00DB6008"/>
    <w:rsid w:val="00DB6352"/>
    <w:rsid w:val="00DC008B"/>
    <w:rsid w:val="00DC089D"/>
    <w:rsid w:val="00DC0E1B"/>
    <w:rsid w:val="00DC135C"/>
    <w:rsid w:val="00DC1B0D"/>
    <w:rsid w:val="00DC31DD"/>
    <w:rsid w:val="00DC38C2"/>
    <w:rsid w:val="00DC3AD1"/>
    <w:rsid w:val="00DC4C8F"/>
    <w:rsid w:val="00DC5399"/>
    <w:rsid w:val="00DC5BEE"/>
    <w:rsid w:val="00DC6553"/>
    <w:rsid w:val="00DC65A9"/>
    <w:rsid w:val="00DC774E"/>
    <w:rsid w:val="00DC7C9F"/>
    <w:rsid w:val="00DC7D70"/>
    <w:rsid w:val="00DC7F43"/>
    <w:rsid w:val="00DD019C"/>
    <w:rsid w:val="00DD06AD"/>
    <w:rsid w:val="00DD0722"/>
    <w:rsid w:val="00DD0D5A"/>
    <w:rsid w:val="00DD278D"/>
    <w:rsid w:val="00DD2EE5"/>
    <w:rsid w:val="00DD569C"/>
    <w:rsid w:val="00DD58D3"/>
    <w:rsid w:val="00DD5DA8"/>
    <w:rsid w:val="00DD6156"/>
    <w:rsid w:val="00DD6384"/>
    <w:rsid w:val="00DD63B8"/>
    <w:rsid w:val="00DD6B5D"/>
    <w:rsid w:val="00DD74C0"/>
    <w:rsid w:val="00DE1B99"/>
    <w:rsid w:val="00DE264E"/>
    <w:rsid w:val="00DE26A9"/>
    <w:rsid w:val="00DE28D4"/>
    <w:rsid w:val="00DE4026"/>
    <w:rsid w:val="00DE4D4C"/>
    <w:rsid w:val="00DE58F8"/>
    <w:rsid w:val="00DE5D01"/>
    <w:rsid w:val="00DE7BC5"/>
    <w:rsid w:val="00DE7DD9"/>
    <w:rsid w:val="00DF02BF"/>
    <w:rsid w:val="00DF0D71"/>
    <w:rsid w:val="00DF1010"/>
    <w:rsid w:val="00DF1FA4"/>
    <w:rsid w:val="00DF22A0"/>
    <w:rsid w:val="00DF34CB"/>
    <w:rsid w:val="00DF41B4"/>
    <w:rsid w:val="00DF429B"/>
    <w:rsid w:val="00DF460C"/>
    <w:rsid w:val="00DF4D76"/>
    <w:rsid w:val="00DF4D95"/>
    <w:rsid w:val="00DF5C5C"/>
    <w:rsid w:val="00DF73D4"/>
    <w:rsid w:val="00DF7571"/>
    <w:rsid w:val="00DF7ED4"/>
    <w:rsid w:val="00E00A12"/>
    <w:rsid w:val="00E00D6F"/>
    <w:rsid w:val="00E00F1A"/>
    <w:rsid w:val="00E010AF"/>
    <w:rsid w:val="00E01164"/>
    <w:rsid w:val="00E0118D"/>
    <w:rsid w:val="00E0185F"/>
    <w:rsid w:val="00E01A3B"/>
    <w:rsid w:val="00E0291C"/>
    <w:rsid w:val="00E03390"/>
    <w:rsid w:val="00E03BFF"/>
    <w:rsid w:val="00E04665"/>
    <w:rsid w:val="00E04DDD"/>
    <w:rsid w:val="00E05D47"/>
    <w:rsid w:val="00E06118"/>
    <w:rsid w:val="00E07292"/>
    <w:rsid w:val="00E0768A"/>
    <w:rsid w:val="00E0777A"/>
    <w:rsid w:val="00E079BA"/>
    <w:rsid w:val="00E108DF"/>
    <w:rsid w:val="00E10F16"/>
    <w:rsid w:val="00E110DD"/>
    <w:rsid w:val="00E11F6F"/>
    <w:rsid w:val="00E12240"/>
    <w:rsid w:val="00E13F40"/>
    <w:rsid w:val="00E143D4"/>
    <w:rsid w:val="00E15441"/>
    <w:rsid w:val="00E15EA2"/>
    <w:rsid w:val="00E1652D"/>
    <w:rsid w:val="00E16635"/>
    <w:rsid w:val="00E16A16"/>
    <w:rsid w:val="00E16B5D"/>
    <w:rsid w:val="00E17481"/>
    <w:rsid w:val="00E179D2"/>
    <w:rsid w:val="00E218E3"/>
    <w:rsid w:val="00E23554"/>
    <w:rsid w:val="00E2468A"/>
    <w:rsid w:val="00E24987"/>
    <w:rsid w:val="00E24F8C"/>
    <w:rsid w:val="00E25716"/>
    <w:rsid w:val="00E26D95"/>
    <w:rsid w:val="00E27383"/>
    <w:rsid w:val="00E27CE8"/>
    <w:rsid w:val="00E3052D"/>
    <w:rsid w:val="00E324A3"/>
    <w:rsid w:val="00E32691"/>
    <w:rsid w:val="00E32E4C"/>
    <w:rsid w:val="00E3391D"/>
    <w:rsid w:val="00E339D0"/>
    <w:rsid w:val="00E33D1E"/>
    <w:rsid w:val="00E340E7"/>
    <w:rsid w:val="00E34166"/>
    <w:rsid w:val="00E35BD4"/>
    <w:rsid w:val="00E3608B"/>
    <w:rsid w:val="00E3685D"/>
    <w:rsid w:val="00E3690C"/>
    <w:rsid w:val="00E40108"/>
    <w:rsid w:val="00E40227"/>
    <w:rsid w:val="00E40844"/>
    <w:rsid w:val="00E40AFE"/>
    <w:rsid w:val="00E427E9"/>
    <w:rsid w:val="00E431C6"/>
    <w:rsid w:val="00E4405D"/>
    <w:rsid w:val="00E44932"/>
    <w:rsid w:val="00E44A16"/>
    <w:rsid w:val="00E44F09"/>
    <w:rsid w:val="00E4509C"/>
    <w:rsid w:val="00E454D9"/>
    <w:rsid w:val="00E4611D"/>
    <w:rsid w:val="00E46A56"/>
    <w:rsid w:val="00E46EFB"/>
    <w:rsid w:val="00E46F7A"/>
    <w:rsid w:val="00E476E6"/>
    <w:rsid w:val="00E47943"/>
    <w:rsid w:val="00E47C41"/>
    <w:rsid w:val="00E50303"/>
    <w:rsid w:val="00E5062D"/>
    <w:rsid w:val="00E51148"/>
    <w:rsid w:val="00E514D4"/>
    <w:rsid w:val="00E51E7C"/>
    <w:rsid w:val="00E51FC5"/>
    <w:rsid w:val="00E529AD"/>
    <w:rsid w:val="00E53A94"/>
    <w:rsid w:val="00E545AC"/>
    <w:rsid w:val="00E55EDC"/>
    <w:rsid w:val="00E5638C"/>
    <w:rsid w:val="00E5665E"/>
    <w:rsid w:val="00E567FE"/>
    <w:rsid w:val="00E5707F"/>
    <w:rsid w:val="00E57373"/>
    <w:rsid w:val="00E57A3D"/>
    <w:rsid w:val="00E61C50"/>
    <w:rsid w:val="00E61D5A"/>
    <w:rsid w:val="00E62345"/>
    <w:rsid w:val="00E62758"/>
    <w:rsid w:val="00E650E7"/>
    <w:rsid w:val="00E65F37"/>
    <w:rsid w:val="00E668D8"/>
    <w:rsid w:val="00E67243"/>
    <w:rsid w:val="00E676C6"/>
    <w:rsid w:val="00E67776"/>
    <w:rsid w:val="00E679F7"/>
    <w:rsid w:val="00E67D38"/>
    <w:rsid w:val="00E70E22"/>
    <w:rsid w:val="00E71275"/>
    <w:rsid w:val="00E7137D"/>
    <w:rsid w:val="00E72B7D"/>
    <w:rsid w:val="00E73F3A"/>
    <w:rsid w:val="00E73F4E"/>
    <w:rsid w:val="00E7429D"/>
    <w:rsid w:val="00E743AB"/>
    <w:rsid w:val="00E74D89"/>
    <w:rsid w:val="00E7526A"/>
    <w:rsid w:val="00E75847"/>
    <w:rsid w:val="00E75A9C"/>
    <w:rsid w:val="00E7699A"/>
    <w:rsid w:val="00E772EB"/>
    <w:rsid w:val="00E804D3"/>
    <w:rsid w:val="00E818A5"/>
    <w:rsid w:val="00E82353"/>
    <w:rsid w:val="00E82CC1"/>
    <w:rsid w:val="00E83703"/>
    <w:rsid w:val="00E83C7D"/>
    <w:rsid w:val="00E83F23"/>
    <w:rsid w:val="00E84F0C"/>
    <w:rsid w:val="00E872EF"/>
    <w:rsid w:val="00E87348"/>
    <w:rsid w:val="00E9011D"/>
    <w:rsid w:val="00E916E5"/>
    <w:rsid w:val="00E91FAD"/>
    <w:rsid w:val="00E92972"/>
    <w:rsid w:val="00E931A4"/>
    <w:rsid w:val="00E93C0A"/>
    <w:rsid w:val="00E93D04"/>
    <w:rsid w:val="00E93FE9"/>
    <w:rsid w:val="00E942EB"/>
    <w:rsid w:val="00E94DDB"/>
    <w:rsid w:val="00E95470"/>
    <w:rsid w:val="00E961FC"/>
    <w:rsid w:val="00E9715E"/>
    <w:rsid w:val="00E97FDD"/>
    <w:rsid w:val="00EA0A12"/>
    <w:rsid w:val="00EA0A1D"/>
    <w:rsid w:val="00EA0DC3"/>
    <w:rsid w:val="00EA0EFA"/>
    <w:rsid w:val="00EA1376"/>
    <w:rsid w:val="00EA14D7"/>
    <w:rsid w:val="00EA17D0"/>
    <w:rsid w:val="00EA1F18"/>
    <w:rsid w:val="00EA296D"/>
    <w:rsid w:val="00EA3937"/>
    <w:rsid w:val="00EA3BDA"/>
    <w:rsid w:val="00EA3CCC"/>
    <w:rsid w:val="00EA587A"/>
    <w:rsid w:val="00EA5F67"/>
    <w:rsid w:val="00EA62CF"/>
    <w:rsid w:val="00EA72B9"/>
    <w:rsid w:val="00EA7542"/>
    <w:rsid w:val="00EB002F"/>
    <w:rsid w:val="00EB020A"/>
    <w:rsid w:val="00EB0A21"/>
    <w:rsid w:val="00EB1192"/>
    <w:rsid w:val="00EB1BA6"/>
    <w:rsid w:val="00EB1C0F"/>
    <w:rsid w:val="00EB3C6C"/>
    <w:rsid w:val="00EB4032"/>
    <w:rsid w:val="00EB432C"/>
    <w:rsid w:val="00EB438B"/>
    <w:rsid w:val="00EB4879"/>
    <w:rsid w:val="00EC1740"/>
    <w:rsid w:val="00EC2252"/>
    <w:rsid w:val="00EC226F"/>
    <w:rsid w:val="00EC2456"/>
    <w:rsid w:val="00EC2C85"/>
    <w:rsid w:val="00EC4E2D"/>
    <w:rsid w:val="00EC58D2"/>
    <w:rsid w:val="00EC5EDA"/>
    <w:rsid w:val="00EC6247"/>
    <w:rsid w:val="00EC7715"/>
    <w:rsid w:val="00ED046F"/>
    <w:rsid w:val="00ED1A77"/>
    <w:rsid w:val="00ED1B4D"/>
    <w:rsid w:val="00ED337E"/>
    <w:rsid w:val="00ED445C"/>
    <w:rsid w:val="00ED5AD0"/>
    <w:rsid w:val="00ED6191"/>
    <w:rsid w:val="00ED675E"/>
    <w:rsid w:val="00ED6FC4"/>
    <w:rsid w:val="00EE0105"/>
    <w:rsid w:val="00EE02C3"/>
    <w:rsid w:val="00EE056B"/>
    <w:rsid w:val="00EE19D3"/>
    <w:rsid w:val="00EE24ED"/>
    <w:rsid w:val="00EE2560"/>
    <w:rsid w:val="00EE3747"/>
    <w:rsid w:val="00EE3B3E"/>
    <w:rsid w:val="00EE40CE"/>
    <w:rsid w:val="00EE45D6"/>
    <w:rsid w:val="00EE4A1E"/>
    <w:rsid w:val="00EE53ED"/>
    <w:rsid w:val="00EE67FD"/>
    <w:rsid w:val="00EE6F14"/>
    <w:rsid w:val="00EF10B3"/>
    <w:rsid w:val="00EF10EE"/>
    <w:rsid w:val="00EF140B"/>
    <w:rsid w:val="00EF14C2"/>
    <w:rsid w:val="00EF15DC"/>
    <w:rsid w:val="00EF2EDD"/>
    <w:rsid w:val="00EF31FD"/>
    <w:rsid w:val="00EF4E45"/>
    <w:rsid w:val="00EF5CF6"/>
    <w:rsid w:val="00EF5FE7"/>
    <w:rsid w:val="00EF6061"/>
    <w:rsid w:val="00EF7AE5"/>
    <w:rsid w:val="00F009D6"/>
    <w:rsid w:val="00F00C78"/>
    <w:rsid w:val="00F0319C"/>
    <w:rsid w:val="00F035C0"/>
    <w:rsid w:val="00F038C6"/>
    <w:rsid w:val="00F039BE"/>
    <w:rsid w:val="00F043B9"/>
    <w:rsid w:val="00F04AA4"/>
    <w:rsid w:val="00F04AEE"/>
    <w:rsid w:val="00F05237"/>
    <w:rsid w:val="00F06661"/>
    <w:rsid w:val="00F06ED9"/>
    <w:rsid w:val="00F071BB"/>
    <w:rsid w:val="00F072AB"/>
    <w:rsid w:val="00F072DA"/>
    <w:rsid w:val="00F07BBC"/>
    <w:rsid w:val="00F07C55"/>
    <w:rsid w:val="00F10383"/>
    <w:rsid w:val="00F10951"/>
    <w:rsid w:val="00F10A20"/>
    <w:rsid w:val="00F10A6C"/>
    <w:rsid w:val="00F10B74"/>
    <w:rsid w:val="00F13867"/>
    <w:rsid w:val="00F154F5"/>
    <w:rsid w:val="00F15D85"/>
    <w:rsid w:val="00F176FC"/>
    <w:rsid w:val="00F2147D"/>
    <w:rsid w:val="00F22858"/>
    <w:rsid w:val="00F23198"/>
    <w:rsid w:val="00F23415"/>
    <w:rsid w:val="00F2370D"/>
    <w:rsid w:val="00F2509B"/>
    <w:rsid w:val="00F26070"/>
    <w:rsid w:val="00F266CC"/>
    <w:rsid w:val="00F27A73"/>
    <w:rsid w:val="00F306AD"/>
    <w:rsid w:val="00F30DD0"/>
    <w:rsid w:val="00F31647"/>
    <w:rsid w:val="00F319DB"/>
    <w:rsid w:val="00F31D16"/>
    <w:rsid w:val="00F32308"/>
    <w:rsid w:val="00F33F90"/>
    <w:rsid w:val="00F34DB7"/>
    <w:rsid w:val="00F358C5"/>
    <w:rsid w:val="00F35AEE"/>
    <w:rsid w:val="00F35BCC"/>
    <w:rsid w:val="00F35D06"/>
    <w:rsid w:val="00F35F15"/>
    <w:rsid w:val="00F36671"/>
    <w:rsid w:val="00F37EAB"/>
    <w:rsid w:val="00F4023E"/>
    <w:rsid w:val="00F40A14"/>
    <w:rsid w:val="00F41288"/>
    <w:rsid w:val="00F41444"/>
    <w:rsid w:val="00F42B0A"/>
    <w:rsid w:val="00F42C20"/>
    <w:rsid w:val="00F43781"/>
    <w:rsid w:val="00F43C8F"/>
    <w:rsid w:val="00F44B87"/>
    <w:rsid w:val="00F44FBA"/>
    <w:rsid w:val="00F4506E"/>
    <w:rsid w:val="00F45943"/>
    <w:rsid w:val="00F45CFA"/>
    <w:rsid w:val="00F517E3"/>
    <w:rsid w:val="00F51935"/>
    <w:rsid w:val="00F519E5"/>
    <w:rsid w:val="00F52E8C"/>
    <w:rsid w:val="00F532C2"/>
    <w:rsid w:val="00F537B1"/>
    <w:rsid w:val="00F545A1"/>
    <w:rsid w:val="00F5578D"/>
    <w:rsid w:val="00F55C63"/>
    <w:rsid w:val="00F55F01"/>
    <w:rsid w:val="00F57076"/>
    <w:rsid w:val="00F570EC"/>
    <w:rsid w:val="00F57C48"/>
    <w:rsid w:val="00F6133F"/>
    <w:rsid w:val="00F61728"/>
    <w:rsid w:val="00F64F92"/>
    <w:rsid w:val="00F6529F"/>
    <w:rsid w:val="00F653BE"/>
    <w:rsid w:val="00F65A5E"/>
    <w:rsid w:val="00F674F6"/>
    <w:rsid w:val="00F6754E"/>
    <w:rsid w:val="00F70599"/>
    <w:rsid w:val="00F706DA"/>
    <w:rsid w:val="00F7081C"/>
    <w:rsid w:val="00F714ED"/>
    <w:rsid w:val="00F738FD"/>
    <w:rsid w:val="00F75751"/>
    <w:rsid w:val="00F765AF"/>
    <w:rsid w:val="00F76B27"/>
    <w:rsid w:val="00F76B2E"/>
    <w:rsid w:val="00F806B7"/>
    <w:rsid w:val="00F8161E"/>
    <w:rsid w:val="00F83417"/>
    <w:rsid w:val="00F84262"/>
    <w:rsid w:val="00F8441C"/>
    <w:rsid w:val="00F8490B"/>
    <w:rsid w:val="00F85072"/>
    <w:rsid w:val="00F8527C"/>
    <w:rsid w:val="00F85AD6"/>
    <w:rsid w:val="00F8606C"/>
    <w:rsid w:val="00F87E46"/>
    <w:rsid w:val="00F90156"/>
    <w:rsid w:val="00F90C7B"/>
    <w:rsid w:val="00F9115F"/>
    <w:rsid w:val="00F91CBF"/>
    <w:rsid w:val="00F921F4"/>
    <w:rsid w:val="00F92C55"/>
    <w:rsid w:val="00F93801"/>
    <w:rsid w:val="00F9497E"/>
    <w:rsid w:val="00F951CD"/>
    <w:rsid w:val="00F953AB"/>
    <w:rsid w:val="00F95708"/>
    <w:rsid w:val="00F95864"/>
    <w:rsid w:val="00F96583"/>
    <w:rsid w:val="00F972DD"/>
    <w:rsid w:val="00F97368"/>
    <w:rsid w:val="00F97DA1"/>
    <w:rsid w:val="00FA0474"/>
    <w:rsid w:val="00FA18E9"/>
    <w:rsid w:val="00FA1F15"/>
    <w:rsid w:val="00FA2077"/>
    <w:rsid w:val="00FA2AFF"/>
    <w:rsid w:val="00FA2CC6"/>
    <w:rsid w:val="00FA415A"/>
    <w:rsid w:val="00FA4C56"/>
    <w:rsid w:val="00FA5EC1"/>
    <w:rsid w:val="00FA6155"/>
    <w:rsid w:val="00FA6F8D"/>
    <w:rsid w:val="00FA7307"/>
    <w:rsid w:val="00FA751B"/>
    <w:rsid w:val="00FA7848"/>
    <w:rsid w:val="00FA7B2D"/>
    <w:rsid w:val="00FA7BE7"/>
    <w:rsid w:val="00FB00F7"/>
    <w:rsid w:val="00FB1630"/>
    <w:rsid w:val="00FB1AA1"/>
    <w:rsid w:val="00FB3027"/>
    <w:rsid w:val="00FB358A"/>
    <w:rsid w:val="00FB3813"/>
    <w:rsid w:val="00FB3D50"/>
    <w:rsid w:val="00FB45D7"/>
    <w:rsid w:val="00FB4CF3"/>
    <w:rsid w:val="00FB54BB"/>
    <w:rsid w:val="00FB59EE"/>
    <w:rsid w:val="00FB741E"/>
    <w:rsid w:val="00FC0025"/>
    <w:rsid w:val="00FC0924"/>
    <w:rsid w:val="00FC10AC"/>
    <w:rsid w:val="00FC1306"/>
    <w:rsid w:val="00FC16D1"/>
    <w:rsid w:val="00FC1B1D"/>
    <w:rsid w:val="00FC2345"/>
    <w:rsid w:val="00FC2B82"/>
    <w:rsid w:val="00FC2EAB"/>
    <w:rsid w:val="00FC3A70"/>
    <w:rsid w:val="00FC4AFB"/>
    <w:rsid w:val="00FC669A"/>
    <w:rsid w:val="00FD0225"/>
    <w:rsid w:val="00FD0E47"/>
    <w:rsid w:val="00FD11BE"/>
    <w:rsid w:val="00FD129B"/>
    <w:rsid w:val="00FD1FE8"/>
    <w:rsid w:val="00FD2731"/>
    <w:rsid w:val="00FD2B12"/>
    <w:rsid w:val="00FD414A"/>
    <w:rsid w:val="00FD55B5"/>
    <w:rsid w:val="00FD6375"/>
    <w:rsid w:val="00FD7974"/>
    <w:rsid w:val="00FD7A51"/>
    <w:rsid w:val="00FE01F4"/>
    <w:rsid w:val="00FE0221"/>
    <w:rsid w:val="00FE0D75"/>
    <w:rsid w:val="00FE0FC2"/>
    <w:rsid w:val="00FE1540"/>
    <w:rsid w:val="00FE18EE"/>
    <w:rsid w:val="00FE33EF"/>
    <w:rsid w:val="00FE3B78"/>
    <w:rsid w:val="00FE5DEF"/>
    <w:rsid w:val="00FE6392"/>
    <w:rsid w:val="00FE678E"/>
    <w:rsid w:val="00FE77D3"/>
    <w:rsid w:val="00FE7DC1"/>
    <w:rsid w:val="00FE7E27"/>
    <w:rsid w:val="00FF0976"/>
    <w:rsid w:val="00FF103D"/>
    <w:rsid w:val="00FF11B5"/>
    <w:rsid w:val="00FF1A15"/>
    <w:rsid w:val="00FF2846"/>
    <w:rsid w:val="00FF3CAA"/>
    <w:rsid w:val="00FF41D0"/>
    <w:rsid w:val="00FF4B08"/>
    <w:rsid w:val="00FF53E0"/>
    <w:rsid w:val="00FF58E9"/>
    <w:rsid w:val="00FF593B"/>
    <w:rsid w:val="00FF68BF"/>
    <w:rsid w:val="00FF7073"/>
    <w:rsid w:val="00FF7734"/>
    <w:rsid w:val="00FF7736"/>
    <w:rsid w:val="05510654"/>
    <w:rsid w:val="05BD055A"/>
    <w:rsid w:val="06130143"/>
    <w:rsid w:val="086D7C2E"/>
    <w:rsid w:val="090221EB"/>
    <w:rsid w:val="0A3E4216"/>
    <w:rsid w:val="0EB53A7F"/>
    <w:rsid w:val="12390D1E"/>
    <w:rsid w:val="16395E5E"/>
    <w:rsid w:val="16FA09C1"/>
    <w:rsid w:val="17DB04CC"/>
    <w:rsid w:val="1B775E75"/>
    <w:rsid w:val="1C377CA4"/>
    <w:rsid w:val="1DFF1866"/>
    <w:rsid w:val="1F237F5E"/>
    <w:rsid w:val="22A208AE"/>
    <w:rsid w:val="22F028ED"/>
    <w:rsid w:val="25DB3CDA"/>
    <w:rsid w:val="288D2BEA"/>
    <w:rsid w:val="292F1013"/>
    <w:rsid w:val="2C177414"/>
    <w:rsid w:val="2CE01A08"/>
    <w:rsid w:val="2F383732"/>
    <w:rsid w:val="2F531264"/>
    <w:rsid w:val="2FEB3344"/>
    <w:rsid w:val="32A7512D"/>
    <w:rsid w:val="3AC827FE"/>
    <w:rsid w:val="3BB42A5D"/>
    <w:rsid w:val="3ECC09B3"/>
    <w:rsid w:val="3FD05DB3"/>
    <w:rsid w:val="41B70045"/>
    <w:rsid w:val="425C5EED"/>
    <w:rsid w:val="42FA4ED2"/>
    <w:rsid w:val="47DE73B4"/>
    <w:rsid w:val="48975E39"/>
    <w:rsid w:val="4BC649BC"/>
    <w:rsid w:val="4C455D3C"/>
    <w:rsid w:val="4C7F763B"/>
    <w:rsid w:val="4F5B09DE"/>
    <w:rsid w:val="56342829"/>
    <w:rsid w:val="5E6F19E2"/>
    <w:rsid w:val="609F611E"/>
    <w:rsid w:val="6155177A"/>
    <w:rsid w:val="615974EF"/>
    <w:rsid w:val="6B64083D"/>
    <w:rsid w:val="6BCE46B4"/>
    <w:rsid w:val="71081111"/>
    <w:rsid w:val="7925756D"/>
    <w:rsid w:val="7B681EA1"/>
    <w:rsid w:val="7E6A1429"/>
    <w:rsid w:val="7F392B3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9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99"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99" w:semiHidden="0" w:name="List"/>
    <w:lsdException w:qFormat="1"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99" w:semiHidden="0" w:name="Date"/>
    <w:lsdException w:qFormat="1" w:unhideWhenUsed="0" w:uiPriority="99"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99"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723" w:firstLineChars="200"/>
    </w:pPr>
    <w:rPr>
      <w:rFonts w:ascii="Times New Roman" w:hAnsi="Times New Roman" w:eastAsia="仿宋_GB2312" w:cs="宋体"/>
      <w:sz w:val="24"/>
      <w:szCs w:val="24"/>
      <w:lang w:val="en-US" w:eastAsia="zh-CN" w:bidi="ar-SA"/>
    </w:rPr>
  </w:style>
  <w:style w:type="paragraph" w:styleId="2">
    <w:name w:val="heading 1"/>
    <w:basedOn w:val="1"/>
    <w:next w:val="1"/>
    <w:link w:val="64"/>
    <w:qFormat/>
    <w:uiPriority w:val="99"/>
    <w:pPr>
      <w:keepNext/>
      <w:tabs>
        <w:tab w:val="left" w:pos="4118"/>
      </w:tabs>
      <w:adjustRightInd w:val="0"/>
      <w:snapToGrid w:val="0"/>
      <w:spacing w:before="50" w:beforeLines="50" w:after="50" w:afterLines="50"/>
      <w:ind w:firstLine="0" w:firstLineChars="0"/>
      <w:jc w:val="center"/>
      <w:outlineLvl w:val="0"/>
    </w:pPr>
    <w:rPr>
      <w:rFonts w:eastAsia="宋体" w:cs="黑体"/>
      <w:b/>
      <w:bCs/>
      <w:color w:val="000000"/>
      <w:sz w:val="32"/>
    </w:rPr>
  </w:style>
  <w:style w:type="paragraph" w:styleId="3">
    <w:name w:val="heading 2"/>
    <w:basedOn w:val="1"/>
    <w:next w:val="4"/>
    <w:link w:val="66"/>
    <w:qFormat/>
    <w:uiPriority w:val="99"/>
    <w:pPr>
      <w:keepNext/>
      <w:keepLines/>
      <w:numPr>
        <w:ilvl w:val="1"/>
        <w:numId w:val="1"/>
      </w:numPr>
      <w:tabs>
        <w:tab w:val="left" w:pos="860"/>
        <w:tab w:val="left" w:pos="4118"/>
      </w:tabs>
      <w:ind w:firstLine="0" w:firstLineChars="0"/>
      <w:outlineLvl w:val="1"/>
    </w:pPr>
    <w:rPr>
      <w:rFonts w:ascii="Arial" w:hAnsi="Arial" w:eastAsia="黑体"/>
      <w:b/>
      <w:sz w:val="30"/>
    </w:rPr>
  </w:style>
  <w:style w:type="paragraph" w:styleId="5">
    <w:name w:val="heading 3"/>
    <w:basedOn w:val="1"/>
    <w:next w:val="4"/>
    <w:link w:val="67"/>
    <w:qFormat/>
    <w:uiPriority w:val="99"/>
    <w:pPr>
      <w:keepNext/>
      <w:keepLines/>
      <w:tabs>
        <w:tab w:val="left" w:pos="1146"/>
        <w:tab w:val="left" w:pos="4118"/>
      </w:tabs>
      <w:adjustRightInd w:val="0"/>
      <w:snapToGrid w:val="0"/>
      <w:ind w:firstLine="0" w:firstLineChars="0"/>
      <w:outlineLvl w:val="2"/>
    </w:pPr>
    <w:rPr>
      <w:rFonts w:eastAsia="宋体" w:cs="Times New Roman"/>
      <w:b/>
      <w:sz w:val="28"/>
    </w:rPr>
  </w:style>
  <w:style w:type="paragraph" w:styleId="6">
    <w:name w:val="heading 4"/>
    <w:basedOn w:val="1"/>
    <w:next w:val="4"/>
    <w:link w:val="68"/>
    <w:qFormat/>
    <w:uiPriority w:val="99"/>
    <w:pPr>
      <w:keepNext/>
      <w:keepLines/>
      <w:tabs>
        <w:tab w:val="left" w:pos="0"/>
      </w:tabs>
      <w:adjustRightInd w:val="0"/>
      <w:snapToGrid w:val="0"/>
      <w:ind w:firstLine="0" w:firstLineChars="0"/>
      <w:jc w:val="both"/>
      <w:outlineLvl w:val="3"/>
    </w:pPr>
    <w:rPr>
      <w:rFonts w:cs="黑体" w:eastAsiaTheme="majorEastAsia"/>
      <w:b/>
      <w:bCs/>
    </w:rPr>
  </w:style>
  <w:style w:type="paragraph" w:styleId="7">
    <w:name w:val="heading 5"/>
    <w:basedOn w:val="1"/>
    <w:next w:val="4"/>
    <w:link w:val="69"/>
    <w:qFormat/>
    <w:uiPriority w:val="0"/>
    <w:pPr>
      <w:keepNext/>
      <w:keepLines/>
      <w:numPr>
        <w:ilvl w:val="4"/>
        <w:numId w:val="1"/>
      </w:numPr>
      <w:tabs>
        <w:tab w:val="left" w:pos="1008"/>
      </w:tabs>
      <w:spacing w:before="280" w:after="290" w:line="376" w:lineRule="auto"/>
      <w:ind w:firstLine="0" w:firstLineChars="0"/>
      <w:outlineLvl w:val="4"/>
    </w:pPr>
    <w:rPr>
      <w:b/>
      <w:sz w:val="28"/>
    </w:rPr>
  </w:style>
  <w:style w:type="paragraph" w:styleId="8">
    <w:name w:val="heading 6"/>
    <w:basedOn w:val="1"/>
    <w:next w:val="4"/>
    <w:link w:val="70"/>
    <w:qFormat/>
    <w:uiPriority w:val="0"/>
    <w:pPr>
      <w:keepNext/>
      <w:keepLines/>
      <w:numPr>
        <w:ilvl w:val="5"/>
        <w:numId w:val="1"/>
      </w:numPr>
      <w:tabs>
        <w:tab w:val="left" w:pos="1152"/>
      </w:tabs>
      <w:spacing w:before="240" w:after="64" w:line="320" w:lineRule="auto"/>
      <w:ind w:firstLine="0" w:firstLineChars="0"/>
      <w:outlineLvl w:val="5"/>
    </w:pPr>
    <w:rPr>
      <w:rFonts w:ascii="Arial" w:hAnsi="Arial" w:eastAsia="黑体"/>
      <w:b/>
    </w:rPr>
  </w:style>
  <w:style w:type="paragraph" w:styleId="9">
    <w:name w:val="heading 7"/>
    <w:basedOn w:val="1"/>
    <w:next w:val="4"/>
    <w:link w:val="71"/>
    <w:qFormat/>
    <w:uiPriority w:val="0"/>
    <w:pPr>
      <w:keepNext/>
      <w:keepLines/>
      <w:numPr>
        <w:ilvl w:val="6"/>
        <w:numId w:val="1"/>
      </w:numPr>
      <w:tabs>
        <w:tab w:val="left" w:pos="1296"/>
      </w:tabs>
      <w:spacing w:before="240" w:after="64" w:line="320" w:lineRule="auto"/>
      <w:ind w:firstLine="0" w:firstLineChars="0"/>
      <w:outlineLvl w:val="6"/>
    </w:pPr>
    <w:rPr>
      <w:b/>
    </w:rPr>
  </w:style>
  <w:style w:type="paragraph" w:styleId="10">
    <w:name w:val="heading 8"/>
    <w:basedOn w:val="1"/>
    <w:next w:val="4"/>
    <w:link w:val="72"/>
    <w:qFormat/>
    <w:uiPriority w:val="0"/>
    <w:pPr>
      <w:keepNext/>
      <w:keepLines/>
      <w:numPr>
        <w:ilvl w:val="7"/>
        <w:numId w:val="1"/>
      </w:numPr>
      <w:tabs>
        <w:tab w:val="left" w:pos="1440"/>
      </w:tabs>
      <w:spacing w:before="240" w:after="64" w:line="320" w:lineRule="auto"/>
      <w:ind w:firstLine="0" w:firstLineChars="0"/>
      <w:outlineLvl w:val="7"/>
    </w:pPr>
    <w:rPr>
      <w:rFonts w:ascii="Arial" w:hAnsi="Arial" w:eastAsia="黑体"/>
    </w:rPr>
  </w:style>
  <w:style w:type="paragraph" w:styleId="11">
    <w:name w:val="heading 9"/>
    <w:basedOn w:val="1"/>
    <w:next w:val="4"/>
    <w:link w:val="73"/>
    <w:qFormat/>
    <w:uiPriority w:val="0"/>
    <w:pPr>
      <w:keepNext/>
      <w:keepLines/>
      <w:numPr>
        <w:ilvl w:val="8"/>
        <w:numId w:val="1"/>
      </w:numPr>
      <w:tabs>
        <w:tab w:val="left" w:pos="1584"/>
      </w:tabs>
      <w:spacing w:before="240" w:after="64" w:line="320" w:lineRule="auto"/>
      <w:ind w:firstLine="0" w:firstLineChars="0"/>
      <w:outlineLvl w:val="8"/>
    </w:pPr>
    <w:rPr>
      <w:rFonts w:ascii="Arial" w:hAnsi="Arial" w:eastAsia="黑体"/>
    </w:rPr>
  </w:style>
  <w:style w:type="character" w:default="1" w:styleId="50">
    <w:name w:val="Default Paragraph Font"/>
    <w:semiHidden/>
    <w:unhideWhenUsed/>
    <w:qFormat/>
    <w:uiPriority w:val="1"/>
  </w:style>
  <w:style w:type="table" w:default="1" w:styleId="48">
    <w:name w:val="Normal Table"/>
    <w:semiHidden/>
    <w:unhideWhenUsed/>
    <w:qFormat/>
    <w:uiPriority w:val="99"/>
    <w:tblPr>
      <w:tblCellMar>
        <w:top w:w="0" w:type="dxa"/>
        <w:left w:w="108" w:type="dxa"/>
        <w:bottom w:w="0" w:type="dxa"/>
        <w:right w:w="108" w:type="dxa"/>
      </w:tblCellMar>
    </w:tblPr>
  </w:style>
  <w:style w:type="paragraph" w:styleId="4">
    <w:name w:val="Normal Indent"/>
    <w:basedOn w:val="1"/>
    <w:link w:val="65"/>
    <w:qFormat/>
    <w:uiPriority w:val="99"/>
    <w:pPr>
      <w:ind w:firstLine="420"/>
    </w:pPr>
    <w:rPr>
      <w:rFonts w:cs="Times New Roman"/>
      <w:sz w:val="20"/>
      <w:szCs w:val="20"/>
    </w:rPr>
  </w:style>
  <w:style w:type="paragraph" w:styleId="12">
    <w:name w:val="toc 7"/>
    <w:basedOn w:val="1"/>
    <w:next w:val="1"/>
    <w:qFormat/>
    <w:uiPriority w:val="99"/>
    <w:pPr>
      <w:ind w:left="2520" w:leftChars="1200"/>
    </w:pPr>
  </w:style>
  <w:style w:type="paragraph" w:styleId="13">
    <w:name w:val="caption"/>
    <w:basedOn w:val="1"/>
    <w:next w:val="1"/>
    <w:qFormat/>
    <w:uiPriority w:val="0"/>
    <w:pPr>
      <w:widowControl w:val="0"/>
      <w:spacing w:before="152" w:after="160"/>
      <w:jc w:val="both"/>
    </w:pPr>
    <w:rPr>
      <w:rFonts w:ascii="Arial" w:hAnsi="Arial" w:eastAsia="黑体" w:cs="Arial"/>
      <w:kern w:val="2"/>
      <w:sz w:val="20"/>
      <w:szCs w:val="20"/>
    </w:rPr>
  </w:style>
  <w:style w:type="paragraph" w:styleId="14">
    <w:name w:val="List Bullet"/>
    <w:basedOn w:val="1"/>
    <w:qFormat/>
    <w:uiPriority w:val="0"/>
    <w:pPr>
      <w:tabs>
        <w:tab w:val="left" w:pos="360"/>
      </w:tabs>
      <w:topLinePunct/>
      <w:adjustRightInd w:val="0"/>
      <w:spacing w:line="530" w:lineRule="exact"/>
      <w:ind w:left="360" w:hanging="360"/>
      <w:textAlignment w:val="baseline"/>
    </w:pPr>
    <w:rPr>
      <w:sz w:val="30"/>
    </w:rPr>
  </w:style>
  <w:style w:type="paragraph" w:styleId="15">
    <w:name w:val="Document Map"/>
    <w:basedOn w:val="1"/>
    <w:link w:val="74"/>
    <w:qFormat/>
    <w:uiPriority w:val="99"/>
    <w:pPr>
      <w:shd w:val="clear" w:color="auto" w:fill="000080"/>
    </w:pPr>
  </w:style>
  <w:style w:type="paragraph" w:styleId="16">
    <w:name w:val="annotation text"/>
    <w:basedOn w:val="1"/>
    <w:link w:val="75"/>
    <w:qFormat/>
    <w:uiPriority w:val="99"/>
  </w:style>
  <w:style w:type="paragraph" w:styleId="17">
    <w:name w:val="Body Text 3"/>
    <w:basedOn w:val="1"/>
    <w:qFormat/>
    <w:uiPriority w:val="0"/>
    <w:pPr>
      <w:spacing w:after="120"/>
    </w:pPr>
    <w:rPr>
      <w:sz w:val="16"/>
      <w:szCs w:val="16"/>
    </w:rPr>
  </w:style>
  <w:style w:type="paragraph" w:styleId="18">
    <w:name w:val="Body Text"/>
    <w:basedOn w:val="1"/>
    <w:link w:val="76"/>
    <w:qFormat/>
    <w:uiPriority w:val="99"/>
  </w:style>
  <w:style w:type="paragraph" w:styleId="19">
    <w:name w:val="Body Text Indent"/>
    <w:basedOn w:val="1"/>
    <w:link w:val="77"/>
    <w:qFormat/>
    <w:uiPriority w:val="99"/>
    <w:pPr>
      <w:ind w:firstLine="510"/>
    </w:pPr>
  </w:style>
  <w:style w:type="paragraph" w:styleId="20">
    <w:name w:val="List 2"/>
    <w:basedOn w:val="1"/>
    <w:qFormat/>
    <w:uiPriority w:val="0"/>
    <w:pPr>
      <w:widowControl w:val="0"/>
      <w:ind w:left="840" w:hanging="420"/>
      <w:jc w:val="both"/>
    </w:pPr>
    <w:rPr>
      <w:rFonts w:cs="Times New Roman"/>
      <w:kern w:val="2"/>
      <w:sz w:val="21"/>
    </w:rPr>
  </w:style>
  <w:style w:type="paragraph" w:styleId="21">
    <w:name w:val="toc 5"/>
    <w:basedOn w:val="1"/>
    <w:next w:val="1"/>
    <w:qFormat/>
    <w:uiPriority w:val="99"/>
    <w:pPr>
      <w:ind w:left="1680" w:leftChars="800"/>
    </w:pPr>
  </w:style>
  <w:style w:type="paragraph" w:styleId="22">
    <w:name w:val="toc 3"/>
    <w:basedOn w:val="1"/>
    <w:next w:val="1"/>
    <w:qFormat/>
    <w:uiPriority w:val="99"/>
    <w:pPr>
      <w:ind w:left="840" w:leftChars="400"/>
    </w:pPr>
  </w:style>
  <w:style w:type="paragraph" w:styleId="23">
    <w:name w:val="Plain Text"/>
    <w:basedOn w:val="1"/>
    <w:link w:val="78"/>
    <w:qFormat/>
    <w:uiPriority w:val="0"/>
    <w:rPr>
      <w:rFonts w:hAnsi="Courier New" w:cs="黑体"/>
      <w:szCs w:val="21"/>
    </w:rPr>
  </w:style>
  <w:style w:type="paragraph" w:styleId="24">
    <w:name w:val="toc 8"/>
    <w:basedOn w:val="1"/>
    <w:next w:val="1"/>
    <w:qFormat/>
    <w:uiPriority w:val="99"/>
    <w:pPr>
      <w:ind w:left="2940" w:leftChars="1400"/>
    </w:pPr>
  </w:style>
  <w:style w:type="paragraph" w:styleId="25">
    <w:name w:val="Date"/>
    <w:basedOn w:val="1"/>
    <w:next w:val="1"/>
    <w:link w:val="79"/>
    <w:qFormat/>
    <w:uiPriority w:val="99"/>
    <w:rPr>
      <w:sz w:val="28"/>
    </w:rPr>
  </w:style>
  <w:style w:type="paragraph" w:styleId="26">
    <w:name w:val="Body Text Indent 2"/>
    <w:basedOn w:val="1"/>
    <w:link w:val="80"/>
    <w:qFormat/>
    <w:uiPriority w:val="99"/>
    <w:pPr>
      <w:tabs>
        <w:tab w:val="left" w:pos="2446"/>
      </w:tabs>
      <w:spacing w:before="156" w:after="60"/>
      <w:ind w:firstLine="567"/>
    </w:pPr>
    <w:rPr>
      <w:sz w:val="28"/>
    </w:rPr>
  </w:style>
  <w:style w:type="paragraph" w:styleId="27">
    <w:name w:val="Balloon Text"/>
    <w:basedOn w:val="1"/>
    <w:link w:val="81"/>
    <w:qFormat/>
    <w:uiPriority w:val="99"/>
    <w:rPr>
      <w:sz w:val="18"/>
      <w:szCs w:val="18"/>
    </w:rPr>
  </w:style>
  <w:style w:type="paragraph" w:styleId="28">
    <w:name w:val="footer"/>
    <w:basedOn w:val="1"/>
    <w:link w:val="82"/>
    <w:qFormat/>
    <w:uiPriority w:val="99"/>
    <w:pPr>
      <w:tabs>
        <w:tab w:val="center" w:pos="4153"/>
        <w:tab w:val="right" w:pos="8306"/>
      </w:tabs>
      <w:snapToGrid w:val="0"/>
    </w:pPr>
    <w:rPr>
      <w:sz w:val="18"/>
      <w:szCs w:val="18"/>
    </w:rPr>
  </w:style>
  <w:style w:type="paragraph" w:styleId="29">
    <w:name w:val="header"/>
    <w:basedOn w:val="1"/>
    <w:link w:val="83"/>
    <w:qFormat/>
    <w:uiPriority w:val="99"/>
    <w:pPr>
      <w:pBdr>
        <w:bottom w:val="single" w:color="auto" w:sz="6" w:space="1"/>
      </w:pBdr>
      <w:tabs>
        <w:tab w:val="center" w:pos="4153"/>
        <w:tab w:val="right" w:pos="8306"/>
      </w:tabs>
      <w:snapToGrid w:val="0"/>
      <w:jc w:val="center"/>
    </w:pPr>
    <w:rPr>
      <w:sz w:val="18"/>
      <w:szCs w:val="18"/>
    </w:rPr>
  </w:style>
  <w:style w:type="paragraph" w:styleId="30">
    <w:name w:val="toc 1"/>
    <w:basedOn w:val="1"/>
    <w:next w:val="1"/>
    <w:qFormat/>
    <w:uiPriority w:val="39"/>
    <w:pPr>
      <w:tabs>
        <w:tab w:val="left" w:pos="840"/>
        <w:tab w:val="right" w:leader="dot" w:pos="8324"/>
      </w:tabs>
      <w:spacing w:beforeLines="50" w:line="460" w:lineRule="atLeast"/>
    </w:pPr>
    <w:rPr>
      <w:rFonts w:eastAsia="黑体"/>
      <w:b/>
      <w:sz w:val="28"/>
    </w:rPr>
  </w:style>
  <w:style w:type="paragraph" w:styleId="31">
    <w:name w:val="toc 4"/>
    <w:basedOn w:val="1"/>
    <w:next w:val="1"/>
    <w:qFormat/>
    <w:uiPriority w:val="99"/>
    <w:pPr>
      <w:ind w:left="1260" w:leftChars="600"/>
    </w:pPr>
  </w:style>
  <w:style w:type="paragraph" w:styleId="32">
    <w:name w:val="index heading"/>
    <w:basedOn w:val="1"/>
    <w:next w:val="33"/>
    <w:qFormat/>
    <w:uiPriority w:val="0"/>
    <w:pPr>
      <w:widowControl w:val="0"/>
      <w:jc w:val="both"/>
    </w:pPr>
    <w:rPr>
      <w:rFonts w:cs="Times New Roman"/>
      <w:kern w:val="2"/>
      <w:sz w:val="21"/>
      <w:szCs w:val="20"/>
    </w:rPr>
  </w:style>
  <w:style w:type="paragraph" w:styleId="33">
    <w:name w:val="index 1"/>
    <w:basedOn w:val="1"/>
    <w:next w:val="1"/>
    <w:qFormat/>
    <w:uiPriority w:val="0"/>
    <w:rPr>
      <w:rFonts w:cs="Times New Roman"/>
      <w:sz w:val="28"/>
      <w:szCs w:val="20"/>
    </w:rPr>
  </w:style>
  <w:style w:type="paragraph" w:styleId="34">
    <w:name w:val="List"/>
    <w:basedOn w:val="1"/>
    <w:qFormat/>
    <w:uiPriority w:val="99"/>
    <w:pPr>
      <w:widowControl w:val="0"/>
      <w:ind w:left="200" w:hanging="200" w:hangingChars="200"/>
    </w:pPr>
    <w:rPr>
      <w:rFonts w:cs="Times New Roman"/>
      <w:kern w:val="2"/>
      <w:sz w:val="28"/>
    </w:rPr>
  </w:style>
  <w:style w:type="paragraph" w:styleId="35">
    <w:name w:val="footnote text"/>
    <w:basedOn w:val="1"/>
    <w:qFormat/>
    <w:uiPriority w:val="0"/>
    <w:pPr>
      <w:widowControl w:val="0"/>
      <w:snapToGrid w:val="0"/>
    </w:pPr>
    <w:rPr>
      <w:rFonts w:cs="Times New Roman"/>
      <w:kern w:val="2"/>
      <w:sz w:val="18"/>
      <w:szCs w:val="18"/>
    </w:rPr>
  </w:style>
  <w:style w:type="paragraph" w:styleId="36">
    <w:name w:val="toc 6"/>
    <w:basedOn w:val="1"/>
    <w:next w:val="1"/>
    <w:qFormat/>
    <w:uiPriority w:val="99"/>
    <w:pPr>
      <w:ind w:left="2100" w:leftChars="1000"/>
    </w:pPr>
  </w:style>
  <w:style w:type="paragraph" w:styleId="37">
    <w:name w:val="Body Text Indent 3"/>
    <w:basedOn w:val="1"/>
    <w:link w:val="84"/>
    <w:qFormat/>
    <w:uiPriority w:val="0"/>
    <w:pPr>
      <w:spacing w:after="60"/>
      <w:ind w:firstLine="425"/>
    </w:pPr>
    <w:rPr>
      <w:sz w:val="28"/>
    </w:rPr>
  </w:style>
  <w:style w:type="paragraph" w:styleId="38">
    <w:name w:val="table of figures"/>
    <w:basedOn w:val="1"/>
    <w:next w:val="1"/>
    <w:qFormat/>
    <w:uiPriority w:val="0"/>
    <w:pPr>
      <w:ind w:left="200" w:leftChars="200" w:hanging="200" w:hangingChars="200"/>
    </w:pPr>
  </w:style>
  <w:style w:type="paragraph" w:styleId="39">
    <w:name w:val="toc 2"/>
    <w:basedOn w:val="1"/>
    <w:next w:val="1"/>
    <w:qFormat/>
    <w:uiPriority w:val="39"/>
    <w:pPr>
      <w:tabs>
        <w:tab w:val="left" w:pos="1260"/>
        <w:tab w:val="right" w:leader="dot" w:pos="8324"/>
      </w:tabs>
      <w:spacing w:line="440" w:lineRule="atLeast"/>
      <w:ind w:left="480" w:leftChars="200"/>
    </w:pPr>
    <w:rPr>
      <w:color w:val="000000"/>
    </w:rPr>
  </w:style>
  <w:style w:type="paragraph" w:styleId="40">
    <w:name w:val="toc 9"/>
    <w:basedOn w:val="1"/>
    <w:next w:val="1"/>
    <w:qFormat/>
    <w:uiPriority w:val="99"/>
    <w:pPr>
      <w:ind w:left="3360" w:leftChars="1600"/>
    </w:pPr>
  </w:style>
  <w:style w:type="paragraph" w:styleId="41">
    <w:name w:val="Body Text 2"/>
    <w:basedOn w:val="1"/>
    <w:qFormat/>
    <w:uiPriority w:val="0"/>
    <w:rPr>
      <w:color w:val="000000"/>
      <w:sz w:val="28"/>
      <w:szCs w:val="20"/>
    </w:rPr>
  </w:style>
  <w:style w:type="paragraph" w:styleId="42">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hAnsi="Arial" w:cs="Arial"/>
    </w:rPr>
  </w:style>
  <w:style w:type="paragraph" w:styleId="43">
    <w:name w:val="Normal (Web)"/>
    <w:basedOn w:val="1"/>
    <w:qFormat/>
    <w:uiPriority w:val="99"/>
  </w:style>
  <w:style w:type="paragraph" w:styleId="44">
    <w:name w:val="Title"/>
    <w:basedOn w:val="1"/>
    <w:link w:val="85"/>
    <w:qFormat/>
    <w:uiPriority w:val="0"/>
    <w:pPr>
      <w:adjustRightInd w:val="0"/>
      <w:snapToGrid w:val="0"/>
      <w:spacing w:before="50" w:beforeLines="50" w:after="50" w:afterLines="50"/>
      <w:ind w:firstLine="0" w:firstLineChars="0"/>
      <w:jc w:val="both"/>
      <w:outlineLvl w:val="1"/>
    </w:pPr>
    <w:rPr>
      <w:rFonts w:eastAsiaTheme="minorEastAsia"/>
      <w:b/>
      <w:bCs/>
      <w:sz w:val="30"/>
    </w:rPr>
  </w:style>
  <w:style w:type="paragraph" w:styleId="45">
    <w:name w:val="annotation subject"/>
    <w:basedOn w:val="16"/>
    <w:next w:val="16"/>
    <w:link w:val="86"/>
    <w:qFormat/>
    <w:uiPriority w:val="99"/>
    <w:rPr>
      <w:b/>
      <w:bCs/>
      <w:szCs w:val="20"/>
    </w:rPr>
  </w:style>
  <w:style w:type="paragraph" w:styleId="46">
    <w:name w:val="Body Text First Indent"/>
    <w:basedOn w:val="18"/>
    <w:link w:val="87"/>
    <w:qFormat/>
    <w:uiPriority w:val="99"/>
    <w:pPr>
      <w:spacing w:after="120" w:line="240" w:lineRule="auto"/>
      <w:ind w:firstLine="420" w:firstLineChars="100"/>
    </w:pPr>
    <w:rPr>
      <w:sz w:val="21"/>
    </w:rPr>
  </w:style>
  <w:style w:type="paragraph" w:styleId="47">
    <w:name w:val="Body Text First Indent 2"/>
    <w:basedOn w:val="19"/>
    <w:link w:val="88"/>
    <w:qFormat/>
    <w:uiPriority w:val="0"/>
    <w:pPr>
      <w:spacing w:after="120" w:line="240" w:lineRule="auto"/>
      <w:ind w:left="420" w:leftChars="200" w:firstLine="420"/>
    </w:pPr>
  </w:style>
  <w:style w:type="table" w:styleId="49">
    <w:name w:val="Table Grid"/>
    <w:basedOn w:val="48"/>
    <w:qFormat/>
    <w:uiPriority w:val="9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1">
    <w:name w:val="Strong"/>
    <w:qFormat/>
    <w:uiPriority w:val="22"/>
    <w:rPr>
      <w:b/>
      <w:bCs/>
    </w:rPr>
  </w:style>
  <w:style w:type="character" w:styleId="52">
    <w:name w:val="page number"/>
    <w:basedOn w:val="50"/>
    <w:qFormat/>
    <w:uiPriority w:val="99"/>
  </w:style>
  <w:style w:type="character" w:styleId="53">
    <w:name w:val="FollowedHyperlink"/>
    <w:qFormat/>
    <w:uiPriority w:val="99"/>
    <w:rPr>
      <w:color w:val="800080"/>
      <w:u w:val="single"/>
    </w:rPr>
  </w:style>
  <w:style w:type="character" w:styleId="54">
    <w:name w:val="Emphasis"/>
    <w:qFormat/>
    <w:uiPriority w:val="0"/>
    <w:rPr>
      <w:i/>
      <w:iCs/>
    </w:rPr>
  </w:style>
  <w:style w:type="character" w:styleId="55">
    <w:name w:val="line number"/>
    <w:basedOn w:val="50"/>
    <w:qFormat/>
    <w:uiPriority w:val="0"/>
  </w:style>
  <w:style w:type="character" w:styleId="56">
    <w:name w:val="HTML Definition"/>
    <w:qFormat/>
    <w:uiPriority w:val="0"/>
  </w:style>
  <w:style w:type="character" w:styleId="57">
    <w:name w:val="HTML Acronym"/>
    <w:basedOn w:val="50"/>
    <w:qFormat/>
    <w:uiPriority w:val="0"/>
  </w:style>
  <w:style w:type="character" w:styleId="58">
    <w:name w:val="HTML Variable"/>
    <w:qFormat/>
    <w:uiPriority w:val="0"/>
  </w:style>
  <w:style w:type="character" w:styleId="59">
    <w:name w:val="Hyperlink"/>
    <w:qFormat/>
    <w:uiPriority w:val="99"/>
    <w:rPr>
      <w:color w:val="0000FF"/>
      <w:u w:val="single"/>
    </w:rPr>
  </w:style>
  <w:style w:type="character" w:styleId="60">
    <w:name w:val="HTML Code"/>
    <w:qFormat/>
    <w:uiPriority w:val="0"/>
    <w:rPr>
      <w:rFonts w:ascii="微软雅黑" w:hAnsi="微软雅黑" w:eastAsia="微软雅黑" w:cs="微软雅黑"/>
      <w:sz w:val="18"/>
      <w:szCs w:val="18"/>
    </w:rPr>
  </w:style>
  <w:style w:type="character" w:styleId="61">
    <w:name w:val="annotation reference"/>
    <w:qFormat/>
    <w:uiPriority w:val="99"/>
    <w:rPr>
      <w:sz w:val="21"/>
      <w:szCs w:val="21"/>
    </w:rPr>
  </w:style>
  <w:style w:type="character" w:styleId="62">
    <w:name w:val="HTML Cite"/>
    <w:qFormat/>
    <w:uiPriority w:val="0"/>
  </w:style>
  <w:style w:type="character" w:styleId="63">
    <w:name w:val="footnote reference"/>
    <w:basedOn w:val="50"/>
    <w:qFormat/>
    <w:uiPriority w:val="0"/>
  </w:style>
  <w:style w:type="character" w:customStyle="1" w:styleId="64">
    <w:name w:val="标题 1 字符"/>
    <w:link w:val="2"/>
    <w:qFormat/>
    <w:uiPriority w:val="99"/>
    <w:rPr>
      <w:rFonts w:cs="黑体"/>
      <w:b/>
      <w:bCs/>
      <w:color w:val="000000"/>
      <w:sz w:val="32"/>
      <w:szCs w:val="24"/>
    </w:rPr>
  </w:style>
  <w:style w:type="character" w:customStyle="1" w:styleId="65">
    <w:name w:val="正文缩进 字符"/>
    <w:link w:val="4"/>
    <w:qFormat/>
    <w:uiPriority w:val="99"/>
    <w:rPr>
      <w:rFonts w:eastAsia="宋体"/>
      <w:lang w:val="en-US" w:eastAsia="zh-CN" w:bidi="ar-SA"/>
    </w:rPr>
  </w:style>
  <w:style w:type="character" w:customStyle="1" w:styleId="66">
    <w:name w:val="标题 2 字符"/>
    <w:link w:val="3"/>
    <w:qFormat/>
    <w:uiPriority w:val="99"/>
    <w:rPr>
      <w:rFonts w:ascii="Arial" w:hAnsi="Arial" w:eastAsia="黑体" w:cs="宋体"/>
      <w:b/>
      <w:sz w:val="30"/>
      <w:szCs w:val="24"/>
    </w:rPr>
  </w:style>
  <w:style w:type="character" w:customStyle="1" w:styleId="67">
    <w:name w:val="标题 3 字符"/>
    <w:link w:val="5"/>
    <w:qFormat/>
    <w:uiPriority w:val="99"/>
    <w:rPr>
      <w:b/>
      <w:sz w:val="28"/>
      <w:szCs w:val="24"/>
    </w:rPr>
  </w:style>
  <w:style w:type="character" w:customStyle="1" w:styleId="68">
    <w:name w:val="标题 4 字符"/>
    <w:link w:val="6"/>
    <w:qFormat/>
    <w:uiPriority w:val="99"/>
    <w:rPr>
      <w:rFonts w:cs="黑体" w:eastAsiaTheme="majorEastAsia"/>
      <w:b/>
      <w:bCs/>
      <w:sz w:val="24"/>
      <w:szCs w:val="24"/>
    </w:rPr>
  </w:style>
  <w:style w:type="character" w:customStyle="1" w:styleId="69">
    <w:name w:val="标题 5 字符"/>
    <w:link w:val="7"/>
    <w:qFormat/>
    <w:uiPriority w:val="0"/>
    <w:rPr>
      <w:rFonts w:ascii="宋体" w:hAnsi="宋体" w:cs="宋体"/>
      <w:b/>
      <w:sz w:val="28"/>
      <w:szCs w:val="24"/>
    </w:rPr>
  </w:style>
  <w:style w:type="character" w:customStyle="1" w:styleId="70">
    <w:name w:val="标题 6 字符"/>
    <w:link w:val="8"/>
    <w:qFormat/>
    <w:uiPriority w:val="0"/>
    <w:rPr>
      <w:rFonts w:ascii="Arial" w:hAnsi="Arial" w:eastAsia="黑体" w:cs="宋体"/>
      <w:b/>
      <w:sz w:val="24"/>
      <w:szCs w:val="24"/>
    </w:rPr>
  </w:style>
  <w:style w:type="character" w:customStyle="1" w:styleId="71">
    <w:name w:val="标题 7 字符"/>
    <w:link w:val="9"/>
    <w:qFormat/>
    <w:uiPriority w:val="0"/>
    <w:rPr>
      <w:rFonts w:ascii="宋体" w:hAnsi="宋体" w:cs="宋体"/>
      <w:b/>
      <w:sz w:val="24"/>
      <w:szCs w:val="24"/>
    </w:rPr>
  </w:style>
  <w:style w:type="character" w:customStyle="1" w:styleId="72">
    <w:name w:val="标题 8 字符"/>
    <w:link w:val="10"/>
    <w:qFormat/>
    <w:uiPriority w:val="0"/>
    <w:rPr>
      <w:rFonts w:ascii="Arial" w:hAnsi="Arial" w:eastAsia="黑体" w:cs="宋体"/>
      <w:sz w:val="24"/>
      <w:szCs w:val="24"/>
    </w:rPr>
  </w:style>
  <w:style w:type="character" w:customStyle="1" w:styleId="73">
    <w:name w:val="标题 9 字符"/>
    <w:link w:val="11"/>
    <w:qFormat/>
    <w:uiPriority w:val="0"/>
    <w:rPr>
      <w:rFonts w:ascii="Arial" w:hAnsi="Arial" w:eastAsia="黑体" w:cs="宋体"/>
      <w:sz w:val="24"/>
      <w:szCs w:val="24"/>
    </w:rPr>
  </w:style>
  <w:style w:type="character" w:customStyle="1" w:styleId="74">
    <w:name w:val="文档结构图 字符"/>
    <w:link w:val="15"/>
    <w:qFormat/>
    <w:uiPriority w:val="99"/>
    <w:rPr>
      <w:rFonts w:ascii="宋体" w:hAnsi="宋体" w:cs="宋体"/>
      <w:sz w:val="24"/>
      <w:szCs w:val="24"/>
      <w:shd w:val="clear" w:color="auto" w:fill="000080"/>
    </w:rPr>
  </w:style>
  <w:style w:type="character" w:customStyle="1" w:styleId="75">
    <w:name w:val="批注文字 字符"/>
    <w:link w:val="16"/>
    <w:qFormat/>
    <w:uiPriority w:val="99"/>
    <w:rPr>
      <w:rFonts w:ascii="宋体" w:hAnsi="宋体" w:cs="宋体"/>
      <w:sz w:val="24"/>
      <w:szCs w:val="24"/>
    </w:rPr>
  </w:style>
  <w:style w:type="character" w:customStyle="1" w:styleId="76">
    <w:name w:val="正文文本 字符"/>
    <w:link w:val="18"/>
    <w:qFormat/>
    <w:uiPriority w:val="99"/>
    <w:rPr>
      <w:rFonts w:ascii="宋体" w:hAnsi="宋体" w:eastAsia="宋体" w:cs="宋体"/>
      <w:sz w:val="24"/>
      <w:szCs w:val="24"/>
      <w:lang w:val="en-US" w:eastAsia="zh-CN" w:bidi="ar-SA"/>
    </w:rPr>
  </w:style>
  <w:style w:type="character" w:customStyle="1" w:styleId="77">
    <w:name w:val="正文文本缩进 字符"/>
    <w:link w:val="19"/>
    <w:qFormat/>
    <w:uiPriority w:val="99"/>
    <w:rPr>
      <w:rFonts w:ascii="宋体" w:hAnsi="宋体" w:cs="宋体"/>
      <w:sz w:val="24"/>
      <w:szCs w:val="24"/>
    </w:rPr>
  </w:style>
  <w:style w:type="character" w:customStyle="1" w:styleId="78">
    <w:name w:val="纯文本 字符"/>
    <w:link w:val="23"/>
    <w:qFormat/>
    <w:uiPriority w:val="0"/>
    <w:rPr>
      <w:rFonts w:ascii="宋体" w:hAnsi="Courier New" w:eastAsia="宋体" w:cs="黑体"/>
      <w:sz w:val="24"/>
      <w:szCs w:val="21"/>
      <w:lang w:val="en-US" w:eastAsia="zh-CN" w:bidi="ar-SA"/>
    </w:rPr>
  </w:style>
  <w:style w:type="character" w:customStyle="1" w:styleId="79">
    <w:name w:val="日期 字符"/>
    <w:link w:val="25"/>
    <w:qFormat/>
    <w:uiPriority w:val="99"/>
    <w:rPr>
      <w:rFonts w:ascii="宋体" w:hAnsi="宋体" w:cs="宋体"/>
      <w:sz w:val="28"/>
      <w:szCs w:val="24"/>
    </w:rPr>
  </w:style>
  <w:style w:type="character" w:customStyle="1" w:styleId="80">
    <w:name w:val="正文文本缩进 2 字符"/>
    <w:link w:val="26"/>
    <w:qFormat/>
    <w:uiPriority w:val="99"/>
    <w:rPr>
      <w:rFonts w:ascii="宋体" w:hAnsi="宋体" w:cs="宋体"/>
      <w:sz w:val="28"/>
      <w:szCs w:val="24"/>
    </w:rPr>
  </w:style>
  <w:style w:type="character" w:customStyle="1" w:styleId="81">
    <w:name w:val="批注框文本 字符"/>
    <w:link w:val="27"/>
    <w:qFormat/>
    <w:uiPriority w:val="99"/>
    <w:rPr>
      <w:rFonts w:ascii="宋体" w:hAnsi="宋体" w:cs="宋体"/>
      <w:sz w:val="18"/>
      <w:szCs w:val="18"/>
    </w:rPr>
  </w:style>
  <w:style w:type="character" w:customStyle="1" w:styleId="82">
    <w:name w:val="页脚 字符"/>
    <w:link w:val="28"/>
    <w:qFormat/>
    <w:uiPriority w:val="99"/>
    <w:rPr>
      <w:rFonts w:ascii="宋体" w:hAnsi="宋体" w:cs="宋体"/>
      <w:sz w:val="18"/>
      <w:szCs w:val="18"/>
    </w:rPr>
  </w:style>
  <w:style w:type="character" w:customStyle="1" w:styleId="83">
    <w:name w:val="页眉 字符"/>
    <w:link w:val="29"/>
    <w:qFormat/>
    <w:uiPriority w:val="99"/>
    <w:rPr>
      <w:rFonts w:ascii="宋体" w:hAnsi="宋体" w:eastAsia="宋体" w:cs="宋体"/>
      <w:sz w:val="18"/>
      <w:szCs w:val="18"/>
      <w:lang w:val="en-US" w:eastAsia="zh-CN" w:bidi="ar-SA"/>
    </w:rPr>
  </w:style>
  <w:style w:type="character" w:customStyle="1" w:styleId="84">
    <w:name w:val="正文文本缩进 3 字符"/>
    <w:link w:val="37"/>
    <w:qFormat/>
    <w:uiPriority w:val="0"/>
    <w:rPr>
      <w:rFonts w:ascii="宋体" w:hAnsi="宋体" w:cs="宋体"/>
      <w:sz w:val="28"/>
      <w:szCs w:val="24"/>
    </w:rPr>
  </w:style>
  <w:style w:type="character" w:customStyle="1" w:styleId="85">
    <w:name w:val="标题 字符"/>
    <w:link w:val="44"/>
    <w:qFormat/>
    <w:uiPriority w:val="0"/>
    <w:rPr>
      <w:rFonts w:cs="宋体" w:eastAsiaTheme="minorEastAsia"/>
      <w:b/>
      <w:bCs/>
      <w:sz w:val="30"/>
      <w:szCs w:val="24"/>
    </w:rPr>
  </w:style>
  <w:style w:type="character" w:customStyle="1" w:styleId="86">
    <w:name w:val="批注主题 字符"/>
    <w:link w:val="45"/>
    <w:qFormat/>
    <w:uiPriority w:val="99"/>
    <w:rPr>
      <w:rFonts w:ascii="宋体" w:hAnsi="宋体" w:cs="宋体"/>
      <w:b/>
      <w:bCs/>
      <w:sz w:val="24"/>
    </w:rPr>
  </w:style>
  <w:style w:type="character" w:customStyle="1" w:styleId="87">
    <w:name w:val="正文文本首行缩进 字符"/>
    <w:basedOn w:val="76"/>
    <w:link w:val="46"/>
    <w:qFormat/>
    <w:uiPriority w:val="99"/>
    <w:rPr>
      <w:rFonts w:ascii="宋体" w:hAnsi="宋体" w:eastAsia="宋体" w:cs="宋体"/>
      <w:sz w:val="21"/>
      <w:szCs w:val="24"/>
      <w:lang w:val="en-US" w:eastAsia="zh-CN" w:bidi="ar-SA"/>
    </w:rPr>
  </w:style>
  <w:style w:type="character" w:customStyle="1" w:styleId="88">
    <w:name w:val="正文文本首行缩进 2 字符"/>
    <w:link w:val="47"/>
    <w:qFormat/>
    <w:uiPriority w:val="0"/>
    <w:rPr>
      <w:rFonts w:ascii="宋体" w:hAnsi="宋体" w:cs="宋体"/>
      <w:sz w:val="24"/>
      <w:szCs w:val="24"/>
    </w:rPr>
  </w:style>
  <w:style w:type="character" w:customStyle="1" w:styleId="89">
    <w:name w:val="普通文字 Char Char2"/>
    <w:qFormat/>
    <w:uiPriority w:val="0"/>
    <w:rPr>
      <w:rFonts w:ascii="宋体" w:hAnsi="Courier New" w:eastAsia="仿宋_GB2312"/>
      <w:kern w:val="2"/>
      <w:sz w:val="28"/>
      <w:lang w:val="en-US" w:eastAsia="zh-CN" w:bidi="ar-SA"/>
    </w:rPr>
  </w:style>
  <w:style w:type="character" w:customStyle="1" w:styleId="90">
    <w:name w:val="表格小四 Char Char"/>
    <w:link w:val="91"/>
    <w:qFormat/>
    <w:uiPriority w:val="0"/>
    <w:rPr>
      <w:rFonts w:eastAsia="仿宋_GB2312" w:cs="宋体"/>
      <w:kern w:val="2"/>
      <w:sz w:val="24"/>
      <w:lang w:val="en-US" w:eastAsia="zh-CN" w:bidi="ar-SA"/>
    </w:rPr>
  </w:style>
  <w:style w:type="paragraph" w:customStyle="1" w:styleId="91">
    <w:name w:val="表格小四"/>
    <w:basedOn w:val="1"/>
    <w:link w:val="90"/>
    <w:qFormat/>
    <w:uiPriority w:val="0"/>
    <w:pPr>
      <w:widowControl w:val="0"/>
      <w:snapToGrid w:val="0"/>
      <w:jc w:val="center"/>
    </w:pPr>
    <w:rPr>
      <w:kern w:val="2"/>
      <w:szCs w:val="20"/>
    </w:rPr>
  </w:style>
  <w:style w:type="character" w:customStyle="1" w:styleId="92">
    <w:name w:val="正文（首行缩进两字） Char2"/>
    <w:qFormat/>
    <w:uiPriority w:val="0"/>
    <w:rPr>
      <w:rFonts w:ascii="宋体" w:hAnsi="宋体" w:eastAsia="宋体" w:cs="宋体"/>
      <w:szCs w:val="24"/>
      <w:lang w:val="en-US" w:eastAsia="zh-CN" w:bidi="ar-SA"/>
    </w:rPr>
  </w:style>
  <w:style w:type="character" w:customStyle="1" w:styleId="93">
    <w:name w:val="02上标"/>
    <w:qFormat/>
    <w:uiPriority w:val="0"/>
    <w:rPr>
      <w:rFonts w:ascii="Times New Roman" w:hAnsi="Times New Roman" w:eastAsia="宋体"/>
      <w:sz w:val="24"/>
      <w:szCs w:val="24"/>
      <w:vertAlign w:val="superscript"/>
    </w:rPr>
  </w:style>
  <w:style w:type="character" w:customStyle="1" w:styleId="94">
    <w:name w:val="标题2"/>
    <w:qFormat/>
    <w:uiPriority w:val="0"/>
    <w:rPr>
      <w:rFonts w:eastAsia="宋体"/>
      <w:b/>
      <w:kern w:val="44"/>
      <w:sz w:val="44"/>
      <w:lang w:val="en-US" w:eastAsia="zh-CN" w:bidi="ar-SA"/>
    </w:rPr>
  </w:style>
  <w:style w:type="character" w:customStyle="1" w:styleId="95">
    <w:name w:val="正文一 Char Char"/>
    <w:link w:val="96"/>
    <w:qFormat/>
    <w:uiPriority w:val="0"/>
    <w:rPr>
      <w:rFonts w:ascii="仿宋_GB2312" w:eastAsia="仿宋_GB2312" w:cs="宋体"/>
      <w:sz w:val="28"/>
      <w:szCs w:val="28"/>
      <w:lang w:val="en-US" w:eastAsia="zh-CN" w:bidi="ar-SA"/>
    </w:rPr>
  </w:style>
  <w:style w:type="paragraph" w:customStyle="1" w:styleId="96">
    <w:name w:val="正文一"/>
    <w:basedOn w:val="1"/>
    <w:link w:val="95"/>
    <w:qFormat/>
    <w:uiPriority w:val="0"/>
    <w:pPr>
      <w:ind w:firstLine="200"/>
    </w:pPr>
    <w:rPr>
      <w:rFonts w:ascii="仿宋_GB2312"/>
      <w:sz w:val="28"/>
      <w:szCs w:val="28"/>
    </w:rPr>
  </w:style>
  <w:style w:type="character" w:customStyle="1" w:styleId="97">
    <w:name w:val="样式 四号"/>
    <w:qFormat/>
    <w:uiPriority w:val="0"/>
    <w:rPr>
      <w:rFonts w:eastAsia="宋体"/>
      <w:sz w:val="28"/>
      <w:szCs w:val="28"/>
    </w:rPr>
  </w:style>
  <w:style w:type="character" w:customStyle="1" w:styleId="98">
    <w:name w:val="text"/>
    <w:basedOn w:val="50"/>
    <w:qFormat/>
    <w:uiPriority w:val="0"/>
  </w:style>
  <w:style w:type="character" w:customStyle="1" w:styleId="99">
    <w:name w:val="Char Char7"/>
    <w:qFormat/>
    <w:uiPriority w:val="0"/>
    <w:rPr>
      <w:rFonts w:ascii="仿宋_GB2312" w:hAnsi="Arial" w:eastAsia="仿宋_GB2312"/>
      <w:b/>
      <w:bCs/>
      <w:kern w:val="2"/>
      <w:sz w:val="30"/>
      <w:szCs w:val="32"/>
    </w:rPr>
  </w:style>
  <w:style w:type="character" w:customStyle="1" w:styleId="100">
    <w:name w:val="公式 Char Char"/>
    <w:link w:val="101"/>
    <w:qFormat/>
    <w:uiPriority w:val="0"/>
    <w:rPr>
      <w:rFonts w:ascii="宋体" w:hAnsi="宋体" w:eastAsia="宋体" w:cs="宋体"/>
      <w:sz w:val="24"/>
      <w:szCs w:val="24"/>
      <w:lang w:val="en-US" w:eastAsia="zh-CN" w:bidi="ar-SA"/>
    </w:rPr>
  </w:style>
  <w:style w:type="paragraph" w:customStyle="1" w:styleId="101">
    <w:name w:val="公式"/>
    <w:basedOn w:val="1"/>
    <w:link w:val="100"/>
    <w:qFormat/>
    <w:uiPriority w:val="0"/>
    <w:pPr>
      <w:adjustRightInd w:val="0"/>
      <w:spacing w:before="60" w:line="394" w:lineRule="atLeast"/>
      <w:jc w:val="center"/>
      <w:textAlignment w:val="baseline"/>
    </w:pPr>
  </w:style>
  <w:style w:type="character" w:customStyle="1" w:styleId="102">
    <w:name w:val="文章正文 Char Char"/>
    <w:link w:val="103"/>
    <w:qFormat/>
    <w:uiPriority w:val="0"/>
    <w:rPr>
      <w:rFonts w:eastAsia="仿宋_GB2312"/>
      <w:kern w:val="2"/>
      <w:sz w:val="28"/>
      <w:szCs w:val="24"/>
      <w:lang w:val="en-US" w:eastAsia="zh-CN" w:bidi="ar-SA"/>
    </w:rPr>
  </w:style>
  <w:style w:type="paragraph" w:customStyle="1" w:styleId="103">
    <w:name w:val="文章正文"/>
    <w:basedOn w:val="1"/>
    <w:link w:val="102"/>
    <w:qFormat/>
    <w:uiPriority w:val="0"/>
    <w:pPr>
      <w:widowControl w:val="0"/>
      <w:ind w:firstLine="200"/>
    </w:pPr>
    <w:rPr>
      <w:rFonts w:cs="Times New Roman"/>
      <w:kern w:val="2"/>
      <w:sz w:val="28"/>
    </w:rPr>
  </w:style>
  <w:style w:type="character" w:customStyle="1" w:styleId="104">
    <w:name w:val="样式2 Char Char"/>
    <w:qFormat/>
    <w:uiPriority w:val="99"/>
    <w:rPr>
      <w:rFonts w:eastAsia="黑体"/>
      <w:b/>
      <w:kern w:val="44"/>
      <w:sz w:val="30"/>
      <w:szCs w:val="28"/>
      <w:lang w:val="en-US" w:eastAsia="zh-CN" w:bidi="ar-SA"/>
    </w:rPr>
  </w:style>
  <w:style w:type="character" w:customStyle="1" w:styleId="105">
    <w:name w:val="Char Char5"/>
    <w:qFormat/>
    <w:uiPriority w:val="0"/>
    <w:rPr>
      <w:kern w:val="2"/>
      <w:sz w:val="18"/>
      <w:szCs w:val="18"/>
    </w:rPr>
  </w:style>
  <w:style w:type="character" w:customStyle="1" w:styleId="106">
    <w:name w:val="中气表头 Char Char"/>
    <w:link w:val="107"/>
    <w:qFormat/>
    <w:uiPriority w:val="0"/>
    <w:rPr>
      <w:rFonts w:eastAsia="黑体"/>
      <w:b/>
      <w:kern w:val="2"/>
      <w:sz w:val="21"/>
      <w:szCs w:val="21"/>
      <w:lang w:val="en-US" w:eastAsia="zh-CN" w:bidi="ar-SA"/>
    </w:rPr>
  </w:style>
  <w:style w:type="paragraph" w:customStyle="1" w:styleId="107">
    <w:name w:val="中气表头"/>
    <w:basedOn w:val="1"/>
    <w:link w:val="106"/>
    <w:qFormat/>
    <w:uiPriority w:val="0"/>
    <w:pPr>
      <w:jc w:val="center"/>
    </w:pPr>
    <w:rPr>
      <w:rFonts w:eastAsia="黑体" w:cs="Times New Roman"/>
      <w:b/>
      <w:kern w:val="2"/>
      <w:sz w:val="21"/>
      <w:szCs w:val="21"/>
    </w:rPr>
  </w:style>
  <w:style w:type="character" w:customStyle="1" w:styleId="108">
    <w:name w:val="text-21"/>
    <w:qFormat/>
    <w:uiPriority w:val="0"/>
    <w:rPr>
      <w:rFonts w:hint="default" w:ascii="Verdana" w:hAnsi="Verdana"/>
      <w:color w:val="333333"/>
      <w:sz w:val="24"/>
      <w:szCs w:val="24"/>
      <w:u w:val="none"/>
    </w:rPr>
  </w:style>
  <w:style w:type="character" w:customStyle="1" w:styleId="109">
    <w:name w:val="段落 Char Char"/>
    <w:link w:val="110"/>
    <w:qFormat/>
    <w:uiPriority w:val="0"/>
    <w:rPr>
      <w:rFonts w:eastAsia="仿宋_GB2312" w:cs="宋体"/>
      <w:kern w:val="2"/>
      <w:sz w:val="28"/>
      <w:lang w:val="en-US" w:eastAsia="zh-CN" w:bidi="ar-SA"/>
    </w:rPr>
  </w:style>
  <w:style w:type="paragraph" w:customStyle="1" w:styleId="110">
    <w:name w:val="段落"/>
    <w:basedOn w:val="1"/>
    <w:link w:val="109"/>
    <w:qFormat/>
    <w:uiPriority w:val="0"/>
    <w:pPr>
      <w:widowControl w:val="0"/>
      <w:snapToGrid w:val="0"/>
      <w:ind w:firstLine="560"/>
      <w:jc w:val="both"/>
    </w:pPr>
    <w:rPr>
      <w:kern w:val="2"/>
      <w:sz w:val="28"/>
      <w:szCs w:val="20"/>
    </w:rPr>
  </w:style>
  <w:style w:type="character" w:customStyle="1" w:styleId="111">
    <w:name w:val="表后文 Char"/>
    <w:qFormat/>
    <w:uiPriority w:val="0"/>
    <w:rPr>
      <w:rFonts w:eastAsia="仿宋_GB2312"/>
      <w:sz w:val="28"/>
      <w:lang w:val="en-US" w:eastAsia="zh-CN" w:bidi="ar-SA"/>
    </w:rPr>
  </w:style>
  <w:style w:type="character" w:customStyle="1" w:styleId="112">
    <w:name w:val="2 标题 2 Char Char"/>
    <w:qFormat/>
    <w:uiPriority w:val="0"/>
    <w:rPr>
      <w:rFonts w:ascii="Arial" w:hAnsi="Arial" w:eastAsia="黑体"/>
      <w:b/>
      <w:kern w:val="2"/>
      <w:sz w:val="32"/>
      <w:lang w:val="en-US" w:eastAsia="zh-CN"/>
    </w:rPr>
  </w:style>
  <w:style w:type="character" w:customStyle="1" w:styleId="113">
    <w:name w:val="呼啦啦正文 Char Char"/>
    <w:link w:val="114"/>
    <w:qFormat/>
    <w:uiPriority w:val="0"/>
    <w:rPr>
      <w:rFonts w:hAnsi="宋体" w:eastAsia="宋体"/>
      <w:color w:val="00FFFF"/>
      <w:kern w:val="2"/>
      <w:sz w:val="28"/>
      <w:szCs w:val="28"/>
      <w:lang w:val="en-US" w:eastAsia="zh-CN" w:bidi="ar-SA"/>
    </w:rPr>
  </w:style>
  <w:style w:type="paragraph" w:customStyle="1" w:styleId="114">
    <w:name w:val="呼啦啦正文"/>
    <w:basedOn w:val="1"/>
    <w:link w:val="113"/>
    <w:qFormat/>
    <w:uiPriority w:val="0"/>
    <w:pPr>
      <w:widowControl w:val="0"/>
      <w:spacing w:line="600" w:lineRule="exact"/>
      <w:ind w:firstLine="560"/>
    </w:pPr>
    <w:rPr>
      <w:rFonts w:cs="Times New Roman"/>
      <w:color w:val="00FFFF"/>
      <w:kern w:val="2"/>
      <w:sz w:val="28"/>
      <w:szCs w:val="28"/>
    </w:rPr>
  </w:style>
  <w:style w:type="character" w:customStyle="1" w:styleId="115">
    <w:name w:val="Char Char4"/>
    <w:qFormat/>
    <w:uiPriority w:val="0"/>
    <w:rPr>
      <w:rFonts w:ascii="宋体" w:hAnsi="Courier New" w:eastAsia="宋体"/>
      <w:kern w:val="2"/>
      <w:sz w:val="28"/>
      <w:lang w:val="en-US" w:eastAsia="zh-CN"/>
    </w:rPr>
  </w:style>
  <w:style w:type="character" w:customStyle="1" w:styleId="116">
    <w:name w:val="main"/>
    <w:basedOn w:val="50"/>
    <w:qFormat/>
    <w:uiPriority w:val="0"/>
  </w:style>
  <w:style w:type="character" w:customStyle="1" w:styleId="117">
    <w:name w:val="标准正文 Char Char"/>
    <w:link w:val="118"/>
    <w:qFormat/>
    <w:uiPriority w:val="0"/>
    <w:rPr>
      <w:rFonts w:eastAsia="宋体"/>
      <w:sz w:val="24"/>
      <w:szCs w:val="24"/>
      <w:lang w:val="en-US" w:eastAsia="zh-CN" w:bidi="ar-SA"/>
    </w:rPr>
  </w:style>
  <w:style w:type="paragraph" w:customStyle="1" w:styleId="118">
    <w:name w:val="标准正文"/>
    <w:basedOn w:val="1"/>
    <w:link w:val="117"/>
    <w:qFormat/>
    <w:uiPriority w:val="0"/>
    <w:pPr>
      <w:widowControl w:val="0"/>
      <w:adjustRightInd w:val="0"/>
      <w:ind w:firstLine="482"/>
      <w:jc w:val="both"/>
      <w:textAlignment w:val="baseline"/>
    </w:pPr>
    <w:rPr>
      <w:rFonts w:cs="Times New Roman"/>
    </w:rPr>
  </w:style>
  <w:style w:type="character" w:customStyle="1" w:styleId="119">
    <w:name w:val="样式12q Char Char"/>
    <w:link w:val="120"/>
    <w:qFormat/>
    <w:uiPriority w:val="0"/>
    <w:rPr>
      <w:rFonts w:ascii="宋体" w:hAnsi="宋体" w:eastAsia="宋体"/>
      <w:sz w:val="24"/>
      <w:lang w:val="en-US" w:eastAsia="zh-CN" w:bidi="ar-SA"/>
    </w:rPr>
  </w:style>
  <w:style w:type="paragraph" w:customStyle="1" w:styleId="120">
    <w:name w:val="样式12q"/>
    <w:basedOn w:val="1"/>
    <w:link w:val="119"/>
    <w:qFormat/>
    <w:uiPriority w:val="0"/>
    <w:pPr>
      <w:widowControl w:val="0"/>
      <w:ind w:firstLine="538" w:firstLineChars="192"/>
      <w:jc w:val="both"/>
    </w:pPr>
    <w:rPr>
      <w:rFonts w:cs="Times New Roman"/>
      <w:szCs w:val="20"/>
    </w:rPr>
  </w:style>
  <w:style w:type="character" w:customStyle="1" w:styleId="121">
    <w:name w:val="apple-converted-space"/>
    <w:basedOn w:val="50"/>
    <w:qFormat/>
    <w:uiPriority w:val="0"/>
  </w:style>
  <w:style w:type="character" w:customStyle="1" w:styleId="122">
    <w:name w:val="仿宋文本 Char Char"/>
    <w:link w:val="123"/>
    <w:qFormat/>
    <w:uiPriority w:val="0"/>
    <w:rPr>
      <w:rFonts w:ascii="仿宋_GB2312" w:hAnsi="宋体" w:eastAsia="仿宋_GB2312" w:cs="宋体"/>
      <w:sz w:val="24"/>
      <w:szCs w:val="24"/>
      <w:lang w:val="en-US" w:eastAsia="zh-CN" w:bidi="ar-SA"/>
    </w:rPr>
  </w:style>
  <w:style w:type="paragraph" w:customStyle="1" w:styleId="123">
    <w:name w:val="仿宋文本"/>
    <w:basedOn w:val="1"/>
    <w:link w:val="122"/>
    <w:qFormat/>
    <w:uiPriority w:val="99"/>
    <w:pPr>
      <w:ind w:firstLine="200"/>
      <w:jc w:val="both"/>
    </w:pPr>
    <w:rPr>
      <w:rFonts w:ascii="仿宋_GB2312"/>
    </w:rPr>
  </w:style>
  <w:style w:type="character" w:customStyle="1" w:styleId="124">
    <w:name w:val="样式 标题03 + (西文) Times New Roman (中文) 宋体1 Char Char"/>
    <w:link w:val="125"/>
    <w:qFormat/>
    <w:uiPriority w:val="0"/>
    <w:rPr>
      <w:rFonts w:ascii="仿宋_GB2312" w:eastAsia="宋体"/>
      <w:b/>
      <w:bCs/>
      <w:kern w:val="2"/>
      <w:sz w:val="28"/>
      <w:szCs w:val="28"/>
      <w:lang w:val="en-US" w:eastAsia="zh-CN" w:bidi="ar-SA"/>
    </w:rPr>
  </w:style>
  <w:style w:type="paragraph" w:customStyle="1" w:styleId="125">
    <w:name w:val="样式 标题03 + (西文) Times New Roman (中文) 宋体1"/>
    <w:basedOn w:val="126"/>
    <w:link w:val="124"/>
    <w:qFormat/>
    <w:uiPriority w:val="0"/>
    <w:rPr>
      <w:b/>
      <w:bCs/>
    </w:rPr>
  </w:style>
  <w:style w:type="paragraph" w:customStyle="1" w:styleId="126">
    <w:name w:val="标题03"/>
    <w:basedOn w:val="1"/>
    <w:next w:val="1"/>
    <w:link w:val="127"/>
    <w:qFormat/>
    <w:uiPriority w:val="99"/>
    <w:pPr>
      <w:widowControl w:val="0"/>
      <w:adjustRightInd w:val="0"/>
      <w:snapToGrid w:val="0"/>
      <w:spacing w:before="120"/>
      <w:outlineLvl w:val="2"/>
    </w:pPr>
    <w:rPr>
      <w:rFonts w:ascii="仿宋_GB2312" w:cs="Times New Roman"/>
      <w:kern w:val="2"/>
      <w:sz w:val="28"/>
      <w:szCs w:val="28"/>
    </w:rPr>
  </w:style>
  <w:style w:type="character" w:customStyle="1" w:styleId="127">
    <w:name w:val="标题03 Char Char"/>
    <w:link w:val="126"/>
    <w:qFormat/>
    <w:uiPriority w:val="99"/>
    <w:rPr>
      <w:rFonts w:ascii="仿宋_GB2312" w:eastAsia="宋体"/>
      <w:kern w:val="2"/>
      <w:sz w:val="28"/>
      <w:szCs w:val="28"/>
      <w:lang w:val="en-US" w:eastAsia="zh-CN" w:bidi="ar-SA"/>
    </w:rPr>
  </w:style>
  <w:style w:type="character" w:customStyle="1" w:styleId="128">
    <w:name w:val="grame"/>
    <w:basedOn w:val="50"/>
    <w:qFormat/>
    <w:uiPriority w:val="0"/>
  </w:style>
  <w:style w:type="character" w:customStyle="1" w:styleId="129">
    <w:name w:val="apple-style-span"/>
    <w:basedOn w:val="50"/>
    <w:qFormat/>
    <w:uiPriority w:val="0"/>
  </w:style>
  <w:style w:type="character" w:customStyle="1" w:styleId="130">
    <w:name w:val="Char Char9"/>
    <w:qFormat/>
    <w:uiPriority w:val="0"/>
    <w:rPr>
      <w:rFonts w:ascii="黑体" w:eastAsia="黑体"/>
      <w:b/>
      <w:bCs/>
      <w:kern w:val="44"/>
      <w:sz w:val="32"/>
      <w:szCs w:val="44"/>
    </w:rPr>
  </w:style>
  <w:style w:type="character" w:customStyle="1" w:styleId="131">
    <w:name w:val="表标 Char Char"/>
    <w:link w:val="132"/>
    <w:qFormat/>
    <w:uiPriority w:val="0"/>
    <w:rPr>
      <w:rFonts w:ascii="仿宋_GB2312" w:eastAsia="仿宋_GB2312"/>
      <w:b/>
      <w:kern w:val="2"/>
      <w:sz w:val="24"/>
      <w:szCs w:val="24"/>
      <w:lang w:val="en-US" w:eastAsia="zh-CN" w:bidi="ar-SA"/>
    </w:rPr>
  </w:style>
  <w:style w:type="paragraph" w:customStyle="1" w:styleId="132">
    <w:name w:val="表标"/>
    <w:basedOn w:val="1"/>
    <w:next w:val="1"/>
    <w:link w:val="131"/>
    <w:qFormat/>
    <w:uiPriority w:val="0"/>
    <w:pPr>
      <w:widowControl w:val="0"/>
      <w:spacing w:before="360"/>
      <w:jc w:val="center"/>
    </w:pPr>
    <w:rPr>
      <w:rFonts w:ascii="仿宋_GB2312" w:cs="Times New Roman"/>
      <w:b/>
      <w:kern w:val="2"/>
    </w:rPr>
  </w:style>
  <w:style w:type="character" w:customStyle="1" w:styleId="133">
    <w:name w:val="标题 2 Char Char"/>
    <w:qFormat/>
    <w:uiPriority w:val="0"/>
    <w:rPr>
      <w:rFonts w:ascii="Arial" w:hAnsi="Arial" w:eastAsia="黑体" w:cs="宋体"/>
      <w:b/>
      <w:sz w:val="32"/>
      <w:szCs w:val="24"/>
      <w:lang w:val="en-US" w:eastAsia="zh-CN" w:bidi="ar-SA"/>
    </w:rPr>
  </w:style>
  <w:style w:type="character" w:customStyle="1" w:styleId="134">
    <w:name w:val="Char Char1"/>
    <w:qFormat/>
    <w:uiPriority w:val="0"/>
    <w:rPr>
      <w:sz w:val="18"/>
      <w:szCs w:val="18"/>
    </w:rPr>
  </w:style>
  <w:style w:type="character" w:customStyle="1" w:styleId="135">
    <w:name w:val="Char Char8"/>
    <w:qFormat/>
    <w:uiPriority w:val="0"/>
    <w:rPr>
      <w:rFonts w:ascii="黑体" w:eastAsia="黑体"/>
      <w:b/>
      <w:bCs/>
      <w:kern w:val="44"/>
      <w:sz w:val="32"/>
      <w:szCs w:val="44"/>
    </w:rPr>
  </w:style>
  <w:style w:type="character" w:customStyle="1" w:styleId="136">
    <w:name w:val="不明显参考1"/>
    <w:qFormat/>
    <w:uiPriority w:val="0"/>
    <w:rPr>
      <w:smallCaps/>
      <w:color w:val="C0504D"/>
      <w:u w:val="single"/>
    </w:rPr>
  </w:style>
  <w:style w:type="character" w:customStyle="1" w:styleId="137">
    <w:name w:val="Char Char2"/>
    <w:qFormat/>
    <w:uiPriority w:val="0"/>
    <w:rPr>
      <w:rFonts w:ascii="宋体" w:hAnsi="宋体" w:eastAsia="宋体" w:cs="宋体"/>
      <w:i/>
      <w:color w:val="000000"/>
      <w:sz w:val="24"/>
      <w:szCs w:val="24"/>
      <w:lang w:val="en-US" w:eastAsia="zh-CN" w:bidi="ar-SA"/>
    </w:rPr>
  </w:style>
  <w:style w:type="character" w:customStyle="1" w:styleId="138">
    <w:name w:val="YB正文小四宋体 Char Char"/>
    <w:link w:val="139"/>
    <w:qFormat/>
    <w:uiPriority w:val="0"/>
    <w:rPr>
      <w:rFonts w:eastAsia="宋体"/>
      <w:kern w:val="2"/>
      <w:sz w:val="24"/>
      <w:lang w:val="en-US" w:eastAsia="zh-CN" w:bidi="ar-SA"/>
    </w:rPr>
  </w:style>
  <w:style w:type="paragraph" w:customStyle="1" w:styleId="139">
    <w:name w:val="YB正文小四宋体"/>
    <w:basedOn w:val="1"/>
    <w:link w:val="138"/>
    <w:qFormat/>
    <w:uiPriority w:val="0"/>
    <w:pPr>
      <w:widowControl w:val="0"/>
      <w:autoSpaceDE w:val="0"/>
      <w:autoSpaceDN w:val="0"/>
      <w:spacing w:line="500" w:lineRule="exact"/>
      <w:ind w:firstLine="200"/>
      <w:jc w:val="both"/>
      <w:textAlignment w:val="bottom"/>
    </w:pPr>
    <w:rPr>
      <w:rFonts w:cs="Times New Roman"/>
      <w:kern w:val="2"/>
      <w:szCs w:val="20"/>
    </w:rPr>
  </w:style>
  <w:style w:type="paragraph" w:customStyle="1" w:styleId="140">
    <w:name w:val="xl104"/>
    <w:basedOn w:val="1"/>
    <w:qFormat/>
    <w:uiPriority w:val="99"/>
    <w:pPr>
      <w:pBdr>
        <w:top w:val="single" w:color="000000" w:sz="8" w:space="0"/>
        <w:left w:val="single" w:color="auto" w:sz="8" w:space="0"/>
        <w:right w:val="single" w:color="000000" w:sz="8" w:space="0"/>
      </w:pBdr>
      <w:spacing w:before="100" w:beforeAutospacing="1" w:after="100" w:afterAutospacing="1"/>
      <w:jc w:val="center"/>
      <w:textAlignment w:val="center"/>
    </w:pPr>
    <w:rPr>
      <w:rFonts w:cs="Times New Roman"/>
      <w:sz w:val="20"/>
      <w:szCs w:val="20"/>
    </w:rPr>
  </w:style>
  <w:style w:type="paragraph" w:customStyle="1" w:styleId="141">
    <w:name w:val="Char Char Char Char Char Char1 Char"/>
    <w:basedOn w:val="1"/>
    <w:qFormat/>
    <w:uiPriority w:val="0"/>
    <w:pPr>
      <w:widowControl w:val="0"/>
      <w:ind w:firstLine="200"/>
      <w:jc w:val="both"/>
    </w:pPr>
    <w:rPr>
      <w:kern w:val="2"/>
    </w:rPr>
  </w:style>
  <w:style w:type="paragraph" w:customStyle="1" w:styleId="142">
    <w:name w:val="样式 正文首行缩进 + 四号 首行缩进:  1 字符 Char"/>
    <w:basedOn w:val="46"/>
    <w:qFormat/>
    <w:uiPriority w:val="0"/>
    <w:pPr>
      <w:spacing w:line="500" w:lineRule="atLeast"/>
      <w:ind w:firstLine="538" w:firstLineChars="192"/>
    </w:pPr>
    <w:rPr>
      <w:sz w:val="28"/>
      <w:szCs w:val="20"/>
    </w:rPr>
  </w:style>
  <w:style w:type="paragraph" w:customStyle="1" w:styleId="143">
    <w:name w:val="xl73"/>
    <w:basedOn w:val="1"/>
    <w:qFormat/>
    <w:uiPriority w:val="0"/>
    <w:pPr>
      <w:pBdr>
        <w:top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44">
    <w:name w:val="Char Char Char Char Char Char Char Char Char Char Char Char Char Char Char Char Char Char Char Char Char Char Char Char Char Char Char Char"/>
    <w:basedOn w:val="1"/>
    <w:qFormat/>
    <w:uiPriority w:val="0"/>
    <w:pPr>
      <w:ind w:firstLine="200"/>
    </w:pPr>
  </w:style>
  <w:style w:type="paragraph" w:customStyle="1" w:styleId="145">
    <w:name w:val="font10"/>
    <w:basedOn w:val="1"/>
    <w:qFormat/>
    <w:uiPriority w:val="99"/>
    <w:pPr>
      <w:spacing w:before="100" w:beforeAutospacing="1" w:after="100" w:afterAutospacing="1"/>
    </w:pPr>
    <w:rPr>
      <w:rFonts w:hint="eastAsia" w:cs="Arial Unicode MS"/>
      <w:color w:val="000000"/>
      <w:sz w:val="18"/>
      <w:szCs w:val="18"/>
    </w:rPr>
  </w:style>
  <w:style w:type="paragraph" w:customStyle="1" w:styleId="146">
    <w:name w:val="xl43"/>
    <w:basedOn w:val="1"/>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pPr>
    <w:rPr>
      <w:rFonts w:ascii="Arial Unicode MS" w:hAnsi="Arial Unicode MS" w:eastAsia="Arial Unicode MS" w:cs="Arial Unicode MS"/>
    </w:rPr>
  </w:style>
  <w:style w:type="paragraph" w:customStyle="1" w:styleId="147">
    <w:name w:val="xl87"/>
    <w:basedOn w:val="1"/>
    <w:qFormat/>
    <w:uiPriority w:val="99"/>
    <w:pPr>
      <w:pBdr>
        <w:left w:val="single" w:color="auto" w:sz="4" w:space="0"/>
        <w:right w:val="single" w:color="auto" w:sz="4" w:space="0"/>
      </w:pBdr>
      <w:spacing w:before="100" w:beforeAutospacing="1" w:after="100" w:afterAutospacing="1"/>
      <w:jc w:val="center"/>
    </w:pPr>
    <w:rPr>
      <w:color w:val="000000"/>
      <w:sz w:val="20"/>
      <w:szCs w:val="20"/>
    </w:rPr>
  </w:style>
  <w:style w:type="paragraph" w:customStyle="1" w:styleId="148">
    <w:name w:val="font0"/>
    <w:basedOn w:val="1"/>
    <w:qFormat/>
    <w:uiPriority w:val="0"/>
    <w:pPr>
      <w:spacing w:before="100" w:beforeAutospacing="1" w:after="100" w:afterAutospacing="1"/>
    </w:pPr>
    <w:rPr>
      <w:rFonts w:hint="eastAsia"/>
    </w:rPr>
  </w:style>
  <w:style w:type="paragraph" w:customStyle="1" w:styleId="149">
    <w:name w:val="xl62"/>
    <w:basedOn w:val="1"/>
    <w:qFormat/>
    <w:uiPriority w:val="0"/>
    <w:pPr>
      <w:pBdr>
        <w:left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150">
    <w:name w:val="xl79"/>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51">
    <w:name w:val="表格1"/>
    <w:basedOn w:val="1"/>
    <w:qFormat/>
    <w:uiPriority w:val="0"/>
    <w:pPr>
      <w:adjustRightInd w:val="0"/>
      <w:spacing w:line="20" w:lineRule="atLeast"/>
      <w:jc w:val="center"/>
      <w:textAlignment w:val="center"/>
    </w:pPr>
  </w:style>
  <w:style w:type="paragraph" w:customStyle="1" w:styleId="152">
    <w:name w:val="xl57"/>
    <w:basedOn w:val="1"/>
    <w:qFormat/>
    <w:uiPriority w:val="0"/>
    <w:pPr>
      <w:pBdr>
        <w:top w:val="single" w:color="auto" w:sz="8" w:space="0"/>
      </w:pBdr>
      <w:spacing w:before="100" w:beforeAutospacing="1" w:after="100" w:afterAutospacing="1"/>
    </w:pPr>
    <w:rPr>
      <w:rFonts w:ascii="Arial Unicode MS" w:hAnsi="Arial Unicode MS" w:eastAsia="Arial Unicode MS" w:cs="Arial Unicode MS"/>
      <w:sz w:val="18"/>
      <w:szCs w:val="18"/>
    </w:rPr>
  </w:style>
  <w:style w:type="paragraph" w:customStyle="1" w:styleId="153">
    <w:name w:val="Char Char Char"/>
    <w:basedOn w:val="1"/>
    <w:qFormat/>
    <w:uiPriority w:val="0"/>
    <w:pPr>
      <w:widowControl w:val="0"/>
      <w:jc w:val="both"/>
    </w:pPr>
    <w:rPr>
      <w:rFonts w:cs="Times New Roman"/>
      <w:kern w:val="2"/>
      <w:sz w:val="21"/>
    </w:rPr>
  </w:style>
  <w:style w:type="paragraph" w:customStyle="1" w:styleId="154">
    <w:name w:val="xl88"/>
    <w:basedOn w:val="1"/>
    <w:qFormat/>
    <w:uiPriority w:val="99"/>
    <w:pPr>
      <w:pBdr>
        <w:left w:val="single" w:color="auto" w:sz="4" w:space="0"/>
        <w:bottom w:val="single" w:color="auto" w:sz="4" w:space="0"/>
        <w:right w:val="single" w:color="auto" w:sz="4" w:space="0"/>
      </w:pBdr>
      <w:spacing w:before="100" w:beforeAutospacing="1" w:after="100" w:afterAutospacing="1"/>
      <w:jc w:val="center"/>
    </w:pPr>
    <w:rPr>
      <w:color w:val="000000"/>
      <w:sz w:val="20"/>
      <w:szCs w:val="20"/>
    </w:rPr>
  </w:style>
  <w:style w:type="paragraph" w:customStyle="1" w:styleId="155">
    <w:name w:val="font5"/>
    <w:basedOn w:val="1"/>
    <w:qFormat/>
    <w:uiPriority w:val="99"/>
    <w:pPr>
      <w:spacing w:before="100" w:beforeAutospacing="1" w:after="100" w:afterAutospacing="1"/>
    </w:pPr>
    <w:rPr>
      <w:rFonts w:hint="eastAsia"/>
      <w:sz w:val="18"/>
      <w:szCs w:val="18"/>
    </w:rPr>
  </w:style>
  <w:style w:type="paragraph" w:customStyle="1" w:styleId="156">
    <w:name w:val="xl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57">
    <w:name w:val="xl1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58">
    <w:name w:val="xl2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sz w:val="20"/>
      <w:szCs w:val="20"/>
    </w:rPr>
  </w:style>
  <w:style w:type="paragraph" w:customStyle="1" w:styleId="159">
    <w:name w:val="font9"/>
    <w:basedOn w:val="1"/>
    <w:qFormat/>
    <w:uiPriority w:val="99"/>
    <w:pPr>
      <w:spacing w:before="100" w:beforeAutospacing="1" w:after="100" w:afterAutospacing="1"/>
    </w:pPr>
    <w:rPr>
      <w:rFonts w:eastAsia="Arial Unicode MS"/>
      <w:sz w:val="18"/>
      <w:szCs w:val="18"/>
    </w:rPr>
  </w:style>
  <w:style w:type="paragraph" w:customStyle="1" w:styleId="160">
    <w:name w:val="xl42"/>
    <w:basedOn w:val="1"/>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161">
    <w:name w:val="样式 标题 2标题 1.1节标题 1.1h2l22nd levelTitre22Header 2标题 yjm2..."/>
    <w:basedOn w:val="3"/>
    <w:qFormat/>
    <w:uiPriority w:val="0"/>
    <w:pPr>
      <w:tabs>
        <w:tab w:val="left" w:pos="576"/>
      </w:tabs>
      <w:ind w:left="0"/>
    </w:pPr>
    <w:rPr>
      <w:rFonts w:ascii="Times New Roman" w:hAnsi="Times New Roman" w:eastAsia="宋体"/>
      <w:bCs/>
      <w:szCs w:val="20"/>
    </w:rPr>
  </w:style>
  <w:style w:type="paragraph" w:customStyle="1" w:styleId="162">
    <w:name w:val="font6"/>
    <w:basedOn w:val="1"/>
    <w:qFormat/>
    <w:uiPriority w:val="99"/>
    <w:pPr>
      <w:spacing w:before="100" w:beforeAutospacing="1" w:after="100" w:afterAutospacing="1"/>
    </w:pPr>
  </w:style>
  <w:style w:type="paragraph" w:customStyle="1" w:styleId="163">
    <w:name w:val="默认段落字体 Para Char Char Char Char Char Char Char Char Char Char"/>
    <w:basedOn w:val="1"/>
    <w:qFormat/>
    <w:uiPriority w:val="0"/>
    <w:pPr>
      <w:widowControl w:val="0"/>
      <w:jc w:val="both"/>
    </w:pPr>
    <w:rPr>
      <w:rFonts w:cs="Times New Roman"/>
      <w:kern w:val="2"/>
      <w:sz w:val="21"/>
      <w:szCs w:val="21"/>
    </w:rPr>
  </w:style>
  <w:style w:type="paragraph" w:customStyle="1" w:styleId="164">
    <w:name w:val="xl11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65">
    <w:name w:val="xl2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style>
  <w:style w:type="paragraph" w:customStyle="1" w:styleId="166">
    <w:name w:val="Char Char Char2 Char"/>
    <w:basedOn w:val="1"/>
    <w:qFormat/>
    <w:uiPriority w:val="0"/>
    <w:pPr>
      <w:widowControl w:val="0"/>
      <w:tabs>
        <w:tab w:val="left" w:pos="525"/>
      </w:tabs>
      <w:ind w:left="525" w:hanging="420"/>
      <w:jc w:val="both"/>
    </w:pPr>
    <w:rPr>
      <w:rFonts w:cs="Times New Roman"/>
      <w:kern w:val="2"/>
      <w:sz w:val="21"/>
      <w:szCs w:val="20"/>
    </w:rPr>
  </w:style>
  <w:style w:type="paragraph" w:customStyle="1" w:styleId="167">
    <w:name w:val="xl119"/>
    <w:basedOn w:val="1"/>
    <w:qFormat/>
    <w:uiPriority w:val="0"/>
    <w:pPr>
      <w:pBdr>
        <w:top w:val="single" w:color="auto" w:sz="4" w:space="0"/>
        <w:bottom w:val="single" w:color="auto" w:sz="4" w:space="0"/>
      </w:pBdr>
      <w:spacing w:before="100" w:beforeAutospacing="1" w:after="100" w:afterAutospacing="1"/>
      <w:jc w:val="center"/>
      <w:textAlignment w:val="center"/>
    </w:pPr>
    <w:rPr>
      <w:sz w:val="20"/>
      <w:szCs w:val="20"/>
    </w:rPr>
  </w:style>
  <w:style w:type="paragraph" w:customStyle="1" w:styleId="168">
    <w:name w:val="font7"/>
    <w:basedOn w:val="1"/>
    <w:qFormat/>
    <w:uiPriority w:val="99"/>
    <w:pPr>
      <w:spacing w:before="100" w:beforeAutospacing="1" w:after="100" w:afterAutospacing="1"/>
    </w:pPr>
  </w:style>
  <w:style w:type="paragraph" w:customStyle="1" w:styleId="169">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70">
    <w:name w:val="xl2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style>
  <w:style w:type="paragraph" w:customStyle="1" w:styleId="171">
    <w:name w:val="xl27"/>
    <w:basedOn w:val="1"/>
    <w:qFormat/>
    <w:uiPriority w:val="0"/>
    <w:pPr>
      <w:spacing w:before="100" w:beforeAutospacing="1" w:after="100" w:afterAutospacing="1"/>
      <w:jc w:val="center"/>
    </w:pPr>
    <w:rPr>
      <w:sz w:val="32"/>
      <w:szCs w:val="32"/>
    </w:rPr>
  </w:style>
  <w:style w:type="paragraph" w:customStyle="1" w:styleId="172">
    <w:name w:val="样式 标题 4 + (中文) 宋体 段前: 6 磅 段后: 6 磅"/>
    <w:basedOn w:val="6"/>
    <w:qFormat/>
    <w:uiPriority w:val="0"/>
    <w:pPr>
      <w:keepNext w:val="0"/>
      <w:keepLines w:val="0"/>
      <w:topLinePunct/>
      <w:spacing w:line="312" w:lineRule="exact"/>
      <w:jc w:val="center"/>
      <w:textAlignment w:val="baseline"/>
      <w:outlineLvl w:val="9"/>
    </w:pPr>
    <w:rPr>
      <w:sz w:val="21"/>
    </w:rPr>
  </w:style>
  <w:style w:type="paragraph" w:customStyle="1" w:styleId="173">
    <w:name w:val="标题4 Char Char Char"/>
    <w:basedOn w:val="1"/>
    <w:qFormat/>
    <w:uiPriority w:val="0"/>
    <w:pPr>
      <w:adjustRightInd w:val="0"/>
      <w:spacing w:beforeLines="150" w:afterLines="100"/>
      <w:ind w:firstLine="200"/>
      <w:textAlignment w:val="baseline"/>
    </w:pPr>
  </w:style>
  <w:style w:type="paragraph" w:customStyle="1" w:styleId="174">
    <w:name w:val="Char Char Char Char Char Char1 Char Char Char Char Char Char Char Char Char Char"/>
    <w:basedOn w:val="1"/>
    <w:qFormat/>
    <w:uiPriority w:val="0"/>
    <w:pPr>
      <w:widowControl w:val="0"/>
      <w:ind w:firstLine="200"/>
      <w:jc w:val="both"/>
    </w:pPr>
    <w:rPr>
      <w:kern w:val="2"/>
    </w:rPr>
  </w:style>
  <w:style w:type="paragraph" w:customStyle="1" w:styleId="175">
    <w:name w:val="xl96"/>
    <w:basedOn w:val="1"/>
    <w:qFormat/>
    <w:uiPriority w:val="99"/>
    <w:pPr>
      <w:pBdr>
        <w:left w:val="single" w:color="auto" w:sz="4" w:space="0"/>
        <w:bottom w:val="single" w:color="auto" w:sz="4" w:space="0"/>
      </w:pBdr>
      <w:spacing w:before="100" w:beforeAutospacing="1" w:after="100" w:afterAutospacing="1"/>
      <w:jc w:val="center"/>
      <w:textAlignment w:val="center"/>
    </w:pPr>
    <w:rPr>
      <w:sz w:val="20"/>
      <w:szCs w:val="20"/>
    </w:rPr>
  </w:style>
  <w:style w:type="paragraph" w:customStyle="1" w:styleId="176">
    <w:name w:val="xl2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Unicode MS" w:hAnsi="Arial Unicode MS" w:eastAsia="Arial Unicode MS" w:cs="Courier New"/>
    </w:rPr>
  </w:style>
  <w:style w:type="paragraph" w:customStyle="1" w:styleId="177">
    <w:name w:val="样式1"/>
    <w:basedOn w:val="2"/>
    <w:qFormat/>
    <w:uiPriority w:val="0"/>
    <w:pPr>
      <w:tabs>
        <w:tab w:val="left" w:pos="432"/>
      </w:tabs>
      <w:spacing w:line="500" w:lineRule="atLeast"/>
    </w:pPr>
  </w:style>
  <w:style w:type="paragraph" w:customStyle="1" w:styleId="178">
    <w:name w:val="样式 居中"/>
    <w:basedOn w:val="1"/>
    <w:qFormat/>
    <w:uiPriority w:val="0"/>
    <w:pPr>
      <w:widowControl w:val="0"/>
      <w:jc w:val="center"/>
    </w:pPr>
    <w:rPr>
      <w:szCs w:val="20"/>
    </w:rPr>
  </w:style>
  <w:style w:type="paragraph" w:customStyle="1" w:styleId="179">
    <w:name w:val="xl120"/>
    <w:basedOn w:val="1"/>
    <w:qFormat/>
    <w:uiPriority w:val="0"/>
    <w:pPr>
      <w:pBdr>
        <w:top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80">
    <w:name w:val="xl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Unicode MS" w:hAnsi="Arial Unicode MS" w:eastAsia="Arial Unicode MS" w:cs="Courier New"/>
    </w:rPr>
  </w:style>
  <w:style w:type="paragraph" w:customStyle="1" w:styleId="181">
    <w:name w:val="xl59"/>
    <w:basedOn w:val="1"/>
    <w:qFormat/>
    <w:uiPriority w:val="0"/>
    <w:pPr>
      <w:pBdr>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182">
    <w:name w:val="Char Char Char Char Char Char"/>
    <w:basedOn w:val="1"/>
    <w:qFormat/>
    <w:uiPriority w:val="0"/>
    <w:pPr>
      <w:widowControl w:val="0"/>
      <w:jc w:val="both"/>
    </w:pPr>
    <w:rPr>
      <w:rFonts w:ascii="Tahoma" w:hAnsi="Tahoma" w:cs="Times New Roman"/>
      <w:kern w:val="2"/>
      <w:szCs w:val="20"/>
    </w:rPr>
  </w:style>
  <w:style w:type="paragraph" w:customStyle="1" w:styleId="183">
    <w:name w:val="xl89"/>
    <w:basedOn w:val="1"/>
    <w:qFormat/>
    <w:uiPriority w:val="99"/>
    <w:pPr>
      <w:pBdr>
        <w:top w:val="single" w:color="auto" w:sz="4" w:space="0"/>
        <w:left w:val="single" w:color="auto" w:sz="4" w:space="0"/>
        <w:right w:val="single" w:color="auto" w:sz="4" w:space="0"/>
      </w:pBdr>
      <w:spacing w:before="100" w:beforeAutospacing="1" w:after="100" w:afterAutospacing="1"/>
      <w:jc w:val="center"/>
    </w:pPr>
    <w:rPr>
      <w:color w:val="000000"/>
      <w:sz w:val="20"/>
      <w:szCs w:val="20"/>
    </w:rPr>
  </w:style>
  <w:style w:type="paragraph" w:customStyle="1" w:styleId="184">
    <w:name w:val="xl3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Courier New"/>
    </w:rPr>
  </w:style>
  <w:style w:type="paragraph" w:customStyle="1" w:styleId="185">
    <w:name w:val="xl90"/>
    <w:basedOn w:val="1"/>
    <w:qFormat/>
    <w:uiPriority w:val="99"/>
    <w:pPr>
      <w:pBdr>
        <w:top w:val="single" w:color="auto" w:sz="4" w:space="0"/>
        <w:left w:val="single" w:color="auto" w:sz="4" w:space="0"/>
        <w:right w:val="single" w:color="auto" w:sz="4" w:space="0"/>
      </w:pBdr>
      <w:spacing w:before="100" w:beforeAutospacing="1" w:after="100" w:afterAutospacing="1"/>
      <w:jc w:val="center"/>
    </w:pPr>
    <w:rPr>
      <w:color w:val="000000"/>
      <w:sz w:val="20"/>
      <w:szCs w:val="20"/>
    </w:rPr>
  </w:style>
  <w:style w:type="paragraph" w:customStyle="1" w:styleId="186">
    <w:name w:val="xl3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Courier New"/>
    </w:rPr>
  </w:style>
  <w:style w:type="paragraph" w:customStyle="1" w:styleId="187">
    <w:name w:val="正文文本 21"/>
    <w:basedOn w:val="1"/>
    <w:qFormat/>
    <w:uiPriority w:val="0"/>
    <w:pPr>
      <w:widowControl w:val="0"/>
      <w:adjustRightInd w:val="0"/>
      <w:spacing w:line="530" w:lineRule="exact"/>
      <w:ind w:firstLine="720"/>
      <w:textAlignment w:val="baseline"/>
    </w:pPr>
    <w:rPr>
      <w:rFonts w:cs="Times New Roman"/>
      <w:kern w:val="2"/>
      <w:szCs w:val="20"/>
    </w:rPr>
  </w:style>
  <w:style w:type="paragraph" w:customStyle="1" w:styleId="188">
    <w:name w:val="xl9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sz w:val="20"/>
      <w:szCs w:val="20"/>
    </w:rPr>
  </w:style>
  <w:style w:type="paragraph" w:customStyle="1" w:styleId="189">
    <w:name w:val="8"/>
    <w:basedOn w:val="1"/>
    <w:next w:val="4"/>
    <w:qFormat/>
    <w:uiPriority w:val="0"/>
    <w:pPr>
      <w:ind w:firstLine="420"/>
    </w:pPr>
    <w:rPr>
      <w:sz w:val="20"/>
    </w:rPr>
  </w:style>
  <w:style w:type="paragraph" w:customStyle="1" w:styleId="190">
    <w:name w:val="样式3"/>
    <w:basedOn w:val="5"/>
    <w:qFormat/>
    <w:uiPriority w:val="0"/>
    <w:pPr>
      <w:keepLines w:val="0"/>
      <w:tabs>
        <w:tab w:val="left" w:pos="720"/>
      </w:tabs>
      <w:spacing w:beforeLines="50" w:line="560" w:lineRule="exact"/>
      <w:ind w:left="709" w:hanging="709"/>
    </w:pPr>
    <w:rPr>
      <w:bCs/>
      <w:color w:val="000000"/>
    </w:rPr>
  </w:style>
  <w:style w:type="paragraph" w:customStyle="1" w:styleId="191">
    <w:name w:val="采子山正文文字"/>
    <w:basedOn w:val="1"/>
    <w:qFormat/>
    <w:uiPriority w:val="0"/>
    <w:pPr>
      <w:widowControl w:val="0"/>
      <w:adjustRightInd w:val="0"/>
      <w:snapToGrid w:val="0"/>
      <w:spacing w:line="460" w:lineRule="exact"/>
      <w:ind w:firstLine="480"/>
      <w:jc w:val="both"/>
      <w:textAlignment w:val="baseline"/>
    </w:pPr>
    <w:rPr>
      <w:rFonts w:cs="Times New Roman"/>
      <w:kern w:val="2"/>
    </w:rPr>
  </w:style>
  <w:style w:type="paragraph" w:customStyle="1" w:styleId="192">
    <w:name w:val="Char2"/>
    <w:basedOn w:val="1"/>
    <w:qFormat/>
    <w:uiPriority w:val="0"/>
    <w:pPr>
      <w:widowControl w:val="0"/>
      <w:ind w:firstLine="200"/>
      <w:jc w:val="both"/>
    </w:pPr>
    <w:rPr>
      <w:kern w:val="2"/>
    </w:rPr>
  </w:style>
  <w:style w:type="paragraph" w:customStyle="1" w:styleId="193">
    <w:name w:val="正文文字1"/>
    <w:basedOn w:val="1"/>
    <w:qFormat/>
    <w:uiPriority w:val="0"/>
    <w:pPr>
      <w:widowControl w:val="0"/>
      <w:ind w:firstLine="200"/>
      <w:jc w:val="both"/>
    </w:pPr>
    <w:rPr>
      <w:rFonts w:cs="Times New Roman"/>
      <w:kern w:val="2"/>
      <w:sz w:val="32"/>
      <w:szCs w:val="21"/>
    </w:rPr>
  </w:style>
  <w:style w:type="paragraph" w:customStyle="1" w:styleId="194">
    <w:name w:val="xl9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195">
    <w:name w:val="7"/>
    <w:basedOn w:val="1"/>
    <w:next w:val="4"/>
    <w:qFormat/>
    <w:uiPriority w:val="0"/>
    <w:pPr>
      <w:ind w:firstLine="420"/>
    </w:pPr>
    <w:rPr>
      <w:sz w:val="20"/>
    </w:rPr>
  </w:style>
  <w:style w:type="paragraph" w:customStyle="1" w:styleId="196">
    <w:name w:val="xl51"/>
    <w:basedOn w:val="1"/>
    <w:qFormat/>
    <w:uiPriority w:val="0"/>
    <w:pPr>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197">
    <w:name w:val="表5号字"/>
    <w:qFormat/>
    <w:uiPriority w:val="0"/>
    <w:pPr>
      <w:keepNext/>
      <w:widowControl w:val="0"/>
      <w:adjustRightInd w:val="0"/>
      <w:snapToGrid w:val="0"/>
      <w:jc w:val="both"/>
    </w:pPr>
    <w:rPr>
      <w:rFonts w:ascii="Times New Roman" w:hAnsi="Times New Roman" w:eastAsia="宋体" w:cs="Times New Roman"/>
      <w:sz w:val="21"/>
      <w:lang w:val="en-US" w:eastAsia="zh-CN" w:bidi="ar-SA"/>
    </w:rPr>
  </w:style>
  <w:style w:type="paragraph" w:customStyle="1" w:styleId="198">
    <w:name w:val="xl23"/>
    <w:basedOn w:val="1"/>
    <w:qFormat/>
    <w:uiPriority w:val="0"/>
    <w:pPr>
      <w:pBdr>
        <w:bottom w:val="single" w:color="auto" w:sz="8" w:space="0"/>
        <w:right w:val="single" w:color="auto" w:sz="8" w:space="0"/>
      </w:pBdr>
      <w:spacing w:before="100" w:beforeAutospacing="1" w:after="100" w:afterAutospacing="1"/>
      <w:jc w:val="right"/>
    </w:pPr>
    <w:rPr>
      <w:sz w:val="18"/>
      <w:szCs w:val="18"/>
    </w:rPr>
  </w:style>
  <w:style w:type="paragraph" w:customStyle="1" w:styleId="199">
    <w:name w:val="xl127"/>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00">
    <w:name w:val="xl63"/>
    <w:basedOn w:val="1"/>
    <w:qFormat/>
    <w:uiPriority w:val="0"/>
    <w:pPr>
      <w:pBdr>
        <w:left w:val="single" w:color="auto" w:sz="8"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201">
    <w:name w:val="6"/>
    <w:basedOn w:val="1"/>
    <w:next w:val="1"/>
    <w:qFormat/>
    <w:uiPriority w:val="0"/>
  </w:style>
  <w:style w:type="paragraph" w:customStyle="1" w:styleId="202">
    <w:name w:val="xl80"/>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03">
    <w:name w:val="样式2"/>
    <w:basedOn w:val="3"/>
    <w:link w:val="204"/>
    <w:qFormat/>
    <w:uiPriority w:val="99"/>
    <w:pPr>
      <w:keepNext w:val="0"/>
      <w:keepLines w:val="0"/>
      <w:numPr>
        <w:numId w:val="0"/>
      </w:numPr>
      <w:tabs>
        <w:tab w:val="left" w:pos="567"/>
      </w:tabs>
      <w:adjustRightInd w:val="0"/>
      <w:snapToGrid w:val="0"/>
      <w:spacing w:beforeLines="50" w:line="560" w:lineRule="exact"/>
      <w:ind w:left="567" w:hanging="567"/>
    </w:pPr>
    <w:rPr>
      <w:rFonts w:ascii="Times New Roman" w:hAnsi="Times New Roman" w:eastAsia="宋体"/>
      <w:bCs/>
      <w:sz w:val="28"/>
    </w:rPr>
  </w:style>
  <w:style w:type="character" w:customStyle="1" w:styleId="204">
    <w:name w:val="样式2 Char"/>
    <w:link w:val="203"/>
    <w:qFormat/>
    <w:uiPriority w:val="0"/>
    <w:rPr>
      <w:rFonts w:cs="宋体"/>
      <w:b/>
      <w:bCs/>
      <w:sz w:val="28"/>
      <w:szCs w:val="24"/>
    </w:rPr>
  </w:style>
  <w:style w:type="paragraph" w:customStyle="1" w:styleId="205">
    <w:name w:val="表格2"/>
    <w:basedOn w:val="1"/>
    <w:qFormat/>
    <w:uiPriority w:val="0"/>
    <w:pPr>
      <w:snapToGrid w:val="0"/>
      <w:spacing w:line="280" w:lineRule="exact"/>
      <w:jc w:val="center"/>
    </w:pPr>
  </w:style>
  <w:style w:type="paragraph" w:customStyle="1" w:styleId="206">
    <w:name w:val="默认段落字体 Para Char Char Char Char"/>
    <w:basedOn w:val="1"/>
    <w:qFormat/>
    <w:uiPriority w:val="0"/>
    <w:pPr>
      <w:widowControl w:val="0"/>
      <w:jc w:val="both"/>
    </w:pPr>
    <w:rPr>
      <w:rFonts w:cs="Times New Roman"/>
      <w:kern w:val="2"/>
      <w:sz w:val="21"/>
      <w:szCs w:val="21"/>
    </w:rPr>
  </w:style>
  <w:style w:type="paragraph" w:customStyle="1" w:styleId="207">
    <w:name w:val="form_first"/>
    <w:basedOn w:val="1"/>
    <w:qFormat/>
    <w:uiPriority w:val="0"/>
    <w:pPr>
      <w:widowControl w:val="0"/>
      <w:autoSpaceDE w:val="0"/>
      <w:autoSpaceDN w:val="0"/>
      <w:adjustRightInd w:val="0"/>
      <w:jc w:val="center"/>
    </w:pPr>
    <w:rPr>
      <w:rFonts w:cs="Times New Roman"/>
      <w:color w:val="000000"/>
      <w:sz w:val="21"/>
    </w:rPr>
  </w:style>
  <w:style w:type="paragraph" w:customStyle="1" w:styleId="208">
    <w:name w:val="5"/>
    <w:basedOn w:val="1"/>
    <w:next w:val="41"/>
    <w:qFormat/>
    <w:uiPriority w:val="0"/>
    <w:rPr>
      <w:color w:val="000000"/>
      <w:sz w:val="28"/>
    </w:rPr>
  </w:style>
  <w:style w:type="paragraph" w:customStyle="1" w:styleId="209">
    <w:name w:val="表格文字"/>
    <w:basedOn w:val="18"/>
    <w:next w:val="1"/>
    <w:qFormat/>
    <w:uiPriority w:val="0"/>
    <w:pPr>
      <w:widowControl w:val="0"/>
      <w:tabs>
        <w:tab w:val="left" w:pos="3720"/>
      </w:tabs>
      <w:autoSpaceDE w:val="0"/>
      <w:autoSpaceDN w:val="0"/>
      <w:adjustRightInd w:val="0"/>
      <w:spacing w:line="315" w:lineRule="exact"/>
      <w:jc w:val="center"/>
      <w:textAlignment w:val="bottom"/>
    </w:pPr>
    <w:rPr>
      <w:rFonts w:cs="Times New Roman"/>
      <w:sz w:val="21"/>
      <w:szCs w:val="20"/>
    </w:rPr>
  </w:style>
  <w:style w:type="paragraph" w:customStyle="1" w:styleId="210">
    <w:name w:val="正文A"/>
    <w:qFormat/>
    <w:uiPriority w:val="0"/>
    <w:pPr>
      <w:tabs>
        <w:tab w:val="left" w:pos="0"/>
      </w:tabs>
      <w:adjustRightInd w:val="0"/>
      <w:spacing w:before="120" w:line="360" w:lineRule="auto"/>
      <w:ind w:firstLine="488"/>
      <w:jc w:val="both"/>
    </w:pPr>
    <w:rPr>
      <w:rFonts w:ascii="Times New Roman" w:hAnsi="Times New Roman" w:eastAsia="宋体" w:cs="Times New Roman"/>
      <w:sz w:val="24"/>
      <w:lang w:val="en-US" w:eastAsia="zh-CN" w:bidi="ar-SA"/>
    </w:rPr>
  </w:style>
  <w:style w:type="paragraph" w:customStyle="1" w:styleId="211">
    <w:name w:val="标准段落"/>
    <w:basedOn w:val="1"/>
    <w:qFormat/>
    <w:uiPriority w:val="0"/>
    <w:pPr>
      <w:widowControl w:val="0"/>
      <w:topLinePunct/>
      <w:autoSpaceDE w:val="0"/>
      <w:autoSpaceDN w:val="0"/>
      <w:adjustRightInd w:val="0"/>
      <w:snapToGrid w:val="0"/>
      <w:spacing w:line="520" w:lineRule="exact"/>
      <w:ind w:firstLine="200"/>
      <w:jc w:val="both"/>
    </w:pPr>
    <w:rPr>
      <w:rFonts w:ascii="仿宋_GB2312" w:cs="Times New Roman"/>
      <w:b/>
      <w:spacing w:val="6"/>
      <w:kern w:val="2"/>
      <w:sz w:val="28"/>
      <w:szCs w:val="18"/>
    </w:rPr>
  </w:style>
  <w:style w:type="paragraph" w:customStyle="1" w:styleId="212">
    <w:name w:val="xl93"/>
    <w:basedOn w:val="1"/>
    <w:qFormat/>
    <w:uiPriority w:val="99"/>
    <w:pPr>
      <w:pBdr>
        <w:top w:val="single" w:color="auto" w:sz="4" w:space="0"/>
        <w:left w:val="single" w:color="auto" w:sz="4" w:space="0"/>
        <w:right w:val="single" w:color="auto" w:sz="4" w:space="0"/>
      </w:pBdr>
      <w:spacing w:before="100" w:beforeAutospacing="1" w:after="100" w:afterAutospacing="1"/>
      <w:jc w:val="center"/>
      <w:textAlignment w:val="center"/>
    </w:pPr>
    <w:rPr>
      <w:rFonts w:cs="Times New Roman"/>
      <w:sz w:val="20"/>
      <w:szCs w:val="20"/>
    </w:rPr>
  </w:style>
  <w:style w:type="paragraph" w:customStyle="1" w:styleId="213">
    <w:name w:val="4"/>
    <w:basedOn w:val="1"/>
    <w:next w:val="26"/>
    <w:qFormat/>
    <w:uiPriority w:val="0"/>
    <w:pPr>
      <w:tabs>
        <w:tab w:val="left" w:pos="2446"/>
      </w:tabs>
      <w:spacing w:before="156" w:after="60"/>
      <w:ind w:firstLine="567"/>
    </w:pPr>
    <w:rPr>
      <w:sz w:val="28"/>
    </w:rPr>
  </w:style>
  <w:style w:type="paragraph" w:customStyle="1" w:styleId="214">
    <w:name w:val="xl53"/>
    <w:basedOn w:val="1"/>
    <w:qFormat/>
    <w:uiPriority w:val="0"/>
    <w:pPr>
      <w:pBdr>
        <w:top w:val="single" w:color="auto" w:sz="4" w:space="0"/>
        <w:bottom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215">
    <w:name w:val="Char Char Char Char Char Char Char Char Char Char Char Char"/>
    <w:basedOn w:val="1"/>
    <w:qFormat/>
    <w:uiPriority w:val="0"/>
    <w:pPr>
      <w:adjustRightInd w:val="0"/>
      <w:spacing w:beforeLines="150" w:afterLines="100"/>
      <w:ind w:firstLine="200"/>
      <w:textAlignment w:val="baseline"/>
    </w:pPr>
  </w:style>
  <w:style w:type="paragraph" w:customStyle="1" w:styleId="216">
    <w:name w:val="xl65"/>
    <w:basedOn w:val="1"/>
    <w:qFormat/>
    <w:uiPriority w:val="0"/>
    <w:pPr>
      <w:pBdr>
        <w:top w:val="single" w:color="auto" w:sz="8" w:space="0"/>
        <w:left w:val="single" w:color="auto" w:sz="8" w:space="0"/>
        <w:bottom w:val="single" w:color="auto" w:sz="8" w:space="0"/>
      </w:pBdr>
      <w:spacing w:before="100" w:beforeAutospacing="1" w:after="100" w:afterAutospacing="1"/>
      <w:jc w:val="center"/>
      <w:textAlignment w:val="center"/>
    </w:pPr>
    <w:rPr>
      <w:sz w:val="18"/>
      <w:szCs w:val="18"/>
    </w:rPr>
  </w:style>
  <w:style w:type="paragraph" w:customStyle="1" w:styleId="217">
    <w:name w:val="Char1 Char Char Char1 Char Char Char"/>
    <w:basedOn w:val="1"/>
    <w:qFormat/>
    <w:uiPriority w:val="0"/>
    <w:pPr>
      <w:widowControl w:val="0"/>
      <w:ind w:firstLine="200"/>
      <w:jc w:val="both"/>
    </w:pPr>
    <w:rPr>
      <w:kern w:val="2"/>
    </w:rPr>
  </w:style>
  <w:style w:type="paragraph" w:customStyle="1" w:styleId="218">
    <w:name w:val="xl129"/>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19">
    <w:name w:val="1"/>
    <w:basedOn w:val="1"/>
    <w:next w:val="4"/>
    <w:qFormat/>
    <w:uiPriority w:val="0"/>
    <w:pPr>
      <w:ind w:firstLine="420"/>
    </w:pPr>
  </w:style>
  <w:style w:type="paragraph" w:customStyle="1" w:styleId="220">
    <w:name w:val="xl58"/>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color w:val="000000"/>
      <w:szCs w:val="21"/>
    </w:rPr>
  </w:style>
  <w:style w:type="paragraph" w:customStyle="1" w:styleId="221">
    <w:name w:val="xl49"/>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222">
    <w:name w:val="正文(首行缩进)"/>
    <w:basedOn w:val="1"/>
    <w:qFormat/>
    <w:uiPriority w:val="0"/>
    <w:pPr>
      <w:ind w:firstLine="510"/>
    </w:pPr>
    <w:rPr>
      <w:snapToGrid w:val="0"/>
    </w:rPr>
  </w:style>
  <w:style w:type="paragraph" w:customStyle="1" w:styleId="223">
    <w:name w:val="样式4"/>
    <w:basedOn w:val="9"/>
    <w:qFormat/>
    <w:uiPriority w:val="0"/>
    <w:pPr>
      <w:widowControl w:val="0"/>
      <w:adjustRightInd w:val="0"/>
      <w:spacing w:before="120" w:after="0" w:line="60" w:lineRule="auto"/>
      <w:ind w:left="1298" w:hanging="1298"/>
      <w:jc w:val="both"/>
      <w:textAlignment w:val="baseline"/>
    </w:pPr>
    <w:rPr>
      <w:rFonts w:cs="Times New Roman"/>
      <w:szCs w:val="20"/>
    </w:rPr>
  </w:style>
  <w:style w:type="paragraph" w:customStyle="1" w:styleId="224">
    <w:name w:val="xl125"/>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25">
    <w:name w:val="9"/>
    <w:basedOn w:val="1"/>
    <w:next w:val="43"/>
    <w:qFormat/>
    <w:uiPriority w:val="0"/>
    <w:pPr>
      <w:spacing w:before="100" w:beforeAutospacing="1" w:after="100" w:afterAutospacing="1"/>
    </w:pPr>
    <w:rPr>
      <w:color w:val="000000"/>
    </w:rPr>
  </w:style>
  <w:style w:type="paragraph" w:customStyle="1" w:styleId="226">
    <w:name w:val="xl52"/>
    <w:basedOn w:val="1"/>
    <w:qFormat/>
    <w:uiPriority w:val="0"/>
    <w:pPr>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227">
    <w:name w:val="title4"/>
    <w:basedOn w:val="1"/>
    <w:qFormat/>
    <w:uiPriority w:val="0"/>
    <w:pPr>
      <w:spacing w:beforeLines="50" w:line="480" w:lineRule="atLeast"/>
    </w:pPr>
    <w:rPr>
      <w:b/>
      <w:sz w:val="28"/>
    </w:rPr>
  </w:style>
  <w:style w:type="paragraph" w:customStyle="1" w:styleId="228">
    <w:name w:val="xl64"/>
    <w:basedOn w:val="1"/>
    <w:qFormat/>
    <w:uiPriority w:val="0"/>
    <w:pPr>
      <w:pBdr>
        <w:bottom w:val="single" w:color="auto" w:sz="8" w:space="0"/>
        <w:right w:val="single" w:color="auto" w:sz="8" w:space="0"/>
      </w:pBdr>
      <w:shd w:val="clear" w:color="auto" w:fill="FFFF00"/>
      <w:spacing w:before="100" w:beforeAutospacing="1" w:after="100" w:afterAutospacing="1"/>
      <w:jc w:val="center"/>
    </w:pPr>
    <w:rPr>
      <w:sz w:val="20"/>
      <w:szCs w:val="20"/>
    </w:rPr>
  </w:style>
  <w:style w:type="paragraph" w:customStyle="1" w:styleId="229">
    <w:name w:val="表题"/>
    <w:basedOn w:val="1"/>
    <w:qFormat/>
    <w:uiPriority w:val="0"/>
    <w:pPr>
      <w:widowControl w:val="0"/>
      <w:tabs>
        <w:tab w:val="left" w:pos="1904"/>
      </w:tabs>
      <w:spacing w:beforeLines="50" w:afterLines="50"/>
      <w:jc w:val="center"/>
    </w:pPr>
    <w:rPr>
      <w:rFonts w:eastAsia="黑体" w:cs="Times New Roman"/>
      <w:kern w:val="28"/>
      <w:sz w:val="21"/>
      <w:szCs w:val="20"/>
    </w:rPr>
  </w:style>
  <w:style w:type="paragraph" w:customStyle="1" w:styleId="230">
    <w:name w:val="xl128"/>
    <w:basedOn w:val="1"/>
    <w:qFormat/>
    <w:uiPriority w:val="0"/>
    <w:pPr>
      <w:pBdr>
        <w:left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31">
    <w:name w:val="xl35"/>
    <w:basedOn w:val="1"/>
    <w:qFormat/>
    <w:uiPriority w:val="0"/>
    <w:pPr>
      <w:pBdr>
        <w:left w:val="single" w:color="auto" w:sz="4" w:space="0"/>
        <w:right w:val="single" w:color="auto" w:sz="4" w:space="0"/>
      </w:pBdr>
      <w:spacing w:before="100" w:beforeAutospacing="1" w:after="100" w:afterAutospacing="1"/>
      <w:jc w:val="center"/>
    </w:pPr>
    <w:rPr>
      <w:rFonts w:eastAsia="Arial Unicode MS"/>
    </w:rPr>
  </w:style>
  <w:style w:type="paragraph" w:customStyle="1" w:styleId="232">
    <w:name w:val="xl36"/>
    <w:basedOn w:val="1"/>
    <w:qFormat/>
    <w:uiPriority w:val="0"/>
    <w:pPr>
      <w:pBdr>
        <w:bottom w:val="single" w:color="auto" w:sz="4" w:space="0"/>
        <w:right w:val="single" w:color="auto" w:sz="4" w:space="0"/>
      </w:pBdr>
      <w:spacing w:before="100" w:beforeAutospacing="1" w:after="100" w:afterAutospacing="1"/>
      <w:jc w:val="center"/>
    </w:pPr>
  </w:style>
  <w:style w:type="paragraph" w:customStyle="1" w:styleId="233">
    <w:name w:val="font8"/>
    <w:basedOn w:val="1"/>
    <w:qFormat/>
    <w:uiPriority w:val="99"/>
    <w:pPr>
      <w:spacing w:before="100" w:beforeAutospacing="1" w:after="100" w:afterAutospacing="1"/>
    </w:pPr>
    <w:rPr>
      <w:rFonts w:hint="eastAsia" w:cs="Arial Unicode MS"/>
      <w:b/>
      <w:bCs/>
      <w:sz w:val="28"/>
      <w:szCs w:val="28"/>
    </w:rPr>
  </w:style>
  <w:style w:type="paragraph" w:customStyle="1" w:styleId="234">
    <w:name w:val="xl32"/>
    <w:basedOn w:val="1"/>
    <w:qFormat/>
    <w:uiPriority w:val="0"/>
    <w:pPr>
      <w:pBdr>
        <w:left w:val="single" w:color="auto" w:sz="4" w:space="0"/>
        <w:bottom w:val="single" w:color="auto" w:sz="4" w:space="0"/>
        <w:right w:val="single" w:color="auto" w:sz="4" w:space="0"/>
      </w:pBdr>
      <w:spacing w:before="100" w:beforeAutospacing="1" w:after="100" w:afterAutospacing="1"/>
    </w:pPr>
    <w:rPr>
      <w:szCs w:val="21"/>
    </w:rPr>
  </w:style>
  <w:style w:type="paragraph" w:customStyle="1" w:styleId="235">
    <w:name w:val="xl37"/>
    <w:basedOn w:val="1"/>
    <w:qFormat/>
    <w:uiPriority w:val="0"/>
    <w:pPr>
      <w:pBdr>
        <w:bottom w:val="single" w:color="auto" w:sz="4" w:space="0"/>
        <w:right w:val="single" w:color="auto" w:sz="4" w:space="0"/>
      </w:pBdr>
      <w:spacing w:before="100" w:beforeAutospacing="1" w:after="100" w:afterAutospacing="1"/>
      <w:jc w:val="center"/>
    </w:pPr>
    <w:rPr>
      <w:rFonts w:ascii="Arial Unicode MS" w:hAnsi="Arial Unicode MS"/>
    </w:rPr>
  </w:style>
  <w:style w:type="paragraph" w:customStyle="1" w:styleId="236">
    <w:name w:val="xl4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Unicode MS" w:hAnsi="Arial Unicode MS" w:eastAsia="Arial Unicode MS" w:cs="Arial Unicode MS"/>
    </w:rPr>
  </w:style>
  <w:style w:type="paragraph" w:customStyle="1" w:styleId="237">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color w:val="000000"/>
      <w:sz w:val="20"/>
      <w:szCs w:val="20"/>
    </w:rPr>
  </w:style>
  <w:style w:type="paragraph" w:customStyle="1" w:styleId="238">
    <w:name w:val="xl86"/>
    <w:basedOn w:val="1"/>
    <w:qFormat/>
    <w:uiPriority w:val="99"/>
    <w:pPr>
      <w:pBdr>
        <w:top w:val="single" w:color="auto" w:sz="4" w:space="0"/>
        <w:left w:val="single" w:color="auto" w:sz="4" w:space="0"/>
        <w:right w:val="single" w:color="auto" w:sz="4" w:space="0"/>
      </w:pBdr>
      <w:spacing w:before="100" w:beforeAutospacing="1" w:after="100" w:afterAutospacing="1"/>
      <w:jc w:val="center"/>
    </w:pPr>
    <w:rPr>
      <w:color w:val="000000"/>
      <w:sz w:val="20"/>
      <w:szCs w:val="20"/>
    </w:rPr>
  </w:style>
  <w:style w:type="paragraph" w:customStyle="1" w:styleId="239">
    <w:name w:val="xl33"/>
    <w:basedOn w:val="1"/>
    <w:qFormat/>
    <w:uiPriority w:val="0"/>
    <w:pPr>
      <w:pBdr>
        <w:left w:val="single" w:color="auto" w:sz="4" w:space="0"/>
        <w:bottom w:val="single" w:color="auto" w:sz="4" w:space="0"/>
        <w:right w:val="single" w:color="auto" w:sz="4" w:space="0"/>
      </w:pBdr>
      <w:spacing w:before="100" w:beforeAutospacing="1" w:after="100" w:afterAutospacing="1"/>
    </w:pPr>
    <w:rPr>
      <w:rFonts w:ascii="Arial Unicode MS" w:hAnsi="Arial Unicode MS"/>
      <w:sz w:val="20"/>
    </w:rPr>
  </w:style>
  <w:style w:type="paragraph" w:customStyle="1" w:styleId="240">
    <w:name w:val="xl38"/>
    <w:basedOn w:val="1"/>
    <w:qFormat/>
    <w:uiPriority w:val="0"/>
    <w:pPr>
      <w:pBdr>
        <w:right w:val="single" w:color="auto" w:sz="4" w:space="0"/>
      </w:pBdr>
      <w:spacing w:before="100" w:beforeAutospacing="1" w:after="100" w:afterAutospacing="1"/>
      <w:jc w:val="center"/>
    </w:pPr>
  </w:style>
  <w:style w:type="paragraph" w:customStyle="1" w:styleId="241">
    <w:name w:val="xl46"/>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pPr>
    <w:rPr>
      <w:rFonts w:ascii="Arial Unicode MS" w:hAnsi="Arial Unicode MS" w:eastAsia="Arial Unicode MS" w:cs="Arial Unicode MS"/>
    </w:rPr>
  </w:style>
  <w:style w:type="paragraph" w:customStyle="1" w:styleId="242">
    <w:name w:val="xl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color w:val="000000"/>
      <w:sz w:val="20"/>
      <w:szCs w:val="20"/>
    </w:rPr>
  </w:style>
  <w:style w:type="paragraph" w:customStyle="1" w:styleId="243">
    <w:name w:val="xl34"/>
    <w:basedOn w:val="1"/>
    <w:qFormat/>
    <w:uiPriority w:val="0"/>
    <w:pPr>
      <w:pBdr>
        <w:bottom w:val="single" w:color="auto" w:sz="4" w:space="0"/>
      </w:pBdr>
      <w:spacing w:before="100" w:beforeAutospacing="1" w:after="100" w:afterAutospacing="1"/>
    </w:pPr>
    <w:rPr>
      <w:rFonts w:ascii="Arial Unicode MS" w:hAnsi="Arial Unicode MS"/>
      <w:sz w:val="20"/>
    </w:rPr>
  </w:style>
  <w:style w:type="paragraph" w:customStyle="1" w:styleId="244">
    <w:name w:val="xl39"/>
    <w:basedOn w:val="1"/>
    <w:qFormat/>
    <w:uiPriority w:val="0"/>
    <w:pPr>
      <w:pBdr>
        <w:left w:val="single" w:color="auto" w:sz="4" w:space="0"/>
        <w:bottom w:val="single" w:color="auto" w:sz="4" w:space="0"/>
      </w:pBdr>
      <w:spacing w:before="100" w:beforeAutospacing="1" w:after="100" w:afterAutospacing="1"/>
      <w:jc w:val="center"/>
    </w:pPr>
  </w:style>
  <w:style w:type="paragraph" w:customStyle="1" w:styleId="245">
    <w:name w:val="xl4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246">
    <w:name w:val="xl72"/>
    <w:basedOn w:val="1"/>
    <w:qFormat/>
    <w:uiPriority w:val="0"/>
    <w:pPr>
      <w:pBdr>
        <w:top w:val="single" w:color="auto" w:sz="4" w:space="0"/>
        <w:left w:val="single" w:color="auto" w:sz="4" w:space="0"/>
        <w:bottom w:val="single" w:color="auto" w:sz="4" w:space="0"/>
      </w:pBdr>
      <w:spacing w:before="100" w:beforeAutospacing="1" w:after="100" w:afterAutospacing="1"/>
      <w:jc w:val="center"/>
      <w:textAlignment w:val="center"/>
    </w:pPr>
    <w:rPr>
      <w:sz w:val="20"/>
      <w:szCs w:val="20"/>
    </w:rPr>
  </w:style>
  <w:style w:type="paragraph" w:customStyle="1" w:styleId="247">
    <w:name w:val="xl110"/>
    <w:basedOn w:val="1"/>
    <w:qFormat/>
    <w:uiPriority w:val="0"/>
    <w:pPr>
      <w:spacing w:before="100" w:beforeAutospacing="1" w:after="100" w:afterAutospacing="1"/>
      <w:jc w:val="center"/>
      <w:textAlignment w:val="center"/>
    </w:pPr>
  </w:style>
  <w:style w:type="paragraph" w:customStyle="1" w:styleId="248">
    <w:name w:val="xl4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style>
  <w:style w:type="paragraph" w:customStyle="1" w:styleId="249">
    <w:name w:val="xl48"/>
    <w:basedOn w:val="1"/>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250">
    <w:name w:val="xl124"/>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51">
    <w:name w:val="2152793030"/>
    <w:basedOn w:val="1"/>
    <w:qFormat/>
    <w:uiPriority w:val="0"/>
    <w:pPr>
      <w:adjustRightInd w:val="0"/>
      <w:spacing w:line="420" w:lineRule="atLeast"/>
      <w:ind w:firstLine="601"/>
      <w:textAlignment w:val="baseline"/>
    </w:pPr>
    <w:rPr>
      <w:rFonts w:ascii="宋体繁体"/>
      <w:spacing w:val="24"/>
    </w:rPr>
  </w:style>
  <w:style w:type="paragraph" w:customStyle="1" w:styleId="252">
    <w:name w:val="xl56"/>
    <w:basedOn w:val="1"/>
    <w:qFormat/>
    <w:uiPriority w:val="0"/>
    <w:pPr>
      <w:pBdr>
        <w:top w:val="single" w:color="auto" w:sz="4" w:space="0"/>
        <w:left w:val="single" w:color="auto" w:sz="8"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253">
    <w:name w:val="表格"/>
    <w:basedOn w:val="1"/>
    <w:qFormat/>
    <w:uiPriority w:val="0"/>
    <w:pPr>
      <w:topLinePunct/>
      <w:adjustRightInd w:val="0"/>
      <w:spacing w:line="420" w:lineRule="exact"/>
      <w:jc w:val="center"/>
      <w:textAlignment w:val="center"/>
    </w:pPr>
  </w:style>
  <w:style w:type="paragraph" w:customStyle="1" w:styleId="254">
    <w:name w:val="文字"/>
    <w:basedOn w:val="1"/>
    <w:qFormat/>
    <w:uiPriority w:val="0"/>
    <w:pPr>
      <w:spacing w:afterLines="50"/>
      <w:ind w:firstLine="420"/>
      <w:jc w:val="both"/>
    </w:pPr>
    <w:rPr>
      <w:rFonts w:cs="Times New Roman"/>
    </w:rPr>
  </w:style>
  <w:style w:type="paragraph" w:customStyle="1" w:styleId="255">
    <w:name w:val="样式 标题 4 + 宋体 段前: 6 磅 段后: 6 磅"/>
    <w:basedOn w:val="6"/>
    <w:qFormat/>
    <w:uiPriority w:val="0"/>
    <w:pPr>
      <w:keepNext w:val="0"/>
      <w:keepLines w:val="0"/>
      <w:spacing w:before="120" w:after="120" w:line="490" w:lineRule="exact"/>
      <w:textAlignment w:val="baseline"/>
    </w:pPr>
    <w:rPr>
      <w:rFonts w:ascii="宋体" w:hAnsi="宋体"/>
    </w:rPr>
  </w:style>
  <w:style w:type="paragraph" w:customStyle="1" w:styleId="256">
    <w:name w:val="xl44"/>
    <w:basedOn w:val="1"/>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pPr>
    <w:rPr>
      <w:rFonts w:ascii="Arial Unicode MS" w:hAnsi="Arial Unicode MS" w:eastAsia="Arial Unicode MS" w:cs="Arial Unicode MS"/>
    </w:rPr>
  </w:style>
  <w:style w:type="paragraph" w:customStyle="1" w:styleId="257">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58">
    <w:name w:val="xl8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sz w:val="20"/>
      <w:szCs w:val="20"/>
    </w:rPr>
  </w:style>
  <w:style w:type="paragraph" w:customStyle="1" w:styleId="259">
    <w:name w:val="font11"/>
    <w:basedOn w:val="1"/>
    <w:qFormat/>
    <w:uiPriority w:val="0"/>
    <w:pPr>
      <w:spacing w:before="100" w:beforeAutospacing="1" w:after="100" w:afterAutospacing="1"/>
    </w:pPr>
    <w:rPr>
      <w:rFonts w:eastAsia="Arial Unicode MS"/>
      <w:color w:val="000000"/>
      <w:sz w:val="18"/>
      <w:szCs w:val="18"/>
    </w:rPr>
  </w:style>
  <w:style w:type="paragraph" w:customStyle="1" w:styleId="260">
    <w:name w:val="我的正文格式"/>
    <w:basedOn w:val="1"/>
    <w:qFormat/>
    <w:uiPriority w:val="0"/>
    <w:pPr>
      <w:widowControl w:val="0"/>
      <w:ind w:firstLine="200"/>
    </w:pPr>
    <w:rPr>
      <w:bCs/>
      <w:snapToGrid w:val="0"/>
      <w:kern w:val="2"/>
      <w:szCs w:val="20"/>
    </w:rPr>
  </w:style>
  <w:style w:type="paragraph" w:customStyle="1" w:styleId="261">
    <w:name w:val="xl123"/>
    <w:basedOn w:val="1"/>
    <w:qFormat/>
    <w:uiPriority w:val="0"/>
    <w:pPr>
      <w:pBdr>
        <w:top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62">
    <w:name w:val="xl41"/>
    <w:basedOn w:val="1"/>
    <w:qFormat/>
    <w:uiPriority w:val="0"/>
    <w:pPr>
      <w:pBdr>
        <w:top w:val="single" w:color="auto" w:sz="8"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263">
    <w:name w:val="xl50"/>
    <w:basedOn w:val="1"/>
    <w:qFormat/>
    <w:uiPriority w:val="0"/>
    <w:pPr>
      <w:pBdr>
        <w:top w:val="single" w:color="auto" w:sz="4" w:space="0"/>
        <w:left w:val="single" w:color="auto" w:sz="4" w:space="0"/>
        <w:bottom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264">
    <w:name w:val="Char"/>
    <w:basedOn w:val="1"/>
    <w:qFormat/>
    <w:uiPriority w:val="0"/>
    <w:pPr>
      <w:widowControl w:val="0"/>
    </w:pPr>
    <w:rPr>
      <w:b/>
      <w:kern w:val="2"/>
      <w:sz w:val="44"/>
      <w:szCs w:val="44"/>
    </w:rPr>
  </w:style>
  <w:style w:type="paragraph" w:customStyle="1" w:styleId="265">
    <w:name w:val="xl22"/>
    <w:basedOn w:val="1"/>
    <w:qFormat/>
    <w:uiPriority w:val="0"/>
    <w:pPr>
      <w:pBdr>
        <w:bottom w:val="single" w:color="auto" w:sz="8" w:space="0"/>
        <w:right w:val="single" w:color="auto" w:sz="8" w:space="0"/>
      </w:pBdr>
      <w:spacing w:before="100" w:beforeAutospacing="1" w:after="100" w:afterAutospacing="1"/>
      <w:jc w:val="center"/>
    </w:pPr>
    <w:rPr>
      <w:sz w:val="18"/>
      <w:szCs w:val="18"/>
    </w:rPr>
  </w:style>
  <w:style w:type="paragraph" w:customStyle="1" w:styleId="266">
    <w:name w:val="xl126"/>
    <w:basedOn w:val="1"/>
    <w:qFormat/>
    <w:uiPriority w:val="0"/>
    <w:pPr>
      <w:pBdr>
        <w:left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67">
    <w:name w:val="xl54"/>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268">
    <w:name w:val="xl66"/>
    <w:basedOn w:val="1"/>
    <w:qFormat/>
    <w:uiPriority w:val="0"/>
    <w:pPr>
      <w:pBdr>
        <w:top w:val="single" w:color="auto" w:sz="8" w:space="0"/>
        <w:bottom w:val="single" w:color="auto" w:sz="8" w:space="0"/>
      </w:pBdr>
      <w:spacing w:before="100" w:beforeAutospacing="1" w:after="100" w:afterAutospacing="1"/>
      <w:jc w:val="center"/>
      <w:textAlignment w:val="center"/>
    </w:pPr>
    <w:rPr>
      <w:sz w:val="18"/>
      <w:szCs w:val="18"/>
    </w:rPr>
  </w:style>
  <w:style w:type="paragraph" w:customStyle="1" w:styleId="269">
    <w:name w:val="xl55"/>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270">
    <w:name w:val="xl67"/>
    <w:basedOn w:val="1"/>
    <w:qFormat/>
    <w:uiPriority w:val="0"/>
    <w:pPr>
      <w:pBdr>
        <w:top w:val="single" w:color="auto" w:sz="8" w:space="0"/>
        <w:bottom w:val="single" w:color="auto" w:sz="8" w:space="0"/>
        <w:right w:val="single" w:color="auto" w:sz="8" w:space="0"/>
      </w:pBdr>
      <w:spacing w:before="100" w:beforeAutospacing="1" w:after="100" w:afterAutospacing="1"/>
      <w:jc w:val="center"/>
      <w:textAlignment w:val="center"/>
    </w:pPr>
    <w:rPr>
      <w:sz w:val="18"/>
      <w:szCs w:val="18"/>
    </w:rPr>
  </w:style>
  <w:style w:type="paragraph" w:customStyle="1" w:styleId="271">
    <w:name w:val="xl60"/>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rPr>
  </w:style>
  <w:style w:type="paragraph" w:customStyle="1" w:styleId="272">
    <w:name w:val="xl77"/>
    <w:basedOn w:val="1"/>
    <w:qFormat/>
    <w:uiPriority w:val="0"/>
    <w:pPr>
      <w:pBdr>
        <w:bottom w:val="single" w:color="auto" w:sz="4" w:space="0"/>
      </w:pBdr>
      <w:spacing w:before="100" w:beforeAutospacing="1" w:after="100" w:afterAutospacing="1"/>
      <w:jc w:val="center"/>
      <w:textAlignment w:val="center"/>
    </w:pPr>
    <w:rPr>
      <w:color w:val="000000"/>
      <w:sz w:val="20"/>
      <w:szCs w:val="20"/>
    </w:rPr>
  </w:style>
  <w:style w:type="paragraph" w:customStyle="1" w:styleId="273">
    <w:name w:val="xl61"/>
    <w:basedOn w:val="1"/>
    <w:qFormat/>
    <w:uiPriority w:val="0"/>
    <w:pPr>
      <w:pBdr>
        <w:top w:val="single" w:color="auto" w:sz="4" w:space="0"/>
        <w:left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cs="Arial Unicode MS"/>
      <w:sz w:val="18"/>
      <w:szCs w:val="18"/>
    </w:rPr>
  </w:style>
  <w:style w:type="paragraph" w:customStyle="1" w:styleId="274">
    <w:name w:val="xl78"/>
    <w:basedOn w:val="1"/>
    <w:qFormat/>
    <w:uiPriority w:val="0"/>
    <w:pPr>
      <w:pBdr>
        <w:bottom w:val="single" w:color="auto" w:sz="4" w:space="0"/>
        <w:right w:val="single" w:color="auto" w:sz="4" w:space="0"/>
      </w:pBdr>
      <w:spacing w:before="100" w:beforeAutospacing="1" w:after="100" w:afterAutospacing="1"/>
      <w:jc w:val="center"/>
      <w:textAlignment w:val="center"/>
    </w:pPr>
    <w:rPr>
      <w:color w:val="000000"/>
      <w:sz w:val="20"/>
      <w:szCs w:val="20"/>
    </w:rPr>
  </w:style>
  <w:style w:type="paragraph" w:customStyle="1" w:styleId="275">
    <w:name w:val="Char4"/>
    <w:basedOn w:val="1"/>
    <w:qFormat/>
    <w:uiPriority w:val="0"/>
    <w:pPr>
      <w:ind w:firstLine="200"/>
    </w:pPr>
  </w:style>
  <w:style w:type="paragraph" w:customStyle="1" w:styleId="276">
    <w:name w:val="Char Char Char Char"/>
    <w:basedOn w:val="1"/>
    <w:qFormat/>
    <w:uiPriority w:val="0"/>
    <w:pPr>
      <w:ind w:firstLine="200"/>
    </w:pPr>
  </w:style>
  <w:style w:type="paragraph" w:customStyle="1" w:styleId="277">
    <w:name w:val="图片居中"/>
    <w:basedOn w:val="1"/>
    <w:qFormat/>
    <w:uiPriority w:val="0"/>
    <w:pPr>
      <w:widowControl w:val="0"/>
      <w:snapToGrid w:val="0"/>
      <w:jc w:val="center"/>
    </w:pPr>
    <w:rPr>
      <w:kern w:val="2"/>
      <w:sz w:val="28"/>
      <w:szCs w:val="20"/>
    </w:rPr>
  </w:style>
  <w:style w:type="paragraph" w:customStyle="1" w:styleId="278">
    <w:name w:val="样式 表格 + 居中 段前: 15.6 磅 行距: 单倍行距"/>
    <w:basedOn w:val="1"/>
    <w:qFormat/>
    <w:uiPriority w:val="0"/>
    <w:pPr>
      <w:widowControl w:val="0"/>
      <w:jc w:val="center"/>
    </w:pPr>
    <w:rPr>
      <w:rFonts w:cs="Times New Roman"/>
      <w:kern w:val="2"/>
      <w:sz w:val="21"/>
      <w:szCs w:val="20"/>
    </w:rPr>
  </w:style>
  <w:style w:type="paragraph" w:customStyle="1" w:styleId="279">
    <w:name w:val="Char Char Char Char Char Char1 Char Char Char Char Char Char Char"/>
    <w:basedOn w:val="1"/>
    <w:qFormat/>
    <w:uiPriority w:val="0"/>
    <w:pPr>
      <w:ind w:firstLine="200"/>
    </w:pPr>
  </w:style>
  <w:style w:type="paragraph" w:customStyle="1" w:styleId="280">
    <w:name w:val="样式 标题 2节标题 1.1标题 1.1h2l22nd levelTitre22Header 2标题 yjm2..."/>
    <w:basedOn w:val="3"/>
    <w:qFormat/>
    <w:uiPriority w:val="0"/>
    <w:pPr>
      <w:tabs>
        <w:tab w:val="left" w:pos="576"/>
      </w:tabs>
      <w:spacing w:before="240" w:after="120" w:line="500" w:lineRule="exact"/>
    </w:pPr>
    <w:rPr>
      <w:rFonts w:ascii="Times New Roman" w:hAnsi="Times New Roman"/>
      <w:bCs/>
      <w:sz w:val="28"/>
    </w:rPr>
  </w:style>
  <w:style w:type="paragraph" w:customStyle="1" w:styleId="281">
    <w:name w:val="xl82"/>
    <w:basedOn w:val="1"/>
    <w:qFormat/>
    <w:uiPriority w:val="99"/>
    <w:pPr>
      <w:pBdr>
        <w:top w:val="single" w:color="auto" w:sz="4" w:space="0"/>
        <w:left w:val="single" w:color="auto" w:sz="4" w:space="0"/>
        <w:bottom w:val="single" w:color="auto" w:sz="4" w:space="0"/>
      </w:pBdr>
      <w:spacing w:before="100" w:beforeAutospacing="1" w:after="100" w:afterAutospacing="1"/>
      <w:jc w:val="center"/>
      <w:textAlignment w:val="center"/>
    </w:pPr>
    <w:rPr>
      <w:sz w:val="20"/>
      <w:szCs w:val="20"/>
    </w:rPr>
  </w:style>
  <w:style w:type="paragraph" w:customStyle="1" w:styleId="282">
    <w:name w:val="纯文本1"/>
    <w:basedOn w:val="1"/>
    <w:qFormat/>
    <w:uiPriority w:val="0"/>
    <w:pPr>
      <w:widowControl w:val="0"/>
      <w:adjustRightInd w:val="0"/>
      <w:jc w:val="both"/>
      <w:textAlignment w:val="baseline"/>
    </w:pPr>
    <w:rPr>
      <w:rFonts w:cs="Times New Roman"/>
      <w:sz w:val="21"/>
      <w:szCs w:val="20"/>
    </w:rPr>
  </w:style>
  <w:style w:type="paragraph" w:customStyle="1" w:styleId="283">
    <w:name w:val="样式 标题 3条标题1.1.1Section3h33rd levelH3l3CTb31.1.1sect1...."/>
    <w:basedOn w:val="5"/>
    <w:qFormat/>
    <w:uiPriority w:val="0"/>
    <w:pPr>
      <w:tabs>
        <w:tab w:val="left" w:pos="720"/>
      </w:tabs>
      <w:spacing w:before="120" w:line="500" w:lineRule="exact"/>
    </w:pPr>
    <w:rPr>
      <w:rFonts w:cs="宋体"/>
      <w:bCs/>
    </w:rPr>
  </w:style>
  <w:style w:type="paragraph" w:customStyle="1" w:styleId="284">
    <w:name w:val="样式 左侧:  0.98 厘米"/>
    <w:basedOn w:val="1"/>
    <w:qFormat/>
    <w:uiPriority w:val="0"/>
    <w:pPr>
      <w:widowControl w:val="0"/>
      <w:adjustRightInd w:val="0"/>
      <w:snapToGrid w:val="0"/>
      <w:spacing w:line="490" w:lineRule="exact"/>
      <w:ind w:firstLine="560"/>
      <w:jc w:val="both"/>
    </w:pPr>
    <w:rPr>
      <w:rFonts w:cs="Times New Roman"/>
      <w:kern w:val="2"/>
      <w:sz w:val="28"/>
      <w:szCs w:val="20"/>
    </w:rPr>
  </w:style>
  <w:style w:type="paragraph" w:customStyle="1" w:styleId="285">
    <w:name w:val="采子山表格"/>
    <w:basedOn w:val="1"/>
    <w:next w:val="18"/>
    <w:qFormat/>
    <w:uiPriority w:val="0"/>
    <w:pPr>
      <w:widowControl w:val="0"/>
      <w:adjustRightInd w:val="0"/>
      <w:snapToGrid w:val="0"/>
      <w:spacing w:line="0" w:lineRule="atLeast"/>
      <w:jc w:val="center"/>
      <w:textAlignment w:val="baseline"/>
    </w:pPr>
    <w:rPr>
      <w:rFonts w:cs="Times New Roman"/>
      <w:bCs/>
      <w:kern w:val="10"/>
      <w:sz w:val="21"/>
      <w:szCs w:val="21"/>
    </w:rPr>
  </w:style>
  <w:style w:type="paragraph" w:customStyle="1" w:styleId="286">
    <w:name w:val="Char Char Char Char Char Char Char Char Char Char Char Char Char"/>
    <w:basedOn w:val="1"/>
    <w:qFormat/>
    <w:uiPriority w:val="0"/>
    <w:pPr>
      <w:widowControl w:val="0"/>
      <w:ind w:firstLine="200"/>
      <w:jc w:val="both"/>
    </w:pPr>
    <w:rPr>
      <w:kern w:val="2"/>
    </w:rPr>
  </w:style>
  <w:style w:type="paragraph" w:customStyle="1" w:styleId="287">
    <w:name w:val="xl84"/>
    <w:basedOn w:val="1"/>
    <w:qFormat/>
    <w:uiPriority w:val="99"/>
    <w:pPr>
      <w:spacing w:before="100" w:beforeAutospacing="1" w:after="100" w:afterAutospacing="1"/>
      <w:jc w:val="center"/>
      <w:textAlignment w:val="center"/>
    </w:pPr>
  </w:style>
  <w:style w:type="paragraph" w:customStyle="1" w:styleId="288">
    <w:name w:val="Char Char Char Char Char Char1 Char1"/>
    <w:basedOn w:val="1"/>
    <w:qFormat/>
    <w:uiPriority w:val="0"/>
    <w:pPr>
      <w:widowControl w:val="0"/>
      <w:jc w:val="both"/>
    </w:pPr>
    <w:rPr>
      <w:rFonts w:cs="Times New Roman"/>
      <w:kern w:val="2"/>
      <w:sz w:val="21"/>
      <w:szCs w:val="21"/>
    </w:rPr>
  </w:style>
  <w:style w:type="paragraph" w:customStyle="1" w:styleId="289">
    <w:name w:val="xl75"/>
    <w:basedOn w:val="1"/>
    <w:qFormat/>
    <w:uiPriority w:val="0"/>
    <w:pPr>
      <w:pBdr>
        <w:top w:val="single" w:color="auto" w:sz="4" w:space="0"/>
        <w:right w:val="single" w:color="auto" w:sz="4" w:space="0"/>
      </w:pBdr>
      <w:spacing w:before="100" w:beforeAutospacing="1" w:after="100" w:afterAutospacing="1"/>
      <w:jc w:val="center"/>
      <w:textAlignment w:val="center"/>
    </w:pPr>
    <w:rPr>
      <w:color w:val="000000"/>
      <w:sz w:val="20"/>
      <w:szCs w:val="20"/>
    </w:rPr>
  </w:style>
  <w:style w:type="paragraph" w:customStyle="1" w:styleId="290">
    <w:name w:val="表格五号"/>
    <w:basedOn w:val="91"/>
    <w:qFormat/>
    <w:uiPriority w:val="0"/>
    <w:rPr>
      <w:sz w:val="21"/>
    </w:rPr>
  </w:style>
  <w:style w:type="paragraph" w:customStyle="1" w:styleId="291">
    <w:name w:val="Char3"/>
    <w:basedOn w:val="1"/>
    <w:qFormat/>
    <w:uiPriority w:val="0"/>
    <w:pPr>
      <w:widowControl w:val="0"/>
      <w:ind w:firstLine="200"/>
      <w:jc w:val="both"/>
    </w:pPr>
    <w:rPr>
      <w:kern w:val="2"/>
    </w:rPr>
  </w:style>
  <w:style w:type="paragraph" w:customStyle="1" w:styleId="292">
    <w:name w:val="xl121"/>
    <w:basedOn w:val="1"/>
    <w:qFormat/>
    <w:uiPriority w:val="0"/>
    <w:pPr>
      <w:pBdr>
        <w:top w:val="single" w:color="auto" w:sz="4" w:space="0"/>
        <w:left w:val="single" w:color="auto" w:sz="4" w:space="0"/>
        <w:bottom w:val="single" w:color="auto" w:sz="4" w:space="0"/>
      </w:pBdr>
      <w:spacing w:before="100" w:beforeAutospacing="1" w:after="100" w:afterAutospacing="1"/>
      <w:jc w:val="center"/>
      <w:textAlignment w:val="center"/>
    </w:pPr>
    <w:rPr>
      <w:sz w:val="20"/>
      <w:szCs w:val="20"/>
    </w:rPr>
  </w:style>
  <w:style w:type="paragraph" w:customStyle="1" w:styleId="293">
    <w:name w:val="表格五号字"/>
    <w:basedOn w:val="1"/>
    <w:qFormat/>
    <w:uiPriority w:val="0"/>
    <w:pPr>
      <w:widowControl w:val="0"/>
      <w:snapToGrid w:val="0"/>
      <w:jc w:val="center"/>
    </w:pPr>
    <w:rPr>
      <w:rFonts w:cs="Times New Roman"/>
      <w:kern w:val="2"/>
      <w:sz w:val="21"/>
    </w:rPr>
  </w:style>
  <w:style w:type="paragraph" w:customStyle="1" w:styleId="294">
    <w:name w:val="Char Char Char Char Char Char Char Char Char Char Char Char Char Char Char Char Char Char Char Char Char Char Char Char Char Char Char Char Char Char Char Char Char Char Char Char Char Char Char Char Char Char Char Char Char Char"/>
    <w:basedOn w:val="1"/>
    <w:next w:val="1"/>
    <w:qFormat/>
    <w:uiPriority w:val="0"/>
    <w:pPr>
      <w:widowControl w:val="0"/>
      <w:pBdr>
        <w:right w:val="single" w:color="auto" w:sz="12" w:space="4"/>
      </w:pBdr>
      <w:ind w:firstLine="200"/>
      <w:jc w:val="both"/>
    </w:pPr>
    <w:rPr>
      <w:kern w:val="2"/>
    </w:rPr>
  </w:style>
  <w:style w:type="paragraph" w:customStyle="1" w:styleId="295">
    <w:name w:val="xl122"/>
    <w:basedOn w:val="1"/>
    <w:qFormat/>
    <w:uiPriority w:val="0"/>
    <w:pPr>
      <w:pBdr>
        <w:top w:val="single" w:color="auto" w:sz="4" w:space="0"/>
        <w:bottom w:val="single" w:color="auto" w:sz="4" w:space="0"/>
      </w:pBdr>
      <w:spacing w:before="100" w:beforeAutospacing="1" w:after="100" w:afterAutospacing="1"/>
      <w:jc w:val="center"/>
      <w:textAlignment w:val="center"/>
    </w:pPr>
    <w:rPr>
      <w:sz w:val="20"/>
      <w:szCs w:val="20"/>
    </w:rPr>
  </w:style>
  <w:style w:type="paragraph" w:customStyle="1" w:styleId="296">
    <w:name w:val="Char Char Char1 Char Char Char Char Char Char Char Char Char"/>
    <w:basedOn w:val="1"/>
    <w:qFormat/>
    <w:uiPriority w:val="0"/>
    <w:pPr>
      <w:widowControl w:val="0"/>
      <w:jc w:val="both"/>
    </w:pPr>
    <w:rPr>
      <w:rFonts w:cs="Times New Roman"/>
      <w:kern w:val="2"/>
    </w:rPr>
  </w:style>
  <w:style w:type="paragraph" w:customStyle="1" w:styleId="297">
    <w:name w:val="xl83"/>
    <w:basedOn w:val="1"/>
    <w:qFormat/>
    <w:uiPriority w:val="99"/>
    <w:pPr>
      <w:pBdr>
        <w:top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298">
    <w:name w:val="Char Char7 Char Char Char Char"/>
    <w:basedOn w:val="1"/>
    <w:qFormat/>
    <w:uiPriority w:val="0"/>
    <w:pPr>
      <w:widowControl w:val="0"/>
      <w:jc w:val="both"/>
    </w:pPr>
    <w:rPr>
      <w:rFonts w:cs="Times New Roman"/>
      <w:kern w:val="2"/>
    </w:rPr>
  </w:style>
  <w:style w:type="paragraph" w:customStyle="1" w:styleId="299">
    <w:name w:val="xl11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300">
    <w:name w:val="00 表名"/>
    <w:basedOn w:val="1"/>
    <w:next w:val="1"/>
    <w:qFormat/>
    <w:uiPriority w:val="0"/>
    <w:pPr>
      <w:widowControl w:val="0"/>
      <w:jc w:val="center"/>
    </w:pPr>
    <w:rPr>
      <w:rFonts w:eastAsia="黑体" w:cs="Times New Roman"/>
      <w:b/>
      <w:kern w:val="2"/>
      <w:sz w:val="21"/>
      <w:szCs w:val="28"/>
    </w:rPr>
  </w:style>
  <w:style w:type="paragraph" w:customStyle="1" w:styleId="301">
    <w:name w:val="xl94"/>
    <w:basedOn w:val="1"/>
    <w:qFormat/>
    <w:uiPriority w:val="99"/>
    <w:pPr>
      <w:pBdr>
        <w:left w:val="single" w:color="auto" w:sz="4" w:space="0"/>
        <w:right w:val="single" w:color="auto" w:sz="4" w:space="0"/>
      </w:pBdr>
      <w:spacing w:before="100" w:beforeAutospacing="1" w:after="100" w:afterAutospacing="1"/>
      <w:jc w:val="center"/>
      <w:textAlignment w:val="center"/>
    </w:pPr>
    <w:rPr>
      <w:rFonts w:cs="Times New Roman"/>
      <w:sz w:val="20"/>
      <w:szCs w:val="20"/>
    </w:rPr>
  </w:style>
  <w:style w:type="paragraph" w:customStyle="1" w:styleId="302">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color w:val="000000"/>
      <w:sz w:val="20"/>
      <w:szCs w:val="20"/>
    </w:rPr>
  </w:style>
  <w:style w:type="paragraph" w:customStyle="1" w:styleId="303">
    <w:name w:val="xl74"/>
    <w:basedOn w:val="1"/>
    <w:qFormat/>
    <w:uiPriority w:val="0"/>
    <w:pPr>
      <w:pBdr>
        <w:top w:val="single" w:color="auto" w:sz="4" w:space="0"/>
      </w:pBdr>
      <w:spacing w:before="100" w:beforeAutospacing="1" w:after="100" w:afterAutospacing="1"/>
      <w:jc w:val="center"/>
      <w:textAlignment w:val="center"/>
    </w:pPr>
    <w:rPr>
      <w:color w:val="000000"/>
      <w:sz w:val="20"/>
      <w:szCs w:val="20"/>
    </w:rPr>
  </w:style>
  <w:style w:type="paragraph" w:customStyle="1" w:styleId="304">
    <w:name w:val="xl76"/>
    <w:basedOn w:val="1"/>
    <w:qFormat/>
    <w:uiPriority w:val="0"/>
    <w:pPr>
      <w:pBdr>
        <w:left w:val="single" w:color="auto" w:sz="4" w:space="0"/>
        <w:bottom w:val="single" w:color="auto" w:sz="4" w:space="0"/>
      </w:pBdr>
      <w:spacing w:before="100" w:beforeAutospacing="1" w:after="100" w:afterAutospacing="1"/>
      <w:jc w:val="center"/>
      <w:textAlignment w:val="center"/>
    </w:pPr>
    <w:rPr>
      <w:color w:val="000000"/>
      <w:sz w:val="20"/>
      <w:szCs w:val="20"/>
    </w:rPr>
  </w:style>
  <w:style w:type="paragraph" w:customStyle="1" w:styleId="305">
    <w:name w:val="xl8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color w:val="000000"/>
      <w:sz w:val="20"/>
      <w:szCs w:val="20"/>
    </w:rPr>
  </w:style>
  <w:style w:type="paragraph" w:customStyle="1" w:styleId="306">
    <w:name w:val="xl95"/>
    <w:basedOn w:val="1"/>
    <w:qFormat/>
    <w:uiPriority w:val="99"/>
    <w:pPr>
      <w:pBdr>
        <w:left w:val="single" w:color="auto" w:sz="4" w:space="0"/>
        <w:bottom w:val="single" w:color="auto" w:sz="4" w:space="0"/>
        <w:right w:val="single" w:color="auto" w:sz="4" w:space="0"/>
      </w:pBdr>
      <w:spacing w:before="100" w:beforeAutospacing="1" w:after="100" w:afterAutospacing="1"/>
      <w:jc w:val="center"/>
      <w:textAlignment w:val="center"/>
    </w:pPr>
    <w:rPr>
      <w:rFonts w:cs="Times New Roman"/>
      <w:sz w:val="20"/>
      <w:szCs w:val="20"/>
    </w:rPr>
  </w:style>
  <w:style w:type="paragraph" w:customStyle="1" w:styleId="307">
    <w:name w:val="xl1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308">
    <w:name w:val="xl11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sz w:val="20"/>
      <w:szCs w:val="20"/>
    </w:rPr>
  </w:style>
  <w:style w:type="paragraph" w:customStyle="1" w:styleId="309">
    <w:name w:val="xl118"/>
    <w:basedOn w:val="1"/>
    <w:qFormat/>
    <w:uiPriority w:val="0"/>
    <w:pPr>
      <w:pBdr>
        <w:top w:val="single" w:color="auto" w:sz="4" w:space="0"/>
        <w:left w:val="single" w:color="auto" w:sz="4" w:space="0"/>
        <w:bottom w:val="single" w:color="auto" w:sz="4" w:space="0"/>
      </w:pBdr>
      <w:spacing w:before="100" w:beforeAutospacing="1" w:after="100" w:afterAutospacing="1"/>
      <w:jc w:val="center"/>
      <w:textAlignment w:val="center"/>
    </w:pPr>
    <w:rPr>
      <w:sz w:val="20"/>
      <w:szCs w:val="20"/>
    </w:rPr>
  </w:style>
  <w:style w:type="paragraph" w:customStyle="1" w:styleId="310">
    <w:name w:val="yb正文"/>
    <w:basedOn w:val="139"/>
    <w:qFormat/>
    <w:uiPriority w:val="0"/>
    <w:pPr>
      <w:spacing w:line="500" w:lineRule="atLeast"/>
    </w:pPr>
  </w:style>
  <w:style w:type="paragraph" w:customStyle="1" w:styleId="311">
    <w:name w:val="xl98"/>
    <w:basedOn w:val="1"/>
    <w:qFormat/>
    <w:uiPriority w:val="99"/>
    <w:pPr>
      <w:pBdr>
        <w:top w:val="single" w:color="auto" w:sz="8" w:space="0"/>
        <w:left w:val="single" w:color="000000" w:sz="8" w:space="0"/>
        <w:bottom w:val="single" w:color="auto" w:sz="8" w:space="0"/>
      </w:pBdr>
      <w:spacing w:before="100" w:beforeAutospacing="1" w:after="100" w:afterAutospacing="1"/>
      <w:jc w:val="center"/>
      <w:textAlignment w:val="center"/>
    </w:pPr>
    <w:rPr>
      <w:sz w:val="20"/>
      <w:szCs w:val="20"/>
    </w:rPr>
  </w:style>
  <w:style w:type="paragraph" w:customStyle="1" w:styleId="312">
    <w:name w:val="xl97"/>
    <w:basedOn w:val="1"/>
    <w:qFormat/>
    <w:uiPriority w:val="99"/>
    <w:pPr>
      <w:pBdr>
        <w:bottom w:val="single" w:color="auto" w:sz="8" w:space="0"/>
      </w:pBdr>
      <w:spacing w:before="100" w:beforeAutospacing="1" w:after="100" w:afterAutospacing="1"/>
      <w:jc w:val="center"/>
      <w:textAlignment w:val="center"/>
    </w:pPr>
    <w:rPr>
      <w:sz w:val="20"/>
      <w:szCs w:val="20"/>
    </w:rPr>
  </w:style>
  <w:style w:type="paragraph" w:customStyle="1" w:styleId="313">
    <w:name w:val="xl99"/>
    <w:basedOn w:val="1"/>
    <w:qFormat/>
    <w:uiPriority w:val="99"/>
    <w:pPr>
      <w:pBdr>
        <w:top w:val="single" w:color="auto" w:sz="8" w:space="0"/>
        <w:bottom w:val="single" w:color="auto" w:sz="8" w:space="0"/>
        <w:right w:val="single" w:color="000000" w:sz="8" w:space="0"/>
      </w:pBdr>
      <w:spacing w:before="100" w:beforeAutospacing="1" w:after="100" w:afterAutospacing="1"/>
      <w:jc w:val="center"/>
      <w:textAlignment w:val="center"/>
    </w:pPr>
    <w:rPr>
      <w:sz w:val="20"/>
      <w:szCs w:val="20"/>
    </w:rPr>
  </w:style>
  <w:style w:type="paragraph" w:customStyle="1" w:styleId="314">
    <w:name w:val="xl100"/>
    <w:basedOn w:val="1"/>
    <w:qFormat/>
    <w:uiPriority w:val="99"/>
    <w:pPr>
      <w:pBdr>
        <w:top w:val="single" w:color="000000" w:sz="8" w:space="0"/>
        <w:left w:val="single" w:color="auto" w:sz="8" w:space="0"/>
        <w:right w:val="single" w:color="000000" w:sz="8" w:space="0"/>
      </w:pBdr>
      <w:spacing w:before="100" w:beforeAutospacing="1" w:after="100" w:afterAutospacing="1"/>
      <w:jc w:val="center"/>
      <w:textAlignment w:val="center"/>
    </w:pPr>
    <w:rPr>
      <w:sz w:val="20"/>
      <w:szCs w:val="20"/>
    </w:rPr>
  </w:style>
  <w:style w:type="paragraph" w:customStyle="1" w:styleId="315">
    <w:name w:val="xl101"/>
    <w:basedOn w:val="1"/>
    <w:qFormat/>
    <w:uiPriority w:val="99"/>
    <w:pPr>
      <w:pBdr>
        <w:left w:val="single" w:color="000000" w:sz="8" w:space="0"/>
        <w:bottom w:val="single" w:color="auto" w:sz="8" w:space="0"/>
      </w:pBdr>
      <w:spacing w:before="100" w:beforeAutospacing="1" w:after="100" w:afterAutospacing="1"/>
      <w:jc w:val="center"/>
      <w:textAlignment w:val="center"/>
    </w:pPr>
    <w:rPr>
      <w:sz w:val="20"/>
      <w:szCs w:val="20"/>
    </w:rPr>
  </w:style>
  <w:style w:type="paragraph" w:customStyle="1" w:styleId="316">
    <w:name w:val="xl102"/>
    <w:basedOn w:val="1"/>
    <w:qFormat/>
    <w:uiPriority w:val="99"/>
    <w:pPr>
      <w:pBdr>
        <w:bottom w:val="single" w:color="auto" w:sz="8" w:space="0"/>
        <w:right w:val="single" w:color="000000" w:sz="8" w:space="0"/>
      </w:pBdr>
      <w:spacing w:before="100" w:beforeAutospacing="1" w:after="100" w:afterAutospacing="1"/>
      <w:jc w:val="center"/>
      <w:textAlignment w:val="center"/>
    </w:pPr>
    <w:rPr>
      <w:sz w:val="20"/>
      <w:szCs w:val="20"/>
    </w:rPr>
  </w:style>
  <w:style w:type="paragraph" w:customStyle="1" w:styleId="317">
    <w:name w:val="xl103"/>
    <w:basedOn w:val="1"/>
    <w:qFormat/>
    <w:uiPriority w:val="99"/>
    <w:pPr>
      <w:pBdr>
        <w:left w:val="single" w:color="auto" w:sz="8" w:space="0"/>
        <w:right w:val="single" w:color="000000" w:sz="8" w:space="0"/>
      </w:pBdr>
      <w:spacing w:before="100" w:beforeAutospacing="1" w:after="100" w:afterAutospacing="1"/>
      <w:jc w:val="center"/>
      <w:textAlignment w:val="center"/>
    </w:pPr>
    <w:rPr>
      <w:rFonts w:cs="Times New Roman"/>
      <w:sz w:val="20"/>
      <w:szCs w:val="20"/>
    </w:rPr>
  </w:style>
  <w:style w:type="paragraph" w:customStyle="1" w:styleId="318">
    <w:name w:val="xl105"/>
    <w:basedOn w:val="1"/>
    <w:qFormat/>
    <w:uiPriority w:val="0"/>
    <w:pPr>
      <w:pBdr>
        <w:left w:val="single" w:color="auto" w:sz="8" w:space="0"/>
        <w:bottom w:val="single" w:color="000000" w:sz="8" w:space="0"/>
        <w:right w:val="single" w:color="000000" w:sz="8" w:space="0"/>
      </w:pBdr>
      <w:spacing w:before="100" w:beforeAutospacing="1" w:after="100" w:afterAutospacing="1"/>
      <w:jc w:val="center"/>
      <w:textAlignment w:val="center"/>
    </w:pPr>
    <w:rPr>
      <w:rFonts w:cs="Times New Roman"/>
      <w:sz w:val="20"/>
      <w:szCs w:val="20"/>
    </w:rPr>
  </w:style>
  <w:style w:type="paragraph" w:customStyle="1" w:styleId="319">
    <w:name w:val="xl106"/>
    <w:basedOn w:val="1"/>
    <w:qFormat/>
    <w:uiPriority w:val="0"/>
    <w:pPr>
      <w:pBdr>
        <w:left w:val="single" w:color="auto" w:sz="8" w:space="0"/>
        <w:bottom w:val="single" w:color="auto" w:sz="8" w:space="0"/>
      </w:pBdr>
      <w:spacing w:before="100" w:beforeAutospacing="1" w:after="100" w:afterAutospacing="1"/>
      <w:jc w:val="center"/>
      <w:textAlignment w:val="center"/>
    </w:pPr>
    <w:rPr>
      <w:sz w:val="20"/>
      <w:szCs w:val="20"/>
    </w:rPr>
  </w:style>
  <w:style w:type="paragraph" w:customStyle="1" w:styleId="320">
    <w:name w:val="修订1"/>
    <w:qFormat/>
    <w:uiPriority w:val="0"/>
    <w:rPr>
      <w:rFonts w:ascii="宋体" w:hAnsi="宋体" w:eastAsia="宋体" w:cs="宋体"/>
      <w:sz w:val="24"/>
      <w:szCs w:val="24"/>
      <w:lang w:val="en-US" w:eastAsia="zh-CN" w:bidi="ar-SA"/>
    </w:rPr>
  </w:style>
  <w:style w:type="character" w:customStyle="1" w:styleId="321">
    <w:name w:val="info"/>
    <w:basedOn w:val="50"/>
    <w:qFormat/>
    <w:uiPriority w:val="0"/>
  </w:style>
  <w:style w:type="character" w:customStyle="1" w:styleId="322">
    <w:name w:val="四级标题 Char"/>
    <w:basedOn w:val="323"/>
    <w:link w:val="325"/>
    <w:qFormat/>
    <w:uiPriority w:val="0"/>
    <w:rPr>
      <w:sz w:val="24"/>
      <w:szCs w:val="21"/>
    </w:rPr>
  </w:style>
  <w:style w:type="character" w:customStyle="1" w:styleId="323">
    <w:name w:val="p0 Char"/>
    <w:link w:val="324"/>
    <w:qFormat/>
    <w:uiPriority w:val="0"/>
    <w:rPr>
      <w:sz w:val="24"/>
      <w:szCs w:val="21"/>
    </w:rPr>
  </w:style>
  <w:style w:type="paragraph" w:customStyle="1" w:styleId="324">
    <w:name w:val="p0"/>
    <w:basedOn w:val="1"/>
    <w:link w:val="323"/>
    <w:qFormat/>
    <w:uiPriority w:val="99"/>
    <w:pPr>
      <w:ind w:firstLine="200"/>
    </w:pPr>
    <w:rPr>
      <w:rFonts w:cs="Times New Roman"/>
      <w:szCs w:val="21"/>
    </w:rPr>
  </w:style>
  <w:style w:type="paragraph" w:customStyle="1" w:styleId="325">
    <w:name w:val="四级标题"/>
    <w:basedOn w:val="324"/>
    <w:link w:val="322"/>
    <w:qFormat/>
    <w:uiPriority w:val="0"/>
    <w:pPr>
      <w:ind w:firstLine="0" w:firstLineChars="0"/>
      <w:outlineLvl w:val="3"/>
    </w:pPr>
  </w:style>
  <w:style w:type="character" w:customStyle="1" w:styleId="326">
    <w:name w:val="fontstyle21"/>
    <w:qFormat/>
    <w:uiPriority w:val="0"/>
    <w:rPr>
      <w:rFonts w:hint="default" w:ascii="Times New Roman" w:hAnsi="Times New Roman" w:cs="Times New Roman"/>
      <w:b/>
      <w:bCs/>
      <w:color w:val="000000"/>
      <w:sz w:val="28"/>
      <w:szCs w:val="28"/>
    </w:rPr>
  </w:style>
  <w:style w:type="character" w:customStyle="1" w:styleId="327">
    <w:name w:val="dropselect_box1"/>
    <w:basedOn w:val="50"/>
    <w:qFormat/>
    <w:uiPriority w:val="0"/>
  </w:style>
  <w:style w:type="character" w:customStyle="1" w:styleId="328">
    <w:name w:val="表头 Char"/>
    <w:link w:val="329"/>
    <w:qFormat/>
    <w:uiPriority w:val="0"/>
    <w:rPr>
      <w:b/>
      <w:sz w:val="24"/>
      <w:szCs w:val="24"/>
    </w:rPr>
  </w:style>
  <w:style w:type="paragraph" w:customStyle="1" w:styleId="329">
    <w:name w:val="表头"/>
    <w:basedOn w:val="1"/>
    <w:link w:val="328"/>
    <w:qFormat/>
    <w:uiPriority w:val="0"/>
    <w:pPr>
      <w:widowControl w:val="0"/>
      <w:jc w:val="center"/>
    </w:pPr>
    <w:rPr>
      <w:rFonts w:cs="Times New Roman"/>
      <w:b/>
    </w:rPr>
  </w:style>
  <w:style w:type="character" w:customStyle="1" w:styleId="330">
    <w:name w:val="description"/>
    <w:basedOn w:val="50"/>
    <w:qFormat/>
    <w:uiPriority w:val="0"/>
  </w:style>
  <w:style w:type="character" w:customStyle="1" w:styleId="331">
    <w:name w:val="font31"/>
    <w:qFormat/>
    <w:uiPriority w:val="99"/>
    <w:rPr>
      <w:rFonts w:ascii="仿宋" w:hAnsi="仿宋" w:eastAsia="仿宋" w:cs="仿宋"/>
      <w:b/>
      <w:color w:val="000000"/>
      <w:sz w:val="18"/>
      <w:szCs w:val="18"/>
      <w:u w:val="none"/>
    </w:rPr>
  </w:style>
  <w:style w:type="character" w:customStyle="1" w:styleId="332">
    <w:name w:val="fontstyle31"/>
    <w:qFormat/>
    <w:uiPriority w:val="0"/>
    <w:rPr>
      <w:rFonts w:hint="default" w:ascii="Times New Roman" w:hAnsi="Times New Roman" w:cs="Times New Roman"/>
      <w:color w:val="000000"/>
      <w:sz w:val="28"/>
      <w:szCs w:val="28"/>
    </w:rPr>
  </w:style>
  <w:style w:type="character" w:customStyle="1" w:styleId="333">
    <w:name w:val="font91"/>
    <w:qFormat/>
    <w:uiPriority w:val="0"/>
    <w:rPr>
      <w:rFonts w:hint="default" w:ascii="Times New Roman" w:hAnsi="Times New Roman" w:cs="Times New Roman"/>
      <w:color w:val="000000"/>
      <w:sz w:val="16"/>
      <w:szCs w:val="16"/>
      <w:u w:val="none"/>
      <w:vertAlign w:val="superscript"/>
    </w:rPr>
  </w:style>
  <w:style w:type="character" w:customStyle="1" w:styleId="334">
    <w:name w:val="dropselect_box"/>
    <w:qFormat/>
    <w:uiPriority w:val="0"/>
    <w:rPr>
      <w:bdr w:val="single" w:color="E2E2E2" w:sz="6" w:space="0"/>
    </w:rPr>
  </w:style>
  <w:style w:type="character" w:customStyle="1" w:styleId="335">
    <w:name w:val="font21"/>
    <w:qFormat/>
    <w:uiPriority w:val="0"/>
    <w:rPr>
      <w:rFonts w:hint="default" w:ascii="Times New Roman" w:hAnsi="Times New Roman" w:cs="Times New Roman"/>
      <w:color w:val="000000"/>
      <w:sz w:val="22"/>
      <w:szCs w:val="22"/>
      <w:u w:val="none"/>
    </w:rPr>
  </w:style>
  <w:style w:type="character" w:customStyle="1" w:styleId="336">
    <w:name w:val="样式 表头hy + 首行缩进:  1 字符 Char"/>
    <w:link w:val="337"/>
    <w:qFormat/>
    <w:uiPriority w:val="0"/>
    <w:rPr>
      <w:rFonts w:ascii="黑体" w:eastAsia="黑体" w:cs="宋体"/>
      <w:snapToGrid w:val="0"/>
      <w:sz w:val="24"/>
      <w:szCs w:val="24"/>
    </w:rPr>
  </w:style>
  <w:style w:type="paragraph" w:customStyle="1" w:styleId="337">
    <w:name w:val="样式 表头hy + 首行缩进:  1 字符"/>
    <w:basedOn w:val="1"/>
    <w:link w:val="336"/>
    <w:qFormat/>
    <w:uiPriority w:val="0"/>
    <w:pPr>
      <w:widowControl w:val="0"/>
      <w:spacing w:after="60" w:line="460" w:lineRule="exact"/>
      <w:ind w:firstLine="240" w:firstLineChars="100"/>
      <w:jc w:val="both"/>
    </w:pPr>
    <w:rPr>
      <w:rFonts w:ascii="黑体" w:eastAsia="黑体"/>
      <w:snapToGrid w:val="0"/>
    </w:rPr>
  </w:style>
  <w:style w:type="character" w:customStyle="1" w:styleId="338">
    <w:name w:val="正文文字 Char1"/>
    <w:link w:val="339"/>
    <w:qFormat/>
    <w:uiPriority w:val="0"/>
    <w:rPr>
      <w:kern w:val="2"/>
      <w:sz w:val="24"/>
      <w:szCs w:val="24"/>
    </w:rPr>
  </w:style>
  <w:style w:type="paragraph" w:customStyle="1" w:styleId="339">
    <w:name w:val="正文文字"/>
    <w:basedOn w:val="4"/>
    <w:link w:val="338"/>
    <w:qFormat/>
    <w:uiPriority w:val="0"/>
    <w:pPr>
      <w:widowControl w:val="0"/>
      <w:adjustRightInd w:val="0"/>
      <w:snapToGrid w:val="0"/>
      <w:ind w:firstLine="200"/>
    </w:pPr>
    <w:rPr>
      <w:kern w:val="2"/>
      <w:sz w:val="24"/>
      <w:szCs w:val="24"/>
    </w:rPr>
  </w:style>
  <w:style w:type="character" w:customStyle="1" w:styleId="340">
    <w:name w:val="表格hy Char Char"/>
    <w:link w:val="341"/>
    <w:qFormat/>
    <w:uiPriority w:val="0"/>
    <w:rPr>
      <w:rFonts w:ascii="楷体_GB2312" w:eastAsia="楷体_GB2312"/>
      <w:snapToGrid w:val="0"/>
      <w:sz w:val="18"/>
      <w:szCs w:val="24"/>
    </w:rPr>
  </w:style>
  <w:style w:type="paragraph" w:customStyle="1" w:styleId="341">
    <w:name w:val="表格hy"/>
    <w:basedOn w:val="1"/>
    <w:link w:val="340"/>
    <w:qFormat/>
    <w:uiPriority w:val="0"/>
    <w:pPr>
      <w:widowControl w:val="0"/>
      <w:adjustRightInd w:val="0"/>
      <w:spacing w:line="0" w:lineRule="atLeast"/>
      <w:jc w:val="center"/>
    </w:pPr>
    <w:rPr>
      <w:rFonts w:ascii="楷体_GB2312" w:eastAsia="楷体_GB2312" w:cs="Times New Roman"/>
      <w:snapToGrid w:val="0"/>
      <w:sz w:val="18"/>
    </w:rPr>
  </w:style>
  <w:style w:type="character" w:customStyle="1" w:styleId="342">
    <w:name w:val="font81"/>
    <w:qFormat/>
    <w:uiPriority w:val="0"/>
    <w:rPr>
      <w:rFonts w:hint="default" w:ascii="Times New Roman" w:hAnsi="Times New Roman" w:cs="Times New Roman"/>
      <w:color w:val="000000"/>
      <w:sz w:val="18"/>
      <w:szCs w:val="18"/>
      <w:u w:val="none"/>
      <w:vertAlign w:val="superscript"/>
    </w:rPr>
  </w:style>
  <w:style w:type="character" w:customStyle="1" w:styleId="343">
    <w:name w:val="font61"/>
    <w:qFormat/>
    <w:uiPriority w:val="99"/>
    <w:rPr>
      <w:rFonts w:hint="default" w:ascii="Times New Roman" w:hAnsi="Times New Roman" w:cs="Times New Roman"/>
      <w:color w:val="000000"/>
      <w:sz w:val="18"/>
      <w:szCs w:val="18"/>
      <w:u w:val="none"/>
    </w:rPr>
  </w:style>
  <w:style w:type="character" w:customStyle="1" w:styleId="344">
    <w:name w:val="样式 样式 表 格 + 小五 + 小五 Char"/>
    <w:link w:val="345"/>
    <w:qFormat/>
    <w:uiPriority w:val="0"/>
    <w:rPr>
      <w:rFonts w:ascii="楷体_GB2312" w:eastAsia="楷体_GB2312"/>
      <w:snapToGrid w:val="0"/>
      <w:sz w:val="18"/>
      <w:szCs w:val="24"/>
    </w:rPr>
  </w:style>
  <w:style w:type="paragraph" w:customStyle="1" w:styleId="345">
    <w:name w:val="样式 样式 表 格 + 小五 + 小五"/>
    <w:basedOn w:val="1"/>
    <w:link w:val="344"/>
    <w:qFormat/>
    <w:uiPriority w:val="0"/>
    <w:pPr>
      <w:widowControl w:val="0"/>
      <w:adjustRightInd w:val="0"/>
      <w:spacing w:line="0" w:lineRule="atLeast"/>
      <w:jc w:val="center"/>
    </w:pPr>
    <w:rPr>
      <w:rFonts w:ascii="楷体_GB2312" w:eastAsia="楷体_GB2312" w:cs="Times New Roman"/>
      <w:snapToGrid w:val="0"/>
      <w:sz w:val="18"/>
    </w:rPr>
  </w:style>
  <w:style w:type="character" w:customStyle="1" w:styleId="346">
    <w:name w:val="书籍标题1"/>
    <w:qFormat/>
    <w:uiPriority w:val="33"/>
    <w:rPr>
      <w:b/>
      <w:bCs/>
      <w:smallCaps/>
      <w:spacing w:val="5"/>
    </w:rPr>
  </w:style>
  <w:style w:type="character" w:customStyle="1" w:styleId="347">
    <w:name w:val="font51"/>
    <w:qFormat/>
    <w:uiPriority w:val="99"/>
    <w:rPr>
      <w:rFonts w:hint="default" w:ascii="Times New Roman" w:hAnsi="Times New Roman" w:cs="Times New Roman"/>
      <w:color w:val="000000"/>
      <w:sz w:val="18"/>
      <w:szCs w:val="18"/>
      <w:u w:val="none"/>
    </w:rPr>
  </w:style>
  <w:style w:type="character" w:customStyle="1" w:styleId="348">
    <w:name w:val="hj-easyread-speakerprocesser-position-action-icon"/>
    <w:basedOn w:val="50"/>
    <w:qFormat/>
    <w:uiPriority w:val="0"/>
  </w:style>
  <w:style w:type="character" w:customStyle="1" w:styleId="349">
    <w:name w:val="font41"/>
    <w:qFormat/>
    <w:uiPriority w:val="99"/>
    <w:rPr>
      <w:rFonts w:hint="default" w:ascii="Times New Roman" w:hAnsi="Times New Roman" w:cs="Times New Roman"/>
      <w:color w:val="000000"/>
      <w:sz w:val="18"/>
      <w:szCs w:val="18"/>
      <w:u w:val="none"/>
    </w:rPr>
  </w:style>
  <w:style w:type="character" w:customStyle="1" w:styleId="350">
    <w:name w:val="font121"/>
    <w:qFormat/>
    <w:uiPriority w:val="0"/>
    <w:rPr>
      <w:rFonts w:hint="eastAsia" w:ascii="仿宋" w:hAnsi="仿宋" w:eastAsia="仿宋" w:cs="仿宋"/>
      <w:color w:val="000000"/>
      <w:sz w:val="18"/>
      <w:szCs w:val="18"/>
      <w:u w:val="none"/>
    </w:rPr>
  </w:style>
  <w:style w:type="character" w:customStyle="1" w:styleId="351">
    <w:name w:val="font101"/>
    <w:qFormat/>
    <w:uiPriority w:val="0"/>
    <w:rPr>
      <w:rFonts w:hint="default" w:ascii="Times New Roman" w:hAnsi="Times New Roman" w:cs="Times New Roman"/>
      <w:color w:val="000000"/>
      <w:sz w:val="16"/>
      <w:szCs w:val="16"/>
      <w:u w:val="none"/>
    </w:rPr>
  </w:style>
  <w:style w:type="character" w:customStyle="1" w:styleId="352">
    <w:name w:val="fontstyle01"/>
    <w:qFormat/>
    <w:uiPriority w:val="0"/>
    <w:rPr>
      <w:rFonts w:hint="eastAsia" w:ascii="宋体" w:hAnsi="宋体" w:eastAsia="宋体"/>
      <w:color w:val="000000"/>
      <w:sz w:val="28"/>
      <w:szCs w:val="28"/>
    </w:rPr>
  </w:style>
  <w:style w:type="character" w:customStyle="1" w:styleId="353">
    <w:name w:val="font71"/>
    <w:qFormat/>
    <w:uiPriority w:val="0"/>
    <w:rPr>
      <w:rFonts w:hint="default" w:ascii="Times New Roman" w:hAnsi="Times New Roman" w:cs="Times New Roman"/>
      <w:color w:val="000000"/>
      <w:sz w:val="18"/>
      <w:szCs w:val="18"/>
      <w:u w:val="none"/>
      <w:vertAlign w:val="superscript"/>
    </w:rPr>
  </w:style>
  <w:style w:type="character" w:customStyle="1" w:styleId="354">
    <w:name w:val="font111"/>
    <w:qFormat/>
    <w:uiPriority w:val="0"/>
    <w:rPr>
      <w:rFonts w:hint="eastAsia" w:ascii="宋体" w:hAnsi="宋体" w:eastAsia="宋体" w:cs="宋体"/>
      <w:color w:val="000000"/>
      <w:sz w:val="18"/>
      <w:szCs w:val="18"/>
      <w:u w:val="none"/>
    </w:rPr>
  </w:style>
  <w:style w:type="character" w:customStyle="1" w:styleId="355">
    <w:name w:val="font01"/>
    <w:qFormat/>
    <w:uiPriority w:val="0"/>
    <w:rPr>
      <w:rFonts w:hint="eastAsia" w:ascii="仿宋" w:hAnsi="仿宋" w:eastAsia="仿宋" w:cs="仿宋"/>
      <w:color w:val="000000"/>
      <w:sz w:val="16"/>
      <w:szCs w:val="16"/>
      <w:u w:val="none"/>
    </w:rPr>
  </w:style>
  <w:style w:type="character" w:customStyle="1" w:styleId="356">
    <w:name w:val="日期 Char1"/>
    <w:semiHidden/>
    <w:qFormat/>
    <w:locked/>
    <w:uiPriority w:val="0"/>
    <w:rPr>
      <w:kern w:val="2"/>
      <w:sz w:val="21"/>
      <w:szCs w:val="24"/>
    </w:rPr>
  </w:style>
  <w:style w:type="paragraph" w:customStyle="1" w:styleId="357">
    <w:name w:val="_Style 2"/>
    <w:qFormat/>
    <w:uiPriority w:val="1"/>
    <w:pPr>
      <w:widowControl w:val="0"/>
      <w:jc w:val="center"/>
    </w:pPr>
    <w:rPr>
      <w:rFonts w:ascii="Times New Roman" w:hAnsi="Times New Roman" w:eastAsia="仿宋" w:cs="Times New Roman"/>
      <w:kern w:val="2"/>
      <w:sz w:val="24"/>
      <w:szCs w:val="24"/>
      <w:lang w:val="en-US" w:eastAsia="zh-CN" w:bidi="ar-SA"/>
    </w:rPr>
  </w:style>
  <w:style w:type="paragraph" w:customStyle="1" w:styleId="358">
    <w:name w:val="样式 样式 样式 样式 首行缩进:  2 字符5 + 首行缩进:  2 字符 + 首行缩进:  2 字符 + 首行缩进:  2 ..."/>
    <w:basedOn w:val="1"/>
    <w:qFormat/>
    <w:uiPriority w:val="0"/>
    <w:pPr>
      <w:widowControl w:val="0"/>
      <w:adjustRightInd w:val="0"/>
      <w:spacing w:line="460" w:lineRule="exact"/>
      <w:ind w:firstLine="200"/>
      <w:jc w:val="both"/>
    </w:pPr>
    <w:rPr>
      <w:rFonts w:ascii="仿宋_GB2312"/>
      <w:snapToGrid w:val="0"/>
      <w:kern w:val="2"/>
    </w:rPr>
  </w:style>
  <w:style w:type="paragraph" w:customStyle="1" w:styleId="359">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360">
    <w:name w:val="jyta06"/>
    <w:basedOn w:val="1"/>
    <w:qFormat/>
    <w:uiPriority w:val="0"/>
    <w:pPr>
      <w:widowControl w:val="0"/>
      <w:tabs>
        <w:tab w:val="left" w:pos="142"/>
        <w:tab w:val="left" w:pos="567"/>
        <w:tab w:val="left" w:pos="1134"/>
      </w:tabs>
      <w:ind w:firstLine="560"/>
    </w:pPr>
    <w:rPr>
      <w:rFonts w:cs="Times New Roman"/>
      <w:kern w:val="2"/>
      <w:sz w:val="28"/>
      <w:szCs w:val="28"/>
    </w:rPr>
  </w:style>
  <w:style w:type="paragraph" w:customStyle="1" w:styleId="361">
    <w:name w:val="文章1"/>
    <w:basedOn w:val="1"/>
    <w:qFormat/>
    <w:uiPriority w:val="0"/>
    <w:pPr>
      <w:widowControl w:val="0"/>
      <w:snapToGrid w:val="0"/>
      <w:spacing w:beforeLines="50" w:afterLines="50"/>
      <w:ind w:firstLine="200"/>
    </w:pPr>
    <w:rPr>
      <w:rFonts w:cs="Times New Roman"/>
      <w:color w:val="000000"/>
      <w:kern w:val="2"/>
      <w:sz w:val="28"/>
      <w:szCs w:val="32"/>
    </w:rPr>
  </w:style>
  <w:style w:type="paragraph" w:customStyle="1" w:styleId="362">
    <w:name w:val="Char Char Char Char Char Char Char"/>
    <w:basedOn w:val="1"/>
    <w:qFormat/>
    <w:uiPriority w:val="0"/>
    <w:pPr>
      <w:widowControl w:val="0"/>
      <w:ind w:firstLine="200"/>
    </w:pPr>
    <w:rPr>
      <w:rFonts w:cs="Times New Roman"/>
      <w:kern w:val="2"/>
      <w:sz w:val="30"/>
    </w:rPr>
  </w:style>
  <w:style w:type="paragraph" w:customStyle="1" w:styleId="363">
    <w:name w:val="Char1"/>
    <w:basedOn w:val="1"/>
    <w:qFormat/>
    <w:uiPriority w:val="0"/>
    <w:pPr>
      <w:widowControl w:val="0"/>
      <w:ind w:firstLine="200"/>
    </w:pPr>
    <w:rPr>
      <w:kern w:val="2"/>
    </w:rPr>
  </w:style>
  <w:style w:type="paragraph" w:customStyle="1" w:styleId="364">
    <w:name w:val="p16"/>
    <w:basedOn w:val="1"/>
    <w:qFormat/>
    <w:uiPriority w:val="0"/>
    <w:pPr>
      <w:spacing w:after="120" w:line="480" w:lineRule="auto"/>
      <w:ind w:left="420" w:firstLine="200"/>
    </w:pPr>
    <w:rPr>
      <w:rFonts w:cs="Times New Roman"/>
    </w:rPr>
  </w:style>
  <w:style w:type="paragraph" w:customStyle="1" w:styleId="365">
    <w:name w:val="标题 31"/>
    <w:basedOn w:val="1"/>
    <w:next w:val="1"/>
    <w:qFormat/>
    <w:uiPriority w:val="0"/>
    <w:pPr>
      <w:keepNext/>
      <w:keepLines/>
      <w:widowControl w:val="0"/>
      <w:spacing w:before="260" w:after="260" w:line="413" w:lineRule="auto"/>
      <w:ind w:firstLine="200"/>
      <w:outlineLvl w:val="2"/>
    </w:pPr>
    <w:rPr>
      <w:rFonts w:eastAsia="Times New Roman" w:cs="Times New Roman"/>
      <w:b/>
      <w:kern w:val="2"/>
      <w:sz w:val="32"/>
      <w:szCs w:val="20"/>
    </w:rPr>
  </w:style>
  <w:style w:type="paragraph" w:customStyle="1" w:styleId="366">
    <w:name w:val="样式 仿宋文本 + 四号 首行缩进:  2 字符"/>
    <w:basedOn w:val="123"/>
    <w:qFormat/>
    <w:uiPriority w:val="0"/>
    <w:pPr>
      <w:ind w:firstLine="560"/>
    </w:pPr>
    <w:rPr>
      <w:color w:val="000000"/>
      <w:sz w:val="28"/>
      <w:szCs w:val="28"/>
    </w:rPr>
  </w:style>
  <w:style w:type="paragraph" w:styleId="367">
    <w:name w:val="List Paragraph"/>
    <w:basedOn w:val="1"/>
    <w:qFormat/>
    <w:uiPriority w:val="99"/>
    <w:pPr>
      <w:widowControl w:val="0"/>
      <w:ind w:firstLine="420"/>
    </w:pPr>
    <w:rPr>
      <w:rFonts w:cs="Times New Roman"/>
      <w:kern w:val="2"/>
      <w:sz w:val="28"/>
    </w:rPr>
  </w:style>
  <w:style w:type="paragraph" w:customStyle="1" w:styleId="368">
    <w:name w:val="列出段落1"/>
    <w:basedOn w:val="1"/>
    <w:qFormat/>
    <w:uiPriority w:val="0"/>
    <w:pPr>
      <w:widowControl w:val="0"/>
      <w:ind w:firstLine="420"/>
    </w:pPr>
    <w:rPr>
      <w:rFonts w:ascii="Calibri" w:hAnsi="Calibri" w:cs="Times New Roman"/>
      <w:kern w:val="2"/>
      <w:sz w:val="28"/>
      <w:szCs w:val="22"/>
    </w:rPr>
  </w:style>
  <w:style w:type="paragraph" w:customStyle="1" w:styleId="369">
    <w:name w:val="正文 仿宋文本 + 首行缩进:  2 字符"/>
    <w:basedOn w:val="1"/>
    <w:qFormat/>
    <w:uiPriority w:val="0"/>
    <w:pPr>
      <w:spacing w:before="156" w:after="156"/>
      <w:ind w:firstLine="564"/>
      <w:jc w:val="both"/>
    </w:pPr>
    <w:rPr>
      <w:rFonts w:cs="Times New Roman"/>
      <w:bCs/>
      <w:color w:val="000000"/>
      <w:spacing w:val="-4"/>
    </w:rPr>
  </w:style>
  <w:style w:type="paragraph" w:customStyle="1" w:styleId="370">
    <w:name w:val="报告正文"/>
    <w:basedOn w:val="1"/>
    <w:qFormat/>
    <w:uiPriority w:val="0"/>
    <w:pPr>
      <w:adjustRightInd w:val="0"/>
      <w:snapToGrid w:val="0"/>
      <w:ind w:firstLine="200"/>
      <w:jc w:val="both"/>
    </w:pPr>
    <w:rPr>
      <w:rFonts w:cs="Times New Roman" w:eastAsiaTheme="minorEastAsia"/>
      <w:snapToGrid w:val="0"/>
      <w:kern w:val="144"/>
      <w:szCs w:val="20"/>
    </w:rPr>
  </w:style>
  <w:style w:type="paragraph" w:customStyle="1" w:styleId="371">
    <w:name w:val="vsbcontent_end"/>
    <w:basedOn w:val="1"/>
    <w:qFormat/>
    <w:uiPriority w:val="0"/>
  </w:style>
  <w:style w:type="table" w:customStyle="1" w:styleId="372">
    <w:name w:val="Table Normal"/>
    <w:semiHidden/>
    <w:unhideWhenUsed/>
    <w:qFormat/>
    <w:uiPriority w:val="2"/>
    <w:rPr>
      <w:rFonts w:asciiTheme="minorHAnsi" w:hAnsiTheme="minorHAnsi" w:eastAsiaTheme="minorEastAsia" w:cstheme="minorBidi"/>
    </w:rPr>
    <w:tblPr>
      <w:tblCellMar>
        <w:top w:w="0" w:type="dxa"/>
        <w:left w:w="0" w:type="dxa"/>
        <w:bottom w:w="0" w:type="dxa"/>
        <w:right w:w="0" w:type="dxa"/>
      </w:tblCellMar>
    </w:tblPr>
  </w:style>
  <w:style w:type="paragraph" w:customStyle="1" w:styleId="373">
    <w:name w:val="标题 32"/>
    <w:basedOn w:val="1"/>
    <w:qFormat/>
    <w:uiPriority w:val="1"/>
    <w:pPr>
      <w:widowControl w:val="0"/>
      <w:autoSpaceDE w:val="0"/>
      <w:autoSpaceDN w:val="0"/>
      <w:ind w:left="771" w:hanging="631"/>
      <w:outlineLvl w:val="3"/>
    </w:pPr>
    <w:rPr>
      <w:b/>
      <w:bCs/>
      <w:sz w:val="28"/>
      <w:szCs w:val="28"/>
      <w:lang w:eastAsia="en-US"/>
    </w:rPr>
  </w:style>
  <w:style w:type="paragraph" w:customStyle="1" w:styleId="374">
    <w:name w:val="Table Paragraph"/>
    <w:basedOn w:val="1"/>
    <w:qFormat/>
    <w:uiPriority w:val="1"/>
    <w:pPr>
      <w:widowControl w:val="0"/>
      <w:autoSpaceDE w:val="0"/>
      <w:autoSpaceDN w:val="0"/>
      <w:jc w:val="center"/>
    </w:pPr>
    <w:rPr>
      <w:rFonts w:eastAsia="Times New Roman" w:cs="Times New Roman"/>
      <w:sz w:val="22"/>
      <w:szCs w:val="22"/>
      <w:lang w:eastAsia="en-US"/>
    </w:rPr>
  </w:style>
  <w:style w:type="character" w:customStyle="1" w:styleId="375">
    <w:name w:val="纯文本 Char1"/>
    <w:basedOn w:val="50"/>
    <w:qFormat/>
    <w:uiPriority w:val="0"/>
    <w:rPr>
      <w:rFonts w:ascii="宋体" w:hAnsi="Courier New" w:eastAsia="宋体" w:cs="Courier New"/>
      <w:kern w:val="2"/>
      <w:sz w:val="21"/>
      <w:szCs w:val="21"/>
      <w:lang w:val="en-US" w:eastAsia="zh-CN" w:bidi="ar-SA"/>
    </w:rPr>
  </w:style>
  <w:style w:type="paragraph" w:customStyle="1" w:styleId="376">
    <w:name w:val="正文终稿"/>
    <w:basedOn w:val="1"/>
    <w:link w:val="377"/>
    <w:qFormat/>
    <w:uiPriority w:val="99"/>
    <w:pPr>
      <w:widowControl w:val="0"/>
      <w:snapToGrid w:val="0"/>
      <w:ind w:firstLine="200"/>
      <w:jc w:val="both"/>
    </w:pPr>
    <w:rPr>
      <w:rFonts w:cs="Times New Roman"/>
      <w:color w:val="000000"/>
      <w:lang w:val="zh-TW" w:eastAsia="zh-TW"/>
    </w:rPr>
  </w:style>
  <w:style w:type="character" w:customStyle="1" w:styleId="377">
    <w:name w:val="正文终稿 字符"/>
    <w:basedOn w:val="50"/>
    <w:link w:val="376"/>
    <w:qFormat/>
    <w:locked/>
    <w:uiPriority w:val="99"/>
    <w:rPr>
      <w:color w:val="000000"/>
      <w:sz w:val="24"/>
      <w:szCs w:val="24"/>
      <w:lang w:val="zh-TW" w:eastAsia="zh-TW"/>
    </w:rPr>
  </w:style>
  <w:style w:type="character" w:customStyle="1" w:styleId="378">
    <w:name w:val="一级标题"/>
    <w:basedOn w:val="50"/>
    <w:qFormat/>
    <w:uiPriority w:val="99"/>
    <w:rPr>
      <w:rFonts w:ascii="黑体" w:hAnsi="黑体" w:eastAsia="黑体" w:cs="黑体"/>
      <w:color w:val="000000"/>
      <w:spacing w:val="10"/>
      <w:w w:val="100"/>
      <w:position w:val="0"/>
      <w:sz w:val="18"/>
      <w:szCs w:val="18"/>
      <w:shd w:val="clear" w:color="auto" w:fill="FFFFFF"/>
      <w:lang w:val="zh-TW"/>
    </w:rPr>
  </w:style>
  <w:style w:type="paragraph" w:customStyle="1" w:styleId="379">
    <w:name w:val="List Paragraph1"/>
    <w:basedOn w:val="1"/>
    <w:qFormat/>
    <w:uiPriority w:val="99"/>
    <w:pPr>
      <w:widowControl w:val="0"/>
      <w:ind w:firstLine="420"/>
    </w:pPr>
    <w:rPr>
      <w:rFonts w:cs="Times New Roman"/>
      <w:color w:val="000000"/>
      <w:lang w:val="zh-TW" w:eastAsia="zh-TW"/>
    </w:rPr>
  </w:style>
  <w:style w:type="paragraph" w:customStyle="1" w:styleId="380">
    <w:name w:val="表内文字"/>
    <w:qFormat/>
    <w:uiPriority w:val="0"/>
    <w:pPr>
      <w:widowControl w:val="0"/>
      <w:adjustRightInd w:val="0"/>
      <w:snapToGrid w:val="0"/>
      <w:jc w:val="center"/>
    </w:pPr>
    <w:rPr>
      <w:rFonts w:ascii="Times New Roman" w:hAnsi="Times New Roman" w:eastAsia="仿宋_GB2312" w:cs="Arial"/>
      <w:sz w:val="21"/>
      <w:szCs w:val="21"/>
      <w:lang w:val="en-US" w:eastAsia="zh-CN" w:bidi="ar-SA"/>
    </w:rPr>
  </w:style>
  <w:style w:type="paragraph" w:customStyle="1" w:styleId="381">
    <w:name w:val="正文文本首行缩进 21"/>
    <w:basedOn w:val="1"/>
    <w:qFormat/>
    <w:uiPriority w:val="0"/>
    <w:pPr>
      <w:widowControl w:val="0"/>
      <w:spacing w:line="240" w:lineRule="auto"/>
      <w:ind w:firstLine="420"/>
    </w:pPr>
    <w:rPr>
      <w:rFonts w:eastAsia="宋体" w:cs="Times New Roman"/>
      <w:color w:val="000000"/>
      <w:lang w:val="zh-TW" w:eastAsia="zh-TW"/>
    </w:rPr>
  </w:style>
  <w:style w:type="paragraph" w:customStyle="1" w:styleId="382">
    <w:name w:val="标题02"/>
    <w:basedOn w:val="1"/>
    <w:next w:val="123"/>
    <w:qFormat/>
    <w:uiPriority w:val="99"/>
    <w:pPr>
      <w:widowControl w:val="0"/>
      <w:tabs>
        <w:tab w:val="left" w:pos="0"/>
      </w:tabs>
      <w:adjustRightInd w:val="0"/>
      <w:snapToGrid w:val="0"/>
      <w:spacing w:before="300" w:after="180" w:line="240" w:lineRule="auto"/>
      <w:ind w:firstLine="0" w:firstLineChars="0"/>
      <w:contextualSpacing/>
      <w:outlineLvl w:val="1"/>
    </w:pPr>
    <w:rPr>
      <w:rFonts w:eastAsia="黑体" w:cs="Times New Roman"/>
      <w:color w:val="000000"/>
      <w:sz w:val="30"/>
      <w:szCs w:val="32"/>
      <w:lang w:val="zh-TW" w:eastAsia="zh-TW"/>
    </w:rPr>
  </w:style>
  <w:style w:type="paragraph" w:customStyle="1" w:styleId="383">
    <w:name w:val="标题01"/>
    <w:basedOn w:val="1"/>
    <w:next w:val="1"/>
    <w:qFormat/>
    <w:uiPriority w:val="99"/>
    <w:pPr>
      <w:pageBreakBefore/>
      <w:widowControl w:val="0"/>
      <w:tabs>
        <w:tab w:val="left" w:pos="0"/>
      </w:tabs>
      <w:spacing w:before="360" w:after="240"/>
      <w:ind w:firstLine="0" w:firstLineChars="0"/>
      <w:jc w:val="center"/>
      <w:outlineLvl w:val="0"/>
    </w:pPr>
    <w:rPr>
      <w:rFonts w:eastAsia="黑体" w:cs="Times New Roman"/>
      <w:color w:val="000000"/>
      <w:sz w:val="32"/>
      <w:szCs w:val="32"/>
      <w:lang w:val="zh-TW" w:eastAsia="zh-TW"/>
    </w:rPr>
  </w:style>
  <w:style w:type="character" w:customStyle="1" w:styleId="384">
    <w:name w:val="页脚 Char1"/>
    <w:basedOn w:val="50"/>
    <w:qFormat/>
    <w:locked/>
    <w:uiPriority w:val="99"/>
    <w:rPr>
      <w:rFonts w:cs="Times New Roman"/>
      <w:sz w:val="18"/>
      <w:szCs w:val="18"/>
    </w:rPr>
  </w:style>
  <w:style w:type="paragraph" w:customStyle="1" w:styleId="385">
    <w:name w:val="列表段落1"/>
    <w:basedOn w:val="1"/>
    <w:qFormat/>
    <w:uiPriority w:val="99"/>
    <w:pPr>
      <w:widowControl w:val="0"/>
      <w:spacing w:line="240" w:lineRule="auto"/>
      <w:ind w:firstLine="420"/>
    </w:pPr>
    <w:rPr>
      <w:rFonts w:ascii="Calibri" w:hAnsi="Calibri" w:eastAsia="宋体" w:cs="Times New Roman"/>
      <w:color w:val="000000"/>
      <w:szCs w:val="22"/>
      <w:lang w:val="zh-TW" w:eastAsia="zh-TW"/>
    </w:rPr>
  </w:style>
  <w:style w:type="character" w:customStyle="1" w:styleId="386">
    <w:name w:val="仿宋文本 Char"/>
    <w:qFormat/>
    <w:locked/>
    <w:uiPriority w:val="99"/>
    <w:rPr>
      <w:rFonts w:eastAsia="仿宋_GB2312"/>
      <w:sz w:val="24"/>
    </w:rPr>
  </w:style>
  <w:style w:type="paragraph" w:customStyle="1" w:styleId="387">
    <w:name w:val="样式 标题02 + 宋体"/>
    <w:basedOn w:val="382"/>
    <w:qFormat/>
    <w:uiPriority w:val="99"/>
    <w:rPr>
      <w:rFonts w:ascii="宋体" w:hAnsi="宋体" w:eastAsia="宋体"/>
      <w:b/>
    </w:rPr>
  </w:style>
  <w:style w:type="paragraph" w:customStyle="1" w:styleId="388">
    <w:name w:val="msonormal"/>
    <w:basedOn w:val="1"/>
    <w:qFormat/>
    <w:uiPriority w:val="99"/>
    <w:pPr>
      <w:spacing w:before="100" w:beforeAutospacing="1" w:after="100" w:afterAutospacing="1" w:line="240" w:lineRule="auto"/>
      <w:ind w:firstLine="0" w:firstLineChars="0"/>
    </w:pPr>
    <w:rPr>
      <w:rFonts w:ascii="宋体" w:eastAsia="宋体"/>
      <w:color w:val="000000"/>
      <w:lang w:val="zh-TW" w:eastAsia="zh-TW"/>
    </w:rPr>
  </w:style>
  <w:style w:type="character" w:customStyle="1" w:styleId="389">
    <w:name w:val="未处理的提及1"/>
    <w:basedOn w:val="50"/>
    <w:qFormat/>
    <w:uiPriority w:val="99"/>
    <w:rPr>
      <w:rFonts w:cs="Times New Roman"/>
      <w:color w:val="605E5C"/>
      <w:shd w:val="clear" w:color="auto" w:fill="E1DFDD"/>
    </w:rPr>
  </w:style>
  <w:style w:type="paragraph" w:customStyle="1" w:styleId="390">
    <w:name w:val="TOC Heading1"/>
    <w:basedOn w:val="2"/>
    <w:next w:val="1"/>
    <w:qFormat/>
    <w:uiPriority w:val="99"/>
    <w:pPr>
      <w:keepLines/>
      <w:tabs>
        <w:tab w:val="clear" w:pos="4118"/>
      </w:tabs>
      <w:adjustRightInd/>
      <w:snapToGrid/>
      <w:spacing w:before="240" w:beforeLines="0" w:after="0" w:afterLines="0" w:line="259" w:lineRule="auto"/>
      <w:jc w:val="left"/>
      <w:outlineLvl w:val="9"/>
    </w:pPr>
    <w:rPr>
      <w:rFonts w:ascii="Calibri Light" w:hAnsi="Calibri Light" w:cs="Times New Roman"/>
      <w:b w:val="0"/>
      <w:bCs w:val="0"/>
      <w:color w:val="2E74B5"/>
      <w:szCs w:val="32"/>
      <w:lang w:val="zh-TW" w:eastAsia="zh-TW"/>
    </w:rPr>
  </w:style>
  <w:style w:type="character" w:customStyle="1" w:styleId="391">
    <w:name w:val="正文文本_"/>
    <w:basedOn w:val="50"/>
    <w:link w:val="392"/>
    <w:qFormat/>
    <w:locked/>
    <w:uiPriority w:val="99"/>
    <w:rPr>
      <w:rFonts w:ascii="Arial Unicode MS" w:hAnsi="Arial Unicode MS" w:eastAsia="Times New Roman" w:cs="Arial Unicode MS"/>
      <w:sz w:val="27"/>
      <w:szCs w:val="27"/>
      <w:shd w:val="clear" w:color="auto" w:fill="FFFFFF"/>
    </w:rPr>
  </w:style>
  <w:style w:type="paragraph" w:customStyle="1" w:styleId="392">
    <w:name w:val="正文文本5"/>
    <w:basedOn w:val="1"/>
    <w:link w:val="391"/>
    <w:qFormat/>
    <w:uiPriority w:val="99"/>
    <w:pPr>
      <w:widowControl w:val="0"/>
      <w:shd w:val="clear" w:color="auto" w:fill="FFFFFF"/>
      <w:spacing w:after="480" w:line="240" w:lineRule="atLeast"/>
      <w:ind w:firstLine="0" w:firstLineChars="0"/>
      <w:jc w:val="center"/>
    </w:pPr>
    <w:rPr>
      <w:rFonts w:ascii="Arial Unicode MS" w:hAnsi="Arial Unicode MS" w:eastAsia="Times New Roman" w:cs="Arial Unicode MS"/>
      <w:sz w:val="27"/>
      <w:szCs w:val="27"/>
    </w:rPr>
  </w:style>
  <w:style w:type="character" w:customStyle="1" w:styleId="393">
    <w:name w:val="正文文本 + 13 pt"/>
    <w:basedOn w:val="391"/>
    <w:qFormat/>
    <w:uiPriority w:val="99"/>
    <w:rPr>
      <w:rFonts w:ascii="Arial Unicode MS" w:hAnsi="Arial Unicode MS" w:eastAsia="Times New Roman" w:cs="Arial Unicode MS"/>
      <w:color w:val="000000"/>
      <w:spacing w:val="0"/>
      <w:w w:val="100"/>
      <w:position w:val="0"/>
      <w:sz w:val="26"/>
      <w:szCs w:val="26"/>
      <w:u w:val="none"/>
      <w:shd w:val="clear" w:color="auto" w:fill="FFFFFF"/>
      <w:lang w:val="en-US"/>
    </w:rPr>
  </w:style>
  <w:style w:type="character" w:customStyle="1" w:styleId="394">
    <w:name w:val="正文文本 + 间距 1 pt"/>
    <w:basedOn w:val="391"/>
    <w:qFormat/>
    <w:uiPriority w:val="99"/>
    <w:rPr>
      <w:rFonts w:ascii="Arial Unicode MS" w:hAnsi="Arial Unicode MS" w:eastAsia="Times New Roman" w:cs="Arial Unicode MS"/>
      <w:color w:val="000000"/>
      <w:spacing w:val="30"/>
      <w:w w:val="100"/>
      <w:position w:val="0"/>
      <w:sz w:val="27"/>
      <w:szCs w:val="27"/>
      <w:u w:val="none"/>
      <w:shd w:val="clear" w:color="auto" w:fill="FFFFFF"/>
      <w:lang w:val="zh-TW"/>
    </w:rPr>
  </w:style>
  <w:style w:type="character" w:customStyle="1" w:styleId="395">
    <w:name w:val="正文文本2"/>
    <w:basedOn w:val="391"/>
    <w:qFormat/>
    <w:uiPriority w:val="99"/>
    <w:rPr>
      <w:rFonts w:ascii="Arial Unicode MS" w:hAnsi="Arial Unicode MS" w:eastAsia="Times New Roman" w:cs="Arial Unicode MS"/>
      <w:color w:val="000000"/>
      <w:spacing w:val="0"/>
      <w:w w:val="100"/>
      <w:position w:val="0"/>
      <w:sz w:val="27"/>
      <w:szCs w:val="27"/>
      <w:u w:val="none"/>
      <w:shd w:val="clear" w:color="auto" w:fill="FFFFFF"/>
      <w:lang w:val="zh-TW"/>
    </w:rPr>
  </w:style>
  <w:style w:type="character" w:customStyle="1" w:styleId="396">
    <w:name w:val="页眉或页脚_"/>
    <w:basedOn w:val="50"/>
    <w:link w:val="397"/>
    <w:qFormat/>
    <w:locked/>
    <w:uiPriority w:val="99"/>
    <w:rPr>
      <w:rFonts w:ascii="Arial Unicode MS" w:hAnsi="Arial Unicode MS" w:eastAsia="Times New Roman" w:cs="Arial Unicode MS"/>
      <w:sz w:val="19"/>
      <w:szCs w:val="19"/>
      <w:shd w:val="clear" w:color="auto" w:fill="FFFFFF"/>
    </w:rPr>
  </w:style>
  <w:style w:type="paragraph" w:customStyle="1" w:styleId="397">
    <w:name w:val="页眉或页脚"/>
    <w:basedOn w:val="1"/>
    <w:link w:val="396"/>
    <w:qFormat/>
    <w:uiPriority w:val="99"/>
    <w:pPr>
      <w:widowControl w:val="0"/>
      <w:shd w:val="clear" w:color="auto" w:fill="FFFFFF"/>
      <w:spacing w:line="240" w:lineRule="atLeast"/>
      <w:ind w:firstLine="0" w:firstLineChars="0"/>
    </w:pPr>
    <w:rPr>
      <w:rFonts w:ascii="Arial Unicode MS" w:hAnsi="Arial Unicode MS" w:eastAsia="Times New Roman" w:cs="Arial Unicode MS"/>
      <w:sz w:val="19"/>
      <w:szCs w:val="19"/>
    </w:rPr>
  </w:style>
  <w:style w:type="character" w:customStyle="1" w:styleId="398">
    <w:name w:val="页眉或页脚 + Times New Roman"/>
    <w:basedOn w:val="396"/>
    <w:qFormat/>
    <w:uiPriority w:val="99"/>
    <w:rPr>
      <w:rFonts w:ascii="Times New Roman" w:hAnsi="Times New Roman" w:eastAsia="Times New Roman" w:cs="Times New Roman"/>
      <w:b/>
      <w:bCs/>
      <w:color w:val="000000"/>
      <w:spacing w:val="0"/>
      <w:w w:val="100"/>
      <w:position w:val="0"/>
      <w:sz w:val="21"/>
      <w:szCs w:val="21"/>
      <w:shd w:val="clear" w:color="auto" w:fill="FFFFFF"/>
    </w:rPr>
  </w:style>
  <w:style w:type="character" w:customStyle="1" w:styleId="399">
    <w:name w:val="页眉或页脚 + SimHei"/>
    <w:basedOn w:val="396"/>
    <w:qFormat/>
    <w:uiPriority w:val="99"/>
    <w:rPr>
      <w:rFonts w:ascii="黑体" w:hAnsi="黑体" w:eastAsia="黑体" w:cs="黑体"/>
      <w:color w:val="000000"/>
      <w:spacing w:val="0"/>
      <w:w w:val="100"/>
      <w:position w:val="0"/>
      <w:sz w:val="23"/>
      <w:szCs w:val="23"/>
      <w:shd w:val="clear" w:color="auto" w:fill="FFFFFF"/>
      <w:lang w:val="zh-TW"/>
    </w:rPr>
  </w:style>
  <w:style w:type="character" w:customStyle="1" w:styleId="400">
    <w:name w:val="可研正文 Char Char"/>
    <w:link w:val="401"/>
    <w:qFormat/>
    <w:locked/>
    <w:uiPriority w:val="99"/>
    <w:rPr>
      <w:rFonts w:ascii="宋体"/>
      <w:kern w:val="2"/>
      <w:sz w:val="24"/>
    </w:rPr>
  </w:style>
  <w:style w:type="paragraph" w:customStyle="1" w:styleId="401">
    <w:name w:val="可研正文"/>
    <w:basedOn w:val="1"/>
    <w:link w:val="400"/>
    <w:qFormat/>
    <w:uiPriority w:val="99"/>
    <w:pPr>
      <w:widowControl w:val="0"/>
      <w:adjustRightInd w:val="0"/>
      <w:snapToGrid w:val="0"/>
      <w:ind w:firstLine="480"/>
      <w:textAlignment w:val="baseline"/>
    </w:pPr>
    <w:rPr>
      <w:rFonts w:ascii="宋体" w:eastAsia="宋体" w:cs="Times New Roman"/>
      <w:kern w:val="2"/>
      <w:szCs w:val="20"/>
    </w:rPr>
  </w:style>
  <w:style w:type="character" w:customStyle="1" w:styleId="402">
    <w:name w:val="正文文本 (6)_"/>
    <w:basedOn w:val="50"/>
    <w:link w:val="403"/>
    <w:qFormat/>
    <w:locked/>
    <w:uiPriority w:val="99"/>
    <w:rPr>
      <w:rFonts w:ascii="Arial Unicode MS" w:hAnsi="Arial Unicode MS" w:eastAsia="Times New Roman" w:cs="Arial Unicode MS"/>
      <w:sz w:val="14"/>
      <w:szCs w:val="14"/>
      <w:shd w:val="clear" w:color="auto" w:fill="FFFFFF"/>
    </w:rPr>
  </w:style>
  <w:style w:type="paragraph" w:customStyle="1" w:styleId="403">
    <w:name w:val="正文文本 (6)"/>
    <w:basedOn w:val="1"/>
    <w:link w:val="402"/>
    <w:qFormat/>
    <w:uiPriority w:val="99"/>
    <w:pPr>
      <w:widowControl w:val="0"/>
      <w:shd w:val="clear" w:color="auto" w:fill="FFFFFF"/>
      <w:spacing w:before="120" w:line="240" w:lineRule="atLeast"/>
      <w:ind w:firstLine="0" w:firstLineChars="0"/>
    </w:pPr>
    <w:rPr>
      <w:rFonts w:ascii="Arial Unicode MS" w:hAnsi="Arial Unicode MS" w:eastAsia="Times New Roman" w:cs="Arial Unicode MS"/>
      <w:sz w:val="14"/>
      <w:szCs w:val="14"/>
    </w:rPr>
  </w:style>
  <w:style w:type="character" w:customStyle="1" w:styleId="404">
    <w:name w:val="未处理的提及2"/>
    <w:basedOn w:val="50"/>
    <w:qFormat/>
    <w:uiPriority w:val="99"/>
    <w:rPr>
      <w:rFonts w:cs="Times New Roman"/>
      <w:color w:val="605E5C"/>
      <w:shd w:val="clear" w:color="auto" w:fill="E1DFDD"/>
    </w:rPr>
  </w:style>
  <w:style w:type="character" w:customStyle="1" w:styleId="405">
    <w:name w:val="text_bypwf"/>
    <w:basedOn w:val="50"/>
    <w:qFormat/>
    <w:uiPriority w:val="0"/>
  </w:style>
  <w:style w:type="paragraph" w:customStyle="1" w:styleId="406">
    <w:name w:val="Revision"/>
    <w:hidden/>
    <w:unhideWhenUsed/>
    <w:qFormat/>
    <w:uiPriority w:val="99"/>
    <w:rPr>
      <w:rFonts w:ascii="Times New Roman" w:hAnsi="Times New Roman" w:eastAsia="仿宋_GB2312" w:cs="宋体"/>
      <w:sz w:val="24"/>
      <w:szCs w:val="24"/>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42.bin"/><Relationship Id="rId98" Type="http://schemas.openxmlformats.org/officeDocument/2006/relationships/image" Target="media/image42.wmf"/><Relationship Id="rId97" Type="http://schemas.openxmlformats.org/officeDocument/2006/relationships/oleObject" Target="embeddings/oleObject41.bin"/><Relationship Id="rId96" Type="http://schemas.openxmlformats.org/officeDocument/2006/relationships/image" Target="media/image41.wmf"/><Relationship Id="rId95" Type="http://schemas.openxmlformats.org/officeDocument/2006/relationships/oleObject" Target="embeddings/oleObject40.bin"/><Relationship Id="rId94" Type="http://schemas.openxmlformats.org/officeDocument/2006/relationships/image" Target="media/image40.wmf"/><Relationship Id="rId93" Type="http://schemas.openxmlformats.org/officeDocument/2006/relationships/oleObject" Target="embeddings/oleObject39.bin"/><Relationship Id="rId92" Type="http://schemas.openxmlformats.org/officeDocument/2006/relationships/image" Target="media/image39.wmf"/><Relationship Id="rId91" Type="http://schemas.openxmlformats.org/officeDocument/2006/relationships/oleObject" Target="embeddings/oleObject38.bin"/><Relationship Id="rId90" Type="http://schemas.openxmlformats.org/officeDocument/2006/relationships/image" Target="media/image38.wmf"/><Relationship Id="rId9" Type="http://schemas.openxmlformats.org/officeDocument/2006/relationships/footer" Target="footer2.xml"/><Relationship Id="rId89" Type="http://schemas.openxmlformats.org/officeDocument/2006/relationships/oleObject" Target="embeddings/oleObject37.bin"/><Relationship Id="rId88" Type="http://schemas.openxmlformats.org/officeDocument/2006/relationships/oleObject" Target="embeddings/oleObject36.bin"/><Relationship Id="rId87" Type="http://schemas.openxmlformats.org/officeDocument/2006/relationships/image" Target="media/image37.wmf"/><Relationship Id="rId86" Type="http://schemas.openxmlformats.org/officeDocument/2006/relationships/oleObject" Target="embeddings/oleObject35.bin"/><Relationship Id="rId85" Type="http://schemas.openxmlformats.org/officeDocument/2006/relationships/image" Target="media/image36.wmf"/><Relationship Id="rId84" Type="http://schemas.openxmlformats.org/officeDocument/2006/relationships/oleObject" Target="embeddings/oleObject34.bin"/><Relationship Id="rId83" Type="http://schemas.openxmlformats.org/officeDocument/2006/relationships/image" Target="media/image35.wmf"/><Relationship Id="rId82" Type="http://schemas.openxmlformats.org/officeDocument/2006/relationships/oleObject" Target="embeddings/oleObject33.bin"/><Relationship Id="rId81" Type="http://schemas.openxmlformats.org/officeDocument/2006/relationships/image" Target="media/image34.wmf"/><Relationship Id="rId80" Type="http://schemas.openxmlformats.org/officeDocument/2006/relationships/oleObject" Target="embeddings/oleObject32.bin"/><Relationship Id="rId8" Type="http://schemas.openxmlformats.org/officeDocument/2006/relationships/footer" Target="footer1.xml"/><Relationship Id="rId79" Type="http://schemas.openxmlformats.org/officeDocument/2006/relationships/image" Target="media/image33.wmf"/><Relationship Id="rId78" Type="http://schemas.openxmlformats.org/officeDocument/2006/relationships/oleObject" Target="embeddings/oleObject31.bin"/><Relationship Id="rId77" Type="http://schemas.openxmlformats.org/officeDocument/2006/relationships/image" Target="media/image32.wmf"/><Relationship Id="rId76" Type="http://schemas.openxmlformats.org/officeDocument/2006/relationships/oleObject" Target="embeddings/oleObject30.bin"/><Relationship Id="rId75" Type="http://schemas.openxmlformats.org/officeDocument/2006/relationships/image" Target="media/image31.wmf"/><Relationship Id="rId74" Type="http://schemas.openxmlformats.org/officeDocument/2006/relationships/oleObject" Target="embeddings/oleObject29.bin"/><Relationship Id="rId73" Type="http://schemas.openxmlformats.org/officeDocument/2006/relationships/image" Target="media/image30.wmf"/><Relationship Id="rId72" Type="http://schemas.openxmlformats.org/officeDocument/2006/relationships/oleObject" Target="embeddings/oleObject28.bin"/><Relationship Id="rId71" Type="http://schemas.openxmlformats.org/officeDocument/2006/relationships/image" Target="media/image29.wmf"/><Relationship Id="rId70" Type="http://schemas.openxmlformats.org/officeDocument/2006/relationships/oleObject" Target="embeddings/oleObject27.bin"/><Relationship Id="rId7" Type="http://schemas.openxmlformats.org/officeDocument/2006/relationships/header" Target="header3.xml"/><Relationship Id="rId69" Type="http://schemas.openxmlformats.org/officeDocument/2006/relationships/image" Target="media/image28.wmf"/><Relationship Id="rId68" Type="http://schemas.openxmlformats.org/officeDocument/2006/relationships/oleObject" Target="embeddings/oleObject26.bin"/><Relationship Id="rId67" Type="http://schemas.openxmlformats.org/officeDocument/2006/relationships/image" Target="media/image27.wmf"/><Relationship Id="rId66" Type="http://schemas.openxmlformats.org/officeDocument/2006/relationships/oleObject" Target="embeddings/oleObject25.bin"/><Relationship Id="rId65" Type="http://schemas.openxmlformats.org/officeDocument/2006/relationships/image" Target="media/image26.wmf"/><Relationship Id="rId64" Type="http://schemas.openxmlformats.org/officeDocument/2006/relationships/oleObject" Target="embeddings/oleObject24.bin"/><Relationship Id="rId63" Type="http://schemas.openxmlformats.org/officeDocument/2006/relationships/image" Target="media/image25.wmf"/><Relationship Id="rId62" Type="http://schemas.openxmlformats.org/officeDocument/2006/relationships/oleObject" Target="embeddings/oleObject23.bin"/><Relationship Id="rId61" Type="http://schemas.openxmlformats.org/officeDocument/2006/relationships/image" Target="media/image24.wmf"/><Relationship Id="rId60" Type="http://schemas.openxmlformats.org/officeDocument/2006/relationships/oleObject" Target="embeddings/oleObject22.bin"/><Relationship Id="rId6" Type="http://schemas.openxmlformats.org/officeDocument/2006/relationships/header" Target="header2.xml"/><Relationship Id="rId59" Type="http://schemas.openxmlformats.org/officeDocument/2006/relationships/image" Target="media/image23.wmf"/><Relationship Id="rId58" Type="http://schemas.openxmlformats.org/officeDocument/2006/relationships/oleObject" Target="embeddings/oleObject21.bin"/><Relationship Id="rId57" Type="http://schemas.openxmlformats.org/officeDocument/2006/relationships/image" Target="media/image22.wmf"/><Relationship Id="rId56" Type="http://schemas.openxmlformats.org/officeDocument/2006/relationships/oleObject" Target="embeddings/oleObject20.bin"/><Relationship Id="rId55" Type="http://schemas.openxmlformats.org/officeDocument/2006/relationships/image" Target="media/image21.wmf"/><Relationship Id="rId54" Type="http://schemas.openxmlformats.org/officeDocument/2006/relationships/oleObject" Target="embeddings/oleObject19.bin"/><Relationship Id="rId53" Type="http://schemas.openxmlformats.org/officeDocument/2006/relationships/image" Target="media/image20.wmf"/><Relationship Id="rId52" Type="http://schemas.openxmlformats.org/officeDocument/2006/relationships/oleObject" Target="embeddings/oleObject18.bin"/><Relationship Id="rId51" Type="http://schemas.openxmlformats.org/officeDocument/2006/relationships/image" Target="media/image19.wmf"/><Relationship Id="rId50" Type="http://schemas.openxmlformats.org/officeDocument/2006/relationships/oleObject" Target="embeddings/oleObject17.bin"/><Relationship Id="rId5" Type="http://schemas.openxmlformats.org/officeDocument/2006/relationships/header" Target="header1.xml"/><Relationship Id="rId49" Type="http://schemas.openxmlformats.org/officeDocument/2006/relationships/image" Target="media/image18.wmf"/><Relationship Id="rId48" Type="http://schemas.openxmlformats.org/officeDocument/2006/relationships/oleObject" Target="embeddings/oleObject16.bin"/><Relationship Id="rId47" Type="http://schemas.openxmlformats.org/officeDocument/2006/relationships/image" Target="media/image17.wmf"/><Relationship Id="rId46" Type="http://schemas.openxmlformats.org/officeDocument/2006/relationships/oleObject" Target="embeddings/oleObject15.bin"/><Relationship Id="rId45" Type="http://schemas.openxmlformats.org/officeDocument/2006/relationships/image" Target="media/image16.wmf"/><Relationship Id="rId44" Type="http://schemas.openxmlformats.org/officeDocument/2006/relationships/oleObject" Target="embeddings/oleObject14.bin"/><Relationship Id="rId43" Type="http://schemas.openxmlformats.org/officeDocument/2006/relationships/image" Target="media/image15.wmf"/><Relationship Id="rId42" Type="http://schemas.openxmlformats.org/officeDocument/2006/relationships/oleObject" Target="embeddings/oleObject13.bin"/><Relationship Id="rId41" Type="http://schemas.openxmlformats.org/officeDocument/2006/relationships/oleObject" Target="embeddings/oleObject12.bin"/><Relationship Id="rId40" Type="http://schemas.openxmlformats.org/officeDocument/2006/relationships/image" Target="media/image14.wmf"/><Relationship Id="rId4" Type="http://schemas.openxmlformats.org/officeDocument/2006/relationships/endnotes" Target="endnotes.xml"/><Relationship Id="rId39" Type="http://schemas.openxmlformats.org/officeDocument/2006/relationships/oleObject" Target="embeddings/oleObject11.bin"/><Relationship Id="rId38" Type="http://schemas.openxmlformats.org/officeDocument/2006/relationships/image" Target="media/image13.wmf"/><Relationship Id="rId37" Type="http://schemas.openxmlformats.org/officeDocument/2006/relationships/oleObject" Target="embeddings/oleObject10.bin"/><Relationship Id="rId36" Type="http://schemas.openxmlformats.org/officeDocument/2006/relationships/oleObject" Target="embeddings/oleObject9.bin"/><Relationship Id="rId35" Type="http://schemas.openxmlformats.org/officeDocument/2006/relationships/image" Target="media/image12.wmf"/><Relationship Id="rId34" Type="http://schemas.openxmlformats.org/officeDocument/2006/relationships/oleObject" Target="embeddings/oleObject8.bin"/><Relationship Id="rId33" Type="http://schemas.openxmlformats.org/officeDocument/2006/relationships/image" Target="media/image11.wmf"/><Relationship Id="rId32" Type="http://schemas.openxmlformats.org/officeDocument/2006/relationships/oleObject" Target="embeddings/oleObject7.bin"/><Relationship Id="rId31" Type="http://schemas.openxmlformats.org/officeDocument/2006/relationships/image" Target="media/image10.wmf"/><Relationship Id="rId30" Type="http://schemas.openxmlformats.org/officeDocument/2006/relationships/oleObject" Target="embeddings/oleObject6.bin"/><Relationship Id="rId3" Type="http://schemas.openxmlformats.org/officeDocument/2006/relationships/footnotes" Target="footnotes.xml"/><Relationship Id="rId29" Type="http://schemas.openxmlformats.org/officeDocument/2006/relationships/image" Target="media/image9.wmf"/><Relationship Id="rId28" Type="http://schemas.openxmlformats.org/officeDocument/2006/relationships/oleObject" Target="embeddings/oleObject5.bin"/><Relationship Id="rId27" Type="http://schemas.openxmlformats.org/officeDocument/2006/relationships/image" Target="media/image8.wmf"/><Relationship Id="rId26" Type="http://schemas.openxmlformats.org/officeDocument/2006/relationships/oleObject" Target="embeddings/oleObject4.bin"/><Relationship Id="rId25" Type="http://schemas.openxmlformats.org/officeDocument/2006/relationships/image" Target="media/image7.wmf"/><Relationship Id="rId24" Type="http://schemas.openxmlformats.org/officeDocument/2006/relationships/oleObject" Target="embeddings/oleObject3.bin"/><Relationship Id="rId23" Type="http://schemas.openxmlformats.org/officeDocument/2006/relationships/image" Target="media/image6.wmf"/><Relationship Id="rId22" Type="http://schemas.openxmlformats.org/officeDocument/2006/relationships/oleObject" Target="embeddings/oleObject2.bin"/><Relationship Id="rId21" Type="http://schemas.openxmlformats.org/officeDocument/2006/relationships/image" Target="media/image5.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4.emf"/><Relationship Id="rId18" Type="http://schemas.openxmlformats.org/officeDocument/2006/relationships/image" Target="media/image3.png"/><Relationship Id="rId17" Type="http://schemas.openxmlformats.org/officeDocument/2006/relationships/image" Target="media/image2.jpe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footer" Target="footer5.xml"/><Relationship Id="rId121" Type="http://schemas.openxmlformats.org/officeDocument/2006/relationships/fontTable" Target="fontTable.xml"/><Relationship Id="rId120" Type="http://schemas.microsoft.com/office/2006/relationships/keyMapCustomizations" Target="customizations.xml"/><Relationship Id="rId12" Type="http://schemas.openxmlformats.org/officeDocument/2006/relationships/footer" Target="footer4.xml"/><Relationship Id="rId119" Type="http://schemas.openxmlformats.org/officeDocument/2006/relationships/customXml" Target="../customXml/item2.xml"/><Relationship Id="rId118" Type="http://schemas.openxmlformats.org/officeDocument/2006/relationships/numbering" Target="numbering.xml"/><Relationship Id="rId117" Type="http://schemas.openxmlformats.org/officeDocument/2006/relationships/customXml" Target="../customXml/item1.xml"/><Relationship Id="rId116" Type="http://schemas.openxmlformats.org/officeDocument/2006/relationships/image" Target="media/image53.png"/><Relationship Id="rId115" Type="http://schemas.openxmlformats.org/officeDocument/2006/relationships/image" Target="media/image52.png"/><Relationship Id="rId114" Type="http://schemas.openxmlformats.org/officeDocument/2006/relationships/image" Target="media/image51.jpeg"/><Relationship Id="rId113" Type="http://schemas.openxmlformats.org/officeDocument/2006/relationships/image" Target="media/image50.emf"/><Relationship Id="rId112" Type="http://schemas.openxmlformats.org/officeDocument/2006/relationships/image" Target="media/image49.wmf"/><Relationship Id="rId111" Type="http://schemas.openxmlformats.org/officeDocument/2006/relationships/oleObject" Target="embeddings/oleObject48.bin"/><Relationship Id="rId110" Type="http://schemas.openxmlformats.org/officeDocument/2006/relationships/image" Target="media/image48.wmf"/><Relationship Id="rId11" Type="http://schemas.openxmlformats.org/officeDocument/2006/relationships/header" Target="header4.xml"/><Relationship Id="rId109" Type="http://schemas.openxmlformats.org/officeDocument/2006/relationships/oleObject" Target="embeddings/oleObject47.bin"/><Relationship Id="rId108" Type="http://schemas.openxmlformats.org/officeDocument/2006/relationships/image" Target="media/image47.wmf"/><Relationship Id="rId107" Type="http://schemas.openxmlformats.org/officeDocument/2006/relationships/oleObject" Target="embeddings/oleObject46.bin"/><Relationship Id="rId106" Type="http://schemas.openxmlformats.org/officeDocument/2006/relationships/image" Target="media/image46.wmf"/><Relationship Id="rId105" Type="http://schemas.openxmlformats.org/officeDocument/2006/relationships/oleObject" Target="embeddings/oleObject45.bin"/><Relationship Id="rId104" Type="http://schemas.openxmlformats.org/officeDocument/2006/relationships/image" Target="media/image45.wmf"/><Relationship Id="rId103" Type="http://schemas.openxmlformats.org/officeDocument/2006/relationships/oleObject" Target="embeddings/oleObject44.bin"/><Relationship Id="rId102" Type="http://schemas.openxmlformats.org/officeDocument/2006/relationships/image" Target="media/image44.wmf"/><Relationship Id="rId101" Type="http://schemas.openxmlformats.org/officeDocument/2006/relationships/oleObject" Target="embeddings/oleObject43.bin"/><Relationship Id="rId100" Type="http://schemas.openxmlformats.org/officeDocument/2006/relationships/image" Target="media/image43.wmf"/><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E49BCB9-36DD-40B0-BF8F-D484B4F85AF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140</Pages>
  <Words>8629</Words>
  <Characters>10017</Characters>
  <Lines>752</Lines>
  <Paragraphs>211</Paragraphs>
  <TotalTime>14</TotalTime>
  <ScaleCrop>false</ScaleCrop>
  <LinksUpToDate>false</LinksUpToDate>
  <CharactersWithSpaces>10278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文本</cp:category>
  <dcterms:created xsi:type="dcterms:W3CDTF">2024-07-23T15:32:00Z</dcterms:created>
  <dc:creator>Administrator</dc:creator>
  <cp:lastModifiedBy>WPS_1492521991</cp:lastModifiedBy>
  <cp:lastPrinted>2024-08-23T10:39:00Z</cp:lastPrinted>
  <dcterms:modified xsi:type="dcterms:W3CDTF">2025-12-03T09:48:10Z</dcterms:modified>
  <dc:subject>规划</dc:subject>
  <dc:title>尼勒克水土保持规划</dc:title>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5AB06036E0954B20AB02B874C7392264_13</vt:lpwstr>
  </property>
  <property fmtid="{D5CDD505-2E9C-101B-9397-08002B2CF9AE}" pid="4" name="KSOTemplateDocerSaveRecord">
    <vt:lpwstr>eyJoZGlkIjoiMmYxNTM4MWZlNmI2NDk3ZDU5Y2IzODAzODAyYzBmNTciLCJ1c2VySWQiOiIyNzU2ODAyMDIifQ==</vt:lpwstr>
  </property>
</Properties>
</file>