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2D9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Autospacing="0" w:afterAutospacing="0" w:line="560" w:lineRule="exact"/>
        <w:ind w:right="0" w:rightChars="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小标宋_GBK" w:cs="Times New Roman"/>
          <w:b w:val="0"/>
          <w:bCs w:val="0"/>
          <w:color w:val="auto"/>
          <w:sz w:val="44"/>
          <w:szCs w:val="44"/>
          <w:lang w:val="en-US" w:eastAsia="zh-CN"/>
        </w:rPr>
        <w:t xml:space="preserve">                                  </w:t>
      </w:r>
      <w:r>
        <w:rPr>
          <w:rFonts w:hint="default" w:ascii="Times New Roman" w:hAnsi="Times New Roman" w:eastAsia="方正黑体_GBK" w:cs="Times New Roman"/>
          <w:sz w:val="32"/>
          <w:szCs w:val="32"/>
          <w:lang w:val="en-US" w:eastAsia="zh-CN"/>
        </w:rPr>
        <w:t>会后收回</w:t>
      </w:r>
    </w:p>
    <w:p w14:paraId="0825BA00">
      <w:pPr>
        <w:pStyle w:val="2"/>
        <w:pageBreakBefore w:val="0"/>
        <w:pBdr>
          <w:top w:val="none" w:color="auto" w:sz="0" w:space="0"/>
          <w:left w:val="none" w:color="auto" w:sz="0" w:space="0"/>
          <w:bottom w:val="none" w:color="auto" w:sz="0" w:space="0"/>
          <w:right w:val="none" w:color="auto" w:sz="0" w:space="0"/>
          <w:between w:val="none" w:color="auto" w:sz="0" w:space="0"/>
        </w:pBdr>
        <w:kinsoku/>
        <w:wordWrap/>
        <w:topLinePunct w:val="0"/>
        <w:autoSpaceDN/>
        <w:bidi w:val="0"/>
        <w:spacing w:beforeAutospacing="0" w:afterAutospacing="0"/>
        <w:ind w:right="0" w:rightChars="0"/>
        <w:rPr>
          <w:rFonts w:hint="default"/>
          <w:lang w:val="en-US" w:eastAsia="zh-CN"/>
        </w:rPr>
      </w:pPr>
    </w:p>
    <w:p w14:paraId="0DA650F5">
      <w:pPr>
        <w:pStyle w:val="1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spacing w:beforeAutospacing="0" w:afterAutospacing="0" w:line="560" w:lineRule="exact"/>
        <w:ind w:right="0" w:rightChars="0"/>
        <w:textAlignment w:val="auto"/>
        <w:rPr>
          <w:rFonts w:hint="default"/>
          <w:lang w:val="en-US" w:eastAsia="zh-CN"/>
        </w:rPr>
      </w:pPr>
      <w:r>
        <w:rPr>
          <w:rFonts w:hint="default" w:ascii="Times New Roman" w:hAnsi="Times New Roman" w:eastAsia="方正小标宋_GBK" w:cs="Times New Roman"/>
          <w:b w:val="0"/>
          <w:bCs w:val="0"/>
          <w:color w:val="auto"/>
          <w:sz w:val="44"/>
          <w:szCs w:val="44"/>
          <w:lang w:val="en-US" w:eastAsia="zh-CN"/>
        </w:rPr>
        <w:t>阜康市人民政府</w:t>
      </w:r>
      <w:r>
        <w:rPr>
          <w:rFonts w:hint="eastAsia" w:ascii="Times New Roman" w:hAnsi="Times New Roman" w:eastAsia="方正小标宋_GBK" w:cs="Times New Roman"/>
          <w:b w:val="0"/>
          <w:bCs w:val="0"/>
          <w:color w:val="auto"/>
          <w:sz w:val="44"/>
          <w:szCs w:val="44"/>
          <w:lang w:val="en-US" w:eastAsia="zh-CN"/>
        </w:rPr>
        <w:t xml:space="preserve">           </w:t>
      </w:r>
    </w:p>
    <w:p w14:paraId="2F4F9C86">
      <w:pPr>
        <w:pStyle w:val="1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spacing w:beforeAutospacing="0" w:afterAutospacing="0" w:line="560" w:lineRule="exact"/>
        <w:ind w:right="0" w:rightChars="0"/>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关于202</w:t>
      </w:r>
      <w:r>
        <w:rPr>
          <w:rFonts w:hint="eastAsia" w:ascii="Times New Roman" w:hAnsi="Times New Roman" w:eastAsia="方正小标宋_GBK" w:cs="Times New Roman"/>
          <w:b w:val="0"/>
          <w:bCs w:val="0"/>
          <w:color w:val="auto"/>
          <w:sz w:val="44"/>
          <w:szCs w:val="44"/>
          <w:lang w:val="en-US" w:eastAsia="zh-CN"/>
        </w:rPr>
        <w:t>4</w:t>
      </w:r>
      <w:r>
        <w:rPr>
          <w:rFonts w:hint="default" w:ascii="Times New Roman" w:hAnsi="Times New Roman" w:eastAsia="方正小标宋_GBK" w:cs="Times New Roman"/>
          <w:b w:val="0"/>
          <w:bCs w:val="0"/>
          <w:color w:val="auto"/>
          <w:sz w:val="44"/>
          <w:szCs w:val="44"/>
          <w:lang w:val="en-US" w:eastAsia="zh-CN"/>
        </w:rPr>
        <w:t>年</w:t>
      </w:r>
      <w:r>
        <w:rPr>
          <w:rFonts w:hint="eastAsia" w:ascii="Times New Roman" w:hAnsi="Times New Roman" w:eastAsia="方正小标宋_GBK" w:cs="Times New Roman"/>
          <w:b w:val="0"/>
          <w:bCs w:val="0"/>
          <w:color w:val="auto"/>
          <w:sz w:val="44"/>
          <w:szCs w:val="44"/>
          <w:lang w:val="en-US" w:eastAsia="zh-CN"/>
        </w:rPr>
        <w:t>金融企业国有</w:t>
      </w:r>
      <w:r>
        <w:rPr>
          <w:rFonts w:hint="default" w:ascii="Times New Roman" w:hAnsi="Times New Roman" w:eastAsia="方正小标宋_GBK" w:cs="Times New Roman"/>
          <w:b w:val="0"/>
          <w:bCs w:val="0"/>
          <w:color w:val="auto"/>
          <w:sz w:val="44"/>
          <w:szCs w:val="44"/>
          <w:lang w:val="en-US" w:eastAsia="zh-CN"/>
        </w:rPr>
        <w:t>资产管理情况</w:t>
      </w:r>
    </w:p>
    <w:p w14:paraId="40C3124B">
      <w:pPr>
        <w:pStyle w:val="1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spacing w:beforeAutospacing="0" w:afterAutospacing="0" w:line="560" w:lineRule="exact"/>
        <w:ind w:right="0" w:rightChars="0"/>
        <w:textAlignment w:val="auto"/>
        <w:rPr>
          <w:rFonts w:hint="default" w:ascii="Times New Roman" w:hAnsi="Times New Roman" w:eastAsia="方正小标宋_GBK" w:cs="Times New Roman"/>
          <w:b w:val="0"/>
          <w:bCs w:val="0"/>
          <w:color w:val="auto"/>
          <w:sz w:val="44"/>
          <w:szCs w:val="44"/>
          <w:lang w:val="en-US" w:eastAsia="zh-CN"/>
        </w:rPr>
      </w:pPr>
      <w:r>
        <w:rPr>
          <w:rFonts w:hint="eastAsia" w:ascii="Times New Roman" w:hAnsi="Times New Roman" w:eastAsia="方正小标宋_GBK" w:cs="Times New Roman"/>
          <w:b w:val="0"/>
          <w:bCs w:val="0"/>
          <w:color w:val="auto"/>
          <w:sz w:val="44"/>
          <w:szCs w:val="44"/>
          <w:lang w:val="en-US" w:eastAsia="zh-CN"/>
        </w:rPr>
        <w:t>专项报告</w:t>
      </w:r>
    </w:p>
    <w:p w14:paraId="1C4AB9B7">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spacing w:beforeAutospacing="0" w:afterAutospacing="0" w:line="560" w:lineRule="exact"/>
        <w:ind w:right="0" w:rightChars="0"/>
        <w:textAlignment w:val="auto"/>
        <w:rPr>
          <w:rFonts w:hint="default" w:ascii="Times New Roman" w:hAnsi="Times New Roman" w:cs="Times New Roman"/>
          <w:lang w:val="en-US" w:eastAsia="zh-CN"/>
        </w:rPr>
      </w:pPr>
    </w:p>
    <w:p w14:paraId="429FCA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202</w:t>
      </w:r>
      <w:r>
        <w:rPr>
          <w:rFonts w:hint="eastAsia" w:ascii="Times New Roman" w:hAnsi="Times New Roman" w:eastAsia="楷体_GB2312" w:cs="Times New Roman"/>
          <w:kern w:val="2"/>
          <w:sz w:val="32"/>
          <w:szCs w:val="32"/>
          <w:highlight w:val="none"/>
          <w:lang w:val="en-US" w:eastAsia="zh-CN" w:bidi="ar-SA"/>
        </w:rPr>
        <w:t>5</w:t>
      </w:r>
      <w:r>
        <w:rPr>
          <w:rFonts w:hint="default" w:ascii="Times New Roman" w:hAnsi="Times New Roman" w:eastAsia="楷体_GB2312" w:cs="Times New Roman"/>
          <w:kern w:val="2"/>
          <w:sz w:val="32"/>
          <w:szCs w:val="32"/>
          <w:highlight w:val="none"/>
          <w:lang w:val="en-US" w:eastAsia="zh-CN" w:bidi="ar-SA"/>
        </w:rPr>
        <w:t>年</w:t>
      </w:r>
      <w:r>
        <w:rPr>
          <w:rFonts w:hint="eastAsia" w:ascii="Times New Roman" w:hAnsi="Times New Roman" w:eastAsia="楷体_GB2312" w:cs="Times New Roman"/>
          <w:kern w:val="2"/>
          <w:sz w:val="32"/>
          <w:szCs w:val="32"/>
          <w:highlight w:val="none"/>
          <w:lang w:val="en-US" w:eastAsia="zh-CN" w:bidi="ar-SA"/>
        </w:rPr>
        <w:t>11</w:t>
      </w:r>
      <w:r>
        <w:rPr>
          <w:rFonts w:hint="default" w:ascii="Times New Roman" w:hAnsi="Times New Roman" w:eastAsia="楷体_GB2312" w:cs="Times New Roman"/>
          <w:kern w:val="2"/>
          <w:sz w:val="32"/>
          <w:szCs w:val="32"/>
          <w:highlight w:val="none"/>
          <w:lang w:val="en-US" w:eastAsia="zh-CN" w:bidi="ar-SA"/>
        </w:rPr>
        <w:t>月</w:t>
      </w:r>
      <w:r>
        <w:rPr>
          <w:rFonts w:hint="eastAsia" w:ascii="Times New Roman" w:hAnsi="Times New Roman" w:eastAsia="楷体_GB2312" w:cs="Times New Roman"/>
          <w:kern w:val="2"/>
          <w:sz w:val="32"/>
          <w:szCs w:val="32"/>
          <w:highlight w:val="none"/>
          <w:lang w:val="en-US" w:eastAsia="zh-CN" w:bidi="ar-SA"/>
        </w:rPr>
        <w:t>14</w:t>
      </w:r>
      <w:r>
        <w:rPr>
          <w:rFonts w:hint="default" w:ascii="Times New Roman" w:hAnsi="Times New Roman" w:eastAsia="楷体_GB2312" w:cs="Times New Roman"/>
          <w:kern w:val="2"/>
          <w:sz w:val="32"/>
          <w:szCs w:val="32"/>
          <w:highlight w:val="none"/>
          <w:lang w:val="en-US" w:eastAsia="zh-CN" w:bidi="ar-SA"/>
        </w:rPr>
        <w:t>日 在阜康市第七届人民代表大会常务委员会</w:t>
      </w:r>
    </w:p>
    <w:p w14:paraId="767F0E8F">
      <w:pPr>
        <w:pStyle w:val="2"/>
        <w:keepNext/>
        <w:keepLines/>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楷体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kern w:val="2"/>
          <w:sz w:val="32"/>
          <w:szCs w:val="32"/>
          <w:highlight w:val="none"/>
          <w:lang w:val="en-US" w:eastAsia="zh-CN" w:bidi="ar-SA"/>
        </w:rPr>
        <w:t>第</w:t>
      </w:r>
      <w:r>
        <w:rPr>
          <w:rFonts w:hint="eastAsia" w:ascii="Times New Roman" w:hAnsi="Times New Roman" w:eastAsia="楷体_GB2312" w:cs="Times New Roman"/>
          <w:b w:val="0"/>
          <w:bCs w:val="0"/>
          <w:kern w:val="2"/>
          <w:sz w:val="32"/>
          <w:szCs w:val="32"/>
          <w:highlight w:val="none"/>
          <w:lang w:val="en-US" w:eastAsia="zh-CN" w:bidi="ar-SA"/>
        </w:rPr>
        <w:t>四十二</w:t>
      </w:r>
      <w:r>
        <w:rPr>
          <w:rFonts w:hint="default" w:ascii="Times New Roman" w:hAnsi="Times New Roman" w:eastAsia="楷体_GB2312" w:cs="Times New Roman"/>
          <w:b w:val="0"/>
          <w:bCs w:val="0"/>
          <w:kern w:val="2"/>
          <w:sz w:val="32"/>
          <w:szCs w:val="32"/>
          <w:highlight w:val="none"/>
          <w:lang w:val="en-US" w:eastAsia="zh-CN" w:bidi="ar-SA"/>
        </w:rPr>
        <w:t>次会议上</w:t>
      </w:r>
    </w:p>
    <w:p w14:paraId="0DFBF4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Times New Roman" w:hAnsi="Times New Roman" w:eastAsia="楷体_GB2312" w:cs="Times New Roman"/>
          <w:kern w:val="2"/>
          <w:sz w:val="32"/>
          <w:szCs w:val="32"/>
          <w:highlight w:val="none"/>
          <w:lang w:val="en-US" w:eastAsia="zh-CN" w:bidi="ar-SA"/>
        </w:rPr>
      </w:pPr>
      <w:r>
        <w:rPr>
          <w:rFonts w:hint="eastAsia" w:ascii="Times New Roman" w:hAnsi="Times New Roman" w:eastAsia="楷体_GB2312" w:cs="Times New Roman"/>
          <w:kern w:val="2"/>
          <w:sz w:val="32"/>
          <w:szCs w:val="32"/>
          <w:highlight w:val="none"/>
          <w:lang w:val="en-US" w:eastAsia="zh-CN" w:bidi="ar-SA"/>
        </w:rPr>
        <w:t xml:space="preserve">  </w:t>
      </w:r>
    </w:p>
    <w:p w14:paraId="38347110">
      <w:pPr>
        <w:pStyle w:val="2"/>
        <w:pageBreakBefore w:val="0"/>
        <w:widowControl w:val="0"/>
        <w:kinsoku/>
        <w:wordWrap/>
        <w:topLinePunct w:val="0"/>
        <w:autoSpaceDE/>
        <w:autoSpaceDN/>
        <w:bidi w:val="0"/>
        <w:adjustRightInd/>
        <w:snapToGrid/>
        <w:spacing w:beforeAutospacing="0" w:afterAutospacing="0" w:line="560" w:lineRule="exact"/>
        <w:rPr>
          <w:rFonts w:hint="default"/>
          <w:lang w:eastAsia="zh-CN"/>
        </w:rPr>
      </w:pPr>
    </w:p>
    <w:p w14:paraId="27B716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beforeAutospacing="0" w:afterAutospacing="0" w:line="560" w:lineRule="exact"/>
        <w:ind w:right="0" w:right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主任、各位副主任、各位委员：</w:t>
      </w:r>
    </w:p>
    <w:p w14:paraId="6160C47F">
      <w:pPr>
        <w:pStyle w:val="1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beforeAutospacing="0" w:afterAutospacing="0" w:line="560" w:lineRule="exact"/>
        <w:ind w:left="0" w:leftChars="0" w:right="0" w:rightChars="0" w:firstLine="640" w:firstLineChars="200"/>
        <w:textAlignment w:val="baseline"/>
        <w:rPr>
          <w:rFonts w:hint="default" w:ascii="Times New Roman" w:hAnsi="Times New Roman" w:eastAsia="仿宋_GB2312" w:cs="Times New Roman"/>
          <w:sz w:val="32"/>
          <w:szCs w:val="32"/>
          <w:lang w:val="en-US" w:eastAsia="zh-CN"/>
        </w:rPr>
      </w:pPr>
      <w:r>
        <w:rPr>
          <w:rFonts w:hint="eastAsia" w:ascii="方正仿宋_GBK" w:hAnsi="方正仿宋_GBK" w:eastAsia="方正仿宋_GBK" w:cs="方正仿宋_GBK"/>
          <w:sz w:val="32"/>
          <w:szCs w:val="32"/>
          <w:lang w:val="en-US" w:eastAsia="zh-CN"/>
        </w:rPr>
        <w:t>根据《自治区党委关于建立自治区人民政府向自治区人大常委会报告国有资产管理情况制度的实施意见》和《自治区人民代表大会常务委员会关于加强国有资产管理情况监督的决定》有关要求，形成阜康市</w:t>
      </w:r>
      <w:r>
        <w:rPr>
          <w:rFonts w:hint="default"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年度金融企业国有资产管理情况专项报告，现向市人大常委会报告</w:t>
      </w:r>
      <w:r>
        <w:rPr>
          <w:rFonts w:hint="default" w:ascii="Times New Roman" w:hAnsi="Times New Roman" w:eastAsia="仿宋_GB2312" w:cs="Times New Roman"/>
          <w:sz w:val="32"/>
          <w:szCs w:val="32"/>
          <w:lang w:val="en-US" w:eastAsia="zh-CN"/>
        </w:rPr>
        <w:t>。</w:t>
      </w:r>
    </w:p>
    <w:p w14:paraId="155DF86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kern w:val="2"/>
          <w:sz w:val="32"/>
          <w:szCs w:val="32"/>
          <w:lang w:val="en-US" w:eastAsia="zh-CN" w:bidi="ar-SA"/>
        </w:rPr>
        <w:t>一、</w:t>
      </w:r>
      <w:r>
        <w:rPr>
          <w:rFonts w:hint="default" w:ascii="Times New Roman" w:hAnsi="Times New Roman" w:eastAsia="方正黑体_GBK" w:cs="Times New Roman"/>
          <w:color w:val="auto"/>
          <w:sz w:val="32"/>
          <w:szCs w:val="32"/>
        </w:rPr>
        <w:t>基本情况</w:t>
      </w:r>
    </w:p>
    <w:p w14:paraId="15133AB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截至202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zh-CN"/>
        </w:rPr>
        <w:t>年底，全市地方金融企业共</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zh-CN"/>
        </w:rPr>
        <w:t>家，分别为</w:t>
      </w:r>
      <w:r>
        <w:rPr>
          <w:rFonts w:hint="default" w:ascii="Times New Roman" w:hAnsi="Times New Roman" w:eastAsia="方正仿宋_GBK" w:cs="Times New Roman"/>
          <w:sz w:val="32"/>
          <w:szCs w:val="32"/>
          <w:lang w:val="en-US" w:eastAsia="zh-CN"/>
        </w:rPr>
        <w:t>新疆阜康农村商业银行股份有限公司</w:t>
      </w: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b w:val="0"/>
          <w:bCs w:val="0"/>
          <w:color w:val="auto"/>
          <w:sz w:val="32"/>
          <w:szCs w:val="32"/>
          <w:lang w:val="en-US" w:eastAsia="zh-CN"/>
        </w:rPr>
        <w:t>阜康市国信融资性担保有限责任公司、</w:t>
      </w:r>
      <w:r>
        <w:rPr>
          <w:rFonts w:hint="default" w:ascii="Times New Roman" w:hAnsi="Times New Roman" w:eastAsia="方正仿宋_GBK" w:cs="Times New Roman"/>
          <w:color w:val="auto"/>
          <w:sz w:val="32"/>
          <w:szCs w:val="32"/>
          <w:lang w:val="en-US" w:eastAsia="zh-CN"/>
        </w:rPr>
        <w:t>阜康津汇村镇银行</w:t>
      </w:r>
      <w:r>
        <w:rPr>
          <w:rFonts w:hint="default" w:ascii="Times New Roman" w:hAnsi="Times New Roman" w:eastAsia="方正仿宋_GBK" w:cs="Times New Roman"/>
          <w:color w:val="auto"/>
          <w:sz w:val="32"/>
          <w:szCs w:val="32"/>
          <w:highlight w:val="none"/>
          <w:lang w:val="zh-CN"/>
        </w:rPr>
        <w:t>。资产总额</w:t>
      </w:r>
      <w:r>
        <w:rPr>
          <w:rFonts w:hint="default" w:ascii="Times New Roman" w:hAnsi="Times New Roman" w:eastAsia="方正仿宋_GBK" w:cs="Times New Roman"/>
          <w:b w:val="0"/>
          <w:bCs w:val="0"/>
          <w:color w:val="auto"/>
          <w:sz w:val="32"/>
          <w:szCs w:val="32"/>
          <w:lang w:val="en-US" w:eastAsia="zh-CN"/>
        </w:rPr>
        <w:t>1.91</w:t>
      </w:r>
      <w:r>
        <w:rPr>
          <w:rFonts w:hint="default" w:ascii="Times New Roman" w:hAnsi="Times New Roman" w:eastAsia="方正仿宋_GBK" w:cs="Times New Roman"/>
          <w:color w:val="auto"/>
          <w:sz w:val="32"/>
          <w:szCs w:val="32"/>
          <w:highlight w:val="none"/>
          <w:lang w:val="zh-CN"/>
        </w:rPr>
        <w:t>亿元，同比增长</w:t>
      </w:r>
      <w:r>
        <w:rPr>
          <w:rFonts w:hint="default" w:ascii="Times New Roman" w:hAnsi="Times New Roman" w:eastAsia="方正仿宋_GBK" w:cs="Times New Roman"/>
          <w:b w:val="0"/>
          <w:bCs w:val="0"/>
          <w:color w:val="auto"/>
          <w:sz w:val="32"/>
          <w:szCs w:val="32"/>
          <w:lang w:val="en-US" w:eastAsia="zh-CN"/>
        </w:rPr>
        <w:t>1.59</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color w:val="auto"/>
          <w:sz w:val="32"/>
          <w:szCs w:val="32"/>
          <w:highlight w:val="none"/>
          <w:lang w:val="zh-CN"/>
        </w:rPr>
        <w:t>，负债总额</w:t>
      </w:r>
      <w:r>
        <w:rPr>
          <w:rFonts w:hint="default" w:ascii="Times New Roman" w:hAnsi="Times New Roman" w:eastAsia="方正仿宋_GBK" w:cs="Times New Roman"/>
          <w:b w:val="0"/>
          <w:bCs w:val="0"/>
          <w:color w:val="auto"/>
          <w:sz w:val="32"/>
          <w:szCs w:val="32"/>
          <w:lang w:val="en-US" w:eastAsia="zh-CN"/>
        </w:rPr>
        <w:t>0.1</w:t>
      </w:r>
      <w:r>
        <w:rPr>
          <w:rFonts w:hint="default" w:ascii="Times New Roman" w:hAnsi="Times New Roman" w:eastAsia="方正仿宋_GBK" w:cs="Times New Roman"/>
          <w:color w:val="auto"/>
          <w:sz w:val="32"/>
          <w:szCs w:val="32"/>
          <w:highlight w:val="none"/>
          <w:lang w:val="zh-CN"/>
        </w:rPr>
        <w:t>亿元，同比增加</w:t>
      </w:r>
      <w:r>
        <w:rPr>
          <w:rFonts w:hint="default" w:ascii="Times New Roman" w:hAnsi="Times New Roman" w:eastAsia="方正仿宋_GBK" w:cs="Times New Roman"/>
          <w:b w:val="0"/>
          <w:bCs w:val="0"/>
          <w:color w:val="auto"/>
          <w:sz w:val="32"/>
          <w:szCs w:val="32"/>
          <w:lang w:val="en-US" w:eastAsia="zh-CN"/>
        </w:rPr>
        <w:t>3.09</w:t>
      </w:r>
      <w:r>
        <w:rPr>
          <w:rFonts w:hint="default" w:ascii="Times New Roman" w:hAnsi="Times New Roman" w:eastAsia="方正仿宋_GBK" w:cs="Times New Roman"/>
          <w:b w:val="0"/>
          <w:bCs w:val="0"/>
          <w:color w:val="auto"/>
          <w:sz w:val="32"/>
          <w:szCs w:val="32"/>
          <w:lang w:val="zh-CN" w:eastAsia="zh-CN"/>
        </w:rPr>
        <w:t>%</w:t>
      </w:r>
      <w:r>
        <w:rPr>
          <w:rFonts w:hint="default" w:ascii="Times New Roman" w:hAnsi="Times New Roman" w:eastAsia="方正仿宋_GBK" w:cs="Times New Roman"/>
          <w:color w:val="auto"/>
          <w:sz w:val="32"/>
          <w:szCs w:val="32"/>
          <w:highlight w:val="none"/>
          <w:lang w:val="zh-CN"/>
        </w:rPr>
        <w:t>，所有者权益</w:t>
      </w:r>
      <w:r>
        <w:rPr>
          <w:rFonts w:hint="default"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lang w:val="zh-CN"/>
        </w:rPr>
        <w:t>亿元，同比增长0.</w:t>
      </w:r>
      <w:r>
        <w:rPr>
          <w:rFonts w:hint="default" w:ascii="Times New Roman" w:hAnsi="Times New Roman" w:eastAsia="方正仿宋_GBK" w:cs="Times New Roman"/>
          <w:color w:val="auto"/>
          <w:sz w:val="32"/>
          <w:szCs w:val="32"/>
          <w:highlight w:val="none"/>
          <w:lang w:val="en-US" w:eastAsia="zh-CN"/>
        </w:rPr>
        <w:t>55</w:t>
      </w:r>
      <w:r>
        <w:rPr>
          <w:rFonts w:hint="default" w:ascii="Times New Roman" w:hAnsi="Times New Roman" w:eastAsia="方正仿宋_GBK" w:cs="Times New Roman"/>
          <w:color w:val="auto"/>
          <w:sz w:val="32"/>
          <w:szCs w:val="32"/>
          <w:highlight w:val="none"/>
          <w:lang w:val="zh-CN"/>
        </w:rPr>
        <w:t>%。</w:t>
      </w:r>
    </w:p>
    <w:p w14:paraId="07494FF5">
      <w:pPr>
        <w:pStyle w:val="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（一）新疆阜康农村商业银行股份有限公司</w:t>
      </w:r>
    </w:p>
    <w:p w14:paraId="3FA9FBC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2024年营业收入5.9亿元、净利润0.18亿元、归属母公司净利润0.18亿元、上缴税金0.65亿元。</w:t>
      </w:r>
    </w:p>
    <w:p w14:paraId="15ECF36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1"/>
        <w:rPr>
          <w:rFonts w:hint="default"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w:t>
      </w:r>
      <w:r>
        <w:rPr>
          <w:rFonts w:hint="default" w:ascii="方正楷体_GBK" w:hAnsi="方正楷体_GBK" w:eastAsia="方正楷体_GBK" w:cs="方正楷体_GBK"/>
          <w:b w:val="0"/>
          <w:bCs w:val="0"/>
          <w:kern w:val="2"/>
          <w:sz w:val="32"/>
          <w:szCs w:val="32"/>
          <w:lang w:val="en-US" w:eastAsia="zh-CN" w:bidi="ar-SA"/>
        </w:rPr>
        <w:t>阜康市国信融资性担保有限责任公司</w:t>
      </w:r>
    </w:p>
    <w:p w14:paraId="29D1B17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上缴税金39.77万元，放大倍数0.62。净资产收益率0.8%，利润增长率12.04%，所有者权益增长率0.55%。</w:t>
      </w:r>
    </w:p>
    <w:p w14:paraId="5C046EE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（三）</w:t>
      </w:r>
      <w:r>
        <w:rPr>
          <w:rFonts w:hint="default" w:ascii="方正楷体_GBK" w:hAnsi="方正楷体_GBK" w:eastAsia="方正楷体_GBK" w:cs="方正楷体_GBK"/>
          <w:b w:val="0"/>
          <w:bCs w:val="0"/>
          <w:kern w:val="2"/>
          <w:sz w:val="32"/>
          <w:szCs w:val="32"/>
          <w:lang w:val="en-US" w:eastAsia="zh-CN" w:bidi="ar-SA"/>
        </w:rPr>
        <w:t>阜康津汇村镇银行</w:t>
      </w:r>
    </w:p>
    <w:p w14:paraId="7137173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2024年营业收入502.91万元，上缴税金0.54万元。较上年相比，营业收入增长5.10%，利润增长率80.32%，资本充足率13.65</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坏账准备金覆盖率151.70</w:t>
      </w:r>
      <w:r>
        <w:rPr>
          <w:rFonts w:hint="default" w:ascii="Times New Roman" w:hAnsi="Times New Roman" w:eastAsia="方正仿宋_GBK" w:cs="Times New Roman"/>
          <w:color w:val="auto"/>
          <w:sz w:val="32"/>
          <w:szCs w:val="32"/>
          <w:lang w:val="zh-CN" w:eastAsia="zh-CN"/>
        </w:rPr>
        <w:t>%</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 xml:space="preserve"> </w:t>
      </w:r>
    </w:p>
    <w:p w14:paraId="2A7388F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二、金融企业国有资产管理情况</w:t>
      </w:r>
    </w:p>
    <w:p w14:paraId="7E7D83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（一）国有资产监管情况。</w:t>
      </w:r>
      <w:r>
        <w:rPr>
          <w:rFonts w:hint="default" w:ascii="Times New Roman" w:hAnsi="Times New Roman" w:eastAsia="方正仿宋_GBK" w:cs="Times New Roman"/>
          <w:kern w:val="2"/>
          <w:sz w:val="32"/>
          <w:szCs w:val="32"/>
          <w:lang w:val="en-US" w:eastAsia="zh-CN" w:bidi="ar-SA"/>
        </w:rPr>
        <w:t>我市国有金融资本以市属国有企业出资参股地方金融机构的方式为主，地方金融企业在法律框架及监管要求下自主依法依规经营，财政部门依法履行对其产权登记、绩效评价、财务管理等监管职责。深入贯彻落实财政部、省财政厅有关国有金融企业文件精神，</w:t>
      </w:r>
      <w:r>
        <w:rPr>
          <w:rFonts w:hint="default" w:ascii="Times New Roman" w:hAnsi="Times New Roman" w:eastAsia="方正仿宋_GBK" w:cs="Times New Roman"/>
          <w:color w:val="auto"/>
          <w:sz w:val="32"/>
          <w:szCs w:val="32"/>
          <w:lang w:val="en-US" w:eastAsia="zh-CN"/>
        </w:rPr>
        <w:t>依托国有金融资本产权登记管理系统和金融企业财务快报系统，组织做好财务分析报告、季度财务快报和年报工作，及时掌握产权变动状况、财务状况、经营成果等，推动金融企业提升管理水平。</w:t>
      </w:r>
    </w:p>
    <w:p w14:paraId="64AFEF1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（二）金融企业服务实体经济情况。</w:t>
      </w:r>
      <w:r>
        <w:rPr>
          <w:rFonts w:hint="default" w:ascii="Times New Roman" w:hAnsi="Times New Roman" w:eastAsia="方正仿宋_GBK" w:cs="Times New Roman"/>
          <w:kern w:val="2"/>
          <w:sz w:val="32"/>
          <w:szCs w:val="32"/>
          <w:lang w:val="en-US" w:eastAsia="zh-CN" w:bidi="ar-SA"/>
        </w:rPr>
        <w:t>我市2家地方国有金融机构聚焦主业，服务实体与乡村振兴，推出农牧民小额贷款，实行“一户一策”与上门服务，加大对农业经营主体支持。拓展领域助推普惠金融，丰富信贷产品，强化经营与消费业务，走访企业落实小微企业融资支持。截至2024年底，2家地方法人银行企业累计投放小微企业贷款17.92亿元，占全市小微企业累投金额的63.96%，其中普惠型</w:t>
      </w:r>
      <w:r>
        <w:rPr>
          <w:rFonts w:hint="default" w:ascii="Times New Roman" w:hAnsi="Times New Roman" w:eastAsia="方正仿宋_GBK" w:cs="Times New Roman"/>
          <w:sz w:val="32"/>
          <w:szCs w:val="32"/>
          <w:highlight w:val="none"/>
          <w:lang w:val="en-US" w:eastAsia="zh-CN"/>
        </w:rPr>
        <w:t>小微企业投放955户、7.39亿元。累计投放涉农贷款29.84亿元，占全市涉农贷款累投金额的65.77%，其中农户经营性贷款14.64亿元、6645户；涉农小微企业法人贷款2.45亿元、50户。</w:t>
      </w:r>
      <w:r>
        <w:rPr>
          <w:rFonts w:hint="default" w:ascii="Times New Roman" w:hAnsi="Times New Roman" w:eastAsia="方正仿宋_GBK" w:cs="Times New Roman"/>
          <w:b w:val="0"/>
          <w:bCs w:val="0"/>
          <w:color w:val="auto"/>
          <w:sz w:val="32"/>
          <w:szCs w:val="32"/>
          <w:highlight w:val="none"/>
          <w:lang w:val="en-US" w:eastAsia="zh-CN"/>
        </w:rPr>
        <w:t>国信融资性担保公司持续发挥</w:t>
      </w:r>
      <w:r>
        <w:rPr>
          <w:rFonts w:hint="default" w:ascii="Times New Roman" w:hAnsi="Times New Roman" w:eastAsia="方正仿宋_GBK" w:cs="Times New Roman"/>
          <w:i w:val="0"/>
          <w:caps w:val="0"/>
          <w:color w:val="auto"/>
          <w:spacing w:val="0"/>
          <w:kern w:val="2"/>
          <w:sz w:val="32"/>
          <w:szCs w:val="32"/>
          <w:lang w:val="en-US" w:eastAsia="zh-CN" w:bidi="ar-SA"/>
        </w:rPr>
        <w:t>信用增级效能以及担保放大效应</w:t>
      </w:r>
      <w:r>
        <w:rPr>
          <w:rFonts w:hint="default" w:ascii="Times New Roman" w:hAnsi="Times New Roman" w:eastAsia="方正仿宋_GBK" w:cs="Times New Roman"/>
          <w:b w:val="0"/>
          <w:bCs w:val="0"/>
          <w:color w:val="auto"/>
          <w:sz w:val="32"/>
          <w:szCs w:val="32"/>
          <w:highlight w:val="none"/>
          <w:lang w:val="en-US" w:eastAsia="zh-CN"/>
        </w:rPr>
        <w:t>，继续执行担保费率降至1%的助企纾困政策，截至目前，为我市12家市场主体提供担保贷款4920万元，累计为企业减免担保费54.1万元。</w:t>
      </w:r>
    </w:p>
    <w:p w14:paraId="260A87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方正仿宋_GBK" w:cs="Times New Roman"/>
          <w:b w:val="0"/>
          <w:bCs/>
          <w:color w:val="auto"/>
          <w:kern w:val="2"/>
          <w:sz w:val="32"/>
          <w:szCs w:val="32"/>
          <w:highlight w:val="none"/>
          <w:lang w:val="en-US" w:eastAsia="zh-CN" w:bidi="ar-SA"/>
        </w:rPr>
      </w:pPr>
      <w:r>
        <w:rPr>
          <w:rFonts w:hint="default" w:ascii="Times New Roman" w:hAnsi="Times New Roman" w:eastAsia="方正楷体_GBK" w:cs="Times New Roman"/>
          <w:kern w:val="2"/>
          <w:sz w:val="32"/>
          <w:szCs w:val="32"/>
          <w:lang w:val="en-US" w:eastAsia="zh-CN" w:bidi="ar-SA"/>
        </w:rPr>
        <w:t>（三）金融企业风险控制情况。</w:t>
      </w:r>
      <w:r>
        <w:rPr>
          <w:rFonts w:hint="default" w:ascii="Times New Roman" w:hAnsi="Times New Roman" w:eastAsia="方正仿宋_GBK" w:cs="Times New Roman"/>
          <w:color w:val="auto"/>
          <w:kern w:val="2"/>
          <w:sz w:val="32"/>
          <w:szCs w:val="32"/>
          <w:highlight w:val="none"/>
          <w:lang w:val="en-US" w:eastAsia="zh-CN" w:bidi="ar-SA"/>
        </w:rPr>
        <w:t>贯彻落实中央金融工作会议精神，维护金融环境稳定，</w:t>
      </w:r>
      <w:r>
        <w:rPr>
          <w:rFonts w:hint="default" w:ascii="Times New Roman" w:hAnsi="Times New Roman" w:eastAsia="方正仿宋_GBK" w:cs="Times New Roman"/>
          <w:color w:val="auto"/>
          <w:sz w:val="32"/>
          <w:szCs w:val="32"/>
          <w:highlight w:val="none"/>
          <w:lang w:eastAsia="zh-CN"/>
        </w:rPr>
        <w:t>强化提升对</w:t>
      </w:r>
      <w:r>
        <w:rPr>
          <w:rFonts w:hint="default" w:ascii="Times New Roman" w:hAnsi="Times New Roman" w:eastAsia="方正仿宋_GBK" w:cs="Times New Roman"/>
          <w:color w:val="auto"/>
          <w:sz w:val="32"/>
          <w:szCs w:val="32"/>
          <w:highlight w:val="none"/>
          <w:lang w:val="en-US" w:eastAsia="zh-CN"/>
        </w:rPr>
        <w:t>地方国有金融机构的风险预判能力，重点关注资产负债表、</w:t>
      </w:r>
      <w:r>
        <w:rPr>
          <w:rFonts w:hint="default" w:ascii="Times New Roman" w:hAnsi="Times New Roman" w:eastAsia="方正仿宋_GBK" w:cs="Times New Roman"/>
          <w:sz w:val="32"/>
          <w:szCs w:val="32"/>
          <w:highlight w:val="none"/>
          <w:lang w:val="en-US" w:eastAsia="zh-CN"/>
        </w:rPr>
        <w:t>资本充足率、拨备覆盖率、不良贷款率等</w:t>
      </w:r>
      <w:r>
        <w:rPr>
          <w:rFonts w:hint="default" w:ascii="Times New Roman" w:hAnsi="Times New Roman" w:eastAsia="方正仿宋_GBK" w:cs="Times New Roman"/>
          <w:color w:val="auto"/>
          <w:sz w:val="32"/>
          <w:szCs w:val="32"/>
          <w:highlight w:val="none"/>
          <w:lang w:val="en-US" w:eastAsia="zh-CN"/>
        </w:rPr>
        <w:t>主要金融风险监管指标，</w:t>
      </w:r>
      <w:r>
        <w:rPr>
          <w:rFonts w:hint="default" w:ascii="Times New Roman" w:hAnsi="Times New Roman" w:eastAsia="方正仿宋_GBK" w:cs="Times New Roman"/>
          <w:sz w:val="32"/>
          <w:szCs w:val="32"/>
          <w:highlight w:val="none"/>
        </w:rPr>
        <w:t>尤其</w:t>
      </w:r>
      <w:r>
        <w:rPr>
          <w:rFonts w:hint="default" w:ascii="Times New Roman" w:hAnsi="Times New Roman" w:eastAsia="方正仿宋_GBK" w:cs="Times New Roman"/>
          <w:sz w:val="32"/>
          <w:szCs w:val="32"/>
          <w:highlight w:val="none"/>
          <w:lang w:eastAsia="zh-CN"/>
        </w:rPr>
        <w:t>针对</w:t>
      </w:r>
      <w:r>
        <w:rPr>
          <w:rFonts w:hint="default" w:ascii="Times New Roman" w:hAnsi="Times New Roman" w:eastAsia="方正仿宋_GBK" w:cs="Times New Roman"/>
          <w:sz w:val="32"/>
          <w:szCs w:val="32"/>
          <w:highlight w:val="none"/>
        </w:rPr>
        <w:t>涉及金融风险的关键指标开展关联分析</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针对个别金融机构出现经营风险被上级预警的问题</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积极落实属地责任，研究制定风险处置方案，引导金融机构通过调整存款结构、扩大信贷规模、优化人员布局、严控经营成本等措施提升经营管理水平和风险防控能力。</w:t>
      </w:r>
      <w:r>
        <w:rPr>
          <w:rFonts w:hint="default" w:ascii="Times New Roman" w:hAnsi="Times New Roman" w:eastAsia="方正仿宋_GBK" w:cs="Times New Roman"/>
          <w:kern w:val="2"/>
          <w:sz w:val="32"/>
          <w:szCs w:val="32"/>
          <w:highlight w:val="none"/>
          <w:lang w:val="en-US" w:eastAsia="zh-CN" w:bidi="ar-SA"/>
        </w:rPr>
        <w:t>截至2024年底，</w:t>
      </w:r>
      <w:r>
        <w:rPr>
          <w:rFonts w:hint="default" w:ascii="Times New Roman" w:hAnsi="Times New Roman" w:eastAsia="方正仿宋_GBK" w:cs="Times New Roman"/>
          <w:color w:val="auto"/>
          <w:kern w:val="2"/>
          <w:sz w:val="32"/>
          <w:szCs w:val="32"/>
          <w:highlight w:val="none"/>
          <w:lang w:val="en-US" w:eastAsia="zh-CN" w:bidi="ar-SA"/>
        </w:rPr>
        <w:t>津汇村镇银行资本充足率13.65%、拨备覆盖率151.7%；农商银行资本充足率</w:t>
      </w:r>
      <w:r>
        <w:rPr>
          <w:rFonts w:hint="default" w:ascii="Times New Roman" w:hAnsi="Times New Roman" w:eastAsia="方正仿宋_GBK" w:cs="Times New Roman"/>
          <w:color w:val="auto"/>
          <w:sz w:val="32"/>
          <w:szCs w:val="32"/>
          <w:highlight w:val="none"/>
          <w:lang w:val="en-US" w:eastAsia="zh-CN"/>
        </w:rPr>
        <w:t>15.14</w:t>
      </w:r>
      <w:r>
        <w:rPr>
          <w:rFonts w:hint="default" w:ascii="Times New Roman" w:hAnsi="Times New Roman" w:eastAsia="方正仿宋_GBK" w:cs="Times New Roman"/>
          <w:color w:val="auto"/>
          <w:kern w:val="2"/>
          <w:sz w:val="32"/>
          <w:szCs w:val="32"/>
          <w:highlight w:val="none"/>
          <w:lang w:val="en-US" w:eastAsia="zh-CN" w:bidi="ar-SA"/>
        </w:rPr>
        <w:t>%、拨备覆盖率301.20%。两家地方国有金融机构主要信贷风险指标符合监管要求，总体风险可防可控。</w:t>
      </w:r>
      <w:r>
        <w:rPr>
          <w:rFonts w:hint="default" w:ascii="Times New Roman" w:hAnsi="Times New Roman" w:eastAsia="方正仿宋_GBK" w:cs="Times New Roman"/>
          <w:b w:val="0"/>
          <w:bCs w:val="0"/>
          <w:color w:val="auto"/>
          <w:sz w:val="32"/>
          <w:szCs w:val="32"/>
          <w:highlight w:val="none"/>
          <w:lang w:eastAsia="zh-CN"/>
        </w:rPr>
        <w:t>国信融资性担保公司（</w:t>
      </w:r>
      <w:r>
        <w:rPr>
          <w:rFonts w:hint="default" w:ascii="Times New Roman" w:hAnsi="Times New Roman" w:eastAsia="方正仿宋_GBK" w:cs="Times New Roman"/>
          <w:b w:val="0"/>
          <w:bCs w:val="0"/>
          <w:color w:val="auto"/>
          <w:sz w:val="32"/>
          <w:szCs w:val="32"/>
          <w:highlight w:val="none"/>
          <w:lang w:val="en-US" w:eastAsia="zh-CN"/>
        </w:rPr>
        <w:t>国有独资</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color w:val="auto"/>
          <w:kern w:val="2"/>
          <w:sz w:val="32"/>
          <w:szCs w:val="32"/>
          <w:highlight w:val="none"/>
          <w:lang w:val="en-US" w:eastAsia="zh-CN" w:bidi="ar-SA"/>
        </w:rPr>
        <w:t>担保户数15户，担保余额6815万元，放大倍数0.62，单户担保额占比、关联交易、保证金管理、计提准备金等符合融资担保公司</w:t>
      </w:r>
      <w:r>
        <w:rPr>
          <w:rFonts w:hint="default" w:ascii="Times New Roman" w:hAnsi="Times New Roman" w:eastAsia="方正仿宋_GBK" w:cs="Times New Roman"/>
          <w:b w:val="0"/>
          <w:bCs w:val="0"/>
          <w:color w:val="auto"/>
          <w:sz w:val="32"/>
          <w:szCs w:val="32"/>
          <w:highlight w:val="none"/>
          <w:lang w:val="en-US" w:eastAsia="zh-CN"/>
        </w:rPr>
        <w:t>分类监管评级标准，</w:t>
      </w:r>
      <w:r>
        <w:rPr>
          <w:rFonts w:hint="default" w:ascii="Times New Roman" w:hAnsi="Times New Roman" w:eastAsia="方正仿宋_GBK" w:cs="Times New Roman"/>
          <w:b w:val="0"/>
          <w:bCs/>
          <w:color w:val="auto"/>
          <w:kern w:val="2"/>
          <w:sz w:val="32"/>
          <w:szCs w:val="32"/>
          <w:highlight w:val="none"/>
          <w:lang w:val="en-US" w:eastAsia="zh-CN" w:bidi="ar-SA"/>
        </w:rPr>
        <w:t>Ⅰ级、Ⅱ级、Ⅲ级资产比例符合《融资担保公司资产比例管理办法》的规定比例。</w:t>
      </w:r>
    </w:p>
    <w:p w14:paraId="5FFA7D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b w:val="0"/>
          <w:bCs/>
          <w:color w:val="auto"/>
          <w:kern w:val="2"/>
          <w:sz w:val="32"/>
          <w:szCs w:val="32"/>
          <w:highlight w:val="none"/>
          <w:lang w:val="en-US" w:eastAsia="zh-CN" w:bidi="ar-SA"/>
        </w:rPr>
        <w:t>三、</w:t>
      </w:r>
      <w:r>
        <w:rPr>
          <w:rFonts w:hint="default" w:ascii="Times New Roman" w:hAnsi="Times New Roman" w:eastAsia="方正黑体_GBK" w:cs="Times New Roman"/>
          <w:sz w:val="32"/>
          <w:szCs w:val="32"/>
          <w:lang w:val="en-US" w:eastAsia="zh-CN"/>
        </w:rPr>
        <w:t>主要存在的问题</w:t>
      </w:r>
    </w:p>
    <w:p w14:paraId="38B35602">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可持续经营能力面临挑战。津汇银行、农商行目前经营均以服务“三农”和小微企业为主</w:t>
      </w:r>
      <w:bookmarkStart w:id="0" w:name="_GoBack"/>
      <w:bookmarkEnd w:id="0"/>
      <w:r>
        <w:rPr>
          <w:rFonts w:hint="default" w:ascii="Times New Roman" w:hAnsi="Times New Roman" w:eastAsia="方正仿宋_GBK" w:cs="Times New Roman"/>
          <w:sz w:val="32"/>
          <w:szCs w:val="32"/>
          <w:lang w:val="en-US" w:eastAsia="zh-CN"/>
        </w:rPr>
        <w:t>，受贷款</w:t>
      </w:r>
      <w:r>
        <w:rPr>
          <w:rFonts w:hint="default" w:ascii="Times New Roman" w:hAnsi="Times New Roman" w:eastAsia="方正仿宋_GBK" w:cs="Times New Roman"/>
          <w:sz w:val="32"/>
          <w:szCs w:val="32"/>
          <w:highlight w:val="none"/>
          <w:lang w:val="en-US" w:eastAsia="zh-CN"/>
        </w:rPr>
        <w:t>利率下行</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highlight w:val="none"/>
          <w:lang w:val="en-US" w:eastAsia="zh-CN"/>
        </w:rPr>
        <w:t>国有商业银行加速业务重心下沉、抢占区域市场</w:t>
      </w:r>
      <w:r>
        <w:rPr>
          <w:rFonts w:hint="default" w:ascii="Times New Roman" w:hAnsi="Times New Roman" w:eastAsia="方正仿宋_GBK" w:cs="Times New Roman"/>
          <w:sz w:val="32"/>
          <w:szCs w:val="32"/>
          <w:lang w:val="en-US" w:eastAsia="zh-CN"/>
        </w:rPr>
        <w:t>等多重挑战，资产端为落实纾困让利政策，贷款利率持续下浮，负债端存款占比大，导致净息差加速收窄，盈利空间受到双向挤压，国有资本回报水平下滑，对其持续健康经营和地方国有金融资产保值增值构成现实压力。</w:t>
      </w:r>
    </w:p>
    <w:p w14:paraId="2B19969E">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金融风险防控体系存在短板。</w:t>
      </w:r>
      <w:r>
        <w:rPr>
          <w:rFonts w:hint="default" w:ascii="Times New Roman" w:hAnsi="Times New Roman" w:eastAsia="方正仿宋_GBK" w:cs="Times New Roman"/>
          <w:b/>
          <w:bCs/>
          <w:sz w:val="32"/>
          <w:szCs w:val="32"/>
          <w:lang w:val="en-US" w:eastAsia="zh-CN"/>
        </w:rPr>
        <w:t>一方面，</w:t>
      </w:r>
      <w:r>
        <w:rPr>
          <w:rFonts w:hint="default" w:ascii="Times New Roman" w:hAnsi="Times New Roman" w:eastAsia="方正仿宋_GBK" w:cs="Times New Roman"/>
          <w:sz w:val="32"/>
          <w:szCs w:val="32"/>
          <w:lang w:val="en-US" w:eastAsia="zh-CN"/>
        </w:rPr>
        <w:t>本地常见的涉农资产、集体经营性建设用地等抵质押物价值波动大、流转难，不良资产处置周期长、清收效率低，直接制约资产质量改善。</w:t>
      </w:r>
      <w:r>
        <w:rPr>
          <w:rFonts w:hint="default" w:ascii="Times New Roman" w:hAnsi="Times New Roman" w:eastAsia="方正仿宋_GBK" w:cs="Times New Roman"/>
          <w:b/>
          <w:bCs/>
          <w:sz w:val="32"/>
          <w:szCs w:val="32"/>
          <w:lang w:val="en-US" w:eastAsia="zh-CN"/>
        </w:rPr>
        <w:t>另一方面，</w:t>
      </w:r>
      <w:r>
        <w:rPr>
          <w:rFonts w:hint="default" w:ascii="Times New Roman" w:hAnsi="Times New Roman" w:eastAsia="方正仿宋_GBK" w:cs="Times New Roman"/>
          <w:sz w:val="32"/>
          <w:szCs w:val="32"/>
          <w:lang w:val="en-US" w:eastAsia="zh-CN"/>
        </w:rPr>
        <w:t>融资担保体系支撑能力有待加强，现行</w:t>
      </w:r>
      <w:r>
        <w:rPr>
          <w:rFonts w:hint="default" w:ascii="Times New Roman" w:hAnsi="Times New Roman" w:eastAsia="方正仿宋_GBK" w:cs="Times New Roman"/>
          <w:b w:val="0"/>
          <w:bCs/>
          <w:color w:val="auto"/>
          <w:kern w:val="2"/>
          <w:sz w:val="32"/>
          <w:szCs w:val="32"/>
          <w:highlight w:val="none"/>
          <w:lang w:val="en-US" w:eastAsia="zh-CN" w:bidi="ar-SA"/>
        </w:rPr>
        <w:t>≤1</w:t>
      </w:r>
      <w:r>
        <w:rPr>
          <w:rFonts w:hint="default" w:ascii="Times New Roman" w:hAnsi="Times New Roman" w:eastAsia="方正仿宋_GBK" w:cs="Times New Roman"/>
          <w:sz w:val="32"/>
          <w:szCs w:val="32"/>
          <w:lang w:val="en-US" w:eastAsia="zh-CN"/>
        </w:rPr>
        <w:t>%的担保费率在风险上行期难以有效覆盖代偿损失，而所服务的中小微企业普遍存在资产少、抵押难、现金流紧张等问题，对国有担保机构稳健运营和财政资源安全形成潜在冲击。</w:t>
      </w:r>
    </w:p>
    <w:p w14:paraId="18C5B6BF">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lef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b w:val="0"/>
          <w:bCs w:val="0"/>
          <w:sz w:val="32"/>
          <w:szCs w:val="32"/>
          <w:lang w:val="en-US" w:eastAsia="zh-CN"/>
        </w:rPr>
        <w:t>国有金融资产质量有待提升。市属国有金融机构盈利模式仍高度依赖传统存贷利差，中间业务、财富管理等新业态贡献有限，整体竞争力与发达地区相比差距明显。在数字化转型和综合化服务成为行业趋势的背景下，国有资本在新兴业务领域的布局不足、投入有限，制约了资产结构的优化和盈利能力的提升，也影响了其服务产业升级、科技创新等战略需求的深度与广度。</w:t>
      </w:r>
    </w:p>
    <w:p w14:paraId="26C8B637">
      <w:pPr>
        <w:pStyle w:val="8"/>
        <w:keepNext w:val="0"/>
        <w:keepLines w:val="0"/>
        <w:pageBreakBefore w:val="0"/>
        <w:widowControl w:val="0"/>
        <w:numPr>
          <w:ilvl w:val="0"/>
          <w:numId w:val="1"/>
        </w:numPr>
        <w:kinsoku/>
        <w:wordWrap/>
        <w:overflowPunct/>
        <w:topLinePunct w:val="0"/>
        <w:autoSpaceDE/>
        <w:autoSpaceDN/>
        <w:bidi w:val="0"/>
        <w:adjustRightInd/>
        <w:snapToGrid/>
        <w:spacing w:after="0" w:afterLines="0" w:line="520" w:lineRule="exact"/>
        <w:ind w:left="0" w:leftChars="0" w:firstLine="640" w:firstLineChars="200"/>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下一步工作计划</w:t>
      </w:r>
    </w:p>
    <w:p w14:paraId="573A0CEF">
      <w:pPr>
        <w:pStyle w:val="7"/>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（一）优化资产负债结构，提升资本运营效能。</w:t>
      </w:r>
      <w:r>
        <w:rPr>
          <w:rFonts w:hint="default" w:ascii="Times New Roman" w:hAnsi="Times New Roman" w:eastAsia="方正仿宋_GBK" w:cs="Times New Roman"/>
          <w:sz w:val="32"/>
          <w:szCs w:val="32"/>
          <w:highlight w:val="none"/>
          <w:lang w:val="en-US" w:eastAsia="zh-CN"/>
        </w:rPr>
        <w:t>引导地方国有金融机构通过调整存款结构、拓展低成本资金来源等方式降低高息存款占比。聚焦区域特色产业、小微企业及新型农业经营主体，开发“一企一策”“一业一方案”的定制化信贷产品，实现信贷资源精准投放，推动降本增效与资源合理配置，切实增强国有金融企业内生资本积累能力。</w:t>
      </w:r>
    </w:p>
    <w:p w14:paraId="0505B2E9">
      <w:pPr>
        <w:pStyle w:val="7"/>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（二）强化风险管控机制，筑牢资产安全防线。</w:t>
      </w:r>
      <w:r>
        <w:rPr>
          <w:rFonts w:hint="default" w:ascii="Times New Roman" w:hAnsi="Times New Roman" w:eastAsia="方正仿宋_GBK" w:cs="Times New Roman"/>
          <w:sz w:val="32"/>
          <w:szCs w:val="32"/>
          <w:lang w:val="en-US" w:eastAsia="zh-CN"/>
        </w:rPr>
        <w:t>联合国家金融监督管理总局阜康监管支局建立常态化协同监管机制，制定现场检查计划，重点核查地方国有金融机构资本充足率、不良贷款率、流动性覆盖率等核心经营指标，通过</w:t>
      </w:r>
      <w:r>
        <w:rPr>
          <w:rFonts w:hint="default" w:ascii="Times New Roman" w:hAnsi="Times New Roman" w:eastAsia="方正仿宋_GBK" w:cs="Times New Roman"/>
          <w:sz w:val="32"/>
          <w:szCs w:val="32"/>
          <w:highlight w:val="none"/>
          <w:lang w:val="en-US" w:eastAsia="zh-CN"/>
        </w:rPr>
        <w:t>差异化、多元化策略推进不良资产处置，提升处置效率与回收价值。推动担保公司完善风险管理制度，加强贷后管理，坚决防止国有金融资产流失。</w:t>
      </w:r>
    </w:p>
    <w:p w14:paraId="55A0025B">
      <w:pPr>
        <w:pStyle w:val="8"/>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（三）拓展综合经营路径，增强服务实体能力。</w:t>
      </w:r>
      <w:r>
        <w:rPr>
          <w:rFonts w:hint="default" w:ascii="Times New Roman" w:hAnsi="Times New Roman" w:eastAsia="方正仿宋_GBK" w:cs="Times New Roman"/>
          <w:sz w:val="32"/>
          <w:szCs w:val="32"/>
          <w:highlight w:val="none"/>
          <w:lang w:val="en-US" w:eastAsia="zh-CN"/>
        </w:rPr>
        <w:t>引导地方国有金融机构降低对传统存贷利差的依赖，加大在科技金融、供应链金融等新兴领域的布局，推动盈利模式多元化转型。推动担保机构与地方国有金融机构建立协同机制，聚焦乡村振兴、科技创新等关键领域，通过风险共担、资源共享提升金融服务的精准性与覆盖面。</w:t>
      </w:r>
    </w:p>
    <w:p w14:paraId="31B64C22">
      <w:pPr>
        <w:pStyle w:val="8"/>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640" w:firstLineChars="200"/>
        <w:jc w:val="left"/>
        <w:textAlignment w:val="auto"/>
        <w:rPr>
          <w:rFonts w:hint="default" w:ascii="Times New Roman" w:hAnsi="Times New Roman" w:cs="Times New Roman"/>
        </w:rPr>
      </w:pPr>
      <w:r>
        <w:rPr>
          <w:rFonts w:hint="eastAsia" w:ascii="Times New Roman" w:hAnsi="Times New Roman" w:eastAsia="方正仿宋_GBK" w:cs="Times New Roman"/>
          <w:sz w:val="32"/>
          <w:szCs w:val="32"/>
          <w:highlight w:val="none"/>
          <w:lang w:val="en-US" w:eastAsia="zh-CN"/>
        </w:rPr>
        <w:t>汇报完毕。</w:t>
      </w:r>
      <w:r>
        <w:rPr>
          <w:rFonts w:hint="default" w:ascii="Times New Roman" w:hAnsi="Times New Roman" w:eastAsia="方正楷体_GBK" w:cs="Times New Roman"/>
          <w:b w:val="0"/>
          <w:bCs w:val="0"/>
          <w:color w:val="auto"/>
          <w:sz w:val="32"/>
          <w:szCs w:val="32"/>
          <w:highlight w:val="none"/>
          <w:lang w:val="en-US" w:eastAsia="zh-CN"/>
        </w:rPr>
        <w:t>​​ ​​</w:t>
      </w:r>
      <w:r>
        <w:rPr>
          <w:rFonts w:hint="default" w:ascii="Times New Roman" w:hAnsi="Times New Roman" w:eastAsia="方正仿宋_GBK" w:cs="Times New Roman"/>
          <w:sz w:val="32"/>
          <w:szCs w:val="32"/>
          <w:lang w:val="en-US" w:eastAsia="zh-CN"/>
        </w:rPr>
        <w:t xml:space="preserve">                   </w:t>
      </w:r>
    </w:p>
    <w:sectPr>
      <w:footerReference r:id="rId3" w:type="default"/>
      <w:pgSz w:w="11906" w:h="16838"/>
      <w:pgMar w:top="2098" w:right="1474" w:bottom="1984" w:left="1587" w:header="851" w:footer="1417"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1CCBA">
    <w:pPr>
      <w:pStyle w:val="9"/>
    </w:pPr>
  </w:p>
  <w:p w14:paraId="19303BE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C6527">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2</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9C6527">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2</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C8B61"/>
    <w:multiLevelType w:val="singleLevel"/>
    <w:tmpl w:val="181C8B6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80273"/>
    <w:rsid w:val="0717759F"/>
    <w:rsid w:val="09420839"/>
    <w:rsid w:val="0A43486E"/>
    <w:rsid w:val="0F256135"/>
    <w:rsid w:val="10027203"/>
    <w:rsid w:val="153A23DF"/>
    <w:rsid w:val="162C724B"/>
    <w:rsid w:val="163B729E"/>
    <w:rsid w:val="17B960A0"/>
    <w:rsid w:val="19625CFA"/>
    <w:rsid w:val="1A9D1AC7"/>
    <w:rsid w:val="1A9D2251"/>
    <w:rsid w:val="1E1B6CB4"/>
    <w:rsid w:val="23D25226"/>
    <w:rsid w:val="261C7926"/>
    <w:rsid w:val="291264B0"/>
    <w:rsid w:val="2C40598D"/>
    <w:rsid w:val="2CC039D4"/>
    <w:rsid w:val="2F0D5790"/>
    <w:rsid w:val="2FED14FE"/>
    <w:rsid w:val="2FF818BA"/>
    <w:rsid w:val="35052F54"/>
    <w:rsid w:val="35507CB7"/>
    <w:rsid w:val="38BE52C2"/>
    <w:rsid w:val="3CA57054"/>
    <w:rsid w:val="3CC46FE2"/>
    <w:rsid w:val="3DB50B57"/>
    <w:rsid w:val="422F2793"/>
    <w:rsid w:val="427A2E35"/>
    <w:rsid w:val="49041413"/>
    <w:rsid w:val="4EB8498D"/>
    <w:rsid w:val="52311BA8"/>
    <w:rsid w:val="546D155E"/>
    <w:rsid w:val="556E30A8"/>
    <w:rsid w:val="55E142A3"/>
    <w:rsid w:val="5A26631E"/>
    <w:rsid w:val="5C2C64D8"/>
    <w:rsid w:val="5D2B3B22"/>
    <w:rsid w:val="5DFF465C"/>
    <w:rsid w:val="5E7E661C"/>
    <w:rsid w:val="5EB3032A"/>
    <w:rsid w:val="617419C7"/>
    <w:rsid w:val="63872A44"/>
    <w:rsid w:val="63FD0095"/>
    <w:rsid w:val="65254527"/>
    <w:rsid w:val="65365F02"/>
    <w:rsid w:val="65A73141"/>
    <w:rsid w:val="6B315226"/>
    <w:rsid w:val="6DE671CA"/>
    <w:rsid w:val="71A66F1B"/>
    <w:rsid w:val="754A1754"/>
    <w:rsid w:val="76D2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index 5"/>
    <w:basedOn w:val="1"/>
    <w:next w:val="1"/>
    <w:qFormat/>
    <w:uiPriority w:val="0"/>
    <w:pPr>
      <w:ind w:left="1680"/>
    </w:pPr>
    <w:rPr>
      <w:rFonts w:ascii="Times New Roman" w:hAnsi="Times New Roman" w:eastAsia="宋体" w:cs="Times New Roman"/>
    </w:rPr>
  </w:style>
  <w:style w:type="paragraph" w:styleId="7">
    <w:name w:val="Body Text"/>
    <w:basedOn w:val="1"/>
    <w:next w:val="1"/>
    <w:qFormat/>
    <w:uiPriority w:val="0"/>
    <w:pPr>
      <w:spacing w:after="120"/>
    </w:pPr>
  </w:style>
  <w:style w:type="paragraph" w:styleId="8">
    <w:name w:val="Body Text Indent 2"/>
    <w:basedOn w:val="1"/>
    <w:next w:val="7"/>
    <w:qFormat/>
    <w:uiPriority w:val="0"/>
    <w:pPr>
      <w:spacing w:after="120" w:afterLines="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character" w:styleId="14">
    <w:name w:val="Strong"/>
    <w:basedOn w:val="13"/>
    <w:qFormat/>
    <w:uiPriority w:val="0"/>
    <w:rPr>
      <w:b/>
    </w:rPr>
  </w:style>
  <w:style w:type="paragraph" w:customStyle="1" w:styleId="15">
    <w:name w:val="Default"/>
    <w:basedOn w:val="16"/>
    <w:next w:val="6"/>
    <w:qFormat/>
    <w:uiPriority w:val="0"/>
    <w:pPr>
      <w:widowControl w:val="0"/>
      <w:autoSpaceDE w:val="0"/>
      <w:autoSpaceDN w:val="0"/>
      <w:adjustRightInd w:val="0"/>
    </w:pPr>
    <w:rPr>
      <w:rFonts w:ascii="华文中宋" w:hAnsi="华文中宋" w:eastAsia="华文中宋" w:cs="Times New Roman"/>
      <w:color w:val="000000"/>
      <w:sz w:val="24"/>
      <w:szCs w:val="22"/>
      <w:lang w:val="en-US" w:eastAsia="zh-CN" w:bidi="ar-SA"/>
    </w:rPr>
  </w:style>
  <w:style w:type="paragraph" w:customStyle="1" w:styleId="16">
    <w:name w:val="1 表头"/>
    <w:basedOn w:val="1"/>
    <w:qFormat/>
    <w:uiPriority w:val="0"/>
    <w:pPr>
      <w:adjustRightInd w:val="0"/>
      <w:snapToGrid w:val="0"/>
      <w:jc w:val="center"/>
    </w:pPr>
    <w:rPr>
      <w:b/>
      <w:color w:val="000000"/>
      <w:szCs w:val="21"/>
    </w:rPr>
  </w:style>
  <w:style w:type="paragraph" w:customStyle="1" w:styleId="17">
    <w:name w:val="BodyText"/>
    <w:basedOn w:val="1"/>
    <w:qFormat/>
    <w:uiPriority w:val="0"/>
    <w:pPr>
      <w:widowControl/>
      <w:spacing w:line="360" w:lineRule="auto"/>
      <w:ind w:firstLine="200"/>
      <w:jc w:val="left"/>
      <w:textAlignment w:val="baseline"/>
    </w:pPr>
    <w:rPr>
      <w:rFonts w:ascii="Calibri" w:hAnsi="Calibri" w:eastAsia="仿宋"/>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2488</Words>
  <Characters>2682</Characters>
  <Lines>0</Lines>
  <Paragraphs>0</Paragraphs>
  <TotalTime>9</TotalTime>
  <ScaleCrop>false</ScaleCrop>
  <LinksUpToDate>false</LinksUpToDate>
  <CharactersWithSpaces>2752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2025-09-13T03:54:00Z</dcterms:created>
  <dc:creator>11729</dc:creator>
  <cp:lastModifiedBy>孙杨百合:D</cp:lastModifiedBy>
  <cp:lastPrinted>2025-10-14T04:54:00Z</cp:lastPrinted>
  <dcterms:modified xsi:type="dcterms:W3CDTF">2025-12-25T09:38:51Z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eyJoZGlkIjoiZTczZGJiMzk3NmE4MTFmY2I0NmVkOTVhODY4OTk3OTciLCJ1c2VySWQiOiI4NDY5NjQ1NjQifQ==</vt:lpwstr>
  </property>
  <property fmtid="{D5CDD505-2E9C-101B-9397-08002B2CF9AE}" pid="4" name="ICV">
    <vt:lpwstr>25B99640B1FA4CC88777069546E97713_13</vt:lpwstr>
  </property>
</Properties>
</file>