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65923">
      <w:pPr>
        <w:pageBreakBefore w:val="0"/>
        <w:kinsoku/>
        <w:wordWrap/>
        <w:overflowPunct/>
        <w:topLinePunct w:val="0"/>
        <w:autoSpaceDE/>
        <w:autoSpaceDN/>
        <w:bidi w:val="0"/>
        <w:adjustRightInd/>
        <w:spacing w:line="560" w:lineRule="exact"/>
        <w:ind w:firstLine="1142" w:firstLineChars="316"/>
        <w:jc w:val="center"/>
        <w:textAlignment w:val="auto"/>
        <w:rPr>
          <w:rFonts w:hint="eastAsia" w:ascii="宋体" w:hAnsi="宋体" w:eastAsia="宋体" w:cs="宋体"/>
          <w:b/>
          <w:bCs/>
          <w:color w:val="auto"/>
          <w:sz w:val="36"/>
          <w:szCs w:val="36"/>
          <w:highlight w:val="none"/>
          <w:shd w:val="clear" w:color="auto" w:fill="auto"/>
        </w:rPr>
      </w:pPr>
    </w:p>
    <w:p w14:paraId="16C18124">
      <w:pPr>
        <w:pageBreakBefore w:val="0"/>
        <w:kinsoku/>
        <w:wordWrap/>
        <w:overflowPunct/>
        <w:topLinePunct w:val="0"/>
        <w:autoSpaceDE/>
        <w:autoSpaceDN/>
        <w:bidi w:val="0"/>
        <w:adjustRightInd/>
        <w:spacing w:line="560" w:lineRule="exact"/>
        <w:jc w:val="center"/>
        <w:textAlignment w:val="auto"/>
        <w:rPr>
          <w:rFonts w:hint="eastAsia" w:ascii="宋体" w:hAnsi="宋体" w:eastAsia="宋体" w:cs="宋体"/>
          <w:b/>
          <w:bCs/>
          <w:color w:val="auto"/>
          <w:sz w:val="36"/>
          <w:szCs w:val="36"/>
          <w:highlight w:val="none"/>
          <w:shd w:val="clear" w:color="auto" w:fill="auto"/>
        </w:rPr>
      </w:pPr>
    </w:p>
    <w:p w14:paraId="45AE02D8">
      <w:pPr>
        <w:pageBreakBefore w:val="0"/>
        <w:kinsoku/>
        <w:wordWrap/>
        <w:overflowPunct/>
        <w:topLinePunct w:val="0"/>
        <w:autoSpaceDE/>
        <w:autoSpaceDN/>
        <w:bidi w:val="0"/>
        <w:adjustRightInd/>
        <w:spacing w:line="560" w:lineRule="exact"/>
        <w:jc w:val="center"/>
        <w:textAlignment w:val="auto"/>
        <w:rPr>
          <w:rFonts w:hint="eastAsia" w:ascii="宋体" w:hAnsi="宋体" w:eastAsia="宋体" w:cs="宋体"/>
          <w:b/>
          <w:bCs/>
          <w:color w:val="auto"/>
          <w:sz w:val="36"/>
          <w:szCs w:val="36"/>
          <w:highlight w:val="none"/>
          <w:shd w:val="clear" w:color="auto" w:fill="auto"/>
        </w:rPr>
      </w:pPr>
    </w:p>
    <w:p w14:paraId="6E7C9E2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eastAsia="宋体" w:cs="宋体"/>
          <w:b/>
          <w:bCs/>
          <w:color w:val="auto"/>
          <w:sz w:val="40"/>
          <w:szCs w:val="40"/>
          <w:highlight w:val="none"/>
          <w:shd w:val="clear" w:color="auto" w:fill="auto"/>
        </w:rPr>
      </w:pPr>
      <w:bookmarkStart w:id="0" w:name="_Toc29123"/>
      <w:bookmarkStart w:id="1" w:name="_Toc15679"/>
      <w:bookmarkStart w:id="2" w:name="_Toc1949"/>
      <w:bookmarkStart w:id="3" w:name="_Toc25575"/>
      <w:r>
        <w:rPr>
          <w:rFonts w:hint="eastAsia" w:cs="宋体"/>
          <w:b/>
          <w:bCs/>
          <w:color w:val="auto"/>
          <w:sz w:val="40"/>
          <w:szCs w:val="40"/>
          <w:highlight w:val="none"/>
          <w:shd w:val="clear" w:color="auto" w:fill="auto"/>
          <w:lang w:val="en-US" w:eastAsia="zh-CN"/>
        </w:rPr>
        <w:t>阜康市环卫保洁和园林养护政府购买服务项目</w:t>
      </w:r>
      <w:r>
        <w:rPr>
          <w:rFonts w:hint="eastAsia" w:ascii="宋体" w:hAnsi="宋体" w:eastAsia="宋体" w:cs="宋体"/>
          <w:b/>
          <w:bCs/>
          <w:color w:val="auto"/>
          <w:sz w:val="40"/>
          <w:szCs w:val="40"/>
          <w:highlight w:val="none"/>
          <w:shd w:val="clear" w:color="auto" w:fill="auto"/>
        </w:rPr>
        <w:t>支出绩效评价报告</w:t>
      </w:r>
      <w:bookmarkEnd w:id="0"/>
      <w:bookmarkEnd w:id="1"/>
      <w:bookmarkEnd w:id="2"/>
      <w:bookmarkEnd w:id="3"/>
    </w:p>
    <w:p w14:paraId="3D0677CD">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color w:val="auto"/>
          <w:sz w:val="36"/>
          <w:szCs w:val="36"/>
          <w:highlight w:val="none"/>
          <w:shd w:val="clear" w:color="auto" w:fill="auto"/>
        </w:rPr>
      </w:pPr>
    </w:p>
    <w:p w14:paraId="71D6B5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36"/>
          <w:szCs w:val="36"/>
          <w:highlight w:val="none"/>
          <w:shd w:val="clear" w:color="auto" w:fill="auto"/>
        </w:rPr>
      </w:pPr>
    </w:p>
    <w:p w14:paraId="1EF7A3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36"/>
          <w:szCs w:val="36"/>
          <w:highlight w:val="none"/>
          <w:shd w:val="clear" w:color="auto" w:fill="auto"/>
        </w:rPr>
      </w:pPr>
    </w:p>
    <w:p w14:paraId="5195A84D">
      <w:pPr>
        <w:pStyle w:val="2"/>
        <w:rPr>
          <w:rFonts w:hint="eastAsia" w:ascii="宋体" w:hAnsi="宋体" w:eastAsia="宋体" w:cs="宋体"/>
          <w:b/>
          <w:bCs/>
          <w:color w:val="auto"/>
          <w:sz w:val="36"/>
          <w:szCs w:val="36"/>
          <w:highlight w:val="none"/>
          <w:shd w:val="clear" w:color="auto" w:fill="auto"/>
        </w:rPr>
      </w:pPr>
    </w:p>
    <w:p w14:paraId="2408FAA1">
      <w:pPr>
        <w:pStyle w:val="2"/>
        <w:rPr>
          <w:rFonts w:hint="eastAsia" w:ascii="宋体" w:hAnsi="宋体" w:eastAsia="宋体" w:cs="宋体"/>
          <w:b/>
          <w:bCs/>
          <w:color w:val="auto"/>
          <w:sz w:val="36"/>
          <w:szCs w:val="36"/>
          <w:highlight w:val="none"/>
          <w:shd w:val="clear" w:color="auto" w:fill="auto"/>
        </w:rPr>
      </w:pPr>
    </w:p>
    <w:p w14:paraId="4B10E2E3">
      <w:pPr>
        <w:pStyle w:val="2"/>
        <w:rPr>
          <w:rFonts w:hint="eastAsia" w:ascii="宋体" w:hAnsi="宋体" w:eastAsia="宋体" w:cs="宋体"/>
          <w:b/>
          <w:bCs/>
          <w:color w:val="auto"/>
          <w:sz w:val="36"/>
          <w:szCs w:val="36"/>
          <w:highlight w:val="none"/>
          <w:shd w:val="clear" w:color="auto" w:fill="auto"/>
        </w:rPr>
      </w:pPr>
    </w:p>
    <w:p w14:paraId="0CD049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36"/>
          <w:szCs w:val="36"/>
          <w:highlight w:val="none"/>
          <w:shd w:val="clear" w:color="auto" w:fill="auto"/>
        </w:rPr>
      </w:pPr>
    </w:p>
    <w:p w14:paraId="48F137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36"/>
          <w:szCs w:val="36"/>
          <w:highlight w:val="none"/>
          <w:shd w:val="clear" w:color="auto" w:fill="auto"/>
        </w:rPr>
      </w:pPr>
    </w:p>
    <w:p w14:paraId="2CD198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36"/>
          <w:szCs w:val="36"/>
          <w:highlight w:val="none"/>
          <w:shd w:val="clear" w:color="auto" w:fill="auto"/>
        </w:rPr>
      </w:pPr>
    </w:p>
    <w:p w14:paraId="51DE8572">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color w:val="auto"/>
          <w:sz w:val="36"/>
          <w:szCs w:val="36"/>
          <w:highlight w:val="none"/>
          <w:shd w:val="clear" w:color="auto" w:fill="auto"/>
        </w:rPr>
      </w:pPr>
    </w:p>
    <w:p w14:paraId="1E220678">
      <w:pPr>
        <w:spacing w:line="360" w:lineRule="auto"/>
        <w:ind w:firstLine="0" w:firstLineChars="0"/>
        <w:jc w:val="left"/>
        <w:rPr>
          <w:rFonts w:hint="eastAsia" w:ascii="黑体" w:hAnsi="Times New Roman" w:eastAsia="黑体"/>
          <w:b w:val="0"/>
          <w:bCs/>
          <w:color w:val="auto"/>
          <w:sz w:val="30"/>
          <w:szCs w:val="30"/>
          <w:highlight w:val="none"/>
        </w:rPr>
      </w:pPr>
      <w:r>
        <w:rPr>
          <w:rFonts w:hint="eastAsia" w:ascii="黑体" w:hAnsi="Times New Roman" w:eastAsia="黑体"/>
          <w:b w:val="0"/>
          <w:bCs/>
          <w:color w:val="auto"/>
          <w:sz w:val="30"/>
          <w:szCs w:val="30"/>
          <w:highlight w:val="none"/>
        </w:rPr>
        <w:t>项目名称：阜康市环卫保洁和园林养护政府购买服务项目</w:t>
      </w:r>
    </w:p>
    <w:p w14:paraId="7FE90E8A">
      <w:pPr>
        <w:spacing w:line="360" w:lineRule="auto"/>
        <w:ind w:firstLine="0" w:firstLineChars="0"/>
        <w:jc w:val="left"/>
        <w:rPr>
          <w:rFonts w:hint="eastAsia" w:ascii="黑体" w:hAnsi="Times New Roman" w:eastAsia="黑体"/>
          <w:b w:val="0"/>
          <w:bCs/>
          <w:color w:val="auto"/>
          <w:sz w:val="30"/>
          <w:szCs w:val="30"/>
          <w:highlight w:val="none"/>
        </w:rPr>
      </w:pPr>
      <w:r>
        <w:rPr>
          <w:rFonts w:hint="eastAsia" w:ascii="黑体" w:hAnsi="Times New Roman" w:eastAsia="黑体"/>
          <w:b w:val="0"/>
          <w:bCs/>
          <w:color w:val="auto"/>
          <w:sz w:val="30"/>
          <w:szCs w:val="30"/>
          <w:highlight w:val="none"/>
        </w:rPr>
        <w:t>实施单位：</w:t>
      </w:r>
      <w:r>
        <w:rPr>
          <w:rFonts w:hint="eastAsia" w:ascii="黑体" w:hAnsi="Times New Roman" w:eastAsia="黑体"/>
          <w:b w:val="0"/>
          <w:bCs/>
          <w:color w:val="auto"/>
          <w:sz w:val="30"/>
          <w:szCs w:val="30"/>
          <w:highlight w:val="none"/>
          <w:lang w:val="en-US" w:eastAsia="zh-CN"/>
        </w:rPr>
        <w:t>阜康市城市管理局（阜康市城市管理行政执法局）</w:t>
      </w:r>
    </w:p>
    <w:p w14:paraId="4F91EE21">
      <w:pPr>
        <w:spacing w:line="360" w:lineRule="auto"/>
        <w:ind w:firstLine="0" w:firstLineChars="0"/>
        <w:jc w:val="left"/>
        <w:rPr>
          <w:rFonts w:hint="eastAsia" w:ascii="黑体" w:hAnsi="Times New Roman" w:eastAsia="黑体"/>
          <w:b w:val="0"/>
          <w:bCs/>
          <w:color w:val="auto"/>
          <w:sz w:val="30"/>
          <w:szCs w:val="30"/>
          <w:highlight w:val="none"/>
        </w:rPr>
      </w:pPr>
      <w:r>
        <w:rPr>
          <w:rFonts w:hint="eastAsia" w:ascii="黑体" w:hAnsi="Times New Roman" w:eastAsia="黑体"/>
          <w:b w:val="0"/>
          <w:bCs/>
          <w:color w:val="auto"/>
          <w:sz w:val="30"/>
          <w:szCs w:val="30"/>
          <w:highlight w:val="none"/>
        </w:rPr>
        <w:t>主管部门：</w:t>
      </w:r>
      <w:r>
        <w:rPr>
          <w:rFonts w:hint="eastAsia" w:ascii="黑体" w:hAnsi="Times New Roman" w:eastAsia="黑体"/>
          <w:b w:val="0"/>
          <w:bCs/>
          <w:color w:val="auto"/>
          <w:sz w:val="30"/>
          <w:szCs w:val="30"/>
          <w:highlight w:val="none"/>
          <w:lang w:val="en-US" w:eastAsia="zh-CN"/>
        </w:rPr>
        <w:t>阜康市城市管理局（阜康市城市管理行政执法局）</w:t>
      </w:r>
    </w:p>
    <w:p w14:paraId="28CD4F56">
      <w:pPr>
        <w:spacing w:line="360" w:lineRule="auto"/>
        <w:ind w:firstLine="0" w:firstLineChars="0"/>
        <w:jc w:val="left"/>
        <w:rPr>
          <w:rFonts w:hint="eastAsia" w:ascii="黑体" w:hAnsi="Times New Roman" w:eastAsia="黑体"/>
          <w:b w:val="0"/>
          <w:bCs/>
          <w:color w:val="auto"/>
          <w:sz w:val="30"/>
          <w:szCs w:val="30"/>
          <w:highlight w:val="none"/>
          <w:lang w:val="en-US" w:eastAsia="zh-CN"/>
        </w:rPr>
      </w:pPr>
      <w:r>
        <w:rPr>
          <w:rFonts w:hint="eastAsia" w:ascii="黑体" w:hAnsi="Times New Roman" w:eastAsia="黑体"/>
          <w:b w:val="0"/>
          <w:bCs/>
          <w:color w:val="auto"/>
          <w:sz w:val="30"/>
          <w:szCs w:val="30"/>
          <w:highlight w:val="none"/>
          <w:lang w:eastAsia="zh-CN"/>
        </w:rPr>
        <w:t>项目负责人：</w:t>
      </w:r>
      <w:r>
        <w:rPr>
          <w:rFonts w:hint="eastAsia" w:ascii="黑体" w:hAnsi="Times New Roman" w:eastAsia="黑体"/>
          <w:b w:val="0"/>
          <w:bCs/>
          <w:color w:val="auto"/>
          <w:sz w:val="30"/>
          <w:szCs w:val="30"/>
          <w:highlight w:val="none"/>
          <w:lang w:val="en-US" w:eastAsia="zh-CN"/>
        </w:rPr>
        <w:t>秦长虎</w:t>
      </w:r>
    </w:p>
    <w:p w14:paraId="030296B7">
      <w:pPr>
        <w:spacing w:line="360" w:lineRule="auto"/>
        <w:ind w:firstLine="0" w:firstLineChars="0"/>
        <w:jc w:val="left"/>
        <w:rPr>
          <w:rFonts w:hint="default"/>
          <w:b w:val="0"/>
          <w:bCs/>
          <w:color w:val="auto"/>
          <w:highlight w:val="none"/>
          <w:lang w:val="en-US" w:eastAsia="zh-CN"/>
        </w:rPr>
      </w:pPr>
      <w:r>
        <w:rPr>
          <w:rFonts w:hint="eastAsia" w:ascii="黑体" w:hAnsi="Times New Roman" w:eastAsia="黑体"/>
          <w:b w:val="0"/>
          <w:bCs/>
          <w:color w:val="auto"/>
          <w:sz w:val="30"/>
          <w:szCs w:val="30"/>
          <w:highlight w:val="none"/>
          <w:lang w:eastAsia="zh-CN"/>
        </w:rPr>
        <w:t>填报时间：</w:t>
      </w:r>
      <w:r>
        <w:rPr>
          <w:rFonts w:hint="eastAsia" w:ascii="黑体" w:hAnsi="Times New Roman" w:eastAsia="黑体"/>
          <w:b w:val="0"/>
          <w:bCs/>
          <w:color w:val="auto"/>
          <w:sz w:val="30"/>
          <w:szCs w:val="30"/>
          <w:highlight w:val="none"/>
          <w:lang w:val="en-US" w:eastAsia="zh-CN"/>
        </w:rPr>
        <w:t>2025年3月31日</w:t>
      </w:r>
    </w:p>
    <w:p w14:paraId="61828F27">
      <w:pPr>
        <w:pageBreakBefore w:val="0"/>
        <w:kinsoku/>
        <w:wordWrap/>
        <w:overflowPunct/>
        <w:topLinePunct w:val="0"/>
        <w:autoSpaceDE/>
        <w:autoSpaceDN/>
        <w:bidi w:val="0"/>
        <w:spacing w:line="560" w:lineRule="exact"/>
        <w:textAlignment w:val="auto"/>
        <w:rPr>
          <w:rFonts w:hint="eastAsia"/>
          <w:color w:val="auto"/>
          <w:highlight w:val="none"/>
          <w:lang w:val="en-US" w:eastAsia="zh-CN"/>
        </w:rPr>
      </w:pPr>
      <w:r>
        <w:rPr>
          <w:rFonts w:hint="eastAsia"/>
          <w:color w:val="auto"/>
          <w:highlight w:val="none"/>
          <w:lang w:val="en-US" w:eastAsia="zh-CN"/>
        </w:rPr>
        <w:br w:type="page"/>
      </w:r>
    </w:p>
    <w:p w14:paraId="064EA72C">
      <w:pPr>
        <w:pageBreakBefore w:val="0"/>
        <w:kinsoku/>
        <w:wordWrap/>
        <w:overflowPunct/>
        <w:topLinePunct w:val="0"/>
        <w:autoSpaceDE/>
        <w:autoSpaceDN/>
        <w:bidi w:val="0"/>
        <w:spacing w:line="560" w:lineRule="exact"/>
        <w:textAlignment w:val="auto"/>
        <w:rPr>
          <w:rFonts w:hint="eastAsia"/>
          <w:color w:val="auto"/>
          <w:highlight w:val="none"/>
          <w:lang w:val="en-US" w:eastAsia="zh-CN"/>
        </w:rPr>
      </w:pPr>
    </w:p>
    <w:sdt>
      <w:sdtPr>
        <w:rPr>
          <w:rFonts w:ascii="宋体" w:hAnsi="宋体" w:eastAsia="宋体" w:cs="宋体"/>
          <w:b/>
          <w:bCs/>
          <w:color w:val="auto"/>
          <w:kern w:val="2"/>
          <w:sz w:val="28"/>
          <w:szCs w:val="40"/>
          <w:highlight w:val="none"/>
          <w:lang w:val="en-US" w:eastAsia="zh-CN" w:bidi="ar-SA"/>
        </w:rPr>
        <w:id w:val="147474046"/>
        <w15:color w:val="DBDBDB"/>
        <w:docPartObj>
          <w:docPartGallery w:val="Table of Contents"/>
          <w:docPartUnique/>
        </w:docPartObj>
      </w:sdtPr>
      <w:sdtEndPr>
        <w:rPr>
          <w:rFonts w:hint="eastAsia" w:ascii="宋体" w:hAnsi="宋体" w:eastAsia="宋体" w:cs="宋体"/>
          <w:b/>
          <w:bCs/>
          <w:color w:val="auto"/>
          <w:kern w:val="2"/>
          <w:sz w:val="28"/>
          <w:szCs w:val="28"/>
          <w:highlight w:val="none"/>
          <w:lang w:val="en-US" w:eastAsia="zh-CN" w:bidi="ar-SA"/>
        </w:rPr>
      </w:sdtEndPr>
      <w:sdtContent>
        <w:p w14:paraId="6999B717">
          <w:pPr>
            <w:keepNext w:val="0"/>
            <w:keepLines w:val="0"/>
            <w:pageBreakBefore w:val="0"/>
            <w:shd w:val="clea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b/>
              <w:bCs/>
              <w:color w:val="auto"/>
              <w:sz w:val="40"/>
              <w:szCs w:val="40"/>
              <w:highlight w:val="none"/>
            </w:rPr>
          </w:pPr>
          <w:r>
            <w:rPr>
              <w:rFonts w:ascii="宋体" w:hAnsi="宋体" w:eastAsia="宋体"/>
              <w:b/>
              <w:bCs/>
              <w:color w:val="auto"/>
              <w:sz w:val="40"/>
              <w:szCs w:val="40"/>
              <w:highlight w:val="none"/>
            </w:rPr>
            <w:t>目录</w:t>
          </w:r>
        </w:p>
        <w:p w14:paraId="173645F6">
          <w:pPr>
            <w:pStyle w:val="10"/>
            <w:tabs>
              <w:tab w:val="right" w:leader="dot" w:pos="8844"/>
            </w:tabs>
            <w:rPr>
              <w:color w:val="auto"/>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TOC \o "1-3" \h \u </w:instrText>
          </w:r>
          <w:r>
            <w:rPr>
              <w:rFonts w:hint="eastAsia"/>
              <w:color w:val="auto"/>
              <w:sz w:val="28"/>
              <w:szCs w:val="28"/>
              <w:highlight w:val="none"/>
              <w:lang w:val="en-US" w:eastAsia="zh-CN"/>
            </w:rPr>
            <w:fldChar w:fldCharType="separate"/>
          </w:r>
        </w:p>
        <w:p w14:paraId="397978FB">
          <w:pPr>
            <w:pStyle w:val="10"/>
            <w:tabs>
              <w:tab w:val="right" w:leader="dot" w:pos="8844"/>
            </w:tabs>
            <w:rPr>
              <w:color w:val="auto"/>
              <w:highlight w:val="none"/>
            </w:rPr>
          </w:pPr>
          <w:r>
            <w:rPr>
              <w:rFonts w:hint="eastAsia"/>
              <w:color w:val="auto"/>
              <w:szCs w:val="28"/>
              <w:highlight w:val="none"/>
              <w:lang w:val="en-US" w:eastAsia="zh-CN"/>
            </w:rPr>
            <w:fldChar w:fldCharType="begin"/>
          </w:r>
          <w:r>
            <w:rPr>
              <w:rFonts w:hint="eastAsia"/>
              <w:color w:val="auto"/>
              <w:szCs w:val="28"/>
              <w:highlight w:val="none"/>
              <w:lang w:val="en-US" w:eastAsia="zh-CN"/>
            </w:rPr>
            <w:instrText xml:space="preserve"> HYPERLINK \l _Toc18485 </w:instrText>
          </w:r>
          <w:r>
            <w:rPr>
              <w:rFonts w:hint="eastAsia"/>
              <w:color w:val="auto"/>
              <w:szCs w:val="28"/>
              <w:highlight w:val="none"/>
              <w:lang w:val="en-US" w:eastAsia="zh-CN"/>
            </w:rPr>
            <w:fldChar w:fldCharType="separate"/>
          </w:r>
          <w:r>
            <w:rPr>
              <w:rFonts w:hint="eastAsia" w:ascii="黑体" w:hAnsi="黑体" w:eastAsia="黑体" w:cs="黑体"/>
              <w:bCs w:val="0"/>
              <w:color w:val="auto"/>
              <w:highlight w:val="none"/>
              <w:shd w:val="clear" w:color="auto" w:fill="auto"/>
            </w:rPr>
            <w:t>一、基本情况</w:t>
          </w:r>
          <w:r>
            <w:rPr>
              <w:color w:val="auto"/>
              <w:highlight w:val="none"/>
            </w:rPr>
            <w:tab/>
          </w:r>
          <w:r>
            <w:rPr>
              <w:color w:val="auto"/>
              <w:highlight w:val="none"/>
            </w:rPr>
            <w:fldChar w:fldCharType="begin"/>
          </w:r>
          <w:r>
            <w:rPr>
              <w:color w:val="auto"/>
              <w:highlight w:val="none"/>
            </w:rPr>
            <w:instrText xml:space="preserve"> PAGEREF _Toc18485 \h </w:instrText>
          </w:r>
          <w:r>
            <w:rPr>
              <w:color w:val="auto"/>
              <w:highlight w:val="none"/>
            </w:rPr>
            <w:fldChar w:fldCharType="separate"/>
          </w:r>
          <w:r>
            <w:rPr>
              <w:color w:val="auto"/>
              <w:highlight w:val="none"/>
            </w:rPr>
            <w:t>4</w:t>
          </w:r>
          <w:r>
            <w:rPr>
              <w:color w:val="auto"/>
              <w:highlight w:val="none"/>
            </w:rPr>
            <w:fldChar w:fldCharType="end"/>
          </w:r>
          <w:r>
            <w:rPr>
              <w:rFonts w:hint="eastAsia"/>
              <w:color w:val="auto"/>
              <w:szCs w:val="28"/>
              <w:highlight w:val="none"/>
              <w:lang w:val="en-US" w:eastAsia="zh-CN"/>
            </w:rPr>
            <w:fldChar w:fldCharType="end"/>
          </w:r>
        </w:p>
        <w:p w14:paraId="2ADF84CE">
          <w:pPr>
            <w:pStyle w:val="10"/>
            <w:tabs>
              <w:tab w:val="right" w:leader="dot" w:pos="8844"/>
            </w:tabs>
            <w:rPr>
              <w:color w:val="auto"/>
              <w:highlight w:val="none"/>
            </w:rPr>
          </w:pPr>
          <w:r>
            <w:rPr>
              <w:rFonts w:hint="eastAsia"/>
              <w:color w:val="auto"/>
              <w:szCs w:val="28"/>
              <w:highlight w:val="none"/>
              <w:lang w:val="en-US" w:eastAsia="zh-CN"/>
            </w:rPr>
            <w:fldChar w:fldCharType="begin"/>
          </w:r>
          <w:r>
            <w:rPr>
              <w:rFonts w:hint="eastAsia"/>
              <w:color w:val="auto"/>
              <w:szCs w:val="28"/>
              <w:highlight w:val="none"/>
              <w:lang w:val="en-US" w:eastAsia="zh-CN"/>
            </w:rPr>
            <w:instrText xml:space="preserve"> HYPERLINK \l _Toc23184 </w:instrText>
          </w:r>
          <w:r>
            <w:rPr>
              <w:rFonts w:hint="eastAsia"/>
              <w:color w:val="auto"/>
              <w:szCs w:val="28"/>
              <w:highlight w:val="none"/>
              <w:lang w:val="en-US" w:eastAsia="zh-CN"/>
            </w:rPr>
            <w:fldChar w:fldCharType="separate"/>
          </w:r>
          <w:r>
            <w:rPr>
              <w:rFonts w:hint="eastAsia" w:ascii="Times New Roman" w:hAnsi="Times New Roman" w:eastAsia="楷体_GB2312" w:cs="Times New Roman"/>
              <w:color w:val="auto"/>
              <w:kern w:val="28"/>
              <w:highlight w:val="none"/>
              <w:lang w:val="en-US" w:eastAsia="zh-CN"/>
            </w:rPr>
            <w:t>（一）项目概况</w:t>
          </w:r>
          <w:r>
            <w:rPr>
              <w:color w:val="auto"/>
              <w:highlight w:val="none"/>
            </w:rPr>
            <w:tab/>
          </w:r>
          <w:r>
            <w:rPr>
              <w:color w:val="auto"/>
              <w:highlight w:val="none"/>
            </w:rPr>
            <w:fldChar w:fldCharType="begin"/>
          </w:r>
          <w:r>
            <w:rPr>
              <w:color w:val="auto"/>
              <w:highlight w:val="none"/>
            </w:rPr>
            <w:instrText xml:space="preserve"> PAGEREF _Toc23184 \h </w:instrText>
          </w:r>
          <w:r>
            <w:rPr>
              <w:color w:val="auto"/>
              <w:highlight w:val="none"/>
            </w:rPr>
            <w:fldChar w:fldCharType="separate"/>
          </w:r>
          <w:r>
            <w:rPr>
              <w:color w:val="auto"/>
              <w:highlight w:val="none"/>
            </w:rPr>
            <w:t>4</w:t>
          </w:r>
          <w:r>
            <w:rPr>
              <w:color w:val="auto"/>
              <w:highlight w:val="none"/>
            </w:rPr>
            <w:fldChar w:fldCharType="end"/>
          </w:r>
          <w:r>
            <w:rPr>
              <w:rFonts w:hint="eastAsia"/>
              <w:color w:val="auto"/>
              <w:szCs w:val="28"/>
              <w:highlight w:val="none"/>
              <w:lang w:val="en-US" w:eastAsia="zh-CN"/>
            </w:rPr>
            <w:fldChar w:fldCharType="end"/>
          </w:r>
        </w:p>
        <w:p w14:paraId="5442B47F">
          <w:pPr>
            <w:pStyle w:val="10"/>
            <w:tabs>
              <w:tab w:val="right" w:leader="dot" w:pos="8844"/>
            </w:tabs>
            <w:rPr>
              <w:color w:val="auto"/>
              <w:highlight w:val="none"/>
            </w:rPr>
          </w:pPr>
          <w:r>
            <w:rPr>
              <w:rFonts w:hint="eastAsia"/>
              <w:color w:val="auto"/>
              <w:szCs w:val="28"/>
              <w:highlight w:val="none"/>
              <w:lang w:val="en-US" w:eastAsia="zh-CN"/>
            </w:rPr>
            <w:fldChar w:fldCharType="begin"/>
          </w:r>
          <w:r>
            <w:rPr>
              <w:rFonts w:hint="eastAsia"/>
              <w:color w:val="auto"/>
              <w:szCs w:val="28"/>
              <w:highlight w:val="none"/>
              <w:lang w:val="en-US" w:eastAsia="zh-CN"/>
            </w:rPr>
            <w:instrText xml:space="preserve"> HYPERLINK \l _Toc9109 </w:instrText>
          </w:r>
          <w:r>
            <w:rPr>
              <w:rFonts w:hint="eastAsia"/>
              <w:color w:val="auto"/>
              <w:szCs w:val="28"/>
              <w:highlight w:val="none"/>
              <w:lang w:val="en-US" w:eastAsia="zh-CN"/>
            </w:rPr>
            <w:fldChar w:fldCharType="separate"/>
          </w:r>
          <w:r>
            <w:rPr>
              <w:rFonts w:hint="eastAsia" w:ascii="Times New Roman" w:hAnsi="Times New Roman" w:eastAsia="楷体_GB2312" w:cs="Times New Roman"/>
              <w:color w:val="auto"/>
              <w:kern w:val="28"/>
              <w:highlight w:val="none"/>
              <w:lang w:val="en-US" w:eastAsia="zh-CN"/>
            </w:rPr>
            <w:t>（二）项目绩效目标</w:t>
          </w:r>
          <w:r>
            <w:rPr>
              <w:color w:val="auto"/>
              <w:highlight w:val="none"/>
            </w:rPr>
            <w:tab/>
          </w:r>
          <w:r>
            <w:rPr>
              <w:color w:val="auto"/>
              <w:highlight w:val="none"/>
            </w:rPr>
            <w:fldChar w:fldCharType="begin"/>
          </w:r>
          <w:r>
            <w:rPr>
              <w:color w:val="auto"/>
              <w:highlight w:val="none"/>
            </w:rPr>
            <w:instrText xml:space="preserve"> PAGEREF _Toc9109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szCs w:val="28"/>
              <w:highlight w:val="none"/>
              <w:lang w:val="en-US" w:eastAsia="zh-CN"/>
            </w:rPr>
            <w:fldChar w:fldCharType="end"/>
          </w:r>
        </w:p>
        <w:p w14:paraId="6F6949DC">
          <w:pPr>
            <w:pStyle w:val="10"/>
            <w:tabs>
              <w:tab w:val="right" w:leader="dot" w:pos="8844"/>
            </w:tabs>
            <w:rPr>
              <w:rFonts w:hint="eastAsia" w:ascii="黑体" w:hAnsi="黑体" w:eastAsia="黑体" w:cs="黑体"/>
              <w:color w:val="auto"/>
              <w:highlight w:val="none"/>
            </w:rPr>
          </w:pPr>
          <w:r>
            <w:rPr>
              <w:rFonts w:hint="eastAsia" w:ascii="黑体" w:hAnsi="黑体" w:eastAsia="黑体" w:cs="黑体"/>
              <w:color w:val="auto"/>
              <w:szCs w:val="28"/>
              <w:highlight w:val="none"/>
              <w:lang w:val="en-US" w:eastAsia="zh-CN"/>
            </w:rPr>
            <w:fldChar w:fldCharType="begin"/>
          </w:r>
          <w:r>
            <w:rPr>
              <w:rFonts w:hint="eastAsia" w:ascii="黑体" w:hAnsi="黑体" w:eastAsia="黑体" w:cs="黑体"/>
              <w:color w:val="auto"/>
              <w:szCs w:val="28"/>
              <w:highlight w:val="none"/>
              <w:lang w:val="en-US" w:eastAsia="zh-CN"/>
            </w:rPr>
            <w:instrText xml:space="preserve"> HYPERLINK \l _Toc26567 </w:instrText>
          </w:r>
          <w:r>
            <w:rPr>
              <w:rFonts w:hint="eastAsia" w:ascii="黑体" w:hAnsi="黑体" w:eastAsia="黑体" w:cs="黑体"/>
              <w:color w:val="auto"/>
              <w:szCs w:val="28"/>
              <w:highlight w:val="none"/>
              <w:lang w:val="en-US" w:eastAsia="zh-CN"/>
            </w:rPr>
            <w:fldChar w:fldCharType="separate"/>
          </w:r>
          <w:r>
            <w:rPr>
              <w:rFonts w:hint="eastAsia" w:ascii="黑体" w:hAnsi="黑体" w:eastAsia="黑体" w:cs="黑体"/>
              <w:bCs/>
              <w:color w:val="auto"/>
              <w:highlight w:val="none"/>
              <w:shd w:val="clear" w:color="auto" w:fill="auto"/>
            </w:rPr>
            <w:t>二、绩效评价工作开展情况</w:t>
          </w:r>
          <w:r>
            <w:rPr>
              <w:rFonts w:hint="eastAsia" w:ascii="黑体" w:hAnsi="黑体" w:eastAsia="黑体" w:cs="黑体"/>
              <w:color w:val="auto"/>
              <w:highlight w:val="none"/>
            </w:rPr>
            <w:tab/>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PAGEREF _Toc26567 \h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7</w:t>
          </w:r>
          <w:r>
            <w:rPr>
              <w:rFonts w:hint="eastAsia" w:ascii="黑体" w:hAnsi="黑体" w:eastAsia="黑体" w:cs="黑体"/>
              <w:color w:val="auto"/>
              <w:highlight w:val="none"/>
            </w:rPr>
            <w:fldChar w:fldCharType="end"/>
          </w:r>
          <w:r>
            <w:rPr>
              <w:rFonts w:hint="eastAsia" w:ascii="黑体" w:hAnsi="黑体" w:eastAsia="黑体" w:cs="黑体"/>
              <w:color w:val="auto"/>
              <w:szCs w:val="28"/>
              <w:highlight w:val="none"/>
              <w:lang w:val="en-US" w:eastAsia="zh-CN"/>
            </w:rPr>
            <w:fldChar w:fldCharType="end"/>
          </w:r>
        </w:p>
        <w:p w14:paraId="2D05068A">
          <w:pPr>
            <w:pStyle w:val="10"/>
            <w:tabs>
              <w:tab w:val="right" w:leader="dot" w:pos="8844"/>
            </w:tabs>
            <w:rPr>
              <w:color w:val="auto"/>
              <w:highlight w:val="none"/>
            </w:rPr>
          </w:pPr>
          <w:r>
            <w:rPr>
              <w:rFonts w:hint="eastAsia"/>
              <w:color w:val="auto"/>
              <w:szCs w:val="28"/>
              <w:highlight w:val="none"/>
              <w:lang w:val="en-US" w:eastAsia="zh-CN"/>
            </w:rPr>
            <w:fldChar w:fldCharType="begin"/>
          </w:r>
          <w:r>
            <w:rPr>
              <w:rFonts w:hint="eastAsia"/>
              <w:color w:val="auto"/>
              <w:szCs w:val="28"/>
              <w:highlight w:val="none"/>
              <w:lang w:val="en-US" w:eastAsia="zh-CN"/>
            </w:rPr>
            <w:instrText xml:space="preserve"> HYPERLINK \l _Toc22839 </w:instrText>
          </w:r>
          <w:r>
            <w:rPr>
              <w:rFonts w:hint="eastAsia"/>
              <w:color w:val="auto"/>
              <w:szCs w:val="28"/>
              <w:highlight w:val="none"/>
              <w:lang w:val="en-US" w:eastAsia="zh-CN"/>
            </w:rPr>
            <w:fldChar w:fldCharType="separate"/>
          </w:r>
          <w:r>
            <w:rPr>
              <w:rFonts w:hint="eastAsia" w:ascii="Times New Roman" w:hAnsi="Times New Roman" w:eastAsia="楷体_GB2312" w:cs="Times New Roman"/>
              <w:color w:val="auto"/>
              <w:kern w:val="28"/>
              <w:highlight w:val="none"/>
              <w:lang w:val="en-US" w:eastAsia="zh-CN"/>
            </w:rPr>
            <w:t>（一）绩效评价的目的、对象和范围</w:t>
          </w:r>
          <w:r>
            <w:rPr>
              <w:color w:val="auto"/>
              <w:highlight w:val="none"/>
            </w:rPr>
            <w:tab/>
          </w:r>
          <w:r>
            <w:rPr>
              <w:color w:val="auto"/>
              <w:highlight w:val="none"/>
            </w:rPr>
            <w:fldChar w:fldCharType="begin"/>
          </w:r>
          <w:r>
            <w:rPr>
              <w:color w:val="auto"/>
              <w:highlight w:val="none"/>
            </w:rPr>
            <w:instrText xml:space="preserve"> PAGEREF _Toc22839 \h </w:instrText>
          </w:r>
          <w:r>
            <w:rPr>
              <w:color w:val="auto"/>
              <w:highlight w:val="none"/>
            </w:rPr>
            <w:fldChar w:fldCharType="separate"/>
          </w:r>
          <w:r>
            <w:rPr>
              <w:color w:val="auto"/>
              <w:highlight w:val="none"/>
            </w:rPr>
            <w:t>7</w:t>
          </w:r>
          <w:r>
            <w:rPr>
              <w:color w:val="auto"/>
              <w:highlight w:val="none"/>
            </w:rPr>
            <w:fldChar w:fldCharType="end"/>
          </w:r>
          <w:r>
            <w:rPr>
              <w:rFonts w:hint="eastAsia"/>
              <w:color w:val="auto"/>
              <w:szCs w:val="28"/>
              <w:highlight w:val="none"/>
              <w:lang w:val="en-US" w:eastAsia="zh-CN"/>
            </w:rPr>
            <w:fldChar w:fldCharType="end"/>
          </w:r>
        </w:p>
        <w:p w14:paraId="573095CD">
          <w:pPr>
            <w:pStyle w:val="10"/>
            <w:tabs>
              <w:tab w:val="right" w:leader="dot" w:pos="8844"/>
            </w:tabs>
            <w:rPr>
              <w:color w:val="auto"/>
              <w:highlight w:val="none"/>
            </w:rPr>
          </w:pPr>
          <w:r>
            <w:rPr>
              <w:rFonts w:hint="eastAsia"/>
              <w:color w:val="auto"/>
              <w:szCs w:val="28"/>
              <w:highlight w:val="none"/>
              <w:lang w:val="en-US" w:eastAsia="zh-CN"/>
            </w:rPr>
            <w:fldChar w:fldCharType="begin"/>
          </w:r>
          <w:r>
            <w:rPr>
              <w:rFonts w:hint="eastAsia"/>
              <w:color w:val="auto"/>
              <w:szCs w:val="28"/>
              <w:highlight w:val="none"/>
              <w:lang w:val="en-US" w:eastAsia="zh-CN"/>
            </w:rPr>
            <w:instrText xml:space="preserve"> HYPERLINK \l _Toc29785 </w:instrText>
          </w:r>
          <w:r>
            <w:rPr>
              <w:rFonts w:hint="eastAsia"/>
              <w:color w:val="auto"/>
              <w:szCs w:val="28"/>
              <w:highlight w:val="none"/>
              <w:lang w:val="en-US" w:eastAsia="zh-CN"/>
            </w:rPr>
            <w:fldChar w:fldCharType="separate"/>
          </w:r>
          <w:r>
            <w:rPr>
              <w:rFonts w:hint="eastAsia" w:ascii="Times New Roman" w:hAnsi="Times New Roman" w:eastAsia="楷体_GB2312" w:cs="Times New Roman"/>
              <w:color w:val="auto"/>
              <w:kern w:val="28"/>
              <w:highlight w:val="none"/>
              <w:lang w:val="en-US" w:eastAsia="zh-CN"/>
            </w:rPr>
            <w:t>（二）绩效评价原则、评价指标体系（</w:t>
          </w:r>
          <w:r>
            <w:rPr>
              <w:rFonts w:hint="default" w:ascii="Times New Roman" w:hAnsi="Times New Roman" w:eastAsia="楷体_GB2312" w:cs="Times New Roman"/>
              <w:color w:val="auto"/>
              <w:kern w:val="28"/>
              <w:highlight w:val="none"/>
              <w:lang w:val="en-US" w:eastAsia="zh-CN"/>
            </w:rPr>
            <w:t>详情见</w:t>
          </w:r>
          <w:r>
            <w:rPr>
              <w:rFonts w:hint="eastAsia" w:ascii="Times New Roman" w:hAnsi="Times New Roman" w:eastAsia="楷体_GB2312" w:cs="Times New Roman"/>
              <w:color w:val="auto"/>
              <w:kern w:val="28"/>
              <w:highlight w:val="none"/>
              <w:lang w:val="en-US" w:eastAsia="zh-CN"/>
            </w:rPr>
            <w:t>附件二）、评价方法、评价标准</w:t>
          </w:r>
          <w:r>
            <w:rPr>
              <w:color w:val="auto"/>
              <w:highlight w:val="none"/>
            </w:rPr>
            <w:tab/>
          </w:r>
          <w:r>
            <w:rPr>
              <w:color w:val="auto"/>
              <w:highlight w:val="none"/>
            </w:rPr>
            <w:fldChar w:fldCharType="begin"/>
          </w:r>
          <w:r>
            <w:rPr>
              <w:color w:val="auto"/>
              <w:highlight w:val="none"/>
            </w:rPr>
            <w:instrText xml:space="preserve"> PAGEREF _Toc29785 \h </w:instrText>
          </w:r>
          <w:r>
            <w:rPr>
              <w:color w:val="auto"/>
              <w:highlight w:val="none"/>
            </w:rPr>
            <w:fldChar w:fldCharType="separate"/>
          </w:r>
          <w:r>
            <w:rPr>
              <w:color w:val="auto"/>
              <w:highlight w:val="none"/>
            </w:rPr>
            <w:t>11</w:t>
          </w:r>
          <w:r>
            <w:rPr>
              <w:color w:val="auto"/>
              <w:highlight w:val="none"/>
            </w:rPr>
            <w:fldChar w:fldCharType="end"/>
          </w:r>
          <w:r>
            <w:rPr>
              <w:rFonts w:hint="eastAsia"/>
              <w:color w:val="auto"/>
              <w:szCs w:val="28"/>
              <w:highlight w:val="none"/>
              <w:lang w:val="en-US" w:eastAsia="zh-CN"/>
            </w:rPr>
            <w:fldChar w:fldCharType="end"/>
          </w:r>
        </w:p>
        <w:p w14:paraId="69898A82">
          <w:pPr>
            <w:pStyle w:val="10"/>
            <w:tabs>
              <w:tab w:val="right" w:leader="dot" w:pos="8844"/>
            </w:tabs>
            <w:rPr>
              <w:color w:val="auto"/>
              <w:highlight w:val="none"/>
            </w:rPr>
          </w:pPr>
          <w:r>
            <w:rPr>
              <w:rFonts w:hint="eastAsia"/>
              <w:color w:val="auto"/>
              <w:szCs w:val="28"/>
              <w:highlight w:val="none"/>
              <w:lang w:val="en-US" w:eastAsia="zh-CN"/>
            </w:rPr>
            <w:fldChar w:fldCharType="begin"/>
          </w:r>
          <w:r>
            <w:rPr>
              <w:rFonts w:hint="eastAsia"/>
              <w:color w:val="auto"/>
              <w:szCs w:val="28"/>
              <w:highlight w:val="none"/>
              <w:lang w:val="en-US" w:eastAsia="zh-CN"/>
            </w:rPr>
            <w:instrText xml:space="preserve"> HYPERLINK \l _Toc21435 </w:instrText>
          </w:r>
          <w:r>
            <w:rPr>
              <w:rFonts w:hint="eastAsia"/>
              <w:color w:val="auto"/>
              <w:szCs w:val="28"/>
              <w:highlight w:val="none"/>
              <w:lang w:val="en-US" w:eastAsia="zh-CN"/>
            </w:rPr>
            <w:fldChar w:fldCharType="separate"/>
          </w:r>
          <w:r>
            <w:rPr>
              <w:rFonts w:hint="eastAsia" w:ascii="Times New Roman" w:hAnsi="Times New Roman" w:eastAsia="楷体_GB2312" w:cs="Times New Roman"/>
              <w:color w:val="auto"/>
              <w:kern w:val="28"/>
              <w:highlight w:val="none"/>
              <w:lang w:val="en-US" w:eastAsia="zh-CN"/>
            </w:rPr>
            <w:t>（三）绩效评价工作过程</w:t>
          </w:r>
          <w:r>
            <w:rPr>
              <w:color w:val="auto"/>
              <w:highlight w:val="none"/>
            </w:rPr>
            <w:tab/>
          </w:r>
          <w:r>
            <w:rPr>
              <w:color w:val="auto"/>
              <w:highlight w:val="none"/>
            </w:rPr>
            <w:fldChar w:fldCharType="begin"/>
          </w:r>
          <w:r>
            <w:rPr>
              <w:color w:val="auto"/>
              <w:highlight w:val="none"/>
            </w:rPr>
            <w:instrText xml:space="preserve"> PAGEREF _Toc21435 \h </w:instrText>
          </w:r>
          <w:r>
            <w:rPr>
              <w:color w:val="auto"/>
              <w:highlight w:val="none"/>
            </w:rPr>
            <w:fldChar w:fldCharType="separate"/>
          </w:r>
          <w:r>
            <w:rPr>
              <w:color w:val="auto"/>
              <w:highlight w:val="none"/>
            </w:rPr>
            <w:t>14</w:t>
          </w:r>
          <w:r>
            <w:rPr>
              <w:color w:val="auto"/>
              <w:highlight w:val="none"/>
            </w:rPr>
            <w:fldChar w:fldCharType="end"/>
          </w:r>
          <w:r>
            <w:rPr>
              <w:rFonts w:hint="eastAsia"/>
              <w:color w:val="auto"/>
              <w:szCs w:val="28"/>
              <w:highlight w:val="none"/>
              <w:lang w:val="en-US" w:eastAsia="zh-CN"/>
            </w:rPr>
            <w:fldChar w:fldCharType="end"/>
          </w:r>
        </w:p>
        <w:p w14:paraId="7B954442">
          <w:pPr>
            <w:pStyle w:val="10"/>
            <w:tabs>
              <w:tab w:val="right" w:leader="dot" w:pos="8844"/>
            </w:tabs>
            <w:rPr>
              <w:color w:val="auto"/>
              <w:highlight w:val="none"/>
            </w:rPr>
          </w:pPr>
          <w:r>
            <w:rPr>
              <w:rFonts w:hint="eastAsia"/>
              <w:color w:val="auto"/>
              <w:szCs w:val="28"/>
              <w:highlight w:val="none"/>
              <w:lang w:val="en-US" w:eastAsia="zh-CN"/>
            </w:rPr>
            <w:fldChar w:fldCharType="begin"/>
          </w:r>
          <w:r>
            <w:rPr>
              <w:rFonts w:hint="eastAsia"/>
              <w:color w:val="auto"/>
              <w:szCs w:val="28"/>
              <w:highlight w:val="none"/>
              <w:lang w:val="en-US" w:eastAsia="zh-CN"/>
            </w:rPr>
            <w:instrText xml:space="preserve"> HYPERLINK \l _Toc19261 </w:instrText>
          </w:r>
          <w:r>
            <w:rPr>
              <w:rFonts w:hint="eastAsia"/>
              <w:color w:val="auto"/>
              <w:szCs w:val="28"/>
              <w:highlight w:val="none"/>
              <w:lang w:val="en-US" w:eastAsia="zh-CN"/>
            </w:rPr>
            <w:fldChar w:fldCharType="separate"/>
          </w:r>
          <w:r>
            <w:rPr>
              <w:rFonts w:hint="eastAsia" w:ascii="黑体" w:hAnsi="黑体" w:eastAsia="黑体" w:cs="黑体"/>
              <w:bCs w:val="0"/>
              <w:color w:val="auto"/>
              <w:highlight w:val="none"/>
              <w:shd w:val="clear" w:color="auto" w:fill="auto"/>
              <w:lang w:val="en-US" w:eastAsia="zh-CN"/>
            </w:rPr>
            <w:t>三、</w:t>
          </w:r>
          <w:r>
            <w:rPr>
              <w:rFonts w:hint="eastAsia" w:ascii="黑体" w:hAnsi="黑体" w:eastAsia="黑体" w:cs="黑体"/>
              <w:bCs w:val="0"/>
              <w:color w:val="auto"/>
              <w:highlight w:val="none"/>
              <w:shd w:val="clear" w:color="auto" w:fill="auto"/>
            </w:rPr>
            <w:t>综合评价情况及评价结论</w:t>
          </w:r>
          <w:r>
            <w:rPr>
              <w:color w:val="auto"/>
              <w:highlight w:val="none"/>
            </w:rPr>
            <w:tab/>
          </w:r>
          <w:r>
            <w:rPr>
              <w:color w:val="auto"/>
              <w:highlight w:val="none"/>
            </w:rPr>
            <w:fldChar w:fldCharType="begin"/>
          </w:r>
          <w:r>
            <w:rPr>
              <w:color w:val="auto"/>
              <w:highlight w:val="none"/>
            </w:rPr>
            <w:instrText xml:space="preserve"> PAGEREF _Toc19261 \h </w:instrText>
          </w:r>
          <w:r>
            <w:rPr>
              <w:color w:val="auto"/>
              <w:highlight w:val="none"/>
            </w:rPr>
            <w:fldChar w:fldCharType="separate"/>
          </w:r>
          <w:r>
            <w:rPr>
              <w:color w:val="auto"/>
              <w:highlight w:val="none"/>
            </w:rPr>
            <w:t>16</w:t>
          </w:r>
          <w:r>
            <w:rPr>
              <w:color w:val="auto"/>
              <w:highlight w:val="none"/>
            </w:rPr>
            <w:fldChar w:fldCharType="end"/>
          </w:r>
          <w:r>
            <w:rPr>
              <w:rFonts w:hint="eastAsia"/>
              <w:color w:val="auto"/>
              <w:szCs w:val="28"/>
              <w:highlight w:val="none"/>
              <w:lang w:val="en-US" w:eastAsia="zh-CN"/>
            </w:rPr>
            <w:fldChar w:fldCharType="end"/>
          </w:r>
        </w:p>
        <w:p w14:paraId="0E74D588">
          <w:pPr>
            <w:pStyle w:val="10"/>
            <w:tabs>
              <w:tab w:val="right" w:leader="dot" w:pos="8844"/>
            </w:tabs>
            <w:rPr>
              <w:color w:val="auto"/>
              <w:highlight w:val="none"/>
            </w:rPr>
          </w:pPr>
          <w:r>
            <w:rPr>
              <w:rFonts w:hint="eastAsia"/>
              <w:color w:val="auto"/>
              <w:szCs w:val="28"/>
              <w:highlight w:val="none"/>
              <w:lang w:val="en-US" w:eastAsia="zh-CN"/>
            </w:rPr>
            <w:fldChar w:fldCharType="begin"/>
          </w:r>
          <w:r>
            <w:rPr>
              <w:rFonts w:hint="eastAsia"/>
              <w:color w:val="auto"/>
              <w:szCs w:val="28"/>
              <w:highlight w:val="none"/>
              <w:lang w:val="en-US" w:eastAsia="zh-CN"/>
            </w:rPr>
            <w:instrText xml:space="preserve"> HYPERLINK \l _Toc23319 </w:instrText>
          </w:r>
          <w:r>
            <w:rPr>
              <w:rFonts w:hint="eastAsia"/>
              <w:color w:val="auto"/>
              <w:szCs w:val="28"/>
              <w:highlight w:val="none"/>
              <w:lang w:val="en-US" w:eastAsia="zh-CN"/>
            </w:rPr>
            <w:fldChar w:fldCharType="separate"/>
          </w:r>
          <w:r>
            <w:rPr>
              <w:rFonts w:hint="eastAsia" w:ascii="Times New Roman" w:hAnsi="Times New Roman" w:eastAsia="楷体_GB2312" w:cs="Times New Roman"/>
              <w:color w:val="auto"/>
              <w:kern w:val="28"/>
              <w:highlight w:val="none"/>
              <w:lang w:val="en-US" w:eastAsia="zh-CN"/>
            </w:rPr>
            <w:t>（一）综合评价情况及评价结论</w:t>
          </w:r>
          <w:r>
            <w:rPr>
              <w:color w:val="auto"/>
              <w:highlight w:val="none"/>
            </w:rPr>
            <w:tab/>
          </w:r>
          <w:r>
            <w:rPr>
              <w:color w:val="auto"/>
              <w:highlight w:val="none"/>
            </w:rPr>
            <w:fldChar w:fldCharType="begin"/>
          </w:r>
          <w:r>
            <w:rPr>
              <w:color w:val="auto"/>
              <w:highlight w:val="none"/>
            </w:rPr>
            <w:instrText xml:space="preserve"> PAGEREF _Toc23319 \h </w:instrText>
          </w:r>
          <w:r>
            <w:rPr>
              <w:color w:val="auto"/>
              <w:highlight w:val="none"/>
            </w:rPr>
            <w:fldChar w:fldCharType="separate"/>
          </w:r>
          <w:r>
            <w:rPr>
              <w:color w:val="auto"/>
              <w:highlight w:val="none"/>
            </w:rPr>
            <w:t>16</w:t>
          </w:r>
          <w:r>
            <w:rPr>
              <w:color w:val="auto"/>
              <w:highlight w:val="none"/>
            </w:rPr>
            <w:fldChar w:fldCharType="end"/>
          </w:r>
          <w:r>
            <w:rPr>
              <w:rFonts w:hint="eastAsia"/>
              <w:color w:val="auto"/>
              <w:szCs w:val="28"/>
              <w:highlight w:val="none"/>
              <w:lang w:val="en-US" w:eastAsia="zh-CN"/>
            </w:rPr>
            <w:fldChar w:fldCharType="end"/>
          </w:r>
        </w:p>
        <w:p w14:paraId="32607FFC">
          <w:pPr>
            <w:pStyle w:val="10"/>
            <w:tabs>
              <w:tab w:val="right" w:leader="dot" w:pos="8844"/>
            </w:tabs>
            <w:rPr>
              <w:color w:val="auto"/>
              <w:highlight w:val="none"/>
            </w:rPr>
          </w:pPr>
          <w:r>
            <w:rPr>
              <w:rFonts w:hint="eastAsia"/>
              <w:color w:val="auto"/>
              <w:szCs w:val="28"/>
              <w:highlight w:val="none"/>
              <w:lang w:val="en-US" w:eastAsia="zh-CN"/>
            </w:rPr>
            <w:fldChar w:fldCharType="begin"/>
          </w:r>
          <w:r>
            <w:rPr>
              <w:rFonts w:hint="eastAsia"/>
              <w:color w:val="auto"/>
              <w:szCs w:val="28"/>
              <w:highlight w:val="none"/>
              <w:lang w:val="en-US" w:eastAsia="zh-CN"/>
            </w:rPr>
            <w:instrText xml:space="preserve"> HYPERLINK \l _Toc11863 </w:instrText>
          </w:r>
          <w:r>
            <w:rPr>
              <w:rFonts w:hint="eastAsia"/>
              <w:color w:val="auto"/>
              <w:szCs w:val="28"/>
              <w:highlight w:val="none"/>
              <w:lang w:val="en-US" w:eastAsia="zh-CN"/>
            </w:rPr>
            <w:fldChar w:fldCharType="separate"/>
          </w:r>
          <w:r>
            <w:rPr>
              <w:rFonts w:hint="eastAsia" w:ascii="Times New Roman" w:hAnsi="Times New Roman" w:eastAsia="楷体_GB2312" w:cs="Times New Roman"/>
              <w:color w:val="auto"/>
              <w:kern w:val="28"/>
              <w:highlight w:val="none"/>
              <w:lang w:val="en-US" w:eastAsia="zh-CN"/>
            </w:rPr>
            <w:t>（二）相关评分表</w:t>
          </w:r>
          <w:r>
            <w:rPr>
              <w:color w:val="auto"/>
              <w:highlight w:val="none"/>
            </w:rPr>
            <w:tab/>
          </w:r>
          <w:r>
            <w:rPr>
              <w:color w:val="auto"/>
              <w:highlight w:val="none"/>
            </w:rPr>
            <w:fldChar w:fldCharType="begin"/>
          </w:r>
          <w:r>
            <w:rPr>
              <w:color w:val="auto"/>
              <w:highlight w:val="none"/>
            </w:rPr>
            <w:instrText xml:space="preserve"> PAGEREF _Toc11863 \h </w:instrText>
          </w:r>
          <w:r>
            <w:rPr>
              <w:color w:val="auto"/>
              <w:highlight w:val="none"/>
            </w:rPr>
            <w:fldChar w:fldCharType="separate"/>
          </w:r>
          <w:r>
            <w:rPr>
              <w:color w:val="auto"/>
              <w:highlight w:val="none"/>
            </w:rPr>
            <w:t>17</w:t>
          </w:r>
          <w:r>
            <w:rPr>
              <w:color w:val="auto"/>
              <w:highlight w:val="none"/>
            </w:rPr>
            <w:fldChar w:fldCharType="end"/>
          </w:r>
          <w:r>
            <w:rPr>
              <w:rFonts w:hint="eastAsia"/>
              <w:color w:val="auto"/>
              <w:szCs w:val="28"/>
              <w:highlight w:val="none"/>
              <w:lang w:val="en-US" w:eastAsia="zh-CN"/>
            </w:rPr>
            <w:fldChar w:fldCharType="end"/>
          </w:r>
        </w:p>
        <w:p w14:paraId="2A03D9D8">
          <w:pPr>
            <w:pStyle w:val="10"/>
            <w:tabs>
              <w:tab w:val="right" w:leader="dot" w:pos="8844"/>
            </w:tabs>
            <w:rPr>
              <w:color w:val="auto"/>
              <w:highlight w:val="none"/>
            </w:rPr>
          </w:pPr>
          <w:r>
            <w:rPr>
              <w:rFonts w:hint="eastAsia"/>
              <w:color w:val="auto"/>
              <w:szCs w:val="28"/>
              <w:highlight w:val="none"/>
              <w:lang w:val="en-US" w:eastAsia="zh-CN"/>
            </w:rPr>
            <w:fldChar w:fldCharType="begin"/>
          </w:r>
          <w:r>
            <w:rPr>
              <w:rFonts w:hint="eastAsia"/>
              <w:color w:val="auto"/>
              <w:szCs w:val="28"/>
              <w:highlight w:val="none"/>
              <w:lang w:val="en-US" w:eastAsia="zh-CN"/>
            </w:rPr>
            <w:instrText xml:space="preserve"> HYPERLINK \l _Toc14941 </w:instrText>
          </w:r>
          <w:r>
            <w:rPr>
              <w:rFonts w:hint="eastAsia"/>
              <w:color w:val="auto"/>
              <w:szCs w:val="28"/>
              <w:highlight w:val="none"/>
              <w:lang w:val="en-US" w:eastAsia="zh-CN"/>
            </w:rPr>
            <w:fldChar w:fldCharType="separate"/>
          </w:r>
          <w:r>
            <w:rPr>
              <w:rFonts w:hint="eastAsia" w:ascii="黑体" w:hAnsi="黑体" w:eastAsia="黑体" w:cs="黑体"/>
              <w:bCs w:val="0"/>
              <w:color w:val="auto"/>
              <w:highlight w:val="none"/>
              <w:shd w:val="clear" w:color="auto" w:fill="auto"/>
              <w:lang w:val="en-US" w:eastAsia="zh-CN"/>
            </w:rPr>
            <w:t>四、绩效评价指标分析</w:t>
          </w:r>
          <w:r>
            <w:rPr>
              <w:color w:val="auto"/>
              <w:highlight w:val="none"/>
            </w:rPr>
            <w:tab/>
          </w:r>
          <w:r>
            <w:rPr>
              <w:color w:val="auto"/>
              <w:highlight w:val="none"/>
            </w:rPr>
            <w:fldChar w:fldCharType="begin"/>
          </w:r>
          <w:r>
            <w:rPr>
              <w:color w:val="auto"/>
              <w:highlight w:val="none"/>
            </w:rPr>
            <w:instrText xml:space="preserve"> PAGEREF _Toc14941 \h </w:instrText>
          </w:r>
          <w:r>
            <w:rPr>
              <w:color w:val="auto"/>
              <w:highlight w:val="none"/>
            </w:rPr>
            <w:fldChar w:fldCharType="separate"/>
          </w:r>
          <w:r>
            <w:rPr>
              <w:color w:val="auto"/>
              <w:highlight w:val="none"/>
            </w:rPr>
            <w:t>18</w:t>
          </w:r>
          <w:r>
            <w:rPr>
              <w:color w:val="auto"/>
              <w:highlight w:val="none"/>
            </w:rPr>
            <w:fldChar w:fldCharType="end"/>
          </w:r>
          <w:r>
            <w:rPr>
              <w:rFonts w:hint="eastAsia"/>
              <w:color w:val="auto"/>
              <w:szCs w:val="28"/>
              <w:highlight w:val="none"/>
              <w:lang w:val="en-US" w:eastAsia="zh-CN"/>
            </w:rPr>
            <w:fldChar w:fldCharType="end"/>
          </w:r>
        </w:p>
        <w:p w14:paraId="50E99CFD">
          <w:pPr>
            <w:pStyle w:val="10"/>
            <w:tabs>
              <w:tab w:val="right" w:leader="dot" w:pos="8844"/>
            </w:tabs>
            <w:rPr>
              <w:color w:val="auto"/>
              <w:highlight w:val="none"/>
            </w:rPr>
          </w:pPr>
          <w:r>
            <w:rPr>
              <w:rFonts w:hint="eastAsia"/>
              <w:color w:val="auto"/>
              <w:szCs w:val="28"/>
              <w:highlight w:val="none"/>
              <w:lang w:val="en-US" w:eastAsia="zh-CN"/>
            </w:rPr>
            <w:fldChar w:fldCharType="begin"/>
          </w:r>
          <w:r>
            <w:rPr>
              <w:rFonts w:hint="eastAsia"/>
              <w:color w:val="auto"/>
              <w:szCs w:val="28"/>
              <w:highlight w:val="none"/>
              <w:lang w:val="en-US" w:eastAsia="zh-CN"/>
            </w:rPr>
            <w:instrText xml:space="preserve"> HYPERLINK \l _Toc6759 </w:instrText>
          </w:r>
          <w:r>
            <w:rPr>
              <w:rFonts w:hint="eastAsia"/>
              <w:color w:val="auto"/>
              <w:szCs w:val="28"/>
              <w:highlight w:val="none"/>
              <w:lang w:val="en-US" w:eastAsia="zh-CN"/>
            </w:rPr>
            <w:fldChar w:fldCharType="separate"/>
          </w:r>
          <w:r>
            <w:rPr>
              <w:rFonts w:hint="eastAsia" w:ascii="Times New Roman" w:hAnsi="Times New Roman" w:eastAsia="楷体_GB2312" w:cs="Times New Roman"/>
              <w:color w:val="auto"/>
              <w:kern w:val="28"/>
              <w:highlight w:val="none"/>
            </w:rPr>
            <w:t>（一）项目决策情况</w:t>
          </w:r>
          <w:r>
            <w:rPr>
              <w:color w:val="auto"/>
              <w:highlight w:val="none"/>
            </w:rPr>
            <w:tab/>
          </w:r>
          <w:r>
            <w:rPr>
              <w:color w:val="auto"/>
              <w:highlight w:val="none"/>
            </w:rPr>
            <w:fldChar w:fldCharType="begin"/>
          </w:r>
          <w:r>
            <w:rPr>
              <w:color w:val="auto"/>
              <w:highlight w:val="none"/>
            </w:rPr>
            <w:instrText xml:space="preserve"> PAGEREF _Toc6759 \h </w:instrText>
          </w:r>
          <w:r>
            <w:rPr>
              <w:color w:val="auto"/>
              <w:highlight w:val="none"/>
            </w:rPr>
            <w:fldChar w:fldCharType="separate"/>
          </w:r>
          <w:r>
            <w:rPr>
              <w:color w:val="auto"/>
              <w:highlight w:val="none"/>
            </w:rPr>
            <w:t>18</w:t>
          </w:r>
          <w:r>
            <w:rPr>
              <w:color w:val="auto"/>
              <w:highlight w:val="none"/>
            </w:rPr>
            <w:fldChar w:fldCharType="end"/>
          </w:r>
          <w:r>
            <w:rPr>
              <w:rFonts w:hint="eastAsia"/>
              <w:color w:val="auto"/>
              <w:szCs w:val="28"/>
              <w:highlight w:val="none"/>
              <w:lang w:val="en-US" w:eastAsia="zh-CN"/>
            </w:rPr>
            <w:fldChar w:fldCharType="end"/>
          </w:r>
        </w:p>
        <w:p w14:paraId="19076925">
          <w:pPr>
            <w:pStyle w:val="10"/>
            <w:tabs>
              <w:tab w:val="right" w:leader="dot" w:pos="8844"/>
            </w:tabs>
            <w:rPr>
              <w:color w:val="auto"/>
              <w:highlight w:val="none"/>
            </w:rPr>
          </w:pPr>
          <w:r>
            <w:rPr>
              <w:rFonts w:hint="eastAsia"/>
              <w:color w:val="auto"/>
              <w:szCs w:val="28"/>
              <w:highlight w:val="none"/>
              <w:lang w:val="en-US" w:eastAsia="zh-CN"/>
            </w:rPr>
            <w:fldChar w:fldCharType="begin"/>
          </w:r>
          <w:r>
            <w:rPr>
              <w:rFonts w:hint="eastAsia"/>
              <w:color w:val="auto"/>
              <w:szCs w:val="28"/>
              <w:highlight w:val="none"/>
              <w:lang w:val="en-US" w:eastAsia="zh-CN"/>
            </w:rPr>
            <w:instrText xml:space="preserve"> HYPERLINK \l _Toc10564 </w:instrText>
          </w:r>
          <w:r>
            <w:rPr>
              <w:rFonts w:hint="eastAsia"/>
              <w:color w:val="auto"/>
              <w:szCs w:val="28"/>
              <w:highlight w:val="none"/>
              <w:lang w:val="en-US" w:eastAsia="zh-CN"/>
            </w:rPr>
            <w:fldChar w:fldCharType="separate"/>
          </w:r>
          <w:r>
            <w:rPr>
              <w:rFonts w:hint="eastAsia" w:ascii="Times New Roman" w:hAnsi="Times New Roman" w:eastAsia="楷体" w:cs="Times New Roman"/>
              <w:color w:val="auto"/>
              <w:kern w:val="28"/>
              <w:highlight w:val="none"/>
              <w:lang w:eastAsia="zh-CN"/>
            </w:rPr>
            <w:t>（</w:t>
          </w:r>
          <w:r>
            <w:rPr>
              <w:rFonts w:hint="eastAsia" w:ascii="Times New Roman" w:hAnsi="Times New Roman" w:eastAsia="楷体" w:cs="Times New Roman"/>
              <w:color w:val="auto"/>
              <w:kern w:val="28"/>
              <w:highlight w:val="none"/>
              <w:lang w:val="en-US" w:eastAsia="zh-CN"/>
            </w:rPr>
            <w:t>二</w:t>
          </w:r>
          <w:r>
            <w:rPr>
              <w:rFonts w:hint="eastAsia" w:ascii="Times New Roman" w:hAnsi="Times New Roman" w:eastAsia="楷体" w:cs="Times New Roman"/>
              <w:color w:val="auto"/>
              <w:kern w:val="28"/>
              <w:highlight w:val="none"/>
              <w:lang w:eastAsia="zh-CN"/>
            </w:rPr>
            <w:t>）</w:t>
          </w:r>
          <w:r>
            <w:rPr>
              <w:rFonts w:hint="eastAsia" w:ascii="Times New Roman" w:hAnsi="Times New Roman" w:eastAsia="楷体" w:cs="Times New Roman"/>
              <w:color w:val="auto"/>
              <w:kern w:val="28"/>
              <w:highlight w:val="none"/>
            </w:rPr>
            <w:t>项目过程情况</w:t>
          </w:r>
          <w:r>
            <w:rPr>
              <w:color w:val="auto"/>
              <w:highlight w:val="none"/>
            </w:rPr>
            <w:tab/>
          </w:r>
          <w:r>
            <w:rPr>
              <w:color w:val="auto"/>
              <w:highlight w:val="none"/>
            </w:rPr>
            <w:fldChar w:fldCharType="begin"/>
          </w:r>
          <w:r>
            <w:rPr>
              <w:color w:val="auto"/>
              <w:highlight w:val="none"/>
            </w:rPr>
            <w:instrText xml:space="preserve"> PAGEREF _Toc10564 \h </w:instrText>
          </w:r>
          <w:r>
            <w:rPr>
              <w:color w:val="auto"/>
              <w:highlight w:val="none"/>
            </w:rPr>
            <w:fldChar w:fldCharType="separate"/>
          </w:r>
          <w:r>
            <w:rPr>
              <w:color w:val="auto"/>
              <w:highlight w:val="none"/>
            </w:rPr>
            <w:t>21</w:t>
          </w:r>
          <w:r>
            <w:rPr>
              <w:color w:val="auto"/>
              <w:highlight w:val="none"/>
            </w:rPr>
            <w:fldChar w:fldCharType="end"/>
          </w:r>
          <w:r>
            <w:rPr>
              <w:rFonts w:hint="eastAsia"/>
              <w:color w:val="auto"/>
              <w:szCs w:val="28"/>
              <w:highlight w:val="none"/>
              <w:lang w:val="en-US" w:eastAsia="zh-CN"/>
            </w:rPr>
            <w:fldChar w:fldCharType="end"/>
          </w:r>
        </w:p>
        <w:p w14:paraId="76EF4602">
          <w:pPr>
            <w:pStyle w:val="10"/>
            <w:tabs>
              <w:tab w:val="right" w:leader="dot" w:pos="8844"/>
            </w:tabs>
            <w:rPr>
              <w:color w:val="auto"/>
              <w:highlight w:val="none"/>
            </w:rPr>
          </w:pPr>
          <w:r>
            <w:rPr>
              <w:rFonts w:hint="eastAsia"/>
              <w:color w:val="auto"/>
              <w:szCs w:val="28"/>
              <w:highlight w:val="none"/>
              <w:lang w:val="en-US" w:eastAsia="zh-CN"/>
            </w:rPr>
            <w:fldChar w:fldCharType="begin"/>
          </w:r>
          <w:r>
            <w:rPr>
              <w:rFonts w:hint="eastAsia"/>
              <w:color w:val="auto"/>
              <w:szCs w:val="28"/>
              <w:highlight w:val="none"/>
              <w:lang w:val="en-US" w:eastAsia="zh-CN"/>
            </w:rPr>
            <w:instrText xml:space="preserve"> HYPERLINK \l _Toc2441 </w:instrText>
          </w:r>
          <w:r>
            <w:rPr>
              <w:rFonts w:hint="eastAsia"/>
              <w:color w:val="auto"/>
              <w:szCs w:val="28"/>
              <w:highlight w:val="none"/>
              <w:lang w:val="en-US" w:eastAsia="zh-CN"/>
            </w:rPr>
            <w:fldChar w:fldCharType="separate"/>
          </w:r>
          <w:r>
            <w:rPr>
              <w:rFonts w:hint="eastAsia" w:ascii="Times New Roman" w:hAnsi="Times New Roman" w:eastAsia="楷体_GB2312" w:cs="Times New Roman"/>
              <w:color w:val="auto"/>
              <w:kern w:val="28"/>
              <w:highlight w:val="none"/>
              <w:lang w:val="en-US" w:eastAsia="zh-CN"/>
            </w:rPr>
            <w:t>（三）项目产出情况</w:t>
          </w:r>
          <w:r>
            <w:rPr>
              <w:color w:val="auto"/>
              <w:highlight w:val="none"/>
            </w:rPr>
            <w:tab/>
          </w:r>
          <w:r>
            <w:rPr>
              <w:color w:val="auto"/>
              <w:highlight w:val="none"/>
            </w:rPr>
            <w:fldChar w:fldCharType="begin"/>
          </w:r>
          <w:r>
            <w:rPr>
              <w:color w:val="auto"/>
              <w:highlight w:val="none"/>
            </w:rPr>
            <w:instrText xml:space="preserve"> PAGEREF _Toc2441 \h </w:instrText>
          </w:r>
          <w:r>
            <w:rPr>
              <w:color w:val="auto"/>
              <w:highlight w:val="none"/>
            </w:rPr>
            <w:fldChar w:fldCharType="separate"/>
          </w:r>
          <w:r>
            <w:rPr>
              <w:color w:val="auto"/>
              <w:highlight w:val="none"/>
            </w:rPr>
            <w:t>24</w:t>
          </w:r>
          <w:r>
            <w:rPr>
              <w:color w:val="auto"/>
              <w:highlight w:val="none"/>
            </w:rPr>
            <w:fldChar w:fldCharType="end"/>
          </w:r>
          <w:r>
            <w:rPr>
              <w:rFonts w:hint="eastAsia"/>
              <w:color w:val="auto"/>
              <w:szCs w:val="28"/>
              <w:highlight w:val="none"/>
              <w:lang w:val="en-US" w:eastAsia="zh-CN"/>
            </w:rPr>
            <w:fldChar w:fldCharType="end"/>
          </w:r>
        </w:p>
        <w:p w14:paraId="6DDCD185">
          <w:pPr>
            <w:pStyle w:val="10"/>
            <w:tabs>
              <w:tab w:val="right" w:leader="dot" w:pos="8844"/>
            </w:tabs>
            <w:rPr>
              <w:color w:val="auto"/>
              <w:highlight w:val="none"/>
            </w:rPr>
          </w:pPr>
          <w:r>
            <w:rPr>
              <w:rFonts w:hint="eastAsia"/>
              <w:color w:val="auto"/>
              <w:szCs w:val="28"/>
              <w:highlight w:val="none"/>
              <w:lang w:val="en-US" w:eastAsia="zh-CN"/>
            </w:rPr>
            <w:fldChar w:fldCharType="begin"/>
          </w:r>
          <w:r>
            <w:rPr>
              <w:rFonts w:hint="eastAsia"/>
              <w:color w:val="auto"/>
              <w:szCs w:val="28"/>
              <w:highlight w:val="none"/>
              <w:lang w:val="en-US" w:eastAsia="zh-CN"/>
            </w:rPr>
            <w:instrText xml:space="preserve"> HYPERLINK \l _Toc19424 </w:instrText>
          </w:r>
          <w:r>
            <w:rPr>
              <w:rFonts w:hint="eastAsia"/>
              <w:color w:val="auto"/>
              <w:szCs w:val="28"/>
              <w:highlight w:val="none"/>
              <w:lang w:val="en-US" w:eastAsia="zh-CN"/>
            </w:rPr>
            <w:fldChar w:fldCharType="separate"/>
          </w:r>
          <w:r>
            <w:rPr>
              <w:rFonts w:hint="eastAsia" w:ascii="Times New Roman" w:hAnsi="Times New Roman" w:eastAsia="楷体_GB2312" w:cs="Times New Roman"/>
              <w:color w:val="auto"/>
              <w:kern w:val="28"/>
              <w:highlight w:val="none"/>
              <w:lang w:val="en-US" w:eastAsia="zh-CN"/>
            </w:rPr>
            <w:t>（四）项目效益情况</w:t>
          </w:r>
          <w:r>
            <w:rPr>
              <w:color w:val="auto"/>
              <w:highlight w:val="none"/>
            </w:rPr>
            <w:tab/>
          </w:r>
          <w:r>
            <w:rPr>
              <w:color w:val="auto"/>
              <w:highlight w:val="none"/>
            </w:rPr>
            <w:fldChar w:fldCharType="begin"/>
          </w:r>
          <w:r>
            <w:rPr>
              <w:color w:val="auto"/>
              <w:highlight w:val="none"/>
            </w:rPr>
            <w:instrText xml:space="preserve"> PAGEREF _Toc19424 \h </w:instrText>
          </w:r>
          <w:r>
            <w:rPr>
              <w:color w:val="auto"/>
              <w:highlight w:val="none"/>
            </w:rPr>
            <w:fldChar w:fldCharType="separate"/>
          </w:r>
          <w:r>
            <w:rPr>
              <w:color w:val="auto"/>
              <w:highlight w:val="none"/>
            </w:rPr>
            <w:t>26</w:t>
          </w:r>
          <w:r>
            <w:rPr>
              <w:color w:val="auto"/>
              <w:highlight w:val="none"/>
            </w:rPr>
            <w:fldChar w:fldCharType="end"/>
          </w:r>
          <w:r>
            <w:rPr>
              <w:rFonts w:hint="eastAsia"/>
              <w:color w:val="auto"/>
              <w:szCs w:val="28"/>
              <w:highlight w:val="none"/>
              <w:lang w:val="en-US" w:eastAsia="zh-CN"/>
            </w:rPr>
            <w:fldChar w:fldCharType="end"/>
          </w:r>
        </w:p>
        <w:p w14:paraId="5A60DC1A">
          <w:pPr>
            <w:pStyle w:val="10"/>
            <w:tabs>
              <w:tab w:val="right" w:leader="dot" w:pos="8844"/>
            </w:tabs>
            <w:rPr>
              <w:color w:val="auto"/>
              <w:highlight w:val="none"/>
            </w:rPr>
          </w:pPr>
          <w:r>
            <w:rPr>
              <w:rFonts w:hint="eastAsia"/>
              <w:color w:val="auto"/>
              <w:szCs w:val="28"/>
              <w:highlight w:val="none"/>
              <w:lang w:val="en-US" w:eastAsia="zh-CN"/>
            </w:rPr>
            <w:fldChar w:fldCharType="begin"/>
          </w:r>
          <w:r>
            <w:rPr>
              <w:rFonts w:hint="eastAsia"/>
              <w:color w:val="auto"/>
              <w:szCs w:val="28"/>
              <w:highlight w:val="none"/>
              <w:lang w:val="en-US" w:eastAsia="zh-CN"/>
            </w:rPr>
            <w:instrText xml:space="preserve"> HYPERLINK \l _Toc23313 </w:instrText>
          </w:r>
          <w:r>
            <w:rPr>
              <w:rFonts w:hint="eastAsia"/>
              <w:color w:val="auto"/>
              <w:szCs w:val="28"/>
              <w:highlight w:val="none"/>
              <w:lang w:val="en-US" w:eastAsia="zh-CN"/>
            </w:rPr>
            <w:fldChar w:fldCharType="separate"/>
          </w:r>
          <w:r>
            <w:rPr>
              <w:rFonts w:hint="eastAsia" w:ascii="Times New Roman" w:hAnsi="Times New Roman" w:eastAsia="楷体_GB2312" w:cs="Times New Roman"/>
              <w:bCs/>
              <w:color w:val="auto"/>
              <w:kern w:val="28"/>
              <w:highlight w:val="none"/>
              <w:lang w:val="en-US" w:eastAsia="zh-CN"/>
            </w:rPr>
            <w:t>（五）满意度指标完成情况分析</w:t>
          </w:r>
          <w:r>
            <w:rPr>
              <w:color w:val="auto"/>
              <w:highlight w:val="none"/>
            </w:rPr>
            <w:tab/>
          </w:r>
          <w:r>
            <w:rPr>
              <w:color w:val="auto"/>
              <w:highlight w:val="none"/>
            </w:rPr>
            <w:fldChar w:fldCharType="begin"/>
          </w:r>
          <w:r>
            <w:rPr>
              <w:color w:val="auto"/>
              <w:highlight w:val="none"/>
            </w:rPr>
            <w:instrText xml:space="preserve"> PAGEREF _Toc23313 \h </w:instrText>
          </w:r>
          <w:r>
            <w:rPr>
              <w:color w:val="auto"/>
              <w:highlight w:val="none"/>
            </w:rPr>
            <w:fldChar w:fldCharType="separate"/>
          </w:r>
          <w:r>
            <w:rPr>
              <w:color w:val="auto"/>
              <w:highlight w:val="none"/>
            </w:rPr>
            <w:t>27</w:t>
          </w:r>
          <w:r>
            <w:rPr>
              <w:color w:val="auto"/>
              <w:highlight w:val="none"/>
            </w:rPr>
            <w:fldChar w:fldCharType="end"/>
          </w:r>
          <w:r>
            <w:rPr>
              <w:rFonts w:hint="eastAsia"/>
              <w:color w:val="auto"/>
              <w:szCs w:val="28"/>
              <w:highlight w:val="none"/>
              <w:lang w:val="en-US" w:eastAsia="zh-CN"/>
            </w:rPr>
            <w:fldChar w:fldCharType="end"/>
          </w:r>
        </w:p>
        <w:p w14:paraId="1A0CA692">
          <w:pPr>
            <w:pStyle w:val="10"/>
            <w:tabs>
              <w:tab w:val="right" w:leader="dot" w:pos="8844"/>
            </w:tabs>
            <w:rPr>
              <w:rFonts w:hint="eastAsia" w:ascii="黑体" w:hAnsi="黑体" w:eastAsia="黑体" w:cs="黑体"/>
              <w:color w:val="auto"/>
              <w:highlight w:val="none"/>
            </w:rPr>
          </w:pPr>
          <w:r>
            <w:rPr>
              <w:rFonts w:hint="eastAsia" w:ascii="黑体" w:hAnsi="黑体" w:eastAsia="黑体" w:cs="黑体"/>
              <w:color w:val="auto"/>
              <w:szCs w:val="28"/>
              <w:highlight w:val="none"/>
              <w:lang w:val="en-US" w:eastAsia="zh-CN"/>
            </w:rPr>
            <w:fldChar w:fldCharType="begin"/>
          </w:r>
          <w:r>
            <w:rPr>
              <w:rFonts w:hint="eastAsia" w:ascii="黑体" w:hAnsi="黑体" w:eastAsia="黑体" w:cs="黑体"/>
              <w:color w:val="auto"/>
              <w:szCs w:val="28"/>
              <w:highlight w:val="none"/>
              <w:lang w:val="en-US" w:eastAsia="zh-CN"/>
            </w:rPr>
            <w:instrText xml:space="preserve"> HYPERLINK \l _Toc6622 </w:instrText>
          </w:r>
          <w:r>
            <w:rPr>
              <w:rFonts w:hint="eastAsia" w:ascii="黑体" w:hAnsi="黑体" w:eastAsia="黑体" w:cs="黑体"/>
              <w:color w:val="auto"/>
              <w:szCs w:val="28"/>
              <w:highlight w:val="none"/>
              <w:lang w:val="en-US" w:eastAsia="zh-CN"/>
            </w:rPr>
            <w:fldChar w:fldCharType="separate"/>
          </w:r>
          <w:r>
            <w:rPr>
              <w:rFonts w:hint="eastAsia" w:ascii="黑体" w:hAnsi="黑体" w:eastAsia="黑体" w:cs="黑体"/>
              <w:bCs w:val="0"/>
              <w:color w:val="auto"/>
              <w:highlight w:val="none"/>
              <w:shd w:val="clear" w:color="auto" w:fill="auto"/>
              <w:lang w:val="en-US" w:eastAsia="zh-CN"/>
            </w:rPr>
            <w:t>五、主要经验及做法、存在的问题及原因分析</w:t>
          </w:r>
          <w:r>
            <w:rPr>
              <w:rFonts w:hint="eastAsia" w:ascii="黑体" w:hAnsi="黑体" w:eastAsia="黑体" w:cs="黑体"/>
              <w:color w:val="auto"/>
              <w:highlight w:val="none"/>
            </w:rPr>
            <w:tab/>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PAGEREF _Toc6622 \h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27</w:t>
          </w:r>
          <w:r>
            <w:rPr>
              <w:rFonts w:hint="eastAsia" w:ascii="黑体" w:hAnsi="黑体" w:eastAsia="黑体" w:cs="黑体"/>
              <w:color w:val="auto"/>
              <w:highlight w:val="none"/>
            </w:rPr>
            <w:fldChar w:fldCharType="end"/>
          </w:r>
          <w:r>
            <w:rPr>
              <w:rFonts w:hint="eastAsia" w:ascii="黑体" w:hAnsi="黑体" w:eastAsia="黑体" w:cs="黑体"/>
              <w:color w:val="auto"/>
              <w:szCs w:val="28"/>
              <w:highlight w:val="none"/>
              <w:lang w:val="en-US" w:eastAsia="zh-CN"/>
            </w:rPr>
            <w:fldChar w:fldCharType="end"/>
          </w:r>
        </w:p>
        <w:p w14:paraId="4DFA3F83">
          <w:pPr>
            <w:pStyle w:val="10"/>
            <w:tabs>
              <w:tab w:val="right" w:leader="dot" w:pos="8844"/>
            </w:tabs>
            <w:rPr>
              <w:color w:val="auto"/>
              <w:highlight w:val="none"/>
            </w:rPr>
          </w:pPr>
          <w:r>
            <w:rPr>
              <w:rFonts w:hint="eastAsia"/>
              <w:color w:val="auto"/>
              <w:szCs w:val="28"/>
              <w:highlight w:val="none"/>
              <w:lang w:val="en-US" w:eastAsia="zh-CN"/>
            </w:rPr>
            <w:fldChar w:fldCharType="begin"/>
          </w:r>
          <w:r>
            <w:rPr>
              <w:rFonts w:hint="eastAsia"/>
              <w:color w:val="auto"/>
              <w:szCs w:val="28"/>
              <w:highlight w:val="none"/>
              <w:lang w:val="en-US" w:eastAsia="zh-CN"/>
            </w:rPr>
            <w:instrText xml:space="preserve"> HYPERLINK \l _Toc15449 </w:instrText>
          </w:r>
          <w:r>
            <w:rPr>
              <w:rFonts w:hint="eastAsia"/>
              <w:color w:val="auto"/>
              <w:szCs w:val="28"/>
              <w:highlight w:val="none"/>
              <w:lang w:val="en-US" w:eastAsia="zh-CN"/>
            </w:rPr>
            <w:fldChar w:fldCharType="separate"/>
          </w:r>
          <w:r>
            <w:rPr>
              <w:rFonts w:hint="eastAsia" w:ascii="Times New Roman" w:hAnsi="Times New Roman" w:eastAsia="楷体_GB2312" w:cs="Times New Roman"/>
              <w:bCs/>
              <w:color w:val="auto"/>
              <w:kern w:val="28"/>
              <w:highlight w:val="none"/>
              <w:lang w:val="en-US" w:eastAsia="zh-CN"/>
            </w:rPr>
            <w:t>（一）主要经验及做法</w:t>
          </w:r>
          <w:r>
            <w:rPr>
              <w:color w:val="auto"/>
              <w:highlight w:val="none"/>
            </w:rPr>
            <w:tab/>
          </w:r>
          <w:r>
            <w:rPr>
              <w:color w:val="auto"/>
              <w:highlight w:val="none"/>
            </w:rPr>
            <w:fldChar w:fldCharType="begin"/>
          </w:r>
          <w:r>
            <w:rPr>
              <w:color w:val="auto"/>
              <w:highlight w:val="none"/>
            </w:rPr>
            <w:instrText xml:space="preserve"> PAGEREF _Toc15449 \h </w:instrText>
          </w:r>
          <w:r>
            <w:rPr>
              <w:color w:val="auto"/>
              <w:highlight w:val="none"/>
            </w:rPr>
            <w:fldChar w:fldCharType="separate"/>
          </w:r>
          <w:r>
            <w:rPr>
              <w:color w:val="auto"/>
              <w:highlight w:val="none"/>
            </w:rPr>
            <w:t>27</w:t>
          </w:r>
          <w:r>
            <w:rPr>
              <w:color w:val="auto"/>
              <w:highlight w:val="none"/>
            </w:rPr>
            <w:fldChar w:fldCharType="end"/>
          </w:r>
          <w:r>
            <w:rPr>
              <w:rFonts w:hint="eastAsia"/>
              <w:color w:val="auto"/>
              <w:szCs w:val="28"/>
              <w:highlight w:val="none"/>
              <w:lang w:val="en-US" w:eastAsia="zh-CN"/>
            </w:rPr>
            <w:fldChar w:fldCharType="end"/>
          </w:r>
        </w:p>
        <w:p w14:paraId="2A7C206C">
          <w:pPr>
            <w:pStyle w:val="10"/>
            <w:tabs>
              <w:tab w:val="right" w:leader="dot" w:pos="8844"/>
            </w:tabs>
            <w:rPr>
              <w:color w:val="auto"/>
              <w:highlight w:val="none"/>
            </w:rPr>
          </w:pPr>
          <w:r>
            <w:rPr>
              <w:rFonts w:hint="eastAsia"/>
              <w:color w:val="auto"/>
              <w:szCs w:val="28"/>
              <w:highlight w:val="none"/>
              <w:lang w:val="en-US" w:eastAsia="zh-CN"/>
            </w:rPr>
            <w:fldChar w:fldCharType="begin"/>
          </w:r>
          <w:r>
            <w:rPr>
              <w:rFonts w:hint="eastAsia"/>
              <w:color w:val="auto"/>
              <w:szCs w:val="28"/>
              <w:highlight w:val="none"/>
              <w:lang w:val="en-US" w:eastAsia="zh-CN"/>
            </w:rPr>
            <w:instrText xml:space="preserve"> HYPERLINK \l _Toc29168 </w:instrText>
          </w:r>
          <w:r>
            <w:rPr>
              <w:rFonts w:hint="eastAsia"/>
              <w:color w:val="auto"/>
              <w:szCs w:val="28"/>
              <w:highlight w:val="none"/>
              <w:lang w:val="en-US" w:eastAsia="zh-CN"/>
            </w:rPr>
            <w:fldChar w:fldCharType="separate"/>
          </w:r>
          <w:r>
            <w:rPr>
              <w:rFonts w:hint="eastAsia" w:ascii="Times New Roman" w:hAnsi="Times New Roman" w:eastAsia="楷体_GB2312" w:cs="Times New Roman"/>
              <w:bCs/>
              <w:color w:val="auto"/>
              <w:kern w:val="28"/>
              <w:highlight w:val="none"/>
              <w:lang w:val="en-US" w:eastAsia="zh-CN"/>
            </w:rPr>
            <w:t>（二）存在的问题及原因分析</w:t>
          </w:r>
          <w:r>
            <w:rPr>
              <w:color w:val="auto"/>
              <w:highlight w:val="none"/>
            </w:rPr>
            <w:tab/>
          </w:r>
          <w:r>
            <w:rPr>
              <w:color w:val="auto"/>
              <w:highlight w:val="none"/>
            </w:rPr>
            <w:fldChar w:fldCharType="begin"/>
          </w:r>
          <w:r>
            <w:rPr>
              <w:color w:val="auto"/>
              <w:highlight w:val="none"/>
            </w:rPr>
            <w:instrText xml:space="preserve"> PAGEREF _Toc29168 \h </w:instrText>
          </w:r>
          <w:r>
            <w:rPr>
              <w:color w:val="auto"/>
              <w:highlight w:val="none"/>
            </w:rPr>
            <w:fldChar w:fldCharType="separate"/>
          </w:r>
          <w:r>
            <w:rPr>
              <w:color w:val="auto"/>
              <w:highlight w:val="none"/>
            </w:rPr>
            <w:t>27</w:t>
          </w:r>
          <w:r>
            <w:rPr>
              <w:color w:val="auto"/>
              <w:highlight w:val="none"/>
            </w:rPr>
            <w:fldChar w:fldCharType="end"/>
          </w:r>
          <w:r>
            <w:rPr>
              <w:rFonts w:hint="eastAsia"/>
              <w:color w:val="auto"/>
              <w:szCs w:val="28"/>
              <w:highlight w:val="none"/>
              <w:lang w:val="en-US" w:eastAsia="zh-CN"/>
            </w:rPr>
            <w:fldChar w:fldCharType="end"/>
          </w:r>
        </w:p>
        <w:p w14:paraId="5F2F5F59">
          <w:pPr>
            <w:pStyle w:val="10"/>
            <w:tabs>
              <w:tab w:val="right" w:leader="dot" w:pos="8844"/>
            </w:tabs>
            <w:rPr>
              <w:rFonts w:hint="eastAsia" w:ascii="黑体" w:hAnsi="黑体" w:eastAsia="黑体" w:cs="黑体"/>
              <w:color w:val="auto"/>
              <w:highlight w:val="none"/>
            </w:rPr>
          </w:pPr>
          <w:r>
            <w:rPr>
              <w:rFonts w:hint="eastAsia" w:ascii="黑体" w:hAnsi="黑体" w:eastAsia="黑体" w:cs="黑体"/>
              <w:color w:val="auto"/>
              <w:szCs w:val="28"/>
              <w:highlight w:val="none"/>
              <w:lang w:val="en-US" w:eastAsia="zh-CN"/>
            </w:rPr>
            <w:fldChar w:fldCharType="begin"/>
          </w:r>
          <w:r>
            <w:rPr>
              <w:rFonts w:hint="eastAsia" w:ascii="黑体" w:hAnsi="黑体" w:eastAsia="黑体" w:cs="黑体"/>
              <w:color w:val="auto"/>
              <w:szCs w:val="28"/>
              <w:highlight w:val="none"/>
              <w:lang w:val="en-US" w:eastAsia="zh-CN"/>
            </w:rPr>
            <w:instrText xml:space="preserve"> HYPERLINK \l _Toc3333 </w:instrText>
          </w:r>
          <w:r>
            <w:rPr>
              <w:rFonts w:hint="eastAsia" w:ascii="黑体" w:hAnsi="黑体" w:eastAsia="黑体" w:cs="黑体"/>
              <w:color w:val="auto"/>
              <w:szCs w:val="28"/>
              <w:highlight w:val="none"/>
              <w:lang w:val="en-US" w:eastAsia="zh-CN"/>
            </w:rPr>
            <w:fldChar w:fldCharType="separate"/>
          </w:r>
          <w:r>
            <w:rPr>
              <w:rFonts w:hint="eastAsia" w:ascii="黑体" w:hAnsi="黑体" w:eastAsia="黑体" w:cs="黑体"/>
              <w:bCs w:val="0"/>
              <w:color w:val="auto"/>
              <w:highlight w:val="none"/>
              <w:shd w:val="clear" w:color="auto" w:fill="auto"/>
              <w:lang w:val="en-US" w:eastAsia="zh-CN"/>
            </w:rPr>
            <w:t>六、有关建议</w:t>
          </w:r>
          <w:r>
            <w:rPr>
              <w:rFonts w:hint="eastAsia" w:ascii="黑体" w:hAnsi="黑体" w:eastAsia="黑体" w:cs="黑体"/>
              <w:color w:val="auto"/>
              <w:highlight w:val="none"/>
            </w:rPr>
            <w:tab/>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PAGEREF _Toc3333 \h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27</w:t>
          </w:r>
          <w:r>
            <w:rPr>
              <w:rFonts w:hint="eastAsia" w:ascii="黑体" w:hAnsi="黑体" w:eastAsia="黑体" w:cs="黑体"/>
              <w:color w:val="auto"/>
              <w:highlight w:val="none"/>
            </w:rPr>
            <w:fldChar w:fldCharType="end"/>
          </w:r>
          <w:r>
            <w:rPr>
              <w:rFonts w:hint="eastAsia" w:ascii="黑体" w:hAnsi="黑体" w:eastAsia="黑体" w:cs="黑体"/>
              <w:color w:val="auto"/>
              <w:szCs w:val="28"/>
              <w:highlight w:val="none"/>
              <w:lang w:val="en-US" w:eastAsia="zh-CN"/>
            </w:rPr>
            <w:fldChar w:fldCharType="end"/>
          </w:r>
        </w:p>
        <w:p w14:paraId="71ADBE3D">
          <w:pPr>
            <w:pStyle w:val="10"/>
            <w:tabs>
              <w:tab w:val="right" w:leader="dot" w:pos="8844"/>
            </w:tabs>
            <w:rPr>
              <w:rFonts w:hint="eastAsia" w:ascii="黑体" w:hAnsi="黑体" w:eastAsia="黑体" w:cs="黑体"/>
              <w:color w:val="auto"/>
              <w:highlight w:val="none"/>
            </w:rPr>
          </w:pPr>
          <w:r>
            <w:rPr>
              <w:rFonts w:hint="eastAsia" w:ascii="黑体" w:hAnsi="黑体" w:eastAsia="黑体" w:cs="黑体"/>
              <w:color w:val="auto"/>
              <w:szCs w:val="28"/>
              <w:highlight w:val="none"/>
              <w:lang w:val="en-US" w:eastAsia="zh-CN"/>
            </w:rPr>
            <w:fldChar w:fldCharType="begin"/>
          </w:r>
          <w:r>
            <w:rPr>
              <w:rFonts w:hint="eastAsia" w:ascii="黑体" w:hAnsi="黑体" w:eastAsia="黑体" w:cs="黑体"/>
              <w:color w:val="auto"/>
              <w:szCs w:val="28"/>
              <w:highlight w:val="none"/>
              <w:lang w:val="en-US" w:eastAsia="zh-CN"/>
            </w:rPr>
            <w:instrText xml:space="preserve"> HYPERLINK \l _Toc14256 </w:instrText>
          </w:r>
          <w:r>
            <w:rPr>
              <w:rFonts w:hint="eastAsia" w:ascii="黑体" w:hAnsi="黑体" w:eastAsia="黑体" w:cs="黑体"/>
              <w:color w:val="auto"/>
              <w:szCs w:val="28"/>
              <w:highlight w:val="none"/>
              <w:lang w:val="en-US" w:eastAsia="zh-CN"/>
            </w:rPr>
            <w:fldChar w:fldCharType="separate"/>
          </w:r>
          <w:r>
            <w:rPr>
              <w:rFonts w:hint="eastAsia" w:ascii="黑体" w:hAnsi="黑体" w:eastAsia="黑体" w:cs="黑体"/>
              <w:bCs w:val="0"/>
              <w:color w:val="auto"/>
              <w:highlight w:val="none"/>
              <w:shd w:val="clear" w:color="auto" w:fill="auto"/>
              <w:lang w:val="en-US" w:eastAsia="zh-CN"/>
            </w:rPr>
            <w:t>七、其他需要说明的问题</w:t>
          </w:r>
          <w:r>
            <w:rPr>
              <w:rFonts w:hint="eastAsia" w:ascii="黑体" w:hAnsi="黑体" w:eastAsia="黑体" w:cs="黑体"/>
              <w:color w:val="auto"/>
              <w:highlight w:val="none"/>
            </w:rPr>
            <w:tab/>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PAGEREF _Toc14256 \h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28</w:t>
          </w:r>
          <w:r>
            <w:rPr>
              <w:rFonts w:hint="eastAsia" w:ascii="黑体" w:hAnsi="黑体" w:eastAsia="黑体" w:cs="黑体"/>
              <w:color w:val="auto"/>
              <w:highlight w:val="none"/>
            </w:rPr>
            <w:fldChar w:fldCharType="end"/>
          </w:r>
          <w:r>
            <w:rPr>
              <w:rFonts w:hint="eastAsia" w:ascii="黑体" w:hAnsi="黑体" w:eastAsia="黑体" w:cs="黑体"/>
              <w:color w:val="auto"/>
              <w:szCs w:val="28"/>
              <w:highlight w:val="none"/>
              <w:lang w:val="en-US" w:eastAsia="zh-CN"/>
            </w:rPr>
            <w:fldChar w:fldCharType="end"/>
          </w:r>
        </w:p>
        <w:p w14:paraId="4090B1B3">
          <w:pPr>
            <w:pStyle w:val="10"/>
            <w:tabs>
              <w:tab w:val="right" w:leader="dot" w:pos="8844"/>
            </w:tabs>
            <w:rPr>
              <w:rFonts w:hint="eastAsia" w:ascii="黑体" w:hAnsi="黑体" w:eastAsia="黑体" w:cs="黑体"/>
              <w:color w:val="auto"/>
              <w:highlight w:val="none"/>
            </w:rPr>
          </w:pPr>
          <w:r>
            <w:rPr>
              <w:rFonts w:hint="eastAsia" w:ascii="黑体" w:hAnsi="黑体" w:eastAsia="黑体" w:cs="黑体"/>
              <w:color w:val="auto"/>
              <w:szCs w:val="28"/>
              <w:highlight w:val="none"/>
              <w:lang w:val="en-US" w:eastAsia="zh-CN"/>
            </w:rPr>
            <w:fldChar w:fldCharType="begin"/>
          </w:r>
          <w:r>
            <w:rPr>
              <w:rFonts w:hint="eastAsia" w:ascii="黑体" w:hAnsi="黑体" w:eastAsia="黑体" w:cs="黑体"/>
              <w:color w:val="auto"/>
              <w:szCs w:val="28"/>
              <w:highlight w:val="none"/>
              <w:lang w:val="en-US" w:eastAsia="zh-CN"/>
            </w:rPr>
            <w:instrText xml:space="preserve"> HYPERLINK \l _Toc28971 </w:instrText>
          </w:r>
          <w:r>
            <w:rPr>
              <w:rFonts w:hint="eastAsia" w:ascii="黑体" w:hAnsi="黑体" w:eastAsia="黑体" w:cs="黑体"/>
              <w:color w:val="auto"/>
              <w:szCs w:val="28"/>
              <w:highlight w:val="none"/>
              <w:lang w:val="en-US" w:eastAsia="zh-CN"/>
            </w:rPr>
            <w:fldChar w:fldCharType="separate"/>
          </w:r>
          <w:r>
            <w:rPr>
              <w:rFonts w:hint="eastAsia" w:ascii="黑体" w:hAnsi="黑体" w:eastAsia="黑体" w:cs="黑体"/>
              <w:bCs/>
              <w:color w:val="auto"/>
              <w:highlight w:val="none"/>
              <w:shd w:val="clear" w:color="auto" w:fill="auto"/>
              <w:lang w:val="en-US" w:eastAsia="zh-CN"/>
            </w:rPr>
            <w:t>附件一、项目支出绩效自评表</w:t>
          </w:r>
          <w:r>
            <w:rPr>
              <w:rFonts w:hint="eastAsia" w:ascii="黑体" w:hAnsi="黑体" w:eastAsia="黑体" w:cs="黑体"/>
              <w:color w:val="auto"/>
              <w:highlight w:val="none"/>
            </w:rPr>
            <w:tab/>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PAGEREF _Toc28971 \h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29</w:t>
          </w:r>
          <w:r>
            <w:rPr>
              <w:rFonts w:hint="eastAsia" w:ascii="黑体" w:hAnsi="黑体" w:eastAsia="黑体" w:cs="黑体"/>
              <w:color w:val="auto"/>
              <w:highlight w:val="none"/>
            </w:rPr>
            <w:fldChar w:fldCharType="end"/>
          </w:r>
          <w:r>
            <w:rPr>
              <w:rFonts w:hint="eastAsia" w:ascii="黑体" w:hAnsi="黑体" w:eastAsia="黑体" w:cs="黑体"/>
              <w:color w:val="auto"/>
              <w:szCs w:val="28"/>
              <w:highlight w:val="none"/>
              <w:lang w:val="en-US" w:eastAsia="zh-CN"/>
            </w:rPr>
            <w:fldChar w:fldCharType="end"/>
          </w:r>
        </w:p>
        <w:p w14:paraId="6238EFC4">
          <w:pPr>
            <w:pStyle w:val="10"/>
            <w:tabs>
              <w:tab w:val="right" w:leader="dot" w:pos="8844"/>
            </w:tabs>
            <w:rPr>
              <w:rFonts w:hint="eastAsia" w:ascii="黑体" w:hAnsi="黑体" w:eastAsia="黑体" w:cs="黑体"/>
              <w:color w:val="auto"/>
              <w:highlight w:val="none"/>
            </w:rPr>
          </w:pPr>
          <w:r>
            <w:rPr>
              <w:rFonts w:hint="eastAsia" w:ascii="黑体" w:hAnsi="黑体" w:eastAsia="黑体" w:cs="黑体"/>
              <w:color w:val="auto"/>
              <w:szCs w:val="28"/>
              <w:highlight w:val="none"/>
              <w:lang w:val="en-US" w:eastAsia="zh-CN"/>
            </w:rPr>
            <w:fldChar w:fldCharType="begin"/>
          </w:r>
          <w:r>
            <w:rPr>
              <w:rFonts w:hint="eastAsia" w:ascii="黑体" w:hAnsi="黑体" w:eastAsia="黑体" w:cs="黑体"/>
              <w:color w:val="auto"/>
              <w:szCs w:val="28"/>
              <w:highlight w:val="none"/>
              <w:lang w:val="en-US" w:eastAsia="zh-CN"/>
            </w:rPr>
            <w:instrText xml:space="preserve"> HYPERLINK \l _Toc11223 </w:instrText>
          </w:r>
          <w:r>
            <w:rPr>
              <w:rFonts w:hint="eastAsia" w:ascii="黑体" w:hAnsi="黑体" w:eastAsia="黑体" w:cs="黑体"/>
              <w:color w:val="auto"/>
              <w:szCs w:val="28"/>
              <w:highlight w:val="none"/>
              <w:lang w:val="en-US" w:eastAsia="zh-CN"/>
            </w:rPr>
            <w:fldChar w:fldCharType="separate"/>
          </w:r>
          <w:r>
            <w:rPr>
              <w:rFonts w:hint="eastAsia" w:ascii="黑体" w:hAnsi="黑体" w:eastAsia="黑体" w:cs="黑体"/>
              <w:bCs/>
              <w:color w:val="auto"/>
              <w:highlight w:val="none"/>
              <w:shd w:val="clear" w:color="auto" w:fill="auto"/>
              <w:lang w:val="en-US" w:eastAsia="zh-CN"/>
            </w:rPr>
            <w:t>附件二、项目支出绩效评价指标体系打分表</w:t>
          </w:r>
          <w:r>
            <w:rPr>
              <w:rFonts w:hint="eastAsia" w:ascii="黑体" w:hAnsi="黑体" w:eastAsia="黑体" w:cs="黑体"/>
              <w:color w:val="auto"/>
              <w:highlight w:val="none"/>
            </w:rPr>
            <w:tab/>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PAGEREF _Toc11223 \h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33</w:t>
          </w:r>
          <w:r>
            <w:rPr>
              <w:rFonts w:hint="eastAsia" w:ascii="黑体" w:hAnsi="黑体" w:eastAsia="黑体" w:cs="黑体"/>
              <w:color w:val="auto"/>
              <w:highlight w:val="none"/>
            </w:rPr>
            <w:fldChar w:fldCharType="end"/>
          </w:r>
          <w:r>
            <w:rPr>
              <w:rFonts w:hint="eastAsia" w:ascii="黑体" w:hAnsi="黑体" w:eastAsia="黑体" w:cs="黑体"/>
              <w:color w:val="auto"/>
              <w:szCs w:val="28"/>
              <w:highlight w:val="none"/>
              <w:lang w:val="en-US" w:eastAsia="zh-CN"/>
            </w:rPr>
            <w:fldChar w:fldCharType="end"/>
          </w:r>
        </w:p>
        <w:p w14:paraId="406567F9">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color w:val="auto"/>
              <w:highlight w:val="none"/>
              <w:lang w:val="en-US" w:eastAsia="zh-CN"/>
            </w:rPr>
            <w:sectPr>
              <w:pgSz w:w="11906" w:h="16838"/>
              <w:pgMar w:top="1928" w:right="1531" w:bottom="1701" w:left="1531" w:header="737" w:footer="851" w:gutter="0"/>
              <w:cols w:space="720" w:num="1"/>
              <w:docGrid w:type="lines" w:linePitch="408" w:charSpace="0"/>
            </w:sectPr>
          </w:pPr>
          <w:r>
            <w:rPr>
              <w:rFonts w:hint="eastAsia"/>
              <w:color w:val="auto"/>
              <w:szCs w:val="28"/>
              <w:highlight w:val="none"/>
              <w:lang w:val="en-US" w:eastAsia="zh-CN"/>
            </w:rPr>
            <w:fldChar w:fldCharType="end"/>
          </w:r>
        </w:p>
      </w:sdtContent>
    </w:sdt>
    <w:p w14:paraId="506F088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eastAsia="宋体" w:cs="宋体"/>
          <w:b/>
          <w:bCs/>
          <w:color w:val="auto"/>
          <w:highlight w:val="none"/>
          <w:shd w:val="clear" w:color="auto" w:fill="auto"/>
        </w:rPr>
      </w:pPr>
      <w:bookmarkStart w:id="4" w:name="_Toc1194"/>
      <w:bookmarkStart w:id="5" w:name="_Toc3663"/>
      <w:bookmarkStart w:id="6" w:name="_Toc20432"/>
      <w:bookmarkStart w:id="7" w:name="_Toc22946"/>
      <w:r>
        <w:rPr>
          <w:rFonts w:hint="eastAsia" w:cs="宋体"/>
          <w:b/>
          <w:bCs/>
          <w:color w:val="auto"/>
          <w:sz w:val="36"/>
          <w:szCs w:val="36"/>
          <w:highlight w:val="none"/>
          <w:shd w:val="clear" w:color="auto" w:fill="auto"/>
          <w:lang w:val="en-US" w:eastAsia="zh-CN"/>
        </w:rPr>
        <w:t>阜康市环卫保洁和园林养护政府购买服务</w:t>
      </w:r>
      <w:r>
        <w:rPr>
          <w:rFonts w:hint="eastAsia" w:ascii="宋体" w:hAnsi="宋体" w:eastAsia="宋体" w:cs="宋体"/>
          <w:b/>
          <w:bCs/>
          <w:color w:val="auto"/>
          <w:sz w:val="36"/>
          <w:szCs w:val="36"/>
          <w:highlight w:val="none"/>
          <w:shd w:val="clear" w:color="auto" w:fill="auto"/>
          <w:lang w:val="en-US" w:eastAsia="zh-CN"/>
        </w:rPr>
        <w:t>项目</w:t>
      </w:r>
      <w:r>
        <w:rPr>
          <w:rFonts w:hint="eastAsia" w:ascii="宋体" w:hAnsi="宋体" w:eastAsia="宋体" w:cs="宋体"/>
          <w:b/>
          <w:bCs/>
          <w:color w:val="auto"/>
          <w:sz w:val="36"/>
          <w:szCs w:val="36"/>
          <w:highlight w:val="none"/>
          <w:shd w:val="clear" w:color="auto" w:fill="auto"/>
        </w:rPr>
        <w:t>支出绩效评价报告</w:t>
      </w:r>
      <w:bookmarkEnd w:id="4"/>
      <w:bookmarkEnd w:id="5"/>
      <w:bookmarkEnd w:id="6"/>
      <w:bookmarkEnd w:id="7"/>
    </w:p>
    <w:p w14:paraId="2DF230B4">
      <w:pPr>
        <w:pStyle w:val="3"/>
        <w:pageBreakBefore w:val="0"/>
        <w:kinsoku/>
        <w:wordWrap/>
        <w:overflowPunct/>
        <w:topLinePunct w:val="0"/>
        <w:autoSpaceDE/>
        <w:autoSpaceDN/>
        <w:bidi w:val="0"/>
        <w:adjustRightInd/>
        <w:snapToGrid/>
        <w:spacing w:beforeLines="0" w:afterLines="0" w:line="560" w:lineRule="exact"/>
        <w:textAlignment w:val="auto"/>
        <w:rPr>
          <w:rFonts w:hint="eastAsia" w:ascii="黑体" w:hAnsi="黑体" w:eastAsia="黑体" w:cs="黑体"/>
          <w:b w:val="0"/>
          <w:bCs w:val="0"/>
          <w:color w:val="auto"/>
          <w:highlight w:val="none"/>
          <w:shd w:val="clear" w:color="auto" w:fill="auto"/>
        </w:rPr>
      </w:pPr>
      <w:bookmarkStart w:id="8" w:name="_Toc18485"/>
      <w:r>
        <w:rPr>
          <w:rFonts w:hint="eastAsia" w:ascii="黑体" w:hAnsi="黑体" w:eastAsia="黑体" w:cs="黑体"/>
          <w:b w:val="0"/>
          <w:bCs w:val="0"/>
          <w:color w:val="auto"/>
          <w:highlight w:val="none"/>
          <w:shd w:val="clear" w:color="auto" w:fill="auto"/>
        </w:rPr>
        <w:t>一、基本情况</w:t>
      </w:r>
      <w:bookmarkEnd w:id="8"/>
    </w:p>
    <w:p w14:paraId="1DC587F7">
      <w:pPr>
        <w:pStyle w:val="14"/>
        <w:keepNext w:val="0"/>
        <w:keepLines w:val="0"/>
        <w:pageBreakBefore w:val="0"/>
        <w:widowControl/>
        <w:kinsoku/>
        <w:wordWrap/>
        <w:overflowPunct/>
        <w:topLinePunct w:val="0"/>
        <w:autoSpaceDE/>
        <w:autoSpaceDN/>
        <w:bidi w:val="0"/>
        <w:adjustRightInd/>
        <w:snapToGrid/>
        <w:spacing w:before="0" w:beforeLines="-2147483648" w:after="0" w:afterLines="-2147483648" w:line="560" w:lineRule="exact"/>
        <w:ind w:firstLine="643" w:firstLineChars="200"/>
        <w:jc w:val="both"/>
        <w:textAlignment w:val="auto"/>
        <w:rPr>
          <w:rFonts w:hint="eastAsia" w:ascii="Times New Roman" w:hAnsi="Times New Roman" w:eastAsia="楷体_GB2312" w:cs="Times New Roman"/>
          <w:color w:val="auto"/>
          <w:kern w:val="28"/>
          <w:sz w:val="32"/>
          <w:highlight w:val="none"/>
          <w:lang w:val="en-US" w:eastAsia="zh-CN"/>
        </w:rPr>
      </w:pPr>
      <w:bookmarkStart w:id="9" w:name="_Toc23184"/>
      <w:r>
        <w:rPr>
          <w:rFonts w:hint="eastAsia" w:ascii="Times New Roman" w:hAnsi="Times New Roman" w:eastAsia="楷体_GB2312" w:cs="Times New Roman"/>
          <w:color w:val="auto"/>
          <w:kern w:val="28"/>
          <w:sz w:val="32"/>
          <w:highlight w:val="none"/>
          <w:lang w:val="en-US" w:eastAsia="zh-CN"/>
        </w:rPr>
        <w:t>（一）项目概况</w:t>
      </w:r>
      <w:bookmarkEnd w:id="9"/>
    </w:p>
    <w:p w14:paraId="3C79A854">
      <w:pPr>
        <w:pStyle w:val="5"/>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eastAsia="zh-CN"/>
        </w:rPr>
      </w:pPr>
      <w:bookmarkStart w:id="10" w:name="_Toc5043"/>
      <w:bookmarkStart w:id="11" w:name="_Toc29812"/>
      <w:bookmarkStart w:id="12" w:name="_Toc10645"/>
      <w:bookmarkStart w:id="13" w:name="_Toc22346"/>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项目背景</w:t>
      </w:r>
      <w:bookmarkEnd w:id="10"/>
      <w:bookmarkEnd w:id="11"/>
      <w:bookmarkEnd w:id="12"/>
      <w:bookmarkEnd w:id="13"/>
    </w:p>
    <w:p w14:paraId="14CD3E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为推进阜康市环卫、园林服务市场化进程，更好的实现环卫、园林服务“管干分离”，激发市场活力，经阜康市政府决策，采用政府购买服务方式引入具有丰富经验的市场化环卫保洁和园林绿化作业服务商，确保市区环境整洁，为市民创造良好的工作生活环境。</w:t>
      </w:r>
    </w:p>
    <w:p w14:paraId="3EF0C0D0">
      <w:pPr>
        <w:pStyle w:val="5"/>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rPr>
      </w:pPr>
      <w:bookmarkStart w:id="14" w:name="_Toc1630"/>
      <w:bookmarkStart w:id="15" w:name="_Toc10730"/>
      <w:bookmarkStart w:id="16" w:name="_Toc27343"/>
      <w:bookmarkStart w:id="17" w:name="_Toc17880"/>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主要内容及实施情况</w:t>
      </w:r>
      <w:bookmarkEnd w:id="14"/>
      <w:bookmarkEnd w:id="15"/>
      <w:bookmarkEnd w:id="16"/>
      <w:bookmarkEnd w:id="17"/>
    </w:p>
    <w:p w14:paraId="44CDCF78">
      <w:pPr>
        <w:pStyle w:val="5"/>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bookmarkStart w:id="18" w:name="_Toc16592"/>
      <w:bookmarkStart w:id="19" w:name="_Toc27245"/>
      <w:bookmarkStart w:id="20" w:name="_Toc27409"/>
      <w:bookmarkStart w:id="21" w:name="_Toc21898"/>
      <w:r>
        <w:rPr>
          <w:rFonts w:hint="eastAsia" w:ascii="仿宋_GB2312" w:hAnsi="仿宋_GB2312" w:eastAsia="仿宋_GB2312" w:cs="仿宋_GB2312"/>
          <w:color w:val="auto"/>
          <w:sz w:val="32"/>
          <w:szCs w:val="32"/>
          <w:highlight w:val="none"/>
          <w:shd w:val="clear" w:color="auto" w:fill="auto"/>
          <w:lang w:val="en-US" w:eastAsia="zh-CN"/>
        </w:rPr>
        <w:t>项目主要内容：</w:t>
      </w:r>
      <w:bookmarkEnd w:id="18"/>
      <w:bookmarkEnd w:id="19"/>
      <w:bookmarkEnd w:id="20"/>
      <w:bookmarkEnd w:id="21"/>
    </w:p>
    <w:p w14:paraId="5CBE1D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该项目的主要内容为对阜康市环卫保洁和园林养护通过购买服务的形式进行管理运行，其中环卫保洁服务实施内容主要包括：阜康市范围内城市道路、背街小巷、公共场所的清扫保洁服务、垃圾收集、冬季清雪作业、环卫专用车辆和设施设备的维修与保养管理、特殊情况下的环卫保障（如突发应急事件或大型检查、重要活动、节日保障及暴风雪等）等服务。园林绿化养护服务实施内容主要包括：阜康市城区范围内城市绿化园林养护、树木修剪、喷灌系统更新、绿化专用车辆和设施设备的维修与保养管理、特殊情况下的园林绿化保障（如突发应急事件或大型检查、重要活动、节日保障等）等服务。</w:t>
      </w:r>
    </w:p>
    <w:p w14:paraId="52F6F8E1">
      <w:pPr>
        <w:pStyle w:val="6"/>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项目实施情况：</w:t>
      </w:r>
    </w:p>
    <w:p w14:paraId="2B8DE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为确保我单位该项目的顺利实施，我单位成立以综合服务中心书记秦长虎为组长，杜兵、黄艺伟为副组长，黄辉、何林坤、郭勇、沈志亮为成员的领导小组，秦长虎负责统筹协调，杜兵负责园林绿化养护，黄艺伟负责环境卫生保洁，黄辉负责环卫特种车辆的管理对环卫保洁和园林养护政府购买服务项目进行监督检查，对购买服务情况进行日巡查、周考核、月考核等方式进行监督，全力抓好项目工作，保证该项目顺利开展。</w:t>
      </w:r>
    </w:p>
    <w:p w14:paraId="298B904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截止2024年12月，该项目已完成4230769.92平方米的城市道路清扫、保洁和3981769.44平方米的城市绿化养护任务。</w:t>
      </w:r>
    </w:p>
    <w:p w14:paraId="189346CF">
      <w:pPr>
        <w:pStyle w:val="5"/>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bookmarkStart w:id="22" w:name="_Toc10240"/>
      <w:bookmarkStart w:id="23" w:name="_Toc12348"/>
      <w:bookmarkStart w:id="24" w:name="_Toc569"/>
      <w:bookmarkStart w:id="25" w:name="_Toc1858"/>
      <w:r>
        <w:rPr>
          <w:rFonts w:hint="eastAsia" w:ascii="仿宋_GB2312" w:hAnsi="仿宋_GB2312" w:eastAsia="仿宋_GB2312" w:cs="仿宋_GB2312"/>
          <w:color w:val="auto"/>
          <w:sz w:val="32"/>
          <w:szCs w:val="32"/>
          <w:highlight w:val="none"/>
          <w:shd w:val="clear" w:color="auto" w:fill="auto"/>
          <w:lang w:val="en-US" w:eastAsia="zh-CN"/>
        </w:rPr>
        <w:t>3.资金投入和使用情况</w:t>
      </w:r>
      <w:bookmarkEnd w:id="22"/>
      <w:bookmarkEnd w:id="23"/>
      <w:bookmarkEnd w:id="24"/>
      <w:bookmarkEnd w:id="25"/>
    </w:p>
    <w:p w14:paraId="2E63A2DC">
      <w:pPr>
        <w:pageBreakBefore w:val="0"/>
        <w:shd w:val="clea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highlight w:val="none"/>
          <w:lang w:val="en-US" w:eastAsia="zh-CN"/>
        </w:rPr>
      </w:pPr>
      <w:bookmarkStart w:id="26" w:name="_Toc23509"/>
      <w:bookmarkStart w:id="27" w:name="_Toc694"/>
      <w:bookmarkStart w:id="28" w:name="_Toc26369"/>
      <w:r>
        <w:rPr>
          <w:rFonts w:hint="eastAsia" w:ascii="仿宋_GB2312" w:hAnsi="仿宋_GB2312" w:eastAsia="仿宋_GB2312" w:cs="仿宋_GB2312"/>
          <w:color w:val="auto"/>
          <w:sz w:val="32"/>
          <w:szCs w:val="32"/>
          <w:highlight w:val="none"/>
          <w:lang w:val="en-US" w:eastAsia="zh-CN"/>
        </w:rPr>
        <w:t>（1）资金投入情况</w:t>
      </w:r>
      <w:bookmarkEnd w:id="26"/>
      <w:bookmarkEnd w:id="27"/>
      <w:bookmarkEnd w:id="28"/>
    </w:p>
    <w:p w14:paraId="30F00EBE">
      <w:pPr>
        <w:pageBreakBefore w:val="0"/>
        <w:shd w:val="clea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highlight w:val="none"/>
          <w:lang w:val="en-US" w:eastAsia="zh-CN"/>
        </w:rPr>
      </w:pPr>
      <w:bookmarkStart w:id="29" w:name="_Toc29190"/>
      <w:bookmarkStart w:id="30" w:name="_Toc9464"/>
      <w:bookmarkStart w:id="31" w:name="_Toc5573"/>
      <w:r>
        <w:rPr>
          <w:rFonts w:hint="eastAsia" w:ascii="仿宋_GB2312" w:hAnsi="仿宋_GB2312" w:eastAsia="仿宋_GB2312" w:cs="仿宋_GB2312"/>
          <w:color w:val="auto"/>
          <w:sz w:val="32"/>
          <w:szCs w:val="32"/>
          <w:highlight w:val="none"/>
          <w:lang w:val="en-US" w:eastAsia="zh-CN"/>
        </w:rPr>
        <w:t>该项目年初预算数2000.00万元，全年预算数3980.94万元，该项目资金已全部落实到位，资金来源为财政拨款。</w:t>
      </w:r>
      <w:bookmarkEnd w:id="29"/>
      <w:bookmarkEnd w:id="30"/>
      <w:bookmarkEnd w:id="31"/>
      <w:bookmarkStart w:id="32" w:name="_Toc3409"/>
      <w:bookmarkStart w:id="33" w:name="_Toc28187"/>
      <w:bookmarkStart w:id="34" w:name="_Toc1166"/>
    </w:p>
    <w:p w14:paraId="47232796">
      <w:pPr>
        <w:pageBreakBefore w:val="0"/>
        <w:shd w:val="clea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（2）资金使用情况</w:t>
      </w:r>
      <w:bookmarkEnd w:id="32"/>
      <w:bookmarkEnd w:id="33"/>
      <w:bookmarkEnd w:id="34"/>
    </w:p>
    <w:p w14:paraId="3307D87C">
      <w:pPr>
        <w:pageBreakBefore w:val="0"/>
        <w:shd w:val="clea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highlight w:val="none"/>
          <w:lang w:val="en-US" w:eastAsia="zh-CN"/>
        </w:rPr>
      </w:pPr>
      <w:bookmarkStart w:id="35" w:name="_Toc29121"/>
      <w:bookmarkStart w:id="36" w:name="_Toc1430"/>
      <w:bookmarkStart w:id="37" w:name="_Toc11647"/>
      <w:r>
        <w:rPr>
          <w:rFonts w:hint="eastAsia" w:ascii="仿宋_GB2312" w:hAnsi="仿宋_GB2312" w:eastAsia="仿宋_GB2312" w:cs="仿宋_GB2312"/>
          <w:color w:val="auto"/>
          <w:sz w:val="32"/>
          <w:szCs w:val="32"/>
          <w:highlight w:val="none"/>
          <w:lang w:val="en-US" w:eastAsia="zh-CN"/>
        </w:rPr>
        <w:t>该项目年初预算数2000.00万元，全年预算数3980.94万元，</w:t>
      </w:r>
      <w:r>
        <w:rPr>
          <w:rFonts w:hint="eastAsia" w:ascii="仿宋_GB2312" w:hAnsi="仿宋_GB2312" w:eastAsia="仿宋_GB2312" w:cs="仿宋_GB2312"/>
          <w:color w:val="auto"/>
          <w:sz w:val="32"/>
          <w:szCs w:val="32"/>
          <w:highlight w:val="none"/>
          <w:shd w:val="clear" w:color="auto" w:fill="auto"/>
          <w:lang w:val="en-US" w:eastAsia="zh-CN"/>
        </w:rPr>
        <w:t>截至2024年12月31日，</w:t>
      </w:r>
      <w:r>
        <w:rPr>
          <w:rFonts w:hint="eastAsia" w:ascii="仿宋_GB2312" w:hAnsi="仿宋_GB2312" w:eastAsia="仿宋_GB2312" w:cs="仿宋_GB2312"/>
          <w:color w:val="auto"/>
          <w:sz w:val="32"/>
          <w:szCs w:val="32"/>
          <w:highlight w:val="none"/>
          <w:lang w:val="en-US" w:eastAsia="zh-CN"/>
        </w:rPr>
        <w:t>全年执行数3968.63万元，预算执行率为99.69%，主要用于：支付阜康市环卫保洁和园林养护政府购买服务费等方面。</w:t>
      </w:r>
      <w:bookmarkEnd w:id="35"/>
      <w:bookmarkEnd w:id="36"/>
      <w:bookmarkEnd w:id="37"/>
    </w:p>
    <w:p w14:paraId="401267C2">
      <w:pPr>
        <w:pStyle w:val="14"/>
        <w:keepNext w:val="0"/>
        <w:keepLines w:val="0"/>
        <w:pageBreakBefore w:val="0"/>
        <w:widowControl/>
        <w:kinsoku/>
        <w:wordWrap/>
        <w:overflowPunct/>
        <w:topLinePunct w:val="0"/>
        <w:autoSpaceDE/>
        <w:autoSpaceDN/>
        <w:bidi w:val="0"/>
        <w:adjustRightInd/>
        <w:snapToGrid/>
        <w:spacing w:before="0" w:beforeLines="-2147483648" w:after="0" w:afterLines="-2147483648" w:line="560" w:lineRule="exact"/>
        <w:ind w:firstLine="643" w:firstLineChars="200"/>
        <w:jc w:val="both"/>
        <w:textAlignment w:val="auto"/>
        <w:rPr>
          <w:rFonts w:hint="eastAsia" w:ascii="Times New Roman" w:hAnsi="Times New Roman" w:eastAsia="楷体_GB2312" w:cs="Times New Roman"/>
          <w:color w:val="auto"/>
          <w:kern w:val="28"/>
          <w:sz w:val="32"/>
          <w:highlight w:val="none"/>
          <w:lang w:val="en-US" w:eastAsia="zh-CN"/>
        </w:rPr>
      </w:pPr>
      <w:bookmarkStart w:id="38" w:name="_Toc9109"/>
      <w:r>
        <w:rPr>
          <w:rFonts w:hint="eastAsia" w:ascii="Times New Roman" w:hAnsi="Times New Roman" w:eastAsia="楷体_GB2312" w:cs="Times New Roman"/>
          <w:color w:val="auto"/>
          <w:kern w:val="28"/>
          <w:sz w:val="32"/>
          <w:highlight w:val="none"/>
          <w:lang w:val="en-US" w:eastAsia="zh-CN"/>
        </w:rPr>
        <w:t>（二）项目绩效目标</w:t>
      </w:r>
      <w:bookmarkEnd w:id="38"/>
    </w:p>
    <w:p w14:paraId="53BB7C7E">
      <w:pPr>
        <w:pStyle w:val="5"/>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bookmarkStart w:id="39" w:name="_Toc10047"/>
      <w:bookmarkStart w:id="40" w:name="_Toc8528"/>
      <w:bookmarkStart w:id="41" w:name="_Toc14758"/>
      <w:bookmarkStart w:id="42" w:name="_Toc2547"/>
      <w:r>
        <w:rPr>
          <w:rFonts w:hint="eastAsia" w:ascii="仿宋_GB2312" w:hAnsi="仿宋_GB2312" w:eastAsia="仿宋_GB2312" w:cs="仿宋_GB2312"/>
          <w:color w:val="auto"/>
          <w:sz w:val="32"/>
          <w:szCs w:val="32"/>
          <w:highlight w:val="none"/>
          <w:shd w:val="clear" w:color="auto" w:fill="auto"/>
          <w:lang w:val="en-US" w:eastAsia="zh-CN"/>
        </w:rPr>
        <w:t>1.总体目标</w:t>
      </w:r>
      <w:bookmarkEnd w:id="39"/>
      <w:bookmarkEnd w:id="40"/>
      <w:bookmarkEnd w:id="41"/>
      <w:bookmarkEnd w:id="42"/>
    </w:p>
    <w:p w14:paraId="2DE9E00C">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阜康市环卫保洁和园林养护政府购买服务项目绩效总体目标为：城市管理局负责市区道路、桥梁（涵）、城市照明、道路排水排污等市政设施养护、维修和管理工作、负责垃圾处理工作，对垃圾处理设施运营实施监管、负责建成区城市园林绿化养护管理、负责市区古树名树保护工作。2024年我单位预计完成城市道路清扫、保洁面积4230769.92平方米、城市绿化养护面积3981769.44平方米，道路及时清扫保洁，城市道路实施机械化清扫，该项目的实施，预期能够创造良好的城市工作生活环境，提高环境质量，提高城市生态环境，保持生态平衡的效益。</w:t>
      </w:r>
    </w:p>
    <w:p w14:paraId="640226D7">
      <w:pPr>
        <w:pStyle w:val="5"/>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bookmarkStart w:id="43" w:name="_Toc4007"/>
      <w:bookmarkStart w:id="44" w:name="_Toc4487"/>
      <w:bookmarkStart w:id="45" w:name="_Toc8990"/>
      <w:bookmarkStart w:id="46" w:name="_Toc3255"/>
      <w:r>
        <w:rPr>
          <w:rFonts w:hint="eastAsia" w:ascii="仿宋_GB2312" w:hAnsi="仿宋_GB2312" w:eastAsia="仿宋_GB2312" w:cs="仿宋_GB2312"/>
          <w:color w:val="auto"/>
          <w:sz w:val="32"/>
          <w:szCs w:val="32"/>
          <w:highlight w:val="none"/>
          <w:shd w:val="clear" w:color="auto" w:fill="auto"/>
          <w:lang w:val="en-US" w:eastAsia="zh-CN"/>
        </w:rPr>
        <w:t>2.阶段性目标</w:t>
      </w:r>
      <w:bookmarkEnd w:id="43"/>
      <w:bookmarkEnd w:id="44"/>
      <w:bookmarkEnd w:id="45"/>
      <w:bookmarkEnd w:id="46"/>
    </w:p>
    <w:p w14:paraId="0008FD35">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sz w:val="32"/>
          <w:szCs w:val="32"/>
          <w:highlight w:val="none"/>
          <w:shd w:val="clear" w:color="auto" w:fill="auto"/>
          <w:lang w:eastAsia="zh-CN"/>
        </w:rPr>
      </w:pPr>
      <w:r>
        <w:rPr>
          <w:rFonts w:hint="eastAsia" w:ascii="仿宋_GB2312" w:hAnsi="仿宋_GB2312" w:eastAsia="仿宋_GB2312" w:cs="仿宋_GB2312"/>
          <w:bCs/>
          <w:color w:val="auto"/>
          <w:sz w:val="32"/>
          <w:szCs w:val="32"/>
          <w:highlight w:val="none"/>
          <w:shd w:val="clear" w:color="auto" w:fill="auto"/>
          <w:lang w:eastAsia="zh-CN"/>
        </w:rPr>
        <w:t>根据《预算法》《财政支出绩效评价管理暂行办法》（财预〔20</w:t>
      </w:r>
      <w:r>
        <w:rPr>
          <w:rFonts w:hint="eastAsia" w:ascii="仿宋_GB2312" w:hAnsi="仿宋_GB2312" w:eastAsia="仿宋_GB2312" w:cs="仿宋_GB2312"/>
          <w:bCs/>
          <w:color w:val="auto"/>
          <w:sz w:val="32"/>
          <w:szCs w:val="32"/>
          <w:highlight w:val="none"/>
          <w:shd w:val="clear" w:color="auto" w:fill="auto"/>
          <w:lang w:val="en-US" w:eastAsia="zh-CN"/>
        </w:rPr>
        <w:t>20</w:t>
      </w:r>
      <w:r>
        <w:rPr>
          <w:rFonts w:hint="eastAsia" w:ascii="仿宋_GB2312" w:hAnsi="仿宋_GB2312" w:eastAsia="仿宋_GB2312" w:cs="仿宋_GB2312"/>
          <w:bCs/>
          <w:color w:val="auto"/>
          <w:sz w:val="32"/>
          <w:szCs w:val="32"/>
          <w:highlight w:val="none"/>
          <w:shd w:val="clear" w:color="auto" w:fill="auto"/>
          <w:lang w:eastAsia="zh-CN"/>
        </w:rPr>
        <w:t>〕</w:t>
      </w:r>
      <w:r>
        <w:rPr>
          <w:rFonts w:hint="eastAsia" w:ascii="仿宋_GB2312" w:hAnsi="仿宋_GB2312" w:eastAsia="仿宋_GB2312" w:cs="仿宋_GB2312"/>
          <w:bCs/>
          <w:color w:val="auto"/>
          <w:sz w:val="32"/>
          <w:szCs w:val="32"/>
          <w:highlight w:val="none"/>
          <w:shd w:val="clear" w:color="auto" w:fill="auto"/>
          <w:lang w:val="en-US" w:eastAsia="zh-CN"/>
        </w:rPr>
        <w:t>10</w:t>
      </w:r>
      <w:r>
        <w:rPr>
          <w:rFonts w:hint="eastAsia" w:ascii="仿宋_GB2312" w:hAnsi="仿宋_GB2312" w:eastAsia="仿宋_GB2312" w:cs="仿宋_GB2312"/>
          <w:bCs/>
          <w:color w:val="auto"/>
          <w:sz w:val="32"/>
          <w:szCs w:val="32"/>
          <w:highlight w:val="none"/>
          <w:shd w:val="clear" w:color="auto" w:fill="auto"/>
          <w:lang w:eastAsia="zh-CN"/>
        </w:rPr>
        <w:t>号）</w:t>
      </w:r>
      <w:r>
        <w:rPr>
          <w:rFonts w:hint="eastAsia" w:ascii="仿宋_GB2312" w:hAnsi="仿宋_GB2312" w:eastAsia="仿宋_GB2312" w:cs="仿宋_GB2312"/>
          <w:color w:val="auto"/>
          <w:sz w:val="32"/>
          <w:szCs w:val="32"/>
          <w:highlight w:val="none"/>
          <w:shd w:val="clear" w:color="auto" w:fill="auto"/>
          <w:lang w:val="en-US" w:eastAsia="zh-CN"/>
        </w:rPr>
        <w:t>等文件</w:t>
      </w:r>
      <w:r>
        <w:rPr>
          <w:rFonts w:hint="eastAsia" w:ascii="仿宋_GB2312" w:hAnsi="仿宋_GB2312" w:eastAsia="仿宋_GB2312" w:cs="仿宋_GB2312"/>
          <w:bCs/>
          <w:color w:val="auto"/>
          <w:sz w:val="32"/>
          <w:szCs w:val="32"/>
          <w:highlight w:val="none"/>
          <w:shd w:val="clear" w:color="auto" w:fill="auto"/>
          <w:lang w:eastAsia="zh-CN"/>
        </w:rPr>
        <w:t>的规定，结合项目实施单位的规章制度以及财务相关资料，评价小组对项目绩效目标进行了进一步的完善，完善</w:t>
      </w:r>
      <w:r>
        <w:rPr>
          <w:rFonts w:hint="eastAsia" w:ascii="仿宋_GB2312" w:hAnsi="仿宋_GB2312" w:eastAsia="仿宋_GB2312" w:cs="仿宋_GB2312"/>
          <w:bCs/>
          <w:color w:val="auto"/>
          <w:sz w:val="32"/>
          <w:szCs w:val="32"/>
          <w:highlight w:val="none"/>
          <w:shd w:val="clear" w:color="auto" w:fill="auto"/>
          <w:lang w:val="en-US" w:eastAsia="zh-CN"/>
        </w:rPr>
        <w:t>后</w:t>
      </w:r>
      <w:r>
        <w:rPr>
          <w:rFonts w:hint="eastAsia" w:ascii="仿宋_GB2312" w:hAnsi="仿宋_GB2312" w:eastAsia="仿宋_GB2312" w:cs="仿宋_GB2312"/>
          <w:bCs/>
          <w:color w:val="auto"/>
          <w:sz w:val="32"/>
          <w:szCs w:val="32"/>
          <w:highlight w:val="none"/>
          <w:shd w:val="clear" w:color="auto" w:fill="auto"/>
          <w:lang w:eastAsia="zh-CN"/>
        </w:rPr>
        <w:t>绩效目标如下：</w:t>
      </w:r>
    </w:p>
    <w:p w14:paraId="394D71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项目产出</w:t>
      </w:r>
      <w:r>
        <w:rPr>
          <w:rFonts w:hint="eastAsia" w:ascii="仿宋_GB2312" w:hAnsi="仿宋_GB2312" w:eastAsia="仿宋_GB2312" w:cs="仿宋_GB2312"/>
          <w:color w:val="auto"/>
          <w:sz w:val="32"/>
          <w:szCs w:val="32"/>
          <w:highlight w:val="none"/>
          <w:shd w:val="clear" w:color="auto" w:fill="auto"/>
          <w:lang w:val="en-US" w:eastAsia="zh-CN"/>
        </w:rPr>
        <w:t>目标</w:t>
      </w:r>
    </w:p>
    <w:p w14:paraId="275C10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①数量指标</w:t>
      </w:r>
    </w:p>
    <w:p w14:paraId="4BCA11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城市道路清扫、保洁面积</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指标，预期目标值为≥4230769.92平方米；</w:t>
      </w:r>
    </w:p>
    <w:p w14:paraId="3E5029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城市绿化养护面积</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指标，预期目标值为≥3981769.44平方米；</w:t>
      </w:r>
    </w:p>
    <w:p w14:paraId="1A48DD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②质量指标</w:t>
      </w:r>
    </w:p>
    <w:p w14:paraId="6A047C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城市道路机械化清扫质量达标率</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指标，预期目标值为=100%；</w:t>
      </w:r>
    </w:p>
    <w:p w14:paraId="623F83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③时效指标</w:t>
      </w:r>
    </w:p>
    <w:p w14:paraId="5F4DD7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道路清扫保洁及时率</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指标，预期目标值为≥95%；</w:t>
      </w:r>
    </w:p>
    <w:p w14:paraId="6C3D1D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（2）成本指标</w:t>
      </w:r>
    </w:p>
    <w:p w14:paraId="399E63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环境卫生保洁成本控制</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指标，预期目标值为≤2388.56万元；</w:t>
      </w:r>
    </w:p>
    <w:p w14:paraId="1678C1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园林绿化养护成本控制</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指标，预期目标值为≤1592.38万元；</w:t>
      </w:r>
    </w:p>
    <w:p w14:paraId="29468C44">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）项目效益</w:t>
      </w:r>
      <w:r>
        <w:rPr>
          <w:rFonts w:hint="eastAsia" w:ascii="仿宋_GB2312" w:hAnsi="仿宋_GB2312" w:eastAsia="仿宋_GB2312" w:cs="仿宋_GB2312"/>
          <w:color w:val="auto"/>
          <w:sz w:val="32"/>
          <w:szCs w:val="32"/>
          <w:highlight w:val="none"/>
          <w:shd w:val="clear" w:color="auto" w:fill="auto"/>
          <w:lang w:val="en-US" w:eastAsia="zh-CN"/>
        </w:rPr>
        <w:t>目标</w:t>
      </w:r>
    </w:p>
    <w:p w14:paraId="1EBA937B">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①经济效益指标</w:t>
      </w:r>
    </w:p>
    <w:p w14:paraId="395B5930">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本项目不涉及经济效益指标；</w:t>
      </w:r>
    </w:p>
    <w:p w14:paraId="01631A39">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②社会效益指标</w:t>
      </w:r>
    </w:p>
    <w:p w14:paraId="2D21A7E9">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“创造良好的城市工作生活环境，提高环境质量”指标，预期目标值为提高；</w:t>
      </w:r>
    </w:p>
    <w:p w14:paraId="5FEA1011">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③生态效益指标</w:t>
      </w:r>
    </w:p>
    <w:p w14:paraId="062446D0">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“提高城市生态环境，保持生态平衡”指标，预期目标值为保持；</w:t>
      </w:r>
    </w:p>
    <w:p w14:paraId="7CEAFBF7">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④可持续影响</w:t>
      </w:r>
    </w:p>
    <w:p w14:paraId="1124DF46">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本项目不涉及可持续影响指标；</w:t>
      </w:r>
    </w:p>
    <w:p w14:paraId="6DAF562B">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⑤满意度指标</w:t>
      </w:r>
    </w:p>
    <w:p w14:paraId="07E378AD">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本项目不涉及满意度指标。</w:t>
      </w:r>
    </w:p>
    <w:p w14:paraId="2B463E38">
      <w:pPr>
        <w:pStyle w:val="3"/>
        <w:pageBreakBefore w:val="0"/>
        <w:kinsoku/>
        <w:wordWrap/>
        <w:overflowPunct/>
        <w:topLinePunct w:val="0"/>
        <w:autoSpaceDE/>
        <w:autoSpaceDN/>
        <w:bidi w:val="0"/>
        <w:adjustRightInd/>
        <w:snapToGrid/>
        <w:spacing w:beforeLines="0" w:afterLines="0" w:line="560" w:lineRule="exact"/>
        <w:textAlignment w:val="auto"/>
        <w:rPr>
          <w:rFonts w:hint="eastAsia" w:ascii="宋体" w:hAnsi="宋体" w:eastAsia="宋体" w:cs="宋体"/>
          <w:b/>
          <w:bCs/>
          <w:color w:val="auto"/>
          <w:highlight w:val="none"/>
          <w:shd w:val="clear" w:color="auto" w:fill="auto"/>
          <w:lang w:val="en-US" w:eastAsia="zh-CN"/>
        </w:rPr>
      </w:pPr>
      <w:bookmarkStart w:id="47" w:name="_Toc26567"/>
      <w:r>
        <w:rPr>
          <w:rFonts w:hint="eastAsia" w:ascii="宋体" w:hAnsi="宋体" w:eastAsia="宋体" w:cs="宋体"/>
          <w:b/>
          <w:bCs/>
          <w:color w:val="auto"/>
          <w:highlight w:val="none"/>
          <w:shd w:val="clear" w:color="auto" w:fill="auto"/>
        </w:rPr>
        <w:t>二、绩效评价工作开展情况</w:t>
      </w:r>
      <w:bookmarkEnd w:id="47"/>
    </w:p>
    <w:p w14:paraId="43621257">
      <w:pPr>
        <w:pStyle w:val="14"/>
        <w:keepNext w:val="0"/>
        <w:keepLines w:val="0"/>
        <w:pageBreakBefore w:val="0"/>
        <w:widowControl/>
        <w:kinsoku/>
        <w:wordWrap/>
        <w:overflowPunct/>
        <w:topLinePunct w:val="0"/>
        <w:autoSpaceDE/>
        <w:autoSpaceDN/>
        <w:bidi w:val="0"/>
        <w:adjustRightInd/>
        <w:snapToGrid/>
        <w:spacing w:before="0" w:beforeLines="-2147483648" w:after="0" w:afterLines="-2147483648" w:line="560" w:lineRule="exact"/>
        <w:ind w:firstLine="643" w:firstLineChars="200"/>
        <w:jc w:val="both"/>
        <w:textAlignment w:val="auto"/>
        <w:rPr>
          <w:rFonts w:hint="eastAsia" w:ascii="Times New Roman" w:hAnsi="Times New Roman" w:eastAsia="楷体_GB2312" w:cs="Times New Roman"/>
          <w:color w:val="auto"/>
          <w:kern w:val="28"/>
          <w:sz w:val="32"/>
          <w:highlight w:val="none"/>
          <w:lang w:val="en-US" w:eastAsia="zh-CN"/>
        </w:rPr>
      </w:pPr>
      <w:bookmarkStart w:id="48" w:name="_Toc26632"/>
      <w:bookmarkStart w:id="49" w:name="_Toc21664"/>
      <w:bookmarkStart w:id="50" w:name="_Toc22169_WPSOffice_Level2"/>
      <w:bookmarkStart w:id="51" w:name="_Toc5258"/>
      <w:bookmarkStart w:id="52" w:name="_Toc480473081"/>
      <w:bookmarkStart w:id="53" w:name="_Toc5462343"/>
      <w:bookmarkStart w:id="54" w:name="_Toc12868"/>
      <w:bookmarkStart w:id="55" w:name="_Toc22922"/>
      <w:bookmarkStart w:id="56" w:name="_Toc22839"/>
      <w:r>
        <w:rPr>
          <w:rFonts w:hint="eastAsia" w:ascii="Times New Roman" w:hAnsi="Times New Roman" w:eastAsia="楷体_GB2312" w:cs="Times New Roman"/>
          <w:color w:val="auto"/>
          <w:kern w:val="28"/>
          <w:sz w:val="32"/>
          <w:highlight w:val="none"/>
          <w:lang w:val="en-US" w:eastAsia="zh-CN"/>
        </w:rPr>
        <w:t>（一）绩效评价的目的</w:t>
      </w:r>
      <w:bookmarkEnd w:id="48"/>
      <w:bookmarkEnd w:id="49"/>
      <w:bookmarkEnd w:id="50"/>
      <w:bookmarkEnd w:id="51"/>
      <w:bookmarkEnd w:id="52"/>
      <w:bookmarkEnd w:id="53"/>
      <w:bookmarkEnd w:id="54"/>
      <w:bookmarkEnd w:id="55"/>
      <w:r>
        <w:rPr>
          <w:rFonts w:hint="eastAsia" w:ascii="Times New Roman" w:hAnsi="Times New Roman" w:eastAsia="楷体_GB2312" w:cs="Times New Roman"/>
          <w:color w:val="auto"/>
          <w:kern w:val="28"/>
          <w:sz w:val="32"/>
          <w:highlight w:val="none"/>
          <w:lang w:val="en-US" w:eastAsia="zh-CN"/>
        </w:rPr>
        <w:t>、对象和范围</w:t>
      </w:r>
      <w:bookmarkEnd w:id="56"/>
    </w:p>
    <w:p w14:paraId="10A08256">
      <w:pPr>
        <w:pStyle w:val="14"/>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outlineLvl w:val="9"/>
        <w:rPr>
          <w:rFonts w:hint="default" w:ascii="Times New Roman" w:hAnsi="Times New Roman" w:eastAsia="仿宋_GB2312" w:cs="Times New Roman"/>
          <w:b/>
          <w:bCs/>
          <w:color w:val="auto"/>
          <w:kern w:val="2"/>
          <w:sz w:val="32"/>
          <w:szCs w:val="32"/>
          <w:highlight w:val="none"/>
          <w:lang w:val="en-US" w:eastAsia="zh-CN" w:bidi="ar-SA"/>
        </w:rPr>
      </w:pPr>
      <w:bookmarkStart w:id="57" w:name="_Toc15732"/>
      <w:r>
        <w:rPr>
          <w:rFonts w:hint="default" w:ascii="Times New Roman" w:hAnsi="Times New Roman" w:eastAsia="仿宋_GB2312" w:cs="Times New Roman"/>
          <w:b/>
          <w:bCs/>
          <w:color w:val="auto"/>
          <w:kern w:val="2"/>
          <w:sz w:val="32"/>
          <w:szCs w:val="32"/>
          <w:highlight w:val="none"/>
          <w:lang w:val="en-US" w:eastAsia="zh-CN" w:bidi="ar-SA"/>
        </w:rPr>
        <w:t>1.绩效评价完整性</w:t>
      </w:r>
    </w:p>
    <w:p w14:paraId="1E641FB4">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1AE56355">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在评价指标体系的构建上，充分考虑了项目的性质、目标以及预期成果，选取了具有代表性和可衡量性的关键指标，涵盖了社会效益、</w:t>
      </w:r>
      <w:r>
        <w:rPr>
          <w:rFonts w:hint="eastAsia" w:eastAsia="仿宋_GB2312" w:cs="Times New Roman"/>
          <w:color w:val="auto"/>
          <w:sz w:val="32"/>
          <w:szCs w:val="32"/>
          <w:highlight w:val="none"/>
          <w:lang w:val="en-US" w:eastAsia="zh-CN"/>
        </w:rPr>
        <w:t>生态</w:t>
      </w:r>
      <w:r>
        <w:rPr>
          <w:rFonts w:hint="default" w:ascii="Times New Roman" w:hAnsi="Times New Roman" w:eastAsia="仿宋_GB2312" w:cs="Times New Roman"/>
          <w:color w:val="auto"/>
          <w:sz w:val="32"/>
          <w:szCs w:val="32"/>
          <w:highlight w:val="none"/>
          <w:lang w:val="en-US" w:eastAsia="zh-CN"/>
        </w:rPr>
        <w:t>效益等多个维度，力求全方位反映项目的绩效状况。同时，对于每个指标的评价标准和数据来源均进行了明确说明，确保评价结果的客观性和可追溯性。</w:t>
      </w:r>
    </w:p>
    <w:p w14:paraId="0EA4FEEF">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0CC80FD0">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0115F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66FF9D20">
      <w:pPr>
        <w:pStyle w:val="5"/>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bookmarkStart w:id="58" w:name="_Toc417"/>
      <w:bookmarkStart w:id="59" w:name="_Toc21770"/>
      <w:r>
        <w:rPr>
          <w:rFonts w:hint="eastAsia"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eastAsia="zh-CN"/>
        </w:rPr>
        <w:t>绩效评价的目的</w:t>
      </w:r>
      <w:bookmarkEnd w:id="57"/>
      <w:bookmarkEnd w:id="58"/>
      <w:bookmarkEnd w:id="59"/>
    </w:p>
    <w:p w14:paraId="113D23D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为全面了解</w:t>
      </w:r>
      <w:r>
        <w:rPr>
          <w:rFonts w:hint="eastAsia" w:ascii="仿宋_GB2312" w:hAnsi="仿宋_GB2312" w:eastAsia="仿宋_GB2312" w:cs="仿宋_GB2312"/>
          <w:color w:val="auto"/>
          <w:sz w:val="32"/>
          <w:szCs w:val="32"/>
          <w:highlight w:val="none"/>
          <w:shd w:val="clear" w:color="auto" w:fill="auto"/>
          <w:lang w:val="en-US" w:eastAsia="zh-CN"/>
        </w:rPr>
        <w:t>该</w:t>
      </w:r>
      <w:r>
        <w:rPr>
          <w:rFonts w:hint="eastAsia" w:ascii="仿宋_GB2312" w:hAnsi="仿宋_GB2312" w:eastAsia="仿宋_GB2312" w:cs="仿宋_GB2312"/>
          <w:color w:val="auto"/>
          <w:sz w:val="32"/>
          <w:szCs w:val="32"/>
          <w:highlight w:val="none"/>
          <w:shd w:val="clear" w:color="auto" w:fill="auto"/>
          <w:lang w:eastAsia="zh-CN"/>
        </w:rPr>
        <w:t>项目预算编制合理性、资金使用合规性、项目管理的规范性、</w:t>
      </w:r>
      <w:r>
        <w:rPr>
          <w:rFonts w:hint="eastAsia" w:ascii="仿宋_GB2312" w:hAnsi="仿宋_GB2312" w:eastAsia="仿宋_GB2312" w:cs="仿宋_GB2312"/>
          <w:color w:val="auto"/>
          <w:sz w:val="32"/>
          <w:szCs w:val="32"/>
          <w:highlight w:val="none"/>
          <w:shd w:val="clear" w:color="auto" w:fill="auto"/>
          <w:lang w:val="en-US" w:eastAsia="zh-CN"/>
        </w:rPr>
        <w:t>绩效</w:t>
      </w:r>
      <w:r>
        <w:rPr>
          <w:rFonts w:hint="eastAsia" w:ascii="仿宋_GB2312" w:hAnsi="仿宋_GB2312" w:eastAsia="仿宋_GB2312" w:cs="仿宋_GB2312"/>
          <w:color w:val="auto"/>
          <w:sz w:val="32"/>
          <w:szCs w:val="32"/>
          <w:highlight w:val="none"/>
          <w:shd w:val="clear" w:color="auto" w:fill="auto"/>
          <w:lang w:eastAsia="zh-CN"/>
        </w:rPr>
        <w:t>目标的实现情况、服务对象的满意度等，通过本次</w:t>
      </w:r>
      <w:r>
        <w:rPr>
          <w:rFonts w:hint="eastAsia" w:ascii="仿宋_GB2312" w:hAnsi="仿宋_GB2312" w:eastAsia="仿宋_GB2312" w:cs="仿宋_GB2312"/>
          <w:color w:val="auto"/>
          <w:sz w:val="32"/>
          <w:szCs w:val="32"/>
          <w:highlight w:val="none"/>
          <w:shd w:val="clear" w:color="auto" w:fill="auto"/>
          <w:lang w:val="en-US" w:eastAsia="zh-CN"/>
        </w:rPr>
        <w:t>部门</w:t>
      </w:r>
      <w:r>
        <w:rPr>
          <w:rFonts w:hint="eastAsia" w:ascii="仿宋_GB2312" w:hAnsi="仿宋_GB2312" w:eastAsia="仿宋_GB2312" w:cs="仿宋_GB2312"/>
          <w:color w:val="auto"/>
          <w:sz w:val="32"/>
          <w:szCs w:val="32"/>
          <w:highlight w:val="none"/>
          <w:shd w:val="clear" w:color="auto" w:fill="auto"/>
          <w:lang w:eastAsia="zh-CN"/>
        </w:rPr>
        <w:t>绩效评价来总结经验和教训，促进项目成果转化和应用，为今后类似项目的长效管理，提供可行性参考建议。</w:t>
      </w:r>
    </w:p>
    <w:p w14:paraId="337363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bookmarkStart w:id="60" w:name="_Toc30609"/>
      <w:r>
        <w:rPr>
          <w:rFonts w:hint="default" w:ascii="Times New Roman" w:hAnsi="Times New Roman" w:eastAsia="仿宋_GB2312" w:cs="Times New Roman"/>
          <w:color w:val="auto"/>
          <w:sz w:val="32"/>
          <w:szCs w:val="32"/>
          <w:highlight w:val="none"/>
        </w:rPr>
        <w:t>（1）评估项目实施效果</w:t>
      </w:r>
    </w:p>
    <w:p w14:paraId="3421E1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通过对项目预算执行情况及各项绩效目标达成程度的系统性分析，全面、客观地评估项目在预定周期内的实施效果，包括社会效益、</w:t>
      </w:r>
      <w:r>
        <w:rPr>
          <w:rFonts w:hint="eastAsia" w:eastAsia="仿宋_GB2312" w:cs="Times New Roman"/>
          <w:color w:val="auto"/>
          <w:sz w:val="32"/>
          <w:szCs w:val="32"/>
          <w:highlight w:val="none"/>
          <w:lang w:val="en-US" w:eastAsia="zh-CN"/>
        </w:rPr>
        <w:t>生态</w:t>
      </w:r>
      <w:r>
        <w:rPr>
          <w:rFonts w:hint="default" w:ascii="Times New Roman" w:hAnsi="Times New Roman" w:eastAsia="仿宋_GB2312" w:cs="Times New Roman"/>
          <w:color w:val="auto"/>
          <w:sz w:val="32"/>
          <w:szCs w:val="32"/>
          <w:highlight w:val="none"/>
        </w:rPr>
        <w:t>效益等多维度指标，为项目后续的改进与优化提供科学依据。</w:t>
      </w:r>
    </w:p>
    <w:p w14:paraId="42032F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（2）提升资源利用效率</w:t>
      </w:r>
    </w:p>
    <w:p w14:paraId="5F2ECD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2CF24A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（3）强化项目管理责任</w:t>
      </w:r>
    </w:p>
    <w:p w14:paraId="0C6F86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F0D24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（4）为决策提供支持</w:t>
      </w:r>
    </w:p>
    <w:p w14:paraId="01A246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60D72A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（5）促进项目持续改进</w:t>
      </w:r>
    </w:p>
    <w:p w14:paraId="645AE6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149EC2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仿宋_GB2312" w:cs="Times New Roman"/>
          <w:color w:val="auto"/>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A9A78AC">
      <w:pPr>
        <w:pStyle w:val="5"/>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bookmarkStart w:id="61" w:name="_Toc16346"/>
      <w:bookmarkStart w:id="62" w:name="_Toc31970"/>
      <w:r>
        <w:rPr>
          <w:rFonts w:hint="eastAsia"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lang w:val="en-US" w:eastAsia="zh-CN"/>
        </w:rPr>
        <w:t>.绩效评价的对象</w:t>
      </w:r>
      <w:bookmarkEnd w:id="60"/>
      <w:bookmarkEnd w:id="61"/>
      <w:bookmarkEnd w:id="62"/>
    </w:p>
    <w:p w14:paraId="153B09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此次我单位根据</w:t>
      </w:r>
      <w:r>
        <w:rPr>
          <w:rFonts w:hint="eastAsia" w:ascii="仿宋_GB2312" w:hAnsi="仿宋_GB2312" w:eastAsia="仿宋_GB2312" w:cs="仿宋_GB2312"/>
          <w:color w:val="auto"/>
          <w:sz w:val="32"/>
          <w:szCs w:val="32"/>
          <w:highlight w:val="none"/>
          <w:shd w:val="clear" w:color="auto" w:fill="auto"/>
        </w:rPr>
        <w:t>《财政支出绩效评价管理暂行办法》（</w:t>
      </w:r>
      <w:r>
        <w:rPr>
          <w:rFonts w:hint="eastAsia" w:ascii="仿宋_GB2312" w:hAnsi="仿宋_GB2312" w:eastAsia="仿宋_GB2312" w:cs="仿宋_GB2312"/>
          <w:color w:val="auto"/>
          <w:sz w:val="32"/>
          <w:szCs w:val="32"/>
          <w:highlight w:val="none"/>
          <w:shd w:val="clear" w:color="auto" w:fill="auto"/>
          <w:lang w:eastAsia="zh-CN"/>
        </w:rPr>
        <w:t>财预〔2020〕10号</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文件要求对2024年度我单位实施的阜康市环卫保洁和园林养护政府购买服务项目</w:t>
      </w:r>
      <w:r>
        <w:rPr>
          <w:rFonts w:hint="default" w:ascii="仿宋_GB2312" w:hAnsi="仿宋_GB2312" w:eastAsia="仿宋_GB2312" w:cs="仿宋_GB2312"/>
          <w:color w:val="auto"/>
          <w:sz w:val="32"/>
          <w:szCs w:val="32"/>
          <w:highlight w:val="none"/>
          <w:shd w:val="clear" w:color="auto" w:fill="auto"/>
        </w:rPr>
        <w:t>及其预算执行情况</w:t>
      </w:r>
      <w:r>
        <w:rPr>
          <w:rFonts w:hint="eastAsia" w:ascii="仿宋_GB2312" w:hAnsi="仿宋_GB2312" w:eastAsia="仿宋_GB2312" w:cs="仿宋_GB2312"/>
          <w:color w:val="auto"/>
          <w:sz w:val="32"/>
          <w:szCs w:val="32"/>
          <w:highlight w:val="none"/>
          <w:shd w:val="clear" w:color="auto" w:fill="auto"/>
          <w:lang w:val="en-US" w:eastAsia="zh-CN"/>
        </w:rPr>
        <w:t>开展部门绩效评价。</w:t>
      </w:r>
    </w:p>
    <w:p w14:paraId="63EF036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pPr>
      <w:r>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t>该项目由</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阜康市城市管理局</w:t>
      </w:r>
      <w:r>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t>负责实施，旨在</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对阜康市城区4230769.92平方米的道路进行保洁和对3981769.44平方米的绿化面积进行养护</w:t>
      </w:r>
      <w:r>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t>。项目预算涵盖从</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2024年1月1日</w:t>
      </w:r>
      <w:r>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t>至</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2024年12月31日</w:t>
      </w:r>
      <w:r>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t>的全部资金投入与支出，涉及资金总额为</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3968.63</w:t>
      </w:r>
      <w:r>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t>万元。</w:t>
      </w:r>
    </w:p>
    <w:p w14:paraId="132A8AFA">
      <w:pPr>
        <w:pStyle w:val="5"/>
        <w:pageBreakBefore w:val="0"/>
        <w:kinsoku/>
        <w:wordWrap/>
        <w:overflowPunct/>
        <w:topLinePunct w:val="0"/>
        <w:autoSpaceDE/>
        <w:autoSpaceDN/>
        <w:bidi w:val="0"/>
        <w:adjustRightInd/>
        <w:spacing w:line="560" w:lineRule="exact"/>
        <w:textAlignment w:val="auto"/>
        <w:rPr>
          <w:rFonts w:hint="default" w:cs="仿宋_GB2312"/>
          <w:color w:val="auto"/>
          <w:sz w:val="32"/>
          <w:szCs w:val="32"/>
          <w:highlight w:val="none"/>
          <w:shd w:val="clear" w:color="auto" w:fill="auto"/>
          <w:lang w:val="en-US" w:eastAsia="zh-CN"/>
        </w:rPr>
      </w:pPr>
      <w:bookmarkStart w:id="63" w:name="_Toc11666"/>
      <w:bookmarkStart w:id="64" w:name="_Toc21311"/>
      <w:r>
        <w:rPr>
          <w:rFonts w:hint="default" w:cs="仿宋_GB2312"/>
          <w:color w:val="auto"/>
          <w:sz w:val="32"/>
          <w:szCs w:val="32"/>
          <w:highlight w:val="none"/>
          <w:shd w:val="clear" w:color="auto" w:fill="auto"/>
          <w:lang w:val="en-US" w:eastAsia="zh-CN"/>
        </w:rPr>
        <w:t>4.绩效评价的范围</w:t>
      </w:r>
      <w:bookmarkEnd w:id="63"/>
      <w:bookmarkEnd w:id="64"/>
    </w:p>
    <w:p w14:paraId="3D0F894A">
      <w:pPr>
        <w:pStyle w:val="1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本项目预算绩效评价报告的评价范围广泛而全面，涵盖了从项目立项至评价时点期间的所有关键预算活动和财务流程。具体而言，评价范围包括但不限于以下几个方面：</w:t>
      </w:r>
    </w:p>
    <w:p w14:paraId="60EC9124">
      <w:pPr>
        <w:pStyle w:val="14"/>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项目预算编制与执行：全面审视项目预算的编制依据、合理性、科学性以及实际执行情况，包括预算调整的原因和效果。</w:t>
      </w:r>
    </w:p>
    <w:p w14:paraId="374A43F3">
      <w:pPr>
        <w:pStyle w:val="14"/>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资金管理：深入分析项目资金的分配、使用和监管情况，确保资金使用的合规性、高效性和透明度。</w:t>
      </w:r>
    </w:p>
    <w:p w14:paraId="5D8A6E52">
      <w:pPr>
        <w:pStyle w:val="14"/>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项目实施进度与产出：评估项目是否按照既定计划顺利推进，各项任务是否按时完成，以及项目产出的数量、质量和时效性是否符合预期。</w:t>
      </w:r>
    </w:p>
    <w:p w14:paraId="22168FB6">
      <w:pPr>
        <w:pStyle w:val="1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color w:val="auto"/>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社会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生态等</w:t>
      </w:r>
      <w:r>
        <w:rPr>
          <w:rFonts w:hint="eastAsia" w:ascii="仿宋_GB2312" w:hAnsi="仿宋_GB2312" w:eastAsia="仿宋_GB2312" w:cs="仿宋_GB2312"/>
          <w:b w:val="0"/>
          <w:bCs w:val="0"/>
          <w:color w:val="auto"/>
          <w:sz w:val="32"/>
          <w:szCs w:val="32"/>
          <w:highlight w:val="none"/>
        </w:rPr>
        <w:t>影响：考察项目对社会、</w:t>
      </w:r>
      <w:r>
        <w:rPr>
          <w:rFonts w:hint="eastAsia" w:ascii="仿宋_GB2312" w:hAnsi="仿宋_GB2312" w:eastAsia="仿宋_GB2312" w:cs="仿宋_GB2312"/>
          <w:b w:val="0"/>
          <w:bCs w:val="0"/>
          <w:color w:val="auto"/>
          <w:sz w:val="32"/>
          <w:szCs w:val="32"/>
          <w:highlight w:val="none"/>
          <w:lang w:val="en-US" w:eastAsia="zh-CN"/>
        </w:rPr>
        <w:t>生态</w:t>
      </w:r>
      <w:r>
        <w:rPr>
          <w:rFonts w:hint="eastAsia" w:ascii="仿宋_GB2312" w:hAnsi="仿宋_GB2312" w:eastAsia="仿宋_GB2312" w:cs="仿宋_GB2312"/>
          <w:b w:val="0"/>
          <w:bCs w:val="0"/>
          <w:color w:val="auto"/>
          <w:sz w:val="32"/>
          <w:szCs w:val="32"/>
          <w:highlight w:val="none"/>
        </w:rPr>
        <w:t>等方面的综合影响。</w:t>
      </w:r>
    </w:p>
    <w:p w14:paraId="175C8E26">
      <w:pPr>
        <w:pStyle w:val="14"/>
        <w:keepNext w:val="0"/>
        <w:keepLines w:val="0"/>
        <w:pageBreakBefore w:val="0"/>
        <w:widowControl/>
        <w:kinsoku/>
        <w:wordWrap/>
        <w:overflowPunct/>
        <w:topLinePunct w:val="0"/>
        <w:autoSpaceDE/>
        <w:autoSpaceDN/>
        <w:bidi w:val="0"/>
        <w:adjustRightInd/>
        <w:snapToGrid/>
        <w:spacing w:before="0" w:beforeLines="-2147483648" w:after="0" w:afterLines="-2147483648" w:line="560" w:lineRule="exact"/>
        <w:ind w:firstLine="643" w:firstLineChars="200"/>
        <w:jc w:val="both"/>
        <w:textAlignment w:val="auto"/>
        <w:rPr>
          <w:rFonts w:hint="eastAsia" w:ascii="Times New Roman" w:hAnsi="Times New Roman" w:eastAsia="楷体_GB2312" w:cs="Times New Roman"/>
          <w:color w:val="auto"/>
          <w:kern w:val="28"/>
          <w:sz w:val="32"/>
          <w:highlight w:val="none"/>
          <w:lang w:val="en-US" w:eastAsia="zh-CN"/>
        </w:rPr>
      </w:pPr>
      <w:bookmarkStart w:id="65" w:name="_Toc29785"/>
      <w:bookmarkStart w:id="66" w:name="_Toc1286"/>
      <w:r>
        <w:rPr>
          <w:rFonts w:hint="eastAsia" w:ascii="Times New Roman" w:hAnsi="Times New Roman" w:eastAsia="楷体_GB2312" w:cs="Times New Roman"/>
          <w:color w:val="auto"/>
          <w:kern w:val="28"/>
          <w:sz w:val="32"/>
          <w:highlight w:val="none"/>
          <w:lang w:val="en-US" w:eastAsia="zh-CN"/>
        </w:rPr>
        <w:t>（二）绩效评价原则、评价指标体系（</w:t>
      </w:r>
      <w:r>
        <w:rPr>
          <w:rFonts w:hint="default" w:ascii="Times New Roman" w:hAnsi="Times New Roman" w:eastAsia="楷体_GB2312" w:cs="Times New Roman"/>
          <w:color w:val="auto"/>
          <w:kern w:val="28"/>
          <w:sz w:val="32"/>
          <w:highlight w:val="none"/>
          <w:lang w:val="en-US" w:eastAsia="zh-CN"/>
        </w:rPr>
        <w:t>详情见</w:t>
      </w:r>
      <w:r>
        <w:rPr>
          <w:rFonts w:hint="eastAsia" w:ascii="Times New Roman" w:hAnsi="Times New Roman" w:eastAsia="楷体_GB2312" w:cs="Times New Roman"/>
          <w:color w:val="auto"/>
          <w:kern w:val="28"/>
          <w:sz w:val="32"/>
          <w:highlight w:val="none"/>
          <w:lang w:val="en-US" w:eastAsia="zh-CN"/>
        </w:rPr>
        <w:t>附件二）、评价方法、评价标准</w:t>
      </w:r>
      <w:bookmarkEnd w:id="65"/>
      <w:bookmarkEnd w:id="66"/>
    </w:p>
    <w:p w14:paraId="68718B65">
      <w:pPr>
        <w:pStyle w:val="5"/>
        <w:pageBreakBefore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b/>
          <w:bCs/>
          <w:color w:val="auto"/>
          <w:kern w:val="2"/>
          <w:sz w:val="32"/>
          <w:szCs w:val="32"/>
          <w:highlight w:val="none"/>
          <w:lang w:val="en-US" w:eastAsia="zh-CN" w:bidi="ar-SA"/>
        </w:rPr>
      </w:pPr>
      <w:bookmarkStart w:id="67" w:name="_Toc13694"/>
      <w:bookmarkStart w:id="68" w:name="_Toc24506"/>
      <w:bookmarkStart w:id="69" w:name="_Toc5354"/>
      <w:r>
        <w:rPr>
          <w:rFonts w:hint="eastAsia" w:ascii="Times New Roman" w:hAnsi="Times New Roman" w:eastAsia="仿宋_GB2312" w:cs="Times New Roman"/>
          <w:b/>
          <w:bCs/>
          <w:color w:val="auto"/>
          <w:kern w:val="2"/>
          <w:sz w:val="32"/>
          <w:szCs w:val="32"/>
          <w:highlight w:val="none"/>
          <w:lang w:val="en-US" w:eastAsia="zh-CN" w:bidi="ar-SA"/>
        </w:rPr>
        <w:t>1.绩效评价原则</w:t>
      </w:r>
      <w:bookmarkEnd w:id="67"/>
      <w:bookmarkEnd w:id="68"/>
      <w:bookmarkEnd w:id="69"/>
    </w:p>
    <w:p w14:paraId="4649CFE8">
      <w:pPr>
        <w:spacing w:line="56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依据《财政支出绩效评价管理暂行办法》（财预〔20</w:t>
      </w:r>
      <w:r>
        <w:rPr>
          <w:rFonts w:hint="eastAsia"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eastAsia="zh-CN"/>
        </w:rPr>
        <w:t>号）本次绩效评价秉承科学规范、公正公开、分级分类、绩效相关等原则，按照从投入、过程到产出效果和影响的绩效逻辑路径，结合</w:t>
      </w:r>
      <w:r>
        <w:rPr>
          <w:rFonts w:hint="eastAsia" w:ascii="Times New Roman" w:hAnsi="Times New Roman" w:eastAsia="仿宋_GB2312" w:cs="Times New Roman"/>
          <w:color w:val="auto"/>
          <w:sz w:val="32"/>
          <w:szCs w:val="32"/>
          <w:highlight w:val="none"/>
          <w:lang w:val="en-US" w:eastAsia="zh-CN"/>
        </w:rPr>
        <w:t>阜康市环卫保洁和园林养护政府购买服务项目</w:t>
      </w:r>
      <w:r>
        <w:rPr>
          <w:rFonts w:hint="eastAsia" w:ascii="Times New Roman" w:hAnsi="Times New Roman" w:eastAsia="仿宋_GB2312" w:cs="Times New Roman"/>
          <w:color w:val="auto"/>
          <w:sz w:val="32"/>
          <w:szCs w:val="32"/>
          <w:highlight w:val="none"/>
          <w:lang w:eastAsia="zh-CN"/>
        </w:rPr>
        <w:t>实际开展情况，运用定量和定性分析相结合的方法，总结经验做法，反思项目实施和管理中的问题，以切实提升财政资金管理的科学化、规范化和精细化水平。</w:t>
      </w:r>
    </w:p>
    <w:p w14:paraId="13B65C14">
      <w:pPr>
        <w:spacing w:line="56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根据以上原则，绩效评价应遵循如下要求：</w:t>
      </w:r>
    </w:p>
    <w:p w14:paraId="144524A6">
      <w:pPr>
        <w:spacing w:line="56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）科学公正。绩效评价应当运用科学合理的方法，按照规范的程序，对项目绩效进行客观、公正的反映。</w:t>
      </w:r>
    </w:p>
    <w:p w14:paraId="32CF33AB">
      <w:pPr>
        <w:spacing w:line="56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）统筹兼顾。单位自评、部门评价和财政评价应职责明确，各有侧重，相互衔接。单位自评应由项目单位自主实施，即“谁支出、谁自评”。</w:t>
      </w:r>
    </w:p>
    <w:p w14:paraId="6732B3AA">
      <w:pPr>
        <w:spacing w:line="56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）激励约束。绩效评价结果应与预算安排、政策调整、改进管理实质性挂钩，体现奖优罚劣和激励相容导向，有效要安排、低效要压减、无效要问责。</w:t>
      </w:r>
    </w:p>
    <w:p w14:paraId="13E4FFAF">
      <w:pPr>
        <w:spacing w:line="56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eastAsia="zh-CN"/>
        </w:rPr>
        <w:t>）公开透明。绩效评价结果应依法依规公开，并自觉接受社会监督。</w:t>
      </w:r>
    </w:p>
    <w:p w14:paraId="4EDA5562">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bookmarkStart w:id="70" w:name="_Toc26131"/>
      <w:bookmarkStart w:id="71" w:name="_Toc428278230"/>
      <w:bookmarkStart w:id="72" w:name="_Toc1913"/>
      <w:bookmarkStart w:id="73" w:name="_Toc419984722"/>
      <w:bookmarkStart w:id="74" w:name="_Toc24396"/>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绩效评价指标体系</w:t>
      </w:r>
      <w:bookmarkEnd w:id="70"/>
      <w:bookmarkEnd w:id="71"/>
      <w:bookmarkEnd w:id="72"/>
      <w:bookmarkEnd w:id="73"/>
      <w:bookmarkEnd w:id="74"/>
    </w:p>
    <w:p w14:paraId="322CFB0C">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仿宋_GB2312" w:hAnsi="仿宋_GB2312" w:eastAsia="仿宋_GB2312" w:cs="仿宋_GB2312"/>
          <w:color w:val="auto"/>
          <w:spacing w:val="17"/>
          <w:sz w:val="32"/>
          <w:szCs w:val="32"/>
          <w:highlight w:val="none"/>
        </w:rPr>
      </w:pPr>
      <w:bookmarkStart w:id="75" w:name="_Toc9941"/>
      <w:r>
        <w:rPr>
          <w:rFonts w:hint="eastAsia" w:ascii="仿宋_GB2312" w:hAnsi="仿宋_GB2312" w:eastAsia="仿宋_GB2312" w:cs="仿宋_GB2312"/>
          <w:color w:val="auto"/>
          <w:spacing w:val="17"/>
          <w:sz w:val="32"/>
          <w:szCs w:val="32"/>
          <w:highlight w:val="none"/>
        </w:rPr>
        <w:t>绩效评价框架是开展绩效评价的核心。绩效评价框架包括评价准则、关键评价问题、评价指标、数据来源、数据收集方法等。指标体系建立过程如下：</w:t>
      </w:r>
    </w:p>
    <w:p w14:paraId="2F81CA26">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仿宋_GB2312" w:hAnsi="仿宋_GB2312" w:eastAsia="仿宋_GB2312" w:cs="仿宋_GB2312"/>
          <w:color w:val="auto"/>
          <w:spacing w:val="17"/>
          <w:sz w:val="32"/>
          <w:szCs w:val="32"/>
          <w:highlight w:val="none"/>
        </w:rPr>
      </w:pPr>
      <w:r>
        <w:rPr>
          <w:rFonts w:hint="eastAsia" w:ascii="仿宋_GB2312" w:hAnsi="仿宋_GB2312" w:eastAsia="仿宋_GB2312" w:cs="仿宋_GB2312"/>
          <w:color w:val="auto"/>
          <w:spacing w:val="17"/>
          <w:sz w:val="32"/>
          <w:szCs w:val="32"/>
          <w:highlight w:val="none"/>
        </w:rPr>
        <w:t>（1）确定评价指标</w:t>
      </w:r>
    </w:p>
    <w:p w14:paraId="7489EB03">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仿宋_GB2312" w:hAnsi="仿宋_GB2312" w:eastAsia="仿宋_GB2312" w:cs="仿宋_GB2312"/>
          <w:color w:val="auto"/>
          <w:spacing w:val="17"/>
          <w:sz w:val="32"/>
          <w:szCs w:val="32"/>
          <w:highlight w:val="none"/>
        </w:rPr>
      </w:pPr>
      <w:r>
        <w:rPr>
          <w:rFonts w:hint="eastAsia" w:ascii="仿宋_GB2312" w:hAnsi="仿宋_GB2312" w:eastAsia="仿宋_GB2312" w:cs="仿宋_GB2312"/>
          <w:color w:val="auto"/>
          <w:spacing w:val="17"/>
          <w:sz w:val="32"/>
          <w:szCs w:val="32"/>
          <w:highlight w:val="none"/>
        </w:rPr>
        <w:t>采用层次分析法，建立评价指标体系。绩效评价将指标分为项目决策指标、项目过程指标、项目产出指标、项目效益指标四个维度，最终形成一个由多个相互联系的指标组成的多层次指标体系。</w:t>
      </w:r>
    </w:p>
    <w:p w14:paraId="3523E383">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仿宋_GB2312" w:hAnsi="仿宋_GB2312" w:eastAsia="仿宋_GB2312" w:cs="仿宋_GB2312"/>
          <w:color w:val="auto"/>
          <w:spacing w:val="17"/>
          <w:sz w:val="32"/>
          <w:szCs w:val="32"/>
          <w:highlight w:val="none"/>
        </w:rPr>
      </w:pPr>
      <w:r>
        <w:rPr>
          <w:rFonts w:hint="eastAsia" w:ascii="仿宋_GB2312" w:hAnsi="仿宋_GB2312" w:eastAsia="仿宋_GB2312" w:cs="仿宋_GB2312"/>
          <w:color w:val="auto"/>
          <w:spacing w:val="17"/>
          <w:sz w:val="32"/>
          <w:szCs w:val="32"/>
          <w:highlight w:val="none"/>
        </w:rPr>
        <w:t>（2）确定权重</w:t>
      </w:r>
    </w:p>
    <w:p w14:paraId="7DD762A9">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仿宋_GB2312" w:hAnsi="仿宋_GB2312" w:eastAsia="仿宋_GB2312" w:cs="仿宋_GB2312"/>
          <w:color w:val="auto"/>
          <w:spacing w:val="17"/>
          <w:sz w:val="32"/>
          <w:szCs w:val="32"/>
          <w:highlight w:val="none"/>
          <w:lang w:eastAsia="zh-CN"/>
        </w:rPr>
      </w:pPr>
      <w:r>
        <w:rPr>
          <w:rFonts w:hint="eastAsia" w:ascii="仿宋_GB2312" w:hAnsi="仿宋_GB2312" w:eastAsia="仿宋_GB2312" w:cs="仿宋_GB2312"/>
          <w:color w:val="auto"/>
          <w:spacing w:val="17"/>
          <w:sz w:val="32"/>
          <w:szCs w:val="32"/>
          <w:highlight w:val="none"/>
        </w:rPr>
        <w:t>确定各个指标相对于项目总体绩效的权重分值。在绩效评价指标体系中，项目决策权重为20分，项目过程权重为20分，项目产出权重为40分，项目效益权重为20分。</w:t>
      </w:r>
    </w:p>
    <w:p w14:paraId="443D0F06">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仿宋_GB2312" w:hAnsi="仿宋_GB2312" w:eastAsia="仿宋_GB2312" w:cs="仿宋_GB2312"/>
          <w:color w:val="auto"/>
          <w:spacing w:val="17"/>
          <w:sz w:val="32"/>
          <w:szCs w:val="32"/>
          <w:highlight w:val="none"/>
        </w:rPr>
      </w:pPr>
      <w:r>
        <w:rPr>
          <w:rFonts w:hint="eastAsia" w:ascii="仿宋_GB2312" w:hAnsi="仿宋_GB2312" w:eastAsia="仿宋_GB2312" w:cs="仿宋_GB2312"/>
          <w:color w:val="auto"/>
          <w:spacing w:val="17"/>
          <w:sz w:val="32"/>
          <w:szCs w:val="32"/>
          <w:highlight w:val="none"/>
        </w:rPr>
        <w:t>（3）确定指标标准值</w:t>
      </w:r>
    </w:p>
    <w:p w14:paraId="65ABB12A">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仿宋_GB2312" w:hAnsi="仿宋_GB2312" w:eastAsia="仿宋_GB2312" w:cs="仿宋_GB2312"/>
          <w:color w:val="auto"/>
          <w:spacing w:val="17"/>
          <w:sz w:val="32"/>
          <w:szCs w:val="32"/>
          <w:highlight w:val="none"/>
        </w:rPr>
      </w:pPr>
      <w:r>
        <w:rPr>
          <w:rFonts w:hint="eastAsia" w:ascii="仿宋_GB2312" w:hAnsi="仿宋_GB2312" w:eastAsia="仿宋_GB2312" w:cs="仿宋_GB2312"/>
          <w:color w:val="auto"/>
          <w:spacing w:val="17"/>
          <w:sz w:val="32"/>
          <w:szCs w:val="32"/>
          <w:highlight w:val="none"/>
        </w:rPr>
        <w:t>指标标准值是绩效评价指标的尺度，既要反映同类项目的先进水平，又要符合项目的实际绩效水平。具体采用计划标准等确定此次绩效评价指标标准值。</w:t>
      </w:r>
    </w:p>
    <w:p w14:paraId="174B2338">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仿宋_GB2312" w:hAnsi="仿宋_GB2312" w:eastAsia="仿宋_GB2312" w:cs="仿宋_GB2312"/>
          <w:color w:val="auto"/>
          <w:spacing w:val="17"/>
          <w:sz w:val="32"/>
          <w:szCs w:val="32"/>
          <w:highlight w:val="none"/>
        </w:rPr>
      </w:pPr>
      <w:r>
        <w:rPr>
          <w:rFonts w:hint="eastAsia" w:ascii="仿宋_GB2312" w:hAnsi="仿宋_GB2312" w:eastAsia="仿宋_GB2312" w:cs="仿宋_GB2312"/>
          <w:color w:val="auto"/>
          <w:spacing w:val="17"/>
          <w:sz w:val="32"/>
          <w:szCs w:val="32"/>
          <w:highlight w:val="none"/>
        </w:rPr>
        <w:t>绩效评价总分值100分，根据综合评分结果，90（含）-100分为优、80（含）-90分为良、60（含）-80分为中、60分以下为差。</w:t>
      </w:r>
    </w:p>
    <w:p w14:paraId="3B987C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w:t>
      </w:r>
      <w:r>
        <w:rPr>
          <w:rFonts w:hint="eastAsia" w:ascii="仿宋_GB2312" w:hAnsi="仿宋_GB2312" w:eastAsia="仿宋_GB2312" w:cs="仿宋_GB2312"/>
          <w:color w:val="auto"/>
          <w:sz w:val="32"/>
          <w:szCs w:val="32"/>
          <w:highlight w:val="none"/>
          <w:lang w:val="zh-TW" w:eastAsia="zh-TW"/>
        </w:rPr>
        <w:t>根据项目的</w:t>
      </w:r>
      <w:r>
        <w:rPr>
          <w:rFonts w:hint="eastAsia" w:ascii="仿宋_GB2312" w:hAnsi="仿宋_GB2312" w:eastAsia="仿宋_GB2312" w:cs="仿宋_GB2312"/>
          <w:color w:val="auto"/>
          <w:sz w:val="32"/>
          <w:szCs w:val="32"/>
          <w:highlight w:val="none"/>
          <w:lang w:val="en-US" w:eastAsia="zh-CN"/>
        </w:rPr>
        <w:t>实施</w:t>
      </w:r>
      <w:r>
        <w:rPr>
          <w:rFonts w:hint="eastAsia" w:ascii="仿宋_GB2312" w:hAnsi="仿宋_GB2312" w:eastAsia="仿宋_GB2312" w:cs="仿宋_GB2312"/>
          <w:color w:val="auto"/>
          <w:sz w:val="32"/>
          <w:szCs w:val="32"/>
          <w:highlight w:val="none"/>
          <w:lang w:val="zh-TW" w:eastAsia="zh-TW"/>
        </w:rPr>
        <w:t>资料研读及前期调研，结合项目的实际开展情况，最终形成了项目绩效评价指标体系</w:t>
      </w:r>
      <w:r>
        <w:rPr>
          <w:rFonts w:hint="eastAsia" w:ascii="仿宋_GB2312" w:hAnsi="仿宋_GB2312" w:eastAsia="仿宋_GB2312" w:cs="仿宋_GB2312"/>
          <w:color w:val="auto"/>
          <w:sz w:val="32"/>
          <w:szCs w:val="32"/>
          <w:highlight w:val="none"/>
          <w:lang w:val="zh-TW" w:eastAsia="zh-CN"/>
        </w:rPr>
        <w:t>，</w:t>
      </w:r>
      <w:r>
        <w:rPr>
          <w:rFonts w:hint="eastAsia" w:ascii="仿宋_GB2312" w:hAnsi="仿宋_GB2312" w:eastAsia="仿宋_GB2312" w:cs="仿宋_GB2312"/>
          <w:color w:val="auto"/>
          <w:sz w:val="32"/>
          <w:szCs w:val="32"/>
          <w:highlight w:val="none"/>
          <w:lang w:val="en-US" w:eastAsia="zh-CN"/>
        </w:rPr>
        <w:t>详见上传的附件二。</w:t>
      </w:r>
    </w:p>
    <w:p w14:paraId="5E917D38">
      <w:pPr>
        <w:pStyle w:val="5"/>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bookmarkStart w:id="76" w:name="_Toc5690"/>
      <w:bookmarkStart w:id="77" w:name="_Toc30114"/>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评价</w:t>
      </w:r>
      <w:r>
        <w:rPr>
          <w:rFonts w:hint="eastAsia" w:ascii="仿宋_GB2312" w:hAnsi="仿宋_GB2312" w:eastAsia="仿宋_GB2312" w:cs="仿宋_GB2312"/>
          <w:color w:val="auto"/>
          <w:sz w:val="32"/>
          <w:szCs w:val="32"/>
          <w:highlight w:val="none"/>
          <w:shd w:val="clear" w:color="auto" w:fill="auto"/>
          <w:lang w:val="en-US" w:eastAsia="zh-CN"/>
        </w:rPr>
        <w:t>方法</w:t>
      </w:r>
      <w:bookmarkEnd w:id="75"/>
      <w:bookmarkEnd w:id="76"/>
      <w:bookmarkEnd w:id="77"/>
    </w:p>
    <w:p w14:paraId="30E9B45C">
      <w:pPr>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仿宋_GB2312" w:hAnsi="仿宋_GB2312" w:eastAsia="仿宋_GB2312" w:cs="仿宋_GB2312"/>
          <w:color w:val="auto"/>
          <w:spacing w:val="17"/>
          <w:sz w:val="32"/>
          <w:szCs w:val="32"/>
          <w:highlight w:val="none"/>
        </w:rPr>
      </w:pPr>
      <w:bookmarkStart w:id="78" w:name="_Toc25391"/>
      <w:r>
        <w:rPr>
          <w:rFonts w:hint="eastAsia" w:ascii="仿宋_GB2312" w:hAnsi="仿宋_GB2312" w:eastAsia="仿宋_GB2312" w:cs="仿宋_GB2312"/>
          <w:color w:val="auto"/>
          <w:spacing w:val="17"/>
          <w:sz w:val="32"/>
          <w:szCs w:val="32"/>
          <w:highlight w:val="none"/>
        </w:rPr>
        <w:t>绩效评价从项目决策、项目过程、项目产出、项目效益四个维度进行评价。评价对象为项目目标实施情况</w:t>
      </w:r>
      <w:r>
        <w:rPr>
          <w:rFonts w:hint="eastAsia" w:ascii="仿宋_GB2312" w:hAnsi="仿宋_GB2312" w:eastAsia="仿宋_GB2312" w:cs="仿宋_GB2312"/>
          <w:color w:val="auto"/>
          <w:spacing w:val="17"/>
          <w:sz w:val="32"/>
          <w:szCs w:val="32"/>
          <w:highlight w:val="none"/>
          <w:lang w:eastAsia="zh-CN"/>
        </w:rPr>
        <w:t>，</w:t>
      </w:r>
      <w:r>
        <w:rPr>
          <w:rFonts w:hint="eastAsia" w:ascii="仿宋_GB2312" w:hAnsi="仿宋_GB2312" w:eastAsia="仿宋_GB2312" w:cs="仿宋_GB2312"/>
          <w:color w:val="auto"/>
          <w:spacing w:val="17"/>
          <w:sz w:val="32"/>
          <w:szCs w:val="32"/>
          <w:highlight w:val="none"/>
        </w:rPr>
        <w:t>评价核心为资金的支出完成情况和项目的产出效益。</w:t>
      </w:r>
    </w:p>
    <w:p w14:paraId="4FB841D5">
      <w:pPr>
        <w:pStyle w:val="6"/>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17"/>
          <w:sz w:val="32"/>
          <w:szCs w:val="32"/>
          <w:highlight w:val="none"/>
        </w:rPr>
        <w:t>本次评价指标中，既有定性指标又有定量指标，各类指标因考核内容不同和客观标准不同存在较大差异，因此核定具体指标时采用了不同方法，具体评价方法如下：</w:t>
      </w:r>
    </w:p>
    <w:p w14:paraId="62EBFB8E">
      <w:pPr>
        <w:spacing w:line="560" w:lineRule="exact"/>
        <w:ind w:firstLine="708" w:firstLineChars="200"/>
        <w:rPr>
          <w:rFonts w:hint="eastAsia" w:ascii="Times New Roman" w:hAnsi="Times New Roman" w:eastAsia="仿宋_GB2312" w:cs="Times New Roman"/>
          <w:color w:val="auto"/>
          <w:spacing w:val="17"/>
          <w:sz w:val="32"/>
          <w:szCs w:val="32"/>
          <w:highlight w:val="none"/>
          <w:lang w:eastAsia="zh-CN"/>
        </w:rPr>
      </w:pPr>
      <w:r>
        <w:rPr>
          <w:rFonts w:hint="default" w:ascii="Times New Roman" w:hAnsi="Times New Roman" w:eastAsia="仿宋_GB2312" w:cs="Times New Roman"/>
          <w:color w:val="auto"/>
          <w:spacing w:val="17"/>
          <w:sz w:val="32"/>
          <w:szCs w:val="32"/>
          <w:highlight w:val="none"/>
        </w:rPr>
        <w:t>（</w:t>
      </w:r>
      <w:r>
        <w:rPr>
          <w:rFonts w:hint="eastAsia" w:ascii="Times New Roman" w:hAnsi="Times New Roman" w:eastAsia="仿宋_GB2312" w:cs="Times New Roman"/>
          <w:color w:val="auto"/>
          <w:spacing w:val="17"/>
          <w:sz w:val="32"/>
          <w:szCs w:val="32"/>
          <w:highlight w:val="none"/>
          <w:lang w:val="en-US" w:eastAsia="zh-CN"/>
        </w:rPr>
        <w:t>1</w:t>
      </w:r>
      <w:r>
        <w:rPr>
          <w:rFonts w:hint="default" w:ascii="Times New Roman" w:hAnsi="Times New Roman" w:eastAsia="仿宋_GB2312" w:cs="Times New Roman"/>
          <w:color w:val="auto"/>
          <w:spacing w:val="17"/>
          <w:sz w:val="32"/>
          <w:szCs w:val="32"/>
          <w:highlight w:val="none"/>
        </w:rPr>
        <w:t>）成本效益分析法。是指将投入与产出、效益进行关联性分析的方法。</w:t>
      </w:r>
    </w:p>
    <w:p w14:paraId="31A38408">
      <w:pPr>
        <w:pageBreakBefore w:val="0"/>
        <w:widowControl w:val="0"/>
        <w:kinsoku/>
        <w:wordWrap/>
        <w:overflowPunct/>
        <w:topLinePunct w:val="0"/>
        <w:autoSpaceDE/>
        <w:autoSpaceDN/>
        <w:bidi w:val="0"/>
        <w:adjustRightInd/>
        <w:snapToGrid/>
        <w:spacing w:line="560" w:lineRule="exact"/>
        <w:ind w:firstLine="708" w:firstLineChars="200"/>
        <w:textAlignment w:val="auto"/>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w:t>
      </w:r>
      <w:r>
        <w:rPr>
          <w:rFonts w:hint="eastAsia" w:ascii="Times New Roman" w:hAnsi="Times New Roman" w:eastAsia="仿宋_GB2312" w:cs="Times New Roman"/>
          <w:color w:val="auto"/>
          <w:spacing w:val="17"/>
          <w:sz w:val="32"/>
          <w:szCs w:val="32"/>
          <w:highlight w:val="none"/>
          <w:lang w:val="en-US" w:eastAsia="zh-CN"/>
        </w:rPr>
        <w:t>2</w:t>
      </w:r>
      <w:r>
        <w:rPr>
          <w:rFonts w:hint="default" w:ascii="Times New Roman" w:hAnsi="Times New Roman" w:eastAsia="仿宋_GB2312" w:cs="Times New Roman"/>
          <w:color w:val="auto"/>
          <w:spacing w:val="17"/>
          <w:sz w:val="32"/>
          <w:szCs w:val="32"/>
          <w:highlight w:val="none"/>
        </w:rPr>
        <w:t>）公众评判法。是指通过专家评估、公众问卷及抽样调查等方式进行评判的方法。</w:t>
      </w:r>
    </w:p>
    <w:p w14:paraId="30336318">
      <w:pPr>
        <w:pStyle w:val="2"/>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本项目为政府购买服务项目，</w:t>
      </w:r>
      <w:r>
        <w:rPr>
          <w:rFonts w:hint="default" w:ascii="仿宋_GB2312" w:hAnsi="仿宋_GB2312" w:eastAsia="仿宋_GB2312" w:cs="仿宋_GB2312"/>
          <w:b w:val="0"/>
          <w:bCs/>
          <w:color w:val="auto"/>
          <w:sz w:val="32"/>
          <w:szCs w:val="32"/>
          <w:highlight w:val="none"/>
          <w:lang w:val="en-US" w:eastAsia="zh-CN"/>
        </w:rPr>
        <w:t>成本效益分析法</w:t>
      </w:r>
      <w:r>
        <w:rPr>
          <w:rFonts w:hint="eastAsia" w:ascii="仿宋_GB2312" w:hAnsi="仿宋_GB2312" w:eastAsia="仿宋_GB2312" w:cs="仿宋_GB2312"/>
          <w:b w:val="0"/>
          <w:bCs/>
          <w:color w:val="auto"/>
          <w:sz w:val="32"/>
          <w:szCs w:val="32"/>
          <w:highlight w:val="none"/>
          <w:lang w:val="en-US" w:eastAsia="zh-CN"/>
        </w:rPr>
        <w:t>通过投入与产出的分析比较，反映出该项目财政资金投入产生的效益和效果；</w:t>
      </w:r>
      <w:r>
        <w:rPr>
          <w:rFonts w:hint="default" w:ascii="仿宋_GB2312" w:hAnsi="仿宋_GB2312" w:eastAsia="仿宋_GB2312" w:cs="仿宋_GB2312"/>
          <w:b w:val="0"/>
          <w:bCs/>
          <w:color w:val="auto"/>
          <w:sz w:val="32"/>
          <w:szCs w:val="32"/>
          <w:highlight w:val="none"/>
          <w:lang w:val="en-US" w:eastAsia="zh-CN"/>
        </w:rPr>
        <w:t>公众评判法</w:t>
      </w:r>
      <w:r>
        <w:rPr>
          <w:rFonts w:hint="eastAsia" w:ascii="仿宋_GB2312" w:hAnsi="仿宋_GB2312" w:eastAsia="仿宋_GB2312" w:cs="仿宋_GB2312"/>
          <w:b w:val="0"/>
          <w:bCs/>
          <w:color w:val="auto"/>
          <w:sz w:val="32"/>
          <w:szCs w:val="32"/>
          <w:highlight w:val="none"/>
          <w:lang w:val="en-US" w:eastAsia="zh-CN"/>
        </w:rPr>
        <w:t>通过发放调查问卷的方式，反映出市民对城区保洁和园林养护结果的满意度。</w:t>
      </w:r>
    </w:p>
    <w:p w14:paraId="437F847F">
      <w:pPr>
        <w:pStyle w:val="5"/>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bookmarkStart w:id="79" w:name="_Toc25651"/>
      <w:bookmarkStart w:id="80" w:name="_Toc6081"/>
      <w:r>
        <w:rPr>
          <w:rFonts w:hint="eastAsia" w:ascii="仿宋_GB2312" w:hAnsi="仿宋_GB2312" w:eastAsia="仿宋_GB2312" w:cs="仿宋_GB2312"/>
          <w:color w:val="auto"/>
          <w:sz w:val="32"/>
          <w:szCs w:val="32"/>
          <w:highlight w:val="none"/>
          <w:shd w:val="clear" w:color="auto" w:fill="auto"/>
          <w:lang w:val="en-US" w:eastAsia="zh-CN"/>
        </w:rPr>
        <w:t>4.评价标准</w:t>
      </w:r>
      <w:bookmarkEnd w:id="78"/>
      <w:bookmarkEnd w:id="79"/>
      <w:bookmarkEnd w:id="80"/>
    </w:p>
    <w:p w14:paraId="047A74A2">
      <w:pPr>
        <w:pageBreakBefore w:val="0"/>
        <w:widowControl w:val="0"/>
        <w:kinsoku/>
        <w:wordWrap/>
        <w:overflowPunct/>
        <w:topLinePunct w:val="0"/>
        <w:autoSpaceDE/>
        <w:autoSpaceDN/>
        <w:bidi w:val="0"/>
        <w:adjustRightInd/>
        <w:snapToGrid/>
        <w:spacing w:line="560" w:lineRule="exact"/>
        <w:ind w:firstLine="708" w:firstLineChars="200"/>
        <w:textAlignment w:val="auto"/>
        <w:rPr>
          <w:rFonts w:hint="default" w:ascii="Times New Roman" w:hAnsi="Times New Roman" w:eastAsia="仿宋_GB2312" w:cs="Times New Roman"/>
          <w:color w:val="auto"/>
          <w:spacing w:val="17"/>
          <w:sz w:val="32"/>
          <w:szCs w:val="32"/>
          <w:highlight w:val="none"/>
          <w:lang w:eastAsia="zh-CN"/>
        </w:rPr>
      </w:pPr>
      <w:r>
        <w:rPr>
          <w:rFonts w:hint="default" w:ascii="Times New Roman" w:hAnsi="Times New Roman" w:eastAsia="仿宋_GB2312" w:cs="Times New Roman"/>
          <w:color w:val="auto"/>
          <w:spacing w:val="17"/>
          <w:sz w:val="32"/>
          <w:szCs w:val="32"/>
          <w:highlight w:val="none"/>
        </w:rPr>
        <w:t>绩效评价标准通常包括计划标准、行业标准、历史标准等，用于对绩效指标完成情况进行比较、分析、评价。本次评价主要采用了计划标准</w:t>
      </w:r>
      <w:r>
        <w:rPr>
          <w:rFonts w:hint="eastAsia" w:ascii="Times New Roman" w:hAnsi="Times New Roman" w:eastAsia="仿宋_GB2312" w:cs="Times New Roman"/>
          <w:color w:val="auto"/>
          <w:spacing w:val="17"/>
          <w:sz w:val="32"/>
          <w:szCs w:val="32"/>
          <w:highlight w:val="none"/>
          <w:lang w:eastAsia="zh-CN"/>
        </w:rPr>
        <w:t>、</w:t>
      </w:r>
      <w:r>
        <w:rPr>
          <w:rFonts w:hint="default" w:ascii="Times New Roman" w:hAnsi="Times New Roman" w:eastAsia="仿宋_GB2312" w:cs="Times New Roman"/>
          <w:color w:val="auto"/>
          <w:spacing w:val="17"/>
          <w:sz w:val="32"/>
          <w:szCs w:val="32"/>
          <w:highlight w:val="none"/>
        </w:rPr>
        <w:t>历史标准。</w:t>
      </w:r>
    </w:p>
    <w:p w14:paraId="63DF00DF">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lang w:eastAsia="zh-CN"/>
        </w:rPr>
        <w:t>（</w:t>
      </w:r>
      <w:r>
        <w:rPr>
          <w:rFonts w:hint="default" w:ascii="Times New Roman" w:hAnsi="Times New Roman" w:eastAsia="仿宋_GB2312" w:cs="Times New Roman"/>
          <w:color w:val="auto"/>
          <w:spacing w:val="17"/>
          <w:sz w:val="32"/>
          <w:szCs w:val="32"/>
          <w:highlight w:val="none"/>
          <w:lang w:val="en-US" w:eastAsia="zh-CN"/>
        </w:rPr>
        <w:t>1</w:t>
      </w:r>
      <w:r>
        <w:rPr>
          <w:rFonts w:hint="default" w:ascii="Times New Roman" w:hAnsi="Times New Roman" w:eastAsia="仿宋_GB2312" w:cs="Times New Roman"/>
          <w:color w:val="auto"/>
          <w:spacing w:val="17"/>
          <w:sz w:val="32"/>
          <w:szCs w:val="32"/>
          <w:highlight w:val="none"/>
          <w:lang w:eastAsia="zh-CN"/>
        </w:rPr>
        <w:t>）</w:t>
      </w:r>
      <w:r>
        <w:rPr>
          <w:rFonts w:hint="default" w:ascii="Times New Roman" w:hAnsi="Times New Roman" w:eastAsia="仿宋_GB2312" w:cs="Times New Roman"/>
          <w:color w:val="auto"/>
          <w:spacing w:val="17"/>
          <w:sz w:val="32"/>
          <w:szCs w:val="32"/>
          <w:highlight w:val="none"/>
        </w:rPr>
        <w:t>计划标准。指以预先制定的目标、计划、预算、定额等作为评价标准。</w:t>
      </w:r>
    </w:p>
    <w:p w14:paraId="5B959893">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lang w:eastAsia="zh-CN"/>
        </w:rPr>
        <w:t>（</w:t>
      </w:r>
      <w:r>
        <w:rPr>
          <w:rFonts w:hint="default" w:ascii="Times New Roman" w:hAnsi="Times New Roman" w:eastAsia="仿宋_GB2312" w:cs="Times New Roman"/>
          <w:color w:val="auto"/>
          <w:spacing w:val="17"/>
          <w:sz w:val="32"/>
          <w:szCs w:val="32"/>
          <w:highlight w:val="none"/>
          <w:lang w:val="en-US" w:eastAsia="zh-CN"/>
        </w:rPr>
        <w:t>2</w:t>
      </w:r>
      <w:r>
        <w:rPr>
          <w:rFonts w:hint="default" w:ascii="Times New Roman" w:hAnsi="Times New Roman" w:eastAsia="仿宋_GB2312" w:cs="Times New Roman"/>
          <w:color w:val="auto"/>
          <w:spacing w:val="17"/>
          <w:sz w:val="32"/>
          <w:szCs w:val="32"/>
          <w:highlight w:val="none"/>
          <w:lang w:eastAsia="zh-CN"/>
        </w:rPr>
        <w:t>）</w:t>
      </w:r>
      <w:r>
        <w:rPr>
          <w:rFonts w:hint="default" w:ascii="Times New Roman" w:hAnsi="Times New Roman" w:eastAsia="仿宋_GB2312" w:cs="Times New Roman"/>
          <w:color w:val="auto"/>
          <w:spacing w:val="17"/>
          <w:sz w:val="32"/>
          <w:szCs w:val="32"/>
          <w:highlight w:val="none"/>
        </w:rPr>
        <w:t>历史标准。指参照历史数据制定的评价标准，为体现绩效改进的原则，在可实现的条件下应当确定相对较高的评价标准。</w:t>
      </w:r>
    </w:p>
    <w:p w14:paraId="79696E29">
      <w:pPr>
        <w:pStyle w:val="14"/>
        <w:keepNext w:val="0"/>
        <w:keepLines w:val="0"/>
        <w:pageBreakBefore w:val="0"/>
        <w:widowControl/>
        <w:kinsoku/>
        <w:wordWrap/>
        <w:overflowPunct/>
        <w:topLinePunct w:val="0"/>
        <w:autoSpaceDE/>
        <w:autoSpaceDN/>
        <w:bidi w:val="0"/>
        <w:adjustRightInd/>
        <w:snapToGrid/>
        <w:spacing w:before="0" w:beforeLines="-2147483648" w:after="0" w:afterLines="-2147483648" w:line="560" w:lineRule="exact"/>
        <w:ind w:firstLine="643" w:firstLineChars="200"/>
        <w:jc w:val="both"/>
        <w:textAlignment w:val="auto"/>
        <w:rPr>
          <w:rFonts w:hint="eastAsia" w:ascii="Times New Roman" w:hAnsi="Times New Roman" w:eastAsia="楷体_GB2312" w:cs="Times New Roman"/>
          <w:color w:val="auto"/>
          <w:kern w:val="28"/>
          <w:sz w:val="32"/>
          <w:highlight w:val="none"/>
          <w:lang w:val="en-US" w:eastAsia="zh-CN"/>
        </w:rPr>
      </w:pPr>
      <w:bookmarkStart w:id="81" w:name="_Toc21435"/>
      <w:r>
        <w:rPr>
          <w:rFonts w:hint="eastAsia" w:ascii="Times New Roman" w:hAnsi="Times New Roman" w:eastAsia="楷体_GB2312" w:cs="Times New Roman"/>
          <w:color w:val="auto"/>
          <w:kern w:val="28"/>
          <w:sz w:val="32"/>
          <w:highlight w:val="none"/>
          <w:lang w:val="en-US" w:eastAsia="zh-CN"/>
        </w:rPr>
        <w:t>（三）绩效评价工作过程</w:t>
      </w:r>
      <w:bookmarkEnd w:id="81"/>
    </w:p>
    <w:p w14:paraId="4DD21CC4">
      <w:pPr>
        <w:spacing w:line="560" w:lineRule="exact"/>
        <w:ind w:firstLine="711" w:firstLineChars="200"/>
        <w:rPr>
          <w:rFonts w:hint="eastAsia" w:ascii="Times New Roman" w:hAnsi="Times New Roman" w:eastAsia="仿宋_GB2312" w:cs="Times New Roman"/>
          <w:b/>
          <w:bCs/>
          <w:color w:val="auto"/>
          <w:spacing w:val="17"/>
          <w:sz w:val="32"/>
          <w:szCs w:val="32"/>
          <w:highlight w:val="none"/>
          <w:lang w:val="en-US" w:eastAsia="zh-CN"/>
        </w:rPr>
      </w:pPr>
      <w:bookmarkStart w:id="82" w:name="_Toc12862"/>
      <w:r>
        <w:rPr>
          <w:rFonts w:hint="eastAsia" w:ascii="Times New Roman" w:hAnsi="Times New Roman" w:eastAsia="仿宋_GB2312" w:cs="Times New Roman"/>
          <w:b/>
          <w:bCs/>
          <w:color w:val="auto"/>
          <w:spacing w:val="17"/>
          <w:sz w:val="32"/>
          <w:szCs w:val="32"/>
          <w:highlight w:val="none"/>
          <w:lang w:val="en-US" w:eastAsia="zh-CN"/>
        </w:rPr>
        <w:t>1.前期准备</w:t>
      </w:r>
      <w:bookmarkEnd w:id="82"/>
    </w:p>
    <w:p w14:paraId="75645D28">
      <w:pPr>
        <w:spacing w:line="560" w:lineRule="exact"/>
        <w:ind w:firstLine="708" w:firstLineChars="200"/>
        <w:rPr>
          <w:rFonts w:hint="eastAsia" w:ascii="Times New Roman" w:hAnsi="Times New Roman" w:eastAsia="仿宋_GB2312" w:cs="Times New Roman"/>
          <w:color w:val="auto"/>
          <w:spacing w:val="17"/>
          <w:sz w:val="32"/>
          <w:szCs w:val="32"/>
          <w:highlight w:val="none"/>
          <w:lang w:val="en-US" w:eastAsia="zh-CN"/>
        </w:rPr>
      </w:pPr>
      <w:r>
        <w:rPr>
          <w:rFonts w:hint="eastAsia" w:ascii="Times New Roman" w:hAnsi="Times New Roman" w:eastAsia="仿宋_GB2312" w:cs="Times New Roman"/>
          <w:color w:val="auto"/>
          <w:spacing w:val="17"/>
          <w:sz w:val="32"/>
          <w:szCs w:val="32"/>
          <w:highlight w:val="none"/>
          <w:lang w:val="en-US" w:eastAsia="zh-CN"/>
        </w:rPr>
        <w:t>（1）成立绩效评价项目小组</w:t>
      </w:r>
    </w:p>
    <w:p w14:paraId="572CA42B">
      <w:pPr>
        <w:spacing w:line="560" w:lineRule="exact"/>
        <w:ind w:firstLine="708" w:firstLineChars="200"/>
        <w:rPr>
          <w:rFonts w:hint="eastAsia" w:ascii="Times New Roman" w:hAnsi="Times New Roman" w:eastAsia="仿宋_GB2312" w:cs="Times New Roman"/>
          <w:color w:val="auto"/>
          <w:spacing w:val="17"/>
          <w:sz w:val="32"/>
          <w:szCs w:val="32"/>
          <w:highlight w:val="none"/>
          <w:lang w:val="en-US" w:eastAsia="zh-CN"/>
        </w:rPr>
      </w:pPr>
      <w:r>
        <w:rPr>
          <w:rFonts w:hint="eastAsia" w:ascii="Times New Roman" w:hAnsi="Times New Roman" w:eastAsia="仿宋_GB2312" w:cs="Times New Roman"/>
          <w:color w:val="auto"/>
          <w:spacing w:val="17"/>
          <w:sz w:val="32"/>
          <w:szCs w:val="32"/>
          <w:highlight w:val="none"/>
          <w:lang w:val="en-US" w:eastAsia="zh-CN"/>
        </w:rPr>
        <w:t>为确保该项目绩效评价的顺利实施，评价机构组建了绩效评价项目小组。项目小组负责建立联络制度、明确评价责任人、制定评价方案、实施具体评价等工作。</w:t>
      </w:r>
    </w:p>
    <w:p w14:paraId="70C76020">
      <w:pPr>
        <w:spacing w:line="560" w:lineRule="exact"/>
        <w:ind w:firstLine="708" w:firstLineChars="200"/>
        <w:rPr>
          <w:rFonts w:hint="eastAsia" w:ascii="Times New Roman" w:hAnsi="Times New Roman" w:eastAsia="仿宋_GB2312" w:cs="Times New Roman"/>
          <w:color w:val="auto"/>
          <w:spacing w:val="17"/>
          <w:sz w:val="32"/>
          <w:szCs w:val="32"/>
          <w:highlight w:val="none"/>
          <w:lang w:val="en-US" w:eastAsia="zh-CN"/>
        </w:rPr>
      </w:pPr>
      <w:bookmarkStart w:id="83" w:name="_Toc31571"/>
      <w:r>
        <w:rPr>
          <w:rFonts w:hint="eastAsia" w:ascii="Times New Roman" w:hAnsi="Times New Roman" w:eastAsia="仿宋_GB2312" w:cs="Times New Roman"/>
          <w:color w:val="auto"/>
          <w:spacing w:val="17"/>
          <w:sz w:val="32"/>
          <w:szCs w:val="32"/>
          <w:highlight w:val="none"/>
          <w:lang w:val="en-US" w:eastAsia="zh-CN"/>
        </w:rPr>
        <w:t>（2）开展前期调研</w:t>
      </w:r>
      <w:bookmarkEnd w:id="83"/>
    </w:p>
    <w:p w14:paraId="5F60A21C">
      <w:pPr>
        <w:spacing w:line="560" w:lineRule="exact"/>
        <w:ind w:firstLine="708" w:firstLineChars="200"/>
        <w:rPr>
          <w:rFonts w:hint="eastAsia" w:ascii="Times New Roman" w:hAnsi="Times New Roman" w:eastAsia="仿宋_GB2312" w:cs="Times New Roman"/>
          <w:color w:val="auto"/>
          <w:spacing w:val="17"/>
          <w:sz w:val="32"/>
          <w:szCs w:val="32"/>
          <w:highlight w:val="none"/>
          <w:lang w:val="en-US" w:eastAsia="zh-CN"/>
        </w:rPr>
      </w:pPr>
      <w:bookmarkStart w:id="84" w:name="_Toc21240"/>
      <w:r>
        <w:rPr>
          <w:rFonts w:hint="eastAsia" w:ascii="Times New Roman" w:hAnsi="Times New Roman" w:eastAsia="仿宋_GB2312" w:cs="Times New Roman"/>
          <w:color w:val="auto"/>
          <w:spacing w:val="17"/>
          <w:sz w:val="32"/>
          <w:szCs w:val="32"/>
          <w:highlight w:val="none"/>
          <w:lang w:val="en-US" w:eastAsia="zh-CN"/>
        </w:rPr>
        <w:t>绩效评价项目小组依据此次绩效评价受委托内容，对拟评价的项目实施前期调研。通过调研对阜康市环卫保洁和园林养护政府购买服务项目实施内容、目标信息、预算信息以及其他的一些项目基本信息，有了初步了解，为制定绩效评价工作方案做好准备。</w:t>
      </w:r>
      <w:bookmarkEnd w:id="84"/>
    </w:p>
    <w:p w14:paraId="7B318532">
      <w:pPr>
        <w:spacing w:line="560" w:lineRule="exact"/>
        <w:ind w:firstLine="708" w:firstLineChars="200"/>
        <w:rPr>
          <w:rFonts w:hint="eastAsia" w:ascii="Times New Roman" w:hAnsi="Times New Roman" w:eastAsia="仿宋_GB2312" w:cs="Times New Roman"/>
          <w:color w:val="auto"/>
          <w:spacing w:val="17"/>
          <w:sz w:val="32"/>
          <w:szCs w:val="32"/>
          <w:highlight w:val="none"/>
          <w:lang w:val="en-US" w:eastAsia="zh-CN"/>
        </w:rPr>
      </w:pPr>
      <w:bookmarkStart w:id="85" w:name="_Toc27977"/>
      <w:r>
        <w:rPr>
          <w:rFonts w:hint="eastAsia" w:ascii="Times New Roman" w:hAnsi="Times New Roman" w:eastAsia="仿宋_GB2312" w:cs="Times New Roman"/>
          <w:color w:val="auto"/>
          <w:spacing w:val="17"/>
          <w:sz w:val="32"/>
          <w:szCs w:val="32"/>
          <w:highlight w:val="none"/>
          <w:lang w:val="en-US" w:eastAsia="zh-CN"/>
        </w:rPr>
        <w:t>（3）制订绩效评价工作方案</w:t>
      </w:r>
      <w:bookmarkEnd w:id="85"/>
    </w:p>
    <w:p w14:paraId="41009E75">
      <w:pPr>
        <w:spacing w:line="560" w:lineRule="exact"/>
        <w:ind w:firstLine="708" w:firstLineChars="200"/>
        <w:rPr>
          <w:rFonts w:hint="eastAsia" w:ascii="Times New Roman" w:hAnsi="Times New Roman" w:eastAsia="仿宋_GB2312" w:cs="Times New Roman"/>
          <w:color w:val="auto"/>
          <w:spacing w:val="17"/>
          <w:sz w:val="32"/>
          <w:szCs w:val="32"/>
          <w:highlight w:val="none"/>
          <w:lang w:val="en-US" w:eastAsia="zh-CN"/>
        </w:rPr>
      </w:pPr>
      <w:bookmarkStart w:id="86" w:name="_Toc19659"/>
      <w:r>
        <w:rPr>
          <w:rFonts w:hint="eastAsia" w:ascii="Times New Roman" w:hAnsi="Times New Roman" w:eastAsia="仿宋_GB2312" w:cs="Times New Roman"/>
          <w:color w:val="auto"/>
          <w:spacing w:val="17"/>
          <w:sz w:val="32"/>
          <w:szCs w:val="32"/>
          <w:highlight w:val="none"/>
          <w:lang w:val="en-US" w:eastAsia="zh-CN"/>
        </w:rPr>
        <w:t>绩效评价项目小组根据有关规定和评价对象的特点以及前期调研收集的一些信息，拟定详细的绩效评价工作方案。</w:t>
      </w:r>
      <w:bookmarkEnd w:id="86"/>
    </w:p>
    <w:p w14:paraId="58F5320C">
      <w:pPr>
        <w:spacing w:line="560" w:lineRule="exact"/>
        <w:ind w:firstLine="711" w:firstLineChars="200"/>
        <w:rPr>
          <w:rFonts w:hint="eastAsia" w:ascii="Times New Roman" w:hAnsi="Times New Roman" w:eastAsia="仿宋_GB2312" w:cs="Times New Roman"/>
          <w:b/>
          <w:bCs/>
          <w:color w:val="auto"/>
          <w:spacing w:val="17"/>
          <w:sz w:val="32"/>
          <w:szCs w:val="32"/>
          <w:highlight w:val="none"/>
          <w:lang w:val="en-US" w:eastAsia="zh-CN"/>
        </w:rPr>
      </w:pPr>
      <w:bookmarkStart w:id="87" w:name="_Toc11353"/>
      <w:r>
        <w:rPr>
          <w:rFonts w:hint="eastAsia" w:ascii="Times New Roman" w:hAnsi="Times New Roman" w:eastAsia="仿宋_GB2312" w:cs="Times New Roman"/>
          <w:b/>
          <w:bCs/>
          <w:color w:val="auto"/>
          <w:spacing w:val="17"/>
          <w:sz w:val="32"/>
          <w:szCs w:val="32"/>
          <w:highlight w:val="none"/>
          <w:lang w:val="en-US" w:eastAsia="zh-CN"/>
        </w:rPr>
        <w:t>2.具体实施</w:t>
      </w:r>
      <w:bookmarkEnd w:id="87"/>
    </w:p>
    <w:p w14:paraId="0B649A3E">
      <w:pPr>
        <w:spacing w:line="560" w:lineRule="exact"/>
        <w:ind w:firstLine="708" w:firstLineChars="200"/>
        <w:rPr>
          <w:rFonts w:hint="eastAsia" w:ascii="Times New Roman" w:hAnsi="Times New Roman" w:eastAsia="仿宋_GB2312" w:cs="Times New Roman"/>
          <w:color w:val="auto"/>
          <w:spacing w:val="17"/>
          <w:sz w:val="32"/>
          <w:szCs w:val="32"/>
          <w:highlight w:val="none"/>
          <w:lang w:val="en-US" w:eastAsia="zh-CN"/>
        </w:rPr>
      </w:pPr>
      <w:bookmarkStart w:id="88" w:name="_Toc14111"/>
      <w:r>
        <w:rPr>
          <w:rFonts w:hint="eastAsia" w:ascii="Times New Roman" w:hAnsi="Times New Roman" w:eastAsia="仿宋_GB2312" w:cs="Times New Roman"/>
          <w:color w:val="auto"/>
          <w:spacing w:val="17"/>
          <w:sz w:val="32"/>
          <w:szCs w:val="32"/>
          <w:highlight w:val="none"/>
          <w:lang w:val="en-US" w:eastAsia="zh-CN"/>
        </w:rPr>
        <w:t>（1）收集基础资料</w:t>
      </w:r>
      <w:bookmarkEnd w:id="88"/>
    </w:p>
    <w:p w14:paraId="14BEE957">
      <w:pPr>
        <w:spacing w:line="560" w:lineRule="exact"/>
        <w:ind w:firstLine="708" w:firstLineChars="200"/>
        <w:rPr>
          <w:rFonts w:hint="eastAsia" w:ascii="Times New Roman" w:hAnsi="Times New Roman" w:eastAsia="仿宋_GB2312" w:cs="Times New Roman"/>
          <w:color w:val="auto"/>
          <w:spacing w:val="17"/>
          <w:sz w:val="32"/>
          <w:szCs w:val="32"/>
          <w:highlight w:val="none"/>
          <w:lang w:val="en-US" w:eastAsia="zh-CN"/>
        </w:rPr>
      </w:pPr>
      <w:bookmarkStart w:id="89" w:name="_Toc28524"/>
      <w:r>
        <w:rPr>
          <w:rFonts w:hint="eastAsia" w:ascii="Times New Roman" w:hAnsi="Times New Roman" w:eastAsia="仿宋_GB2312" w:cs="Times New Roman"/>
          <w:color w:val="auto"/>
          <w:spacing w:val="17"/>
          <w:sz w:val="32"/>
          <w:szCs w:val="32"/>
          <w:highlight w:val="none"/>
          <w:lang w:val="en-US" w:eastAsia="zh-CN"/>
        </w:rPr>
        <w:t>根据评价工作的需要和要求，在前期调研的基础上，通过多种渠道全面收集项目基础信息资料，主要包括：</w:t>
      </w:r>
      <w:bookmarkEnd w:id="89"/>
    </w:p>
    <w:p w14:paraId="55ADAD08">
      <w:pPr>
        <w:spacing w:line="560" w:lineRule="exact"/>
        <w:ind w:firstLine="708" w:firstLineChars="200"/>
        <w:rPr>
          <w:rFonts w:hint="eastAsia" w:ascii="Times New Roman" w:hAnsi="Times New Roman" w:eastAsia="仿宋_GB2312" w:cs="Times New Roman"/>
          <w:color w:val="auto"/>
          <w:spacing w:val="17"/>
          <w:sz w:val="32"/>
          <w:szCs w:val="32"/>
          <w:highlight w:val="none"/>
          <w:lang w:val="en-US" w:eastAsia="zh-CN"/>
        </w:rPr>
      </w:pPr>
      <w:bookmarkStart w:id="90" w:name="_Toc32216"/>
      <w:r>
        <w:rPr>
          <w:rFonts w:hint="eastAsia" w:ascii="Times New Roman" w:hAnsi="Times New Roman" w:eastAsia="仿宋_GB2312" w:cs="Times New Roman"/>
          <w:color w:val="auto"/>
          <w:spacing w:val="17"/>
          <w:sz w:val="32"/>
          <w:szCs w:val="32"/>
          <w:highlight w:val="none"/>
          <w:lang w:val="en-US" w:eastAsia="zh-CN"/>
        </w:rPr>
        <w:t>①被评价单位基本概况，如单位职能、事业发展规划、预决算情况、项目立项依据等；</w:t>
      </w:r>
      <w:bookmarkEnd w:id="90"/>
    </w:p>
    <w:p w14:paraId="463AC823">
      <w:pPr>
        <w:spacing w:line="560" w:lineRule="exact"/>
        <w:ind w:firstLine="708" w:firstLineChars="200"/>
        <w:rPr>
          <w:rFonts w:hint="eastAsia" w:ascii="Times New Roman" w:hAnsi="Times New Roman" w:eastAsia="仿宋_GB2312" w:cs="Times New Roman"/>
          <w:color w:val="auto"/>
          <w:spacing w:val="17"/>
          <w:sz w:val="32"/>
          <w:szCs w:val="32"/>
          <w:highlight w:val="none"/>
          <w:lang w:val="en-US" w:eastAsia="zh-CN"/>
        </w:rPr>
      </w:pPr>
      <w:bookmarkStart w:id="91" w:name="_Toc10505"/>
      <w:r>
        <w:rPr>
          <w:rFonts w:hint="eastAsia" w:ascii="Times New Roman" w:hAnsi="Times New Roman" w:eastAsia="仿宋_GB2312" w:cs="Times New Roman"/>
          <w:color w:val="auto"/>
          <w:spacing w:val="17"/>
          <w:sz w:val="32"/>
          <w:szCs w:val="32"/>
          <w:highlight w:val="none"/>
          <w:lang w:val="en-US" w:eastAsia="zh-CN"/>
        </w:rPr>
        <w:t>②绩效目标及其设立依据和调整情况；</w:t>
      </w:r>
      <w:bookmarkEnd w:id="91"/>
    </w:p>
    <w:p w14:paraId="4436073D">
      <w:pPr>
        <w:spacing w:line="560" w:lineRule="exact"/>
        <w:ind w:firstLine="708" w:firstLineChars="200"/>
        <w:rPr>
          <w:rFonts w:hint="eastAsia" w:ascii="Times New Roman" w:hAnsi="Times New Roman" w:eastAsia="仿宋_GB2312" w:cs="Times New Roman"/>
          <w:color w:val="auto"/>
          <w:spacing w:val="17"/>
          <w:sz w:val="32"/>
          <w:szCs w:val="32"/>
          <w:highlight w:val="none"/>
          <w:lang w:val="en-US" w:eastAsia="zh-CN"/>
        </w:rPr>
      </w:pPr>
      <w:bookmarkStart w:id="92" w:name="_Toc28365"/>
      <w:r>
        <w:rPr>
          <w:rFonts w:hint="eastAsia" w:ascii="Times New Roman" w:hAnsi="Times New Roman" w:eastAsia="仿宋_GB2312" w:cs="Times New Roman"/>
          <w:color w:val="auto"/>
          <w:spacing w:val="17"/>
          <w:sz w:val="32"/>
          <w:szCs w:val="32"/>
          <w:highlight w:val="none"/>
          <w:lang w:val="en-US" w:eastAsia="zh-CN"/>
        </w:rPr>
        <w:t>③管理措施及组织实施情况；</w:t>
      </w:r>
      <w:bookmarkEnd w:id="92"/>
    </w:p>
    <w:p w14:paraId="26B9D451">
      <w:pPr>
        <w:spacing w:line="560" w:lineRule="exact"/>
        <w:ind w:firstLine="708" w:firstLineChars="200"/>
        <w:rPr>
          <w:rFonts w:hint="eastAsia" w:ascii="Times New Roman" w:hAnsi="Times New Roman" w:eastAsia="仿宋_GB2312" w:cs="Times New Roman"/>
          <w:color w:val="auto"/>
          <w:spacing w:val="17"/>
          <w:sz w:val="32"/>
          <w:szCs w:val="32"/>
          <w:highlight w:val="none"/>
          <w:lang w:val="en-US" w:eastAsia="zh-CN"/>
        </w:rPr>
      </w:pPr>
      <w:bookmarkStart w:id="93" w:name="_Toc10091"/>
      <w:r>
        <w:rPr>
          <w:rFonts w:hint="eastAsia" w:ascii="Times New Roman" w:hAnsi="Times New Roman" w:eastAsia="仿宋_GB2312" w:cs="Times New Roman"/>
          <w:color w:val="auto"/>
          <w:spacing w:val="17"/>
          <w:sz w:val="32"/>
          <w:szCs w:val="32"/>
          <w:highlight w:val="none"/>
          <w:lang w:val="en-US" w:eastAsia="zh-CN"/>
        </w:rPr>
        <w:t>④被评价单位总结分析的绩效目标完成情况及绩效报告；</w:t>
      </w:r>
      <w:bookmarkEnd w:id="93"/>
    </w:p>
    <w:p w14:paraId="0C1226F9">
      <w:pPr>
        <w:spacing w:line="560" w:lineRule="exact"/>
        <w:ind w:firstLine="708" w:firstLineChars="200"/>
        <w:rPr>
          <w:rFonts w:hint="eastAsia" w:ascii="Times New Roman" w:hAnsi="Times New Roman" w:eastAsia="仿宋_GB2312" w:cs="Times New Roman"/>
          <w:color w:val="auto"/>
          <w:spacing w:val="17"/>
          <w:sz w:val="32"/>
          <w:szCs w:val="32"/>
          <w:highlight w:val="none"/>
          <w:lang w:val="en-US" w:eastAsia="zh-CN"/>
        </w:rPr>
      </w:pPr>
      <w:bookmarkStart w:id="94" w:name="_Toc1"/>
      <w:r>
        <w:rPr>
          <w:rFonts w:hint="eastAsia" w:ascii="Times New Roman" w:hAnsi="Times New Roman" w:eastAsia="仿宋_GB2312" w:cs="Times New Roman"/>
          <w:color w:val="auto"/>
          <w:spacing w:val="17"/>
          <w:sz w:val="32"/>
          <w:szCs w:val="32"/>
          <w:highlight w:val="none"/>
          <w:lang w:val="en-US" w:eastAsia="zh-CN"/>
        </w:rPr>
        <w:t>⑤与绩效评价相关的计划标准、行业标准、历史标准等；</w:t>
      </w:r>
      <w:bookmarkEnd w:id="94"/>
    </w:p>
    <w:p w14:paraId="5EF5DF03">
      <w:pPr>
        <w:spacing w:line="560" w:lineRule="exact"/>
        <w:ind w:firstLine="708" w:firstLineChars="200"/>
        <w:rPr>
          <w:rFonts w:hint="eastAsia" w:ascii="Times New Roman" w:hAnsi="Times New Roman" w:eastAsia="仿宋_GB2312" w:cs="Times New Roman"/>
          <w:color w:val="auto"/>
          <w:spacing w:val="17"/>
          <w:sz w:val="32"/>
          <w:szCs w:val="32"/>
          <w:highlight w:val="none"/>
          <w:lang w:val="en-US" w:eastAsia="zh-CN"/>
        </w:rPr>
      </w:pPr>
      <w:bookmarkStart w:id="95" w:name="_Toc20059"/>
      <w:r>
        <w:rPr>
          <w:rFonts w:hint="eastAsia" w:ascii="Times New Roman" w:hAnsi="Times New Roman" w:eastAsia="仿宋_GB2312" w:cs="Times New Roman"/>
          <w:color w:val="auto"/>
          <w:spacing w:val="17"/>
          <w:sz w:val="32"/>
          <w:szCs w:val="32"/>
          <w:highlight w:val="none"/>
          <w:lang w:val="en-US" w:eastAsia="zh-CN"/>
        </w:rPr>
        <w:t>⑥其他必要的相关资料等。</w:t>
      </w:r>
      <w:bookmarkEnd w:id="95"/>
    </w:p>
    <w:p w14:paraId="1ED922E6">
      <w:pPr>
        <w:spacing w:line="560" w:lineRule="exact"/>
        <w:ind w:firstLine="708" w:firstLineChars="200"/>
        <w:rPr>
          <w:rFonts w:hint="eastAsia" w:ascii="Times New Roman" w:hAnsi="Times New Roman" w:eastAsia="仿宋_GB2312" w:cs="Times New Roman"/>
          <w:color w:val="auto"/>
          <w:spacing w:val="17"/>
          <w:sz w:val="32"/>
          <w:szCs w:val="32"/>
          <w:highlight w:val="none"/>
          <w:lang w:val="en-US" w:eastAsia="zh-CN"/>
        </w:rPr>
      </w:pPr>
      <w:bookmarkStart w:id="96" w:name="_Toc31911"/>
      <w:r>
        <w:rPr>
          <w:rFonts w:hint="eastAsia" w:ascii="Times New Roman" w:hAnsi="Times New Roman" w:eastAsia="仿宋_GB2312" w:cs="Times New Roman"/>
          <w:color w:val="auto"/>
          <w:spacing w:val="17"/>
          <w:sz w:val="32"/>
          <w:szCs w:val="32"/>
          <w:highlight w:val="none"/>
          <w:lang w:val="en-US" w:eastAsia="zh-CN"/>
        </w:rPr>
        <w:t>（2）整理、研读基础资料</w:t>
      </w:r>
      <w:bookmarkEnd w:id="96"/>
    </w:p>
    <w:p w14:paraId="3FECC594">
      <w:pPr>
        <w:spacing w:line="560" w:lineRule="exact"/>
        <w:ind w:firstLine="708" w:firstLineChars="200"/>
        <w:rPr>
          <w:rFonts w:hint="eastAsia" w:ascii="Times New Roman" w:hAnsi="Times New Roman" w:eastAsia="仿宋_GB2312" w:cs="Times New Roman"/>
          <w:color w:val="auto"/>
          <w:spacing w:val="17"/>
          <w:sz w:val="32"/>
          <w:szCs w:val="32"/>
          <w:highlight w:val="none"/>
          <w:lang w:val="en-US" w:eastAsia="zh-CN"/>
        </w:rPr>
      </w:pPr>
      <w:bookmarkStart w:id="97" w:name="_Toc167"/>
      <w:r>
        <w:rPr>
          <w:rFonts w:hint="eastAsia" w:ascii="Times New Roman" w:hAnsi="Times New Roman" w:eastAsia="仿宋_GB2312" w:cs="Times New Roman"/>
          <w:color w:val="auto"/>
          <w:spacing w:val="17"/>
          <w:sz w:val="32"/>
          <w:szCs w:val="32"/>
          <w:highlight w:val="none"/>
          <w:lang w:val="en-US" w:eastAsia="zh-CN"/>
        </w:rPr>
        <w:t>对收集的基础资料进行分类整理、研读，并对所收集的资料进行核实和全面分析。通过基础资料的整理、研读，了解被评价对象的具体情况，分析被评价对象可能存在的问题，根据工作需要确定实地核查的内容，为现场核查做好准备。</w:t>
      </w:r>
      <w:bookmarkEnd w:id="97"/>
    </w:p>
    <w:p w14:paraId="0FAB820F">
      <w:pPr>
        <w:spacing w:line="560" w:lineRule="exact"/>
        <w:ind w:firstLine="711" w:firstLineChars="200"/>
        <w:rPr>
          <w:rFonts w:hint="default" w:ascii="Times New Roman" w:hAnsi="Times New Roman" w:eastAsia="仿宋_GB2312" w:cs="Times New Roman"/>
          <w:b/>
          <w:bCs/>
          <w:color w:val="auto"/>
          <w:spacing w:val="17"/>
          <w:sz w:val="32"/>
          <w:szCs w:val="32"/>
          <w:highlight w:val="none"/>
          <w:lang w:val="en-US" w:eastAsia="zh-CN"/>
        </w:rPr>
      </w:pPr>
      <w:bookmarkStart w:id="98" w:name="_Toc30513"/>
      <w:r>
        <w:rPr>
          <w:rFonts w:hint="eastAsia" w:ascii="Times New Roman" w:hAnsi="Times New Roman" w:eastAsia="仿宋_GB2312" w:cs="Times New Roman"/>
          <w:b/>
          <w:bCs/>
          <w:color w:val="auto"/>
          <w:spacing w:val="17"/>
          <w:sz w:val="32"/>
          <w:szCs w:val="32"/>
          <w:highlight w:val="none"/>
          <w:lang w:val="en-US" w:eastAsia="zh-CN"/>
        </w:rPr>
        <w:t>3.分析评价和撰写报告</w:t>
      </w:r>
      <w:bookmarkEnd w:id="98"/>
    </w:p>
    <w:p w14:paraId="4209EE6A">
      <w:pPr>
        <w:spacing w:line="560" w:lineRule="exact"/>
        <w:ind w:firstLine="708" w:firstLineChars="200"/>
        <w:rPr>
          <w:rFonts w:hint="eastAsia" w:ascii="Times New Roman" w:hAnsi="Times New Roman" w:eastAsia="仿宋_GB2312" w:cs="Times New Roman"/>
          <w:color w:val="auto"/>
          <w:spacing w:val="17"/>
          <w:sz w:val="32"/>
          <w:szCs w:val="32"/>
          <w:highlight w:val="none"/>
          <w:lang w:val="en-US" w:eastAsia="zh-CN"/>
        </w:rPr>
      </w:pPr>
      <w:bookmarkStart w:id="99" w:name="_Toc15974"/>
      <w:r>
        <w:rPr>
          <w:rFonts w:hint="eastAsia" w:ascii="Times New Roman" w:hAnsi="Times New Roman" w:eastAsia="仿宋_GB2312" w:cs="Times New Roman"/>
          <w:color w:val="auto"/>
          <w:spacing w:val="17"/>
          <w:sz w:val="32"/>
          <w:szCs w:val="32"/>
          <w:highlight w:val="none"/>
          <w:lang w:eastAsia="zh-CN"/>
        </w:rPr>
        <w:t>（</w:t>
      </w:r>
      <w:r>
        <w:rPr>
          <w:rFonts w:hint="eastAsia" w:ascii="Times New Roman" w:hAnsi="Times New Roman" w:eastAsia="仿宋_GB2312" w:cs="Times New Roman"/>
          <w:color w:val="auto"/>
          <w:spacing w:val="17"/>
          <w:sz w:val="32"/>
          <w:szCs w:val="32"/>
          <w:highlight w:val="none"/>
          <w:lang w:val="en-US" w:eastAsia="zh-CN"/>
        </w:rPr>
        <w:t>1）综合分析评价</w:t>
      </w:r>
      <w:bookmarkEnd w:id="99"/>
    </w:p>
    <w:p w14:paraId="344E3BBC">
      <w:pPr>
        <w:spacing w:line="560" w:lineRule="exact"/>
        <w:ind w:firstLine="708" w:firstLineChars="200"/>
        <w:rPr>
          <w:rFonts w:hint="eastAsia" w:ascii="Times New Roman" w:hAnsi="Times New Roman" w:eastAsia="仿宋_GB2312" w:cs="Times New Roman"/>
          <w:color w:val="auto"/>
          <w:spacing w:val="17"/>
          <w:sz w:val="32"/>
          <w:szCs w:val="32"/>
          <w:highlight w:val="none"/>
          <w:lang w:val="en-US" w:eastAsia="zh-CN"/>
        </w:rPr>
      </w:pPr>
      <w:bookmarkStart w:id="100" w:name="_Toc4352"/>
      <w:r>
        <w:rPr>
          <w:rFonts w:hint="eastAsia" w:ascii="Times New Roman" w:hAnsi="Times New Roman" w:eastAsia="仿宋_GB2312" w:cs="Times New Roman"/>
          <w:color w:val="auto"/>
          <w:spacing w:val="17"/>
          <w:sz w:val="32"/>
          <w:szCs w:val="32"/>
          <w:highlight w:val="none"/>
          <w:lang w:val="en-US" w:eastAsia="zh-CN"/>
        </w:rPr>
        <w:t>①根据所收集的基础资料，结合现场核查的有关情况，整理出绩效评价所需的项目材料和基础数据。</w:t>
      </w:r>
      <w:bookmarkEnd w:id="100"/>
    </w:p>
    <w:p w14:paraId="016B8A22">
      <w:pPr>
        <w:spacing w:line="560" w:lineRule="exact"/>
        <w:ind w:firstLine="708" w:firstLineChars="200"/>
        <w:rPr>
          <w:rFonts w:hint="eastAsia" w:ascii="Times New Roman" w:hAnsi="Times New Roman" w:eastAsia="仿宋_GB2312" w:cs="Times New Roman"/>
          <w:color w:val="auto"/>
          <w:spacing w:val="17"/>
          <w:sz w:val="32"/>
          <w:szCs w:val="32"/>
          <w:highlight w:val="none"/>
          <w:lang w:val="en-US" w:eastAsia="zh-CN"/>
        </w:rPr>
      </w:pPr>
      <w:bookmarkStart w:id="101" w:name="_Toc26231"/>
      <w:r>
        <w:rPr>
          <w:rFonts w:hint="eastAsia" w:ascii="Times New Roman" w:hAnsi="Times New Roman" w:eastAsia="仿宋_GB2312" w:cs="Times New Roman"/>
          <w:color w:val="auto"/>
          <w:spacing w:val="17"/>
          <w:sz w:val="32"/>
          <w:szCs w:val="32"/>
          <w:highlight w:val="none"/>
          <w:lang w:val="en-US" w:eastAsia="zh-CN"/>
        </w:rPr>
        <w:t>②将初步评价结论、调整事项、专家咨询意见和有关说明等提交单位内部讨论并征求意见。之后，对所征求的意见及时地进行收集和整理。</w:t>
      </w:r>
      <w:bookmarkEnd w:id="101"/>
    </w:p>
    <w:p w14:paraId="6C0CAA83">
      <w:pPr>
        <w:spacing w:line="560" w:lineRule="exact"/>
        <w:ind w:firstLine="708" w:firstLineChars="200"/>
        <w:rPr>
          <w:rFonts w:hint="eastAsia" w:ascii="Times New Roman" w:hAnsi="Times New Roman" w:eastAsia="仿宋_GB2312" w:cs="Times New Roman"/>
          <w:color w:val="auto"/>
          <w:spacing w:val="17"/>
          <w:sz w:val="32"/>
          <w:szCs w:val="32"/>
          <w:highlight w:val="none"/>
          <w:lang w:val="en-US" w:eastAsia="zh-CN"/>
        </w:rPr>
      </w:pPr>
      <w:bookmarkStart w:id="102" w:name="_Toc27759"/>
      <w:r>
        <w:rPr>
          <w:rFonts w:hint="eastAsia" w:ascii="Times New Roman" w:hAnsi="Times New Roman" w:eastAsia="仿宋_GB2312" w:cs="Times New Roman"/>
          <w:color w:val="auto"/>
          <w:spacing w:val="17"/>
          <w:sz w:val="32"/>
          <w:szCs w:val="32"/>
          <w:highlight w:val="none"/>
          <w:lang w:val="en-US" w:eastAsia="zh-CN"/>
        </w:rPr>
        <w:t>（2）撰写报告</w:t>
      </w:r>
      <w:bookmarkEnd w:id="102"/>
    </w:p>
    <w:p w14:paraId="21B2A2E1">
      <w:pPr>
        <w:spacing w:line="560" w:lineRule="exact"/>
        <w:ind w:firstLine="708" w:firstLineChars="200"/>
        <w:rPr>
          <w:rFonts w:hint="eastAsia" w:ascii="Times New Roman" w:hAnsi="Times New Roman" w:eastAsia="仿宋_GB2312" w:cs="Times New Roman"/>
          <w:color w:val="auto"/>
          <w:spacing w:val="17"/>
          <w:sz w:val="32"/>
          <w:szCs w:val="32"/>
          <w:highlight w:val="none"/>
          <w:lang w:val="en-US" w:eastAsia="zh-CN"/>
        </w:rPr>
      </w:pPr>
      <w:bookmarkStart w:id="103" w:name="_Toc15579"/>
      <w:r>
        <w:rPr>
          <w:rFonts w:hint="eastAsia" w:ascii="Times New Roman" w:hAnsi="Times New Roman" w:eastAsia="仿宋_GB2312" w:cs="Times New Roman"/>
          <w:color w:val="auto"/>
          <w:spacing w:val="17"/>
          <w:sz w:val="32"/>
          <w:szCs w:val="32"/>
          <w:highlight w:val="none"/>
          <w:lang w:val="en-US" w:eastAsia="zh-CN"/>
        </w:rPr>
        <w:t>绩效评价项目小组依照整理、分析后的项目材料、数据资料，依据评价形成的初步结论，按照既定的格式和内容要求撰写绩效评价初步报告，最终形成评价结果。</w:t>
      </w:r>
      <w:bookmarkEnd w:id="103"/>
    </w:p>
    <w:p w14:paraId="65EE540B">
      <w:pPr>
        <w:pStyle w:val="3"/>
        <w:pageBreakBefore w:val="0"/>
        <w:kinsoku/>
        <w:wordWrap/>
        <w:overflowPunct/>
        <w:topLinePunct w:val="0"/>
        <w:autoSpaceDE/>
        <w:autoSpaceDN/>
        <w:bidi w:val="0"/>
        <w:adjustRightInd/>
        <w:spacing w:beforeLines="0" w:afterLines="0" w:line="560" w:lineRule="exact"/>
        <w:textAlignment w:val="auto"/>
        <w:rPr>
          <w:rFonts w:hint="eastAsia" w:ascii="黑体" w:hAnsi="黑体" w:eastAsia="黑体" w:cs="黑体"/>
          <w:b w:val="0"/>
          <w:bCs w:val="0"/>
          <w:color w:val="auto"/>
          <w:highlight w:val="none"/>
          <w:shd w:val="clear" w:color="auto" w:fill="auto"/>
        </w:rPr>
      </w:pPr>
      <w:bookmarkStart w:id="104" w:name="_Toc19261"/>
      <w:r>
        <w:rPr>
          <w:rFonts w:hint="eastAsia" w:ascii="黑体" w:hAnsi="黑体" w:eastAsia="黑体" w:cs="黑体"/>
          <w:b w:val="0"/>
          <w:bCs w:val="0"/>
          <w:color w:val="auto"/>
          <w:highlight w:val="none"/>
          <w:shd w:val="clear" w:color="auto" w:fill="auto"/>
          <w:lang w:val="en-US" w:eastAsia="zh-CN"/>
        </w:rPr>
        <w:t>三、</w:t>
      </w:r>
      <w:r>
        <w:rPr>
          <w:rFonts w:hint="eastAsia" w:ascii="黑体" w:hAnsi="黑体" w:eastAsia="黑体" w:cs="黑体"/>
          <w:b w:val="0"/>
          <w:bCs w:val="0"/>
          <w:color w:val="auto"/>
          <w:highlight w:val="none"/>
          <w:shd w:val="clear" w:color="auto" w:fill="auto"/>
        </w:rPr>
        <w:t>综合评价情况及评价结论</w:t>
      </w:r>
      <w:bookmarkEnd w:id="104"/>
    </w:p>
    <w:p w14:paraId="45080976">
      <w:pPr>
        <w:pStyle w:val="14"/>
        <w:keepNext w:val="0"/>
        <w:keepLines w:val="0"/>
        <w:pageBreakBefore w:val="0"/>
        <w:widowControl/>
        <w:kinsoku/>
        <w:wordWrap/>
        <w:overflowPunct/>
        <w:topLinePunct w:val="0"/>
        <w:autoSpaceDE/>
        <w:autoSpaceDN/>
        <w:bidi w:val="0"/>
        <w:adjustRightInd/>
        <w:snapToGrid/>
        <w:spacing w:before="0" w:beforeLines="-2147483648" w:after="0" w:afterLines="-2147483648" w:line="560" w:lineRule="exact"/>
        <w:ind w:firstLine="643" w:firstLineChars="200"/>
        <w:jc w:val="both"/>
        <w:textAlignment w:val="auto"/>
        <w:rPr>
          <w:rFonts w:hint="eastAsia" w:ascii="Times New Roman" w:hAnsi="Times New Roman" w:eastAsia="楷体_GB2312" w:cs="Times New Roman"/>
          <w:color w:val="auto"/>
          <w:kern w:val="28"/>
          <w:sz w:val="32"/>
          <w:highlight w:val="none"/>
          <w:lang w:val="en-US" w:eastAsia="zh-CN"/>
        </w:rPr>
      </w:pPr>
      <w:bookmarkStart w:id="105" w:name="_Toc23319"/>
      <w:r>
        <w:rPr>
          <w:rFonts w:hint="eastAsia" w:ascii="Times New Roman" w:hAnsi="Times New Roman" w:eastAsia="楷体_GB2312" w:cs="Times New Roman"/>
          <w:color w:val="auto"/>
          <w:kern w:val="28"/>
          <w:sz w:val="32"/>
          <w:highlight w:val="none"/>
          <w:lang w:val="en-US" w:eastAsia="zh-CN"/>
        </w:rPr>
        <w:t>（一）综合评价情况及评价结论</w:t>
      </w:r>
      <w:bookmarkEnd w:id="105"/>
    </w:p>
    <w:p w14:paraId="3F276242">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本项目的综合评价基于对项目各方面绩效的深入分析与评估。从项目目标的达成情况来看，</w:t>
      </w:r>
      <w:r>
        <w:rPr>
          <w:rFonts w:hint="eastAsia" w:ascii="Times New Roman" w:hAnsi="Times New Roman" w:eastAsia="仿宋_GB2312" w:cs="Times New Roman"/>
          <w:color w:val="auto"/>
          <w:sz w:val="32"/>
          <w:szCs w:val="32"/>
          <w:highlight w:val="none"/>
          <w:lang w:val="en-US" w:eastAsia="zh-CN"/>
        </w:rPr>
        <w:t>阜康市环卫保洁和园林养护政府购买服务项目</w:t>
      </w:r>
      <w:r>
        <w:rPr>
          <w:rFonts w:hint="default" w:ascii="Times New Roman" w:hAnsi="Times New Roman" w:eastAsia="仿宋_GB2312" w:cs="Times New Roman"/>
          <w:color w:val="auto"/>
          <w:sz w:val="32"/>
          <w:szCs w:val="32"/>
          <w:highlight w:val="none"/>
        </w:rPr>
        <w:t>在</w:t>
      </w:r>
      <w:r>
        <w:rPr>
          <w:rFonts w:hint="eastAsia" w:ascii="Times New Roman" w:hAnsi="Times New Roman" w:eastAsia="仿宋_GB2312" w:cs="Times New Roman"/>
          <w:color w:val="auto"/>
          <w:sz w:val="32"/>
          <w:szCs w:val="32"/>
          <w:highlight w:val="none"/>
          <w:lang w:val="en-US" w:eastAsia="zh-CN"/>
        </w:rPr>
        <w:t>项目产出方面完成较好</w:t>
      </w:r>
      <w:r>
        <w:rPr>
          <w:rFonts w:hint="default" w:ascii="Times New Roman" w:hAnsi="Times New Roman" w:eastAsia="仿宋_GB2312" w:cs="Times New Roman"/>
          <w:color w:val="auto"/>
          <w:sz w:val="32"/>
          <w:szCs w:val="32"/>
          <w:highlight w:val="none"/>
        </w:rPr>
        <w:t>，达到了预期的标准与要求。</w:t>
      </w:r>
    </w:p>
    <w:p w14:paraId="77773973">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在项目管理方面，</w:t>
      </w:r>
      <w:r>
        <w:rPr>
          <w:rFonts w:hint="eastAsia" w:ascii="Times New Roman" w:hAnsi="Times New Roman" w:eastAsia="仿宋_GB2312" w:cs="Times New Roman"/>
          <w:color w:val="auto"/>
          <w:sz w:val="32"/>
          <w:szCs w:val="32"/>
          <w:highlight w:val="none"/>
          <w:lang w:val="en-US" w:eastAsia="zh-CN"/>
        </w:rPr>
        <w:t>阜康市城市管理局</w:t>
      </w:r>
      <w:r>
        <w:rPr>
          <w:rFonts w:hint="default" w:ascii="Times New Roman" w:hAnsi="Times New Roman" w:eastAsia="仿宋_GB2312" w:cs="Times New Roman"/>
          <w:color w:val="auto"/>
          <w:sz w:val="32"/>
          <w:szCs w:val="32"/>
          <w:highlight w:val="none"/>
        </w:rPr>
        <w:t>通过有效的规划、组织与协调，项目得以顺利实施，并在预算与时间上保持了良好的控制。</w:t>
      </w:r>
    </w:p>
    <w:p w14:paraId="60BF3F2E">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从项目效益的角度来看，本项目不仅实现了预期的社会效益、</w:t>
      </w:r>
      <w:r>
        <w:rPr>
          <w:rFonts w:hint="eastAsia" w:eastAsia="仿宋_GB2312" w:cs="Times New Roman"/>
          <w:color w:val="auto"/>
          <w:sz w:val="32"/>
          <w:szCs w:val="32"/>
          <w:highlight w:val="none"/>
          <w:lang w:val="en-US" w:eastAsia="zh-CN"/>
        </w:rPr>
        <w:t>生态</w:t>
      </w:r>
      <w:r>
        <w:rPr>
          <w:rFonts w:hint="default" w:ascii="Times New Roman" w:hAnsi="Times New Roman" w:eastAsia="仿宋_GB2312" w:cs="Times New Roman"/>
          <w:color w:val="auto"/>
          <w:sz w:val="32"/>
          <w:szCs w:val="32"/>
          <w:highlight w:val="none"/>
        </w:rPr>
        <w:t>效益等方面产生了积极的影响。具体而言，</w:t>
      </w:r>
      <w:r>
        <w:rPr>
          <w:rFonts w:hint="eastAsia" w:ascii="Times New Roman" w:hAnsi="Times New Roman" w:eastAsia="仿宋_GB2312" w:cs="Times New Roman"/>
          <w:color w:val="auto"/>
          <w:sz w:val="32"/>
          <w:szCs w:val="32"/>
          <w:highlight w:val="none"/>
          <w:lang w:val="en-US" w:eastAsia="zh-CN"/>
        </w:rPr>
        <w:t>在创造良好的城市工作生活环境，提高环境质量、提高城市生态环境，保持生态平衡</w:t>
      </w:r>
      <w:r>
        <w:rPr>
          <w:rFonts w:hint="default" w:ascii="Times New Roman" w:hAnsi="Times New Roman" w:eastAsia="仿宋_GB2312" w:cs="Times New Roman"/>
          <w:color w:val="auto"/>
          <w:sz w:val="32"/>
          <w:szCs w:val="32"/>
          <w:highlight w:val="none"/>
        </w:rPr>
        <w:t>等方面的提升，为项目的利益相关者带来了实实在在的利益。</w:t>
      </w:r>
    </w:p>
    <w:p w14:paraId="715ED1E6">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综上所述，</w:t>
      </w:r>
      <w:r>
        <w:rPr>
          <w:rFonts w:hint="eastAsia" w:ascii="Times New Roman" w:hAnsi="Times New Roman" w:eastAsia="仿宋_GB2312" w:cs="Times New Roman"/>
          <w:color w:val="auto"/>
          <w:sz w:val="32"/>
          <w:szCs w:val="32"/>
          <w:highlight w:val="none"/>
          <w:lang w:val="en-US" w:eastAsia="zh-CN"/>
        </w:rPr>
        <w:t>阜康市环卫保洁和园林养护政府购买服务项目</w:t>
      </w:r>
      <w:r>
        <w:rPr>
          <w:rFonts w:hint="default" w:ascii="Times New Roman" w:hAnsi="Times New Roman" w:eastAsia="仿宋_GB2312" w:cs="Times New Roman"/>
          <w:color w:val="auto"/>
          <w:sz w:val="32"/>
          <w:szCs w:val="32"/>
          <w:highlight w:val="none"/>
        </w:rPr>
        <w:t>在绩效评价中表现出色，达到了项目的预期目标，并在多个方面取得了显著的成效</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评价等级为优</w:t>
      </w:r>
      <w:r>
        <w:rPr>
          <w:rFonts w:hint="default" w:ascii="Times New Roman" w:hAnsi="Times New Roman" w:eastAsia="仿宋_GB2312" w:cs="Times New Roman"/>
          <w:color w:val="auto"/>
          <w:sz w:val="32"/>
          <w:szCs w:val="32"/>
          <w:highlight w:val="none"/>
        </w:rPr>
        <w:t>。</w:t>
      </w:r>
    </w:p>
    <w:p w14:paraId="0C5C8CE4">
      <w:pPr>
        <w:pStyle w:val="14"/>
        <w:keepNext w:val="0"/>
        <w:keepLines w:val="0"/>
        <w:pageBreakBefore w:val="0"/>
        <w:widowControl/>
        <w:kinsoku/>
        <w:wordWrap/>
        <w:overflowPunct/>
        <w:topLinePunct w:val="0"/>
        <w:autoSpaceDE/>
        <w:autoSpaceDN/>
        <w:bidi w:val="0"/>
        <w:adjustRightInd/>
        <w:snapToGrid/>
        <w:spacing w:before="0" w:beforeLines="-2147483648" w:after="0" w:afterLines="-2147483648" w:line="560" w:lineRule="exact"/>
        <w:ind w:firstLine="643" w:firstLineChars="200"/>
        <w:jc w:val="both"/>
        <w:textAlignment w:val="auto"/>
        <w:rPr>
          <w:rFonts w:hint="eastAsia" w:ascii="Times New Roman" w:hAnsi="Times New Roman" w:eastAsia="楷体_GB2312" w:cs="Times New Roman"/>
          <w:color w:val="auto"/>
          <w:kern w:val="28"/>
          <w:sz w:val="32"/>
          <w:highlight w:val="none"/>
          <w:lang w:val="en-US" w:eastAsia="zh-CN"/>
        </w:rPr>
      </w:pPr>
      <w:bookmarkStart w:id="106" w:name="_Toc11863"/>
      <w:r>
        <w:rPr>
          <w:rFonts w:hint="eastAsia" w:ascii="Times New Roman" w:hAnsi="Times New Roman" w:eastAsia="楷体_GB2312" w:cs="Times New Roman"/>
          <w:color w:val="auto"/>
          <w:kern w:val="28"/>
          <w:sz w:val="32"/>
          <w:highlight w:val="none"/>
          <w:lang w:val="en-US" w:eastAsia="zh-CN"/>
        </w:rPr>
        <w:t>（二）相关评分表</w:t>
      </w:r>
      <w:bookmarkEnd w:id="106"/>
    </w:p>
    <w:p w14:paraId="4D45EC81">
      <w:pPr>
        <w:spacing w:line="560" w:lineRule="exact"/>
        <w:ind w:firstLine="708" w:firstLineChars="200"/>
        <w:rPr>
          <w:rFonts w:hint="eastAsia" w:ascii="仿宋_GB2312" w:hAnsi="仿宋_GB2312" w:eastAsia="仿宋_GB2312" w:cs="仿宋_GB2312"/>
          <w:color w:val="auto"/>
          <w:spacing w:val="17"/>
          <w:sz w:val="32"/>
          <w:szCs w:val="32"/>
          <w:highlight w:val="none"/>
          <w:lang w:val="zh-TW" w:eastAsia="zh-TW"/>
        </w:rPr>
      </w:pPr>
      <w:r>
        <w:rPr>
          <w:rFonts w:hint="eastAsia" w:ascii="仿宋_GB2312" w:hAnsi="仿宋_GB2312" w:eastAsia="仿宋_GB2312" w:cs="仿宋_GB2312"/>
          <w:color w:val="auto"/>
          <w:spacing w:val="17"/>
          <w:sz w:val="32"/>
          <w:szCs w:val="32"/>
          <w:highlight w:val="none"/>
          <w:lang w:val="en-US" w:eastAsia="zh-CN"/>
        </w:rPr>
        <w:t>此次绩效评价</w:t>
      </w:r>
      <w:r>
        <w:rPr>
          <w:rFonts w:hint="eastAsia" w:ascii="仿宋_GB2312" w:hAnsi="仿宋_GB2312" w:eastAsia="仿宋_GB2312" w:cs="仿宋_GB2312"/>
          <w:color w:val="auto"/>
          <w:spacing w:val="17"/>
          <w:sz w:val="32"/>
          <w:szCs w:val="32"/>
          <w:highlight w:val="none"/>
          <w:lang w:val="zh-TW" w:eastAsia="zh-TW"/>
        </w:rPr>
        <w:t>通过组论证的评价指标体系及评分标准，</w:t>
      </w:r>
      <w:r>
        <w:rPr>
          <w:rFonts w:hint="eastAsia" w:ascii="仿宋_GB2312" w:hAnsi="仿宋_GB2312" w:eastAsia="仿宋_GB2312" w:cs="仿宋_GB2312"/>
          <w:color w:val="auto"/>
          <w:spacing w:val="17"/>
          <w:sz w:val="32"/>
          <w:szCs w:val="32"/>
          <w:highlight w:val="none"/>
          <w:lang w:val="en-US" w:eastAsia="zh-CN"/>
        </w:rPr>
        <w:t>采用的方法比较法、因素分析法、公众评判法，</w:t>
      </w:r>
      <w:r>
        <w:rPr>
          <w:rFonts w:hint="eastAsia" w:ascii="仿宋_GB2312" w:hAnsi="仿宋_GB2312" w:eastAsia="仿宋_GB2312" w:cs="仿宋_GB2312"/>
          <w:color w:val="auto"/>
          <w:spacing w:val="17"/>
          <w:sz w:val="32"/>
          <w:szCs w:val="32"/>
          <w:highlight w:val="none"/>
          <w:lang w:val="zh-TW" w:eastAsia="zh-TW"/>
        </w:rPr>
        <w:t>对</w:t>
      </w:r>
      <w:r>
        <w:rPr>
          <w:rFonts w:hint="eastAsia" w:ascii="仿宋_GB2312" w:hAnsi="仿宋_GB2312" w:eastAsia="仿宋_GB2312" w:cs="仿宋_GB2312"/>
          <w:color w:val="auto"/>
          <w:spacing w:val="17"/>
          <w:sz w:val="32"/>
          <w:szCs w:val="32"/>
          <w:highlight w:val="none"/>
          <w:lang w:val="en-US" w:eastAsia="zh-CN"/>
        </w:rPr>
        <w:t>阜康市环卫保洁和园林养护政府购买服务项目</w:t>
      </w:r>
      <w:r>
        <w:rPr>
          <w:rFonts w:hint="eastAsia" w:ascii="仿宋_GB2312" w:hAnsi="仿宋_GB2312" w:eastAsia="仿宋_GB2312" w:cs="仿宋_GB2312"/>
          <w:color w:val="auto"/>
          <w:spacing w:val="17"/>
          <w:sz w:val="32"/>
          <w:szCs w:val="32"/>
          <w:highlight w:val="none"/>
          <w:lang w:val="zh-TW" w:eastAsia="zh-TW"/>
        </w:rPr>
        <w:t>绩效进行客观评价，最终评分结果：</w:t>
      </w:r>
      <w:r>
        <w:rPr>
          <w:rFonts w:hint="eastAsia" w:ascii="仿宋_GB2312" w:hAnsi="仿宋_GB2312" w:eastAsia="仿宋_GB2312" w:cs="仿宋_GB2312"/>
          <w:color w:val="auto"/>
          <w:spacing w:val="17"/>
          <w:sz w:val="32"/>
          <w:szCs w:val="32"/>
          <w:highlight w:val="none"/>
          <w:lang w:val="en-US" w:eastAsia="zh-CN"/>
        </w:rPr>
        <w:t>总得分为99.84分，属于“优”。其中，项目决策类指标权重为20分，得分为19.4分，得分率为97%。项目过程类指标权重为20分，得分为19.99分，得分率为99.95%。项目产出类指标权重为40分，得分为39.9分，得分率为99.75%。项目效益类指标权重为20分，得分为20分，得分率为100%。</w:t>
      </w:r>
      <w:r>
        <w:rPr>
          <w:rFonts w:hint="eastAsia" w:ascii="仿宋_GB2312" w:hAnsi="仿宋_GB2312" w:eastAsia="仿宋_GB2312" w:cs="仿宋_GB2312"/>
          <w:color w:val="auto"/>
          <w:spacing w:val="17"/>
          <w:sz w:val="32"/>
          <w:szCs w:val="32"/>
          <w:highlight w:val="none"/>
          <w:lang w:val="zh-TW" w:eastAsia="zh-TW"/>
        </w:rPr>
        <w:t>各部分权重和绩效</w:t>
      </w:r>
      <w:r>
        <w:rPr>
          <w:rFonts w:hint="eastAsia" w:ascii="仿宋_GB2312" w:hAnsi="仿宋_GB2312" w:eastAsia="仿宋_GB2312" w:cs="仿宋_GB2312"/>
          <w:color w:val="auto"/>
          <w:spacing w:val="17"/>
          <w:sz w:val="32"/>
          <w:szCs w:val="32"/>
          <w:highlight w:val="none"/>
          <w:lang w:val="en-US" w:eastAsia="zh-CN"/>
        </w:rPr>
        <w:t>汇总</w:t>
      </w:r>
      <w:r>
        <w:rPr>
          <w:rFonts w:hint="eastAsia" w:ascii="仿宋_GB2312" w:hAnsi="仿宋_GB2312" w:eastAsia="仿宋_GB2312" w:cs="仿宋_GB2312"/>
          <w:color w:val="auto"/>
          <w:spacing w:val="17"/>
          <w:sz w:val="32"/>
          <w:szCs w:val="32"/>
          <w:highlight w:val="none"/>
          <w:lang w:val="zh-TW" w:eastAsia="zh-TW"/>
        </w:rPr>
        <w:t>分值如下表</w:t>
      </w:r>
      <w:r>
        <w:rPr>
          <w:rFonts w:hint="eastAsia" w:ascii="仿宋_GB2312" w:hAnsi="仿宋_GB2312" w:eastAsia="仿宋_GB2312" w:cs="仿宋_GB2312"/>
          <w:color w:val="auto"/>
          <w:spacing w:val="17"/>
          <w:sz w:val="32"/>
          <w:szCs w:val="32"/>
          <w:highlight w:val="none"/>
          <w:lang w:val="en-US" w:eastAsia="zh-CN"/>
        </w:rPr>
        <w:t>3-1</w:t>
      </w:r>
      <w:r>
        <w:rPr>
          <w:rFonts w:hint="eastAsia" w:ascii="仿宋_GB2312" w:hAnsi="仿宋_GB2312" w:eastAsia="仿宋_GB2312" w:cs="仿宋_GB2312"/>
          <w:color w:val="auto"/>
          <w:spacing w:val="17"/>
          <w:sz w:val="32"/>
          <w:szCs w:val="32"/>
          <w:highlight w:val="none"/>
          <w:lang w:val="zh-TW" w:eastAsia="zh-TW"/>
        </w:rPr>
        <w:t>所示</w:t>
      </w:r>
      <w:r>
        <w:rPr>
          <w:rFonts w:hint="eastAsia" w:ascii="仿宋_GB2312" w:hAnsi="仿宋_GB2312" w:eastAsia="仿宋_GB2312" w:cs="仿宋_GB2312"/>
          <w:color w:val="auto"/>
          <w:spacing w:val="17"/>
          <w:sz w:val="32"/>
          <w:szCs w:val="32"/>
          <w:highlight w:val="none"/>
          <w:lang w:val="zh-TW" w:eastAsia="zh-CN"/>
        </w:rPr>
        <w:t>（</w:t>
      </w:r>
      <w:r>
        <w:rPr>
          <w:rFonts w:hint="eastAsia" w:ascii="仿宋_GB2312" w:hAnsi="仿宋_GB2312" w:eastAsia="仿宋_GB2312" w:cs="仿宋_GB2312"/>
          <w:color w:val="auto"/>
          <w:spacing w:val="17"/>
          <w:sz w:val="32"/>
          <w:szCs w:val="32"/>
          <w:highlight w:val="none"/>
          <w:lang w:val="en-US" w:eastAsia="zh-CN"/>
        </w:rPr>
        <w:t>详见上传的附件</w:t>
      </w:r>
      <w:r>
        <w:rPr>
          <w:rFonts w:hint="eastAsia" w:ascii="仿宋_GB2312" w:hAnsi="仿宋_GB2312" w:eastAsia="仿宋_GB2312" w:cs="仿宋_GB2312"/>
          <w:color w:val="auto"/>
          <w:spacing w:val="17"/>
          <w:sz w:val="32"/>
          <w:szCs w:val="32"/>
          <w:highlight w:val="none"/>
          <w:lang w:val="zh-TW" w:eastAsia="zh-CN"/>
        </w:rPr>
        <w:t>）</w:t>
      </w:r>
      <w:r>
        <w:rPr>
          <w:rFonts w:hint="eastAsia" w:ascii="仿宋_GB2312" w:hAnsi="仿宋_GB2312" w:eastAsia="仿宋_GB2312" w:cs="仿宋_GB2312"/>
          <w:color w:val="auto"/>
          <w:spacing w:val="17"/>
          <w:sz w:val="32"/>
          <w:szCs w:val="32"/>
          <w:highlight w:val="none"/>
          <w:lang w:val="zh-TW" w:eastAsia="zh-TW"/>
        </w:rPr>
        <w:t>：</w:t>
      </w:r>
    </w:p>
    <w:tbl>
      <w:tblPr>
        <w:tblStyle w:val="16"/>
        <w:tblW w:w="8289" w:type="dxa"/>
        <w:jc w:val="center"/>
        <w:shd w:val="clear" w:color="auto" w:fill="auto"/>
        <w:tblLayout w:type="fixed"/>
        <w:tblCellMar>
          <w:top w:w="0" w:type="dxa"/>
          <w:left w:w="0" w:type="dxa"/>
          <w:bottom w:w="0" w:type="dxa"/>
          <w:right w:w="0" w:type="dxa"/>
        </w:tblCellMar>
      </w:tblPr>
      <w:tblGrid>
        <w:gridCol w:w="1094"/>
        <w:gridCol w:w="1361"/>
        <w:gridCol w:w="1361"/>
        <w:gridCol w:w="1361"/>
        <w:gridCol w:w="1623"/>
        <w:gridCol w:w="1489"/>
      </w:tblGrid>
      <w:tr w14:paraId="4326D15D">
        <w:tblPrEx>
          <w:shd w:val="clear" w:color="auto" w:fill="auto"/>
          <w:tblCellMar>
            <w:top w:w="0" w:type="dxa"/>
            <w:left w:w="0" w:type="dxa"/>
            <w:bottom w:w="0" w:type="dxa"/>
            <w:right w:w="0" w:type="dxa"/>
          </w:tblCellMar>
        </w:tblPrEx>
        <w:trPr>
          <w:trHeight w:val="375" w:hRule="atLeast"/>
          <w:jc w:val="center"/>
        </w:trPr>
        <w:tc>
          <w:tcPr>
            <w:tcW w:w="8289" w:type="dxa"/>
            <w:gridSpan w:val="6"/>
            <w:tcBorders>
              <w:top w:val="nil"/>
              <w:left w:val="nil"/>
              <w:bottom w:val="nil"/>
              <w:right w:val="nil"/>
            </w:tcBorders>
            <w:shd w:val="clear" w:color="auto" w:fill="auto"/>
            <w:tcMar>
              <w:top w:w="15" w:type="dxa"/>
              <w:left w:w="15" w:type="dxa"/>
              <w:right w:w="15" w:type="dxa"/>
            </w:tcMar>
            <w:vAlign w:val="center"/>
          </w:tcPr>
          <w:p w14:paraId="74CAADC0">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
                <w:bCs/>
                <w:color w:val="auto"/>
                <w:kern w:val="0"/>
                <w:sz w:val="28"/>
                <w:szCs w:val="28"/>
                <w:highlight w:val="none"/>
                <w:shd w:val="clear" w:color="auto" w:fill="auto"/>
                <w:lang w:val="en-US" w:eastAsia="zh-CN"/>
              </w:rPr>
              <w:t>表3-1：阜康市环卫保洁和园林养护政府购买服务项目得分表</w:t>
            </w:r>
          </w:p>
        </w:tc>
      </w:tr>
      <w:tr w14:paraId="4F1CD88D">
        <w:tblPrEx>
          <w:shd w:val="clear" w:color="auto" w:fill="auto"/>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FE237">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指标类别</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AA0F0">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1.项目决策</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D2A17">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2.过程管理</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370D4">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3.项目产出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6BC06">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4.项目效益</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02073">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合计</w:t>
            </w:r>
          </w:p>
        </w:tc>
      </w:tr>
      <w:tr w14:paraId="00356C7E">
        <w:tblPrEx>
          <w:shd w:val="clear" w:color="auto" w:fill="auto"/>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CC9B0">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权重</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C7697">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B4052">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1C64D">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40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1CF96">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0E227">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100</w:t>
            </w:r>
          </w:p>
        </w:tc>
      </w:tr>
      <w:tr w14:paraId="44C0AD1A">
        <w:tblPrEx>
          <w:shd w:val="clear" w:color="auto" w:fill="auto"/>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D3461">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分值</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237E6">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19.4</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E476C">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default" w:cs="宋体"/>
                <w:color w:val="auto"/>
                <w:kern w:val="0"/>
                <w:sz w:val="21"/>
                <w:szCs w:val="21"/>
                <w:highlight w:val="none"/>
                <w:shd w:val="clear" w:color="auto" w:fill="auto"/>
                <w:lang w:val="en-US" w:eastAsia="zh-CN"/>
              </w:rPr>
              <w:t>19.9</w:t>
            </w:r>
            <w:r>
              <w:rPr>
                <w:rFonts w:hint="eastAsia" w:cs="宋体"/>
                <w:color w:val="auto"/>
                <w:kern w:val="0"/>
                <w:sz w:val="21"/>
                <w:szCs w:val="21"/>
                <w:highlight w:val="none"/>
                <w:shd w:val="clear" w:color="auto" w:fill="auto"/>
                <w:lang w:val="en-US" w:eastAsia="zh-CN"/>
              </w:rPr>
              <w:t>9</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10870">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default" w:cs="宋体"/>
                <w:color w:val="auto"/>
                <w:kern w:val="0"/>
                <w:sz w:val="21"/>
                <w:szCs w:val="21"/>
                <w:highlight w:val="none"/>
                <w:shd w:val="clear" w:color="auto" w:fill="auto"/>
                <w:lang w:val="en-US" w:eastAsia="zh-CN"/>
              </w:rPr>
              <w:t>39.9</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2C2AC">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default" w:cs="宋体"/>
                <w:color w:val="auto"/>
                <w:kern w:val="0"/>
                <w:sz w:val="21"/>
                <w:szCs w:val="21"/>
                <w:highlight w:val="none"/>
                <w:shd w:val="clear" w:color="auto" w:fill="auto"/>
                <w:lang w:val="en-US" w:eastAsia="zh-CN"/>
              </w:rPr>
              <w:t>20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6C917">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default" w:cs="宋体"/>
                <w:color w:val="auto"/>
                <w:kern w:val="0"/>
                <w:sz w:val="21"/>
                <w:szCs w:val="21"/>
                <w:highlight w:val="none"/>
                <w:shd w:val="clear" w:color="auto" w:fill="auto"/>
                <w:lang w:val="en-US" w:eastAsia="zh-CN"/>
              </w:rPr>
              <w:t>99.</w:t>
            </w:r>
            <w:r>
              <w:rPr>
                <w:rFonts w:hint="eastAsia" w:cs="宋体"/>
                <w:color w:val="auto"/>
                <w:kern w:val="0"/>
                <w:sz w:val="21"/>
                <w:szCs w:val="21"/>
                <w:highlight w:val="none"/>
                <w:shd w:val="clear" w:color="auto" w:fill="auto"/>
                <w:lang w:val="en-US" w:eastAsia="zh-CN"/>
              </w:rPr>
              <w:t>29</w:t>
            </w:r>
          </w:p>
        </w:tc>
      </w:tr>
      <w:tr w14:paraId="614D9F1B">
        <w:tblPrEx>
          <w:shd w:val="clear" w:color="auto" w:fill="auto"/>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68D0F">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得分率</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6AD2C">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97</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14CC3">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default" w:cs="宋体"/>
                <w:color w:val="auto"/>
                <w:kern w:val="0"/>
                <w:sz w:val="21"/>
                <w:szCs w:val="21"/>
                <w:highlight w:val="none"/>
                <w:shd w:val="clear" w:color="auto" w:fill="auto"/>
                <w:lang w:val="en-US" w:eastAsia="zh-CN"/>
              </w:rPr>
              <w:t>99.9</w:t>
            </w:r>
            <w:r>
              <w:rPr>
                <w:rFonts w:hint="eastAsia" w:cs="宋体"/>
                <w:color w:val="auto"/>
                <w:kern w:val="0"/>
                <w:sz w:val="21"/>
                <w:szCs w:val="21"/>
                <w:highlight w:val="none"/>
                <w:shd w:val="clear" w:color="auto" w:fill="auto"/>
                <w:lang w:val="en-US" w:eastAsia="zh-CN"/>
              </w:rPr>
              <w:t>5</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D2287">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default" w:cs="宋体"/>
                <w:color w:val="auto"/>
                <w:kern w:val="0"/>
                <w:sz w:val="21"/>
                <w:szCs w:val="21"/>
                <w:highlight w:val="none"/>
                <w:shd w:val="clear" w:color="auto" w:fill="auto"/>
                <w:lang w:val="en-US" w:eastAsia="zh-CN"/>
              </w:rPr>
              <w:t>99.</w:t>
            </w:r>
            <w:r>
              <w:rPr>
                <w:rFonts w:hint="eastAsia" w:cs="宋体"/>
                <w:color w:val="auto"/>
                <w:kern w:val="0"/>
                <w:sz w:val="21"/>
                <w:szCs w:val="21"/>
                <w:highlight w:val="none"/>
                <w:shd w:val="clear" w:color="auto" w:fill="auto"/>
                <w:lang w:val="en-US" w:eastAsia="zh-CN"/>
              </w:rPr>
              <w:t>75</w:t>
            </w:r>
            <w:r>
              <w:rPr>
                <w:rFonts w:hint="eastAsia" w:ascii="宋体" w:hAnsi="宋体" w:eastAsia="宋体" w:cs="宋体"/>
                <w:color w:val="auto"/>
                <w:kern w:val="0"/>
                <w:sz w:val="21"/>
                <w:szCs w:val="21"/>
                <w:highlight w:val="none"/>
                <w:shd w:val="clear" w:color="auto" w:fill="auto"/>
                <w:lang w:val="en-US" w:eastAsia="zh-CN"/>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8682D">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default"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37D82">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default" w:cs="宋体"/>
                <w:color w:val="auto"/>
                <w:kern w:val="0"/>
                <w:sz w:val="21"/>
                <w:szCs w:val="21"/>
                <w:highlight w:val="none"/>
                <w:shd w:val="clear" w:color="auto" w:fill="auto"/>
                <w:lang w:val="en-US" w:eastAsia="zh-CN"/>
              </w:rPr>
              <w:t>99.</w:t>
            </w:r>
            <w:r>
              <w:rPr>
                <w:rFonts w:hint="eastAsia" w:cs="宋体"/>
                <w:color w:val="auto"/>
                <w:kern w:val="0"/>
                <w:sz w:val="21"/>
                <w:szCs w:val="21"/>
                <w:highlight w:val="none"/>
                <w:shd w:val="clear" w:color="auto" w:fill="auto"/>
                <w:lang w:val="en-US" w:eastAsia="zh-CN"/>
              </w:rPr>
              <w:t>29</w:t>
            </w:r>
            <w:r>
              <w:rPr>
                <w:rFonts w:hint="eastAsia" w:ascii="宋体" w:hAnsi="宋体" w:eastAsia="宋体" w:cs="宋体"/>
                <w:color w:val="auto"/>
                <w:kern w:val="0"/>
                <w:sz w:val="21"/>
                <w:szCs w:val="21"/>
                <w:highlight w:val="none"/>
                <w:shd w:val="clear" w:color="auto" w:fill="auto"/>
                <w:lang w:val="en-US" w:eastAsia="zh-CN"/>
              </w:rPr>
              <w:t>%</w:t>
            </w:r>
          </w:p>
        </w:tc>
      </w:tr>
    </w:tbl>
    <w:p w14:paraId="37ECA5C1">
      <w:pPr>
        <w:pStyle w:val="3"/>
        <w:pageBreakBefore w:val="0"/>
        <w:kinsoku/>
        <w:wordWrap/>
        <w:overflowPunct/>
        <w:topLinePunct w:val="0"/>
        <w:autoSpaceDE/>
        <w:autoSpaceDN/>
        <w:bidi w:val="0"/>
        <w:adjustRightInd/>
        <w:spacing w:beforeLines="0" w:afterLines="0" w:line="560" w:lineRule="exact"/>
        <w:textAlignment w:val="auto"/>
        <w:rPr>
          <w:rFonts w:hint="eastAsia" w:ascii="黑体" w:hAnsi="黑体" w:eastAsia="黑体" w:cs="黑体"/>
          <w:b w:val="0"/>
          <w:bCs w:val="0"/>
          <w:color w:val="auto"/>
          <w:highlight w:val="none"/>
          <w:shd w:val="clear" w:color="auto" w:fill="auto"/>
          <w:lang w:val="en-US" w:eastAsia="zh-CN"/>
        </w:rPr>
      </w:pPr>
      <w:bookmarkStart w:id="107" w:name="_Toc14941"/>
      <w:r>
        <w:rPr>
          <w:rFonts w:hint="eastAsia" w:ascii="黑体" w:hAnsi="黑体" w:eastAsia="黑体" w:cs="黑体"/>
          <w:b w:val="0"/>
          <w:bCs w:val="0"/>
          <w:color w:val="auto"/>
          <w:highlight w:val="none"/>
          <w:shd w:val="clear" w:color="auto" w:fill="auto"/>
          <w:lang w:val="en-US" w:eastAsia="zh-CN"/>
        </w:rPr>
        <w:t>四、绩效评价指标分析</w:t>
      </w:r>
      <w:bookmarkEnd w:id="107"/>
    </w:p>
    <w:p w14:paraId="0AFBE2A1">
      <w:pPr>
        <w:pStyle w:val="14"/>
        <w:widowControl/>
        <w:spacing w:before="0" w:beforeLines="-2147483648" w:after="0" w:afterLines="-2147483648" w:line="560" w:lineRule="exact"/>
        <w:ind w:firstLine="643" w:firstLineChars="200"/>
        <w:jc w:val="both"/>
        <w:rPr>
          <w:rFonts w:hint="eastAsia" w:ascii="Times New Roman" w:hAnsi="Times New Roman" w:eastAsia="楷体_GB2312" w:cs="Times New Roman"/>
          <w:color w:val="auto"/>
          <w:kern w:val="28"/>
          <w:sz w:val="32"/>
          <w:highlight w:val="none"/>
        </w:rPr>
      </w:pPr>
      <w:bookmarkStart w:id="108" w:name="_Toc6759"/>
      <w:r>
        <w:rPr>
          <w:rFonts w:hint="eastAsia" w:ascii="Times New Roman" w:hAnsi="Times New Roman" w:eastAsia="楷体_GB2312" w:cs="Times New Roman"/>
          <w:color w:val="auto"/>
          <w:kern w:val="28"/>
          <w:sz w:val="32"/>
          <w:highlight w:val="none"/>
        </w:rPr>
        <w:t>（一）项目决策情况</w:t>
      </w:r>
      <w:bookmarkEnd w:id="108"/>
    </w:p>
    <w:p w14:paraId="0A2DBC7F">
      <w:pPr>
        <w:keepNext w:val="0"/>
        <w:keepLines w:val="0"/>
        <w:pageBreakBefore w:val="0"/>
        <w:widowControl w:val="0"/>
        <w:kinsoku/>
        <w:wordWrap/>
        <w:overflowPunct/>
        <w:topLinePunct w:val="0"/>
        <w:autoSpaceDE/>
        <w:autoSpaceDN/>
        <w:bidi w:val="0"/>
        <w:adjustRightInd/>
        <w:snapToGrid/>
        <w:spacing w:line="560" w:lineRule="exact"/>
        <w:ind w:firstLine="723"/>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项目决策由3个二级指标和6个三级指标构成，权重分20分，实际得分19.4分，</w:t>
      </w:r>
      <w:r>
        <w:rPr>
          <w:rFonts w:hint="eastAsia" w:ascii="仿宋_GB2312" w:hAnsi="仿宋_GB2312" w:eastAsia="仿宋_GB2312" w:cs="仿宋_GB2312"/>
          <w:color w:val="auto"/>
          <w:kern w:val="2"/>
          <w:sz w:val="32"/>
          <w:szCs w:val="32"/>
          <w:highlight w:val="none"/>
          <w:u w:color="000000"/>
          <w:shd w:val="clear" w:color="auto" w:fill="auto"/>
          <w:lang w:val="zh-TW" w:eastAsia="zh-TW"/>
        </w:rPr>
        <w:t>各指标业绩值和绩效分值如表</w:t>
      </w:r>
      <w:r>
        <w:rPr>
          <w:rFonts w:hint="eastAsia" w:ascii="仿宋_GB2312" w:hAnsi="仿宋_GB2312" w:eastAsia="仿宋_GB2312" w:cs="仿宋_GB2312"/>
          <w:b/>
          <w:bCs/>
          <w:color w:val="auto"/>
          <w:kern w:val="2"/>
          <w:sz w:val="32"/>
          <w:szCs w:val="32"/>
          <w:highlight w:val="none"/>
          <w:u w:color="000000"/>
          <w:shd w:val="clear" w:color="auto" w:fill="auto"/>
          <w:lang w:val="en-US" w:eastAsia="zh-CN"/>
        </w:rPr>
        <w:t>4</w:t>
      </w:r>
      <w:r>
        <w:rPr>
          <w:rFonts w:hint="eastAsia" w:ascii="仿宋_GB2312" w:hAnsi="仿宋_GB2312" w:eastAsia="仿宋_GB2312" w:cs="仿宋_GB2312"/>
          <w:b/>
          <w:bCs/>
          <w:color w:val="auto"/>
          <w:kern w:val="2"/>
          <w:sz w:val="32"/>
          <w:szCs w:val="32"/>
          <w:highlight w:val="none"/>
          <w:u w:color="000000"/>
          <w:shd w:val="clear" w:color="auto" w:fill="auto"/>
          <w:lang w:eastAsia="zh-CN"/>
        </w:rPr>
        <w:t>-1</w:t>
      </w:r>
      <w:r>
        <w:rPr>
          <w:rFonts w:hint="eastAsia" w:ascii="仿宋_GB2312" w:hAnsi="仿宋_GB2312" w:eastAsia="仿宋_GB2312" w:cs="仿宋_GB2312"/>
          <w:color w:val="auto"/>
          <w:kern w:val="2"/>
          <w:sz w:val="32"/>
          <w:szCs w:val="32"/>
          <w:highlight w:val="none"/>
          <w:u w:color="000000"/>
          <w:shd w:val="clear" w:color="auto" w:fill="auto"/>
          <w:lang w:val="zh-TW" w:eastAsia="zh-TW"/>
        </w:rPr>
        <w:t>所示</w:t>
      </w:r>
      <w:r>
        <w:rPr>
          <w:rFonts w:hint="eastAsia" w:ascii="仿宋_GB2312" w:hAnsi="仿宋_GB2312" w:eastAsia="仿宋_GB2312" w:cs="仿宋_GB2312"/>
          <w:b/>
          <w:bCs/>
          <w:color w:val="auto"/>
          <w:sz w:val="32"/>
          <w:szCs w:val="32"/>
          <w:highlight w:val="none"/>
          <w:shd w:val="clear" w:color="auto" w:fill="auto"/>
          <w:lang w:val="zh-TW" w:eastAsia="zh-CN"/>
        </w:rPr>
        <w:t>（</w:t>
      </w:r>
      <w:r>
        <w:rPr>
          <w:rFonts w:hint="eastAsia" w:ascii="仿宋_GB2312" w:hAnsi="仿宋_GB2312" w:eastAsia="仿宋_GB2312" w:cs="仿宋_GB2312"/>
          <w:b/>
          <w:bCs/>
          <w:color w:val="auto"/>
          <w:sz w:val="32"/>
          <w:szCs w:val="32"/>
          <w:highlight w:val="none"/>
          <w:shd w:val="clear" w:color="auto" w:fill="auto"/>
          <w:lang w:val="en-US" w:eastAsia="zh-CN"/>
        </w:rPr>
        <w:t>详见上传的附件二</w:t>
      </w:r>
      <w:r>
        <w:rPr>
          <w:rFonts w:hint="eastAsia" w:ascii="仿宋_GB2312" w:hAnsi="仿宋_GB2312" w:eastAsia="仿宋_GB2312" w:cs="仿宋_GB2312"/>
          <w:b/>
          <w:bCs/>
          <w:color w:val="auto"/>
          <w:sz w:val="32"/>
          <w:szCs w:val="32"/>
          <w:highlight w:val="none"/>
          <w:shd w:val="clear" w:color="auto" w:fill="auto"/>
          <w:lang w:val="zh-TW" w:eastAsia="zh-CN"/>
        </w:rPr>
        <w:t>）</w:t>
      </w:r>
      <w:r>
        <w:rPr>
          <w:rFonts w:hint="eastAsia" w:ascii="仿宋_GB2312" w:hAnsi="仿宋_GB2312" w:eastAsia="仿宋_GB2312" w:cs="仿宋_GB2312"/>
          <w:color w:val="auto"/>
          <w:sz w:val="32"/>
          <w:szCs w:val="32"/>
          <w:highlight w:val="none"/>
          <w:shd w:val="clear" w:color="auto" w:fill="auto"/>
          <w:lang w:val="en-US" w:eastAsia="zh-CN"/>
        </w:rPr>
        <w:t>：</w:t>
      </w:r>
    </w:p>
    <w:p w14:paraId="6E09D465">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
          <w:bCs/>
          <w:color w:val="auto"/>
          <w:kern w:val="0"/>
          <w:sz w:val="32"/>
          <w:szCs w:val="32"/>
          <w:highlight w:val="none"/>
          <w:shd w:val="clear" w:color="auto" w:fill="auto"/>
          <w:lang w:val="en-US" w:eastAsia="zh-CN"/>
        </w:rPr>
      </w:pPr>
      <w:r>
        <w:rPr>
          <w:rFonts w:hint="eastAsia" w:ascii="仿宋_GB2312" w:hAnsi="仿宋_GB2312" w:eastAsia="仿宋_GB2312" w:cs="仿宋_GB2312"/>
          <w:b/>
          <w:bCs/>
          <w:color w:val="auto"/>
          <w:kern w:val="0"/>
          <w:sz w:val="32"/>
          <w:szCs w:val="32"/>
          <w:highlight w:val="none"/>
          <w:shd w:val="clear" w:color="auto" w:fill="auto"/>
          <w:lang w:val="zh-TW" w:eastAsia="zh-TW"/>
        </w:rPr>
        <w:t>表</w:t>
      </w:r>
      <w:r>
        <w:rPr>
          <w:rFonts w:hint="eastAsia" w:ascii="仿宋_GB2312" w:hAnsi="仿宋_GB2312" w:eastAsia="仿宋_GB2312" w:cs="仿宋_GB2312"/>
          <w:b/>
          <w:bCs/>
          <w:color w:val="auto"/>
          <w:kern w:val="0"/>
          <w:sz w:val="32"/>
          <w:szCs w:val="32"/>
          <w:highlight w:val="none"/>
          <w:shd w:val="clear" w:color="auto" w:fill="auto"/>
          <w:lang w:val="en-US" w:eastAsia="zh-CN"/>
        </w:rPr>
        <w:t>4-1</w:t>
      </w:r>
      <w:r>
        <w:rPr>
          <w:rFonts w:hint="eastAsia" w:ascii="仿宋_GB2312" w:hAnsi="仿宋_GB2312" w:eastAsia="仿宋_GB2312" w:cs="仿宋_GB2312"/>
          <w:b/>
          <w:bCs/>
          <w:color w:val="auto"/>
          <w:kern w:val="0"/>
          <w:sz w:val="32"/>
          <w:szCs w:val="32"/>
          <w:highlight w:val="none"/>
          <w:shd w:val="clear" w:color="auto" w:fill="auto"/>
          <w:lang w:val="zh-TW" w:eastAsia="zh-TW"/>
        </w:rPr>
        <w:t>项目决策指标及分值</w:t>
      </w:r>
    </w:p>
    <w:tbl>
      <w:tblPr>
        <w:tblStyle w:val="16"/>
        <w:tblW w:w="8447" w:type="dxa"/>
        <w:jc w:val="center"/>
        <w:tblLayout w:type="fixed"/>
        <w:tblCellMar>
          <w:top w:w="0" w:type="dxa"/>
          <w:left w:w="0" w:type="dxa"/>
          <w:bottom w:w="0" w:type="dxa"/>
          <w:right w:w="0" w:type="dxa"/>
        </w:tblCellMar>
      </w:tblPr>
      <w:tblGrid>
        <w:gridCol w:w="1077"/>
        <w:gridCol w:w="960"/>
        <w:gridCol w:w="1248"/>
        <w:gridCol w:w="794"/>
        <w:gridCol w:w="3"/>
        <w:gridCol w:w="1868"/>
        <w:gridCol w:w="3"/>
        <w:gridCol w:w="1414"/>
        <w:gridCol w:w="3"/>
        <w:gridCol w:w="1074"/>
        <w:gridCol w:w="3"/>
      </w:tblGrid>
      <w:tr w14:paraId="5DA35148">
        <w:tblPrEx>
          <w:tblCellMar>
            <w:top w:w="0" w:type="dxa"/>
            <w:left w:w="0" w:type="dxa"/>
            <w:bottom w:w="0" w:type="dxa"/>
            <w:right w:w="0" w:type="dxa"/>
          </w:tblCellMar>
        </w:tblPrEx>
        <w:trPr>
          <w:gridAfter w:val="1"/>
          <w:wAfter w:w="3" w:type="dxa"/>
          <w:trHeight w:val="522" w:hRule="atLeast"/>
          <w:tblHeader/>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04195A">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68ADB2">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16DE0E">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8764CE">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66CBF1">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5D5BC8">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F12E2C">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14:paraId="526D0ED3">
        <w:tblPrEx>
          <w:tblCellMar>
            <w:top w:w="0" w:type="dxa"/>
            <w:left w:w="0" w:type="dxa"/>
            <w:bottom w:w="0" w:type="dxa"/>
            <w:right w:w="0" w:type="dxa"/>
          </w:tblCellMar>
        </w:tblPrEx>
        <w:trPr>
          <w:gridAfter w:val="1"/>
          <w:wAfter w:w="3" w:type="dxa"/>
          <w:trHeight w:val="334" w:hRule="atLeast"/>
          <w:tblHeader/>
          <w:jc w:val="center"/>
        </w:trPr>
        <w:tc>
          <w:tcPr>
            <w:tcW w:w="1077"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0A8E92EF">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项目决策</w:t>
            </w:r>
          </w:p>
        </w:tc>
        <w:tc>
          <w:tcPr>
            <w:tcW w:w="96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00462B1B">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516CA9CB">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项目立项</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6090FF1D">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7AD009">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立项依据充分性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E2095D">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714D3D">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14:paraId="031E7D85">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7AA22A7C">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1D9952C7">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321794">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F99CD3">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0E527B">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立项程序规范性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D460CF">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F12B13">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2.4</w:t>
            </w:r>
          </w:p>
        </w:tc>
      </w:tr>
      <w:tr w14:paraId="37F57661">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59025058">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4C0A11E2">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9F145F">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绩效目标</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0169F9">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8415A9">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绩效目标合理性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DFE949">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9FF953">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5B493AFA">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32CBDA1C">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706CDF4F">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0BA1E9">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321F38">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D2E486">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绩效指标明确性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3B9627">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9E5823">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107DD5B9">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28B4CFE4">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25F77810">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15FD2942">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资金投入</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2AB89585">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8E8567">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预算编制科学性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8BFA76">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EA6AB6">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14:paraId="4F57C572">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E520A3">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D56633">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9CD149">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B8C230">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953D60">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资金分配合理性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25032D">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D3A25A">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14:paraId="5BAF3C89">
        <w:tblPrEx>
          <w:tblCellMar>
            <w:top w:w="0" w:type="dxa"/>
            <w:left w:w="0" w:type="dxa"/>
            <w:bottom w:w="0" w:type="dxa"/>
            <w:right w:w="0" w:type="dxa"/>
          </w:tblCellMar>
        </w:tblPrEx>
        <w:trPr>
          <w:trHeight w:val="334" w:hRule="atLeast"/>
          <w:tblHeader/>
          <w:jc w:val="center"/>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19DD7A">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FF6187">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B5023A">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9041C2">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B11D3B">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19.4</w:t>
            </w:r>
          </w:p>
        </w:tc>
      </w:tr>
    </w:tbl>
    <w:p w14:paraId="74CDA2CE">
      <w:pPr>
        <w:pageBreakBefore w:val="0"/>
        <w:kinsoku/>
        <w:wordWrap/>
        <w:overflowPunct/>
        <w:topLinePunct w:val="0"/>
        <w:autoSpaceDE/>
        <w:autoSpaceDN/>
        <w:bidi w:val="0"/>
        <w:spacing w:line="560" w:lineRule="exact"/>
        <w:textAlignment w:val="auto"/>
        <w:outlineLvl w:val="2"/>
        <w:rPr>
          <w:rFonts w:hint="eastAsia" w:ascii="仿宋_GB2312" w:hAnsi="仿宋_GB2312" w:eastAsia="仿宋_GB2312" w:cs="仿宋_GB2312"/>
          <w:b/>
          <w:bCs/>
          <w:color w:val="auto"/>
          <w:sz w:val="32"/>
          <w:szCs w:val="32"/>
          <w:highlight w:val="none"/>
          <w:lang w:val="en-US" w:eastAsia="zh-CN"/>
        </w:rPr>
      </w:pPr>
      <w:bookmarkStart w:id="109" w:name="_Toc28069"/>
      <w:bookmarkStart w:id="110" w:name="_Toc13522"/>
      <w:r>
        <w:rPr>
          <w:rFonts w:hint="eastAsia" w:ascii="仿宋_GB2312" w:hAnsi="仿宋_GB2312" w:eastAsia="仿宋_GB2312" w:cs="仿宋_GB2312"/>
          <w:b/>
          <w:bCs/>
          <w:color w:val="auto"/>
          <w:sz w:val="32"/>
          <w:szCs w:val="32"/>
          <w:highlight w:val="none"/>
          <w:lang w:val="en-US" w:eastAsia="zh-CN"/>
        </w:rPr>
        <w:t>1.立项依据充分性</w:t>
      </w:r>
      <w:bookmarkEnd w:id="109"/>
      <w:bookmarkEnd w:id="110"/>
    </w:p>
    <w:p w14:paraId="2B9FD51E">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①项目立项符合</w:t>
      </w:r>
      <w:r>
        <w:rPr>
          <w:rFonts w:hint="eastAsia" w:ascii="仿宋_GB2312" w:hAnsi="仿宋_GB2312" w:eastAsia="仿宋_GB2312" w:cs="仿宋_GB2312"/>
          <w:color w:val="auto"/>
          <w:sz w:val="32"/>
          <w:szCs w:val="32"/>
          <w:highlight w:val="none"/>
          <w:lang w:val="en-US" w:eastAsia="zh-CN"/>
        </w:rPr>
        <w:t>中华人民共和国财政部颁发的</w:t>
      </w:r>
      <w:r>
        <w:rPr>
          <w:rFonts w:hint="eastAsia" w:ascii="仿宋_GB2312" w:hAnsi="仿宋_GB2312" w:eastAsia="仿宋_GB2312" w:cs="仿宋_GB2312"/>
          <w:color w:val="auto"/>
          <w:sz w:val="32"/>
          <w:szCs w:val="32"/>
          <w:highlight w:val="none"/>
          <w:lang w:eastAsia="zh-CN"/>
        </w:rPr>
        <w:t>《政府购买服务管理办法》</w:t>
      </w:r>
      <w:r>
        <w:rPr>
          <w:rFonts w:hint="eastAsia" w:ascii="仿宋_GB2312" w:hAnsi="仿宋_GB2312" w:eastAsia="仿宋_GB2312" w:cs="仿宋_GB2312"/>
          <w:color w:val="auto"/>
          <w:sz w:val="32"/>
          <w:szCs w:val="32"/>
          <w:highlight w:val="none"/>
          <w:lang w:val="en-US" w:eastAsia="zh-CN"/>
        </w:rPr>
        <w:t>中的</w:t>
      </w:r>
      <w:r>
        <w:rPr>
          <w:rFonts w:hint="eastAsia" w:ascii="仿宋_GB2312" w:hAnsi="仿宋_GB2312" w:eastAsia="仿宋_GB2312" w:cs="仿宋_GB2312"/>
          <w:color w:val="auto"/>
          <w:sz w:val="32"/>
          <w:szCs w:val="32"/>
          <w:highlight w:val="none"/>
          <w:lang w:eastAsia="zh-CN"/>
        </w:rPr>
        <w:t>相关政策；</w:t>
      </w:r>
    </w:p>
    <w:p w14:paraId="061EEB31">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②项目立项符合</w:t>
      </w:r>
      <w:r>
        <w:rPr>
          <w:rFonts w:hint="eastAsia" w:ascii="仿宋_GB2312" w:hAnsi="仿宋_GB2312" w:eastAsia="仿宋_GB2312" w:cs="仿宋_GB2312"/>
          <w:color w:val="auto"/>
          <w:sz w:val="32"/>
          <w:szCs w:val="32"/>
          <w:highlight w:val="none"/>
          <w:lang w:val="en-US" w:eastAsia="zh-CN"/>
        </w:rPr>
        <w:t>住建部发布《城市道路清扫保洁与质量评价标准》的要求</w:t>
      </w:r>
      <w:r>
        <w:rPr>
          <w:rFonts w:hint="eastAsia" w:ascii="仿宋_GB2312" w:hAnsi="仿宋_GB2312" w:eastAsia="仿宋_GB2312" w:cs="仿宋_GB2312"/>
          <w:color w:val="auto"/>
          <w:sz w:val="32"/>
          <w:szCs w:val="32"/>
          <w:highlight w:val="none"/>
          <w:lang w:eastAsia="zh-CN"/>
        </w:rPr>
        <w:t>；</w:t>
      </w:r>
    </w:p>
    <w:p w14:paraId="53B0370E">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③项目立项与</w:t>
      </w:r>
      <w:r>
        <w:rPr>
          <w:rFonts w:hint="eastAsia" w:ascii="仿宋_GB2312" w:hAnsi="仿宋_GB2312" w:eastAsia="仿宋_GB2312" w:cs="仿宋_GB2312"/>
          <w:color w:val="auto"/>
          <w:sz w:val="32"/>
          <w:szCs w:val="32"/>
          <w:highlight w:val="none"/>
          <w:lang w:val="en-US" w:eastAsia="zh-CN"/>
        </w:rPr>
        <w:t>城市管理局</w:t>
      </w:r>
      <w:r>
        <w:rPr>
          <w:rFonts w:hint="eastAsia" w:ascii="仿宋_GB2312" w:hAnsi="仿宋_GB2312" w:eastAsia="仿宋_GB2312" w:cs="仿宋_GB2312"/>
          <w:color w:val="auto"/>
          <w:sz w:val="32"/>
          <w:szCs w:val="32"/>
          <w:highlight w:val="none"/>
          <w:lang w:eastAsia="zh-CN"/>
        </w:rPr>
        <w:t>负责建成区城市园林绿化养护管理、负责市区古树名树保护工作、</w:t>
      </w:r>
      <w:r>
        <w:rPr>
          <w:rFonts w:hint="eastAsia" w:ascii="仿宋_GB2312" w:hAnsi="仿宋_GB2312" w:eastAsia="仿宋_GB2312" w:cs="仿宋_GB2312"/>
          <w:color w:val="auto"/>
          <w:sz w:val="32"/>
          <w:szCs w:val="32"/>
          <w:highlight w:val="none"/>
          <w:lang w:val="en-US" w:eastAsia="zh-CN"/>
        </w:rPr>
        <w:t>负责城市市容环境卫生管理的</w:t>
      </w:r>
      <w:r>
        <w:rPr>
          <w:rFonts w:hint="eastAsia" w:ascii="仿宋_GB2312" w:hAnsi="仿宋_GB2312" w:eastAsia="仿宋_GB2312" w:cs="仿宋_GB2312"/>
          <w:color w:val="auto"/>
          <w:sz w:val="32"/>
          <w:szCs w:val="32"/>
          <w:highlight w:val="none"/>
          <w:lang w:eastAsia="zh-CN"/>
        </w:rPr>
        <w:t>部门职责范围相符，属于部门履职所需；</w:t>
      </w:r>
    </w:p>
    <w:p w14:paraId="15B8D16D">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④项目属于公共财政支持范围，符合中央、地方事权支出责任划分原则；</w:t>
      </w:r>
    </w:p>
    <w:p w14:paraId="38AEF472">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⑤项目与相关部门同类项目、部门内部相关项目</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lang w:eastAsia="zh-CN"/>
        </w:rPr>
        <w:t>重复。</w:t>
      </w:r>
    </w:p>
    <w:p w14:paraId="5B6F3DB5">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综上，该项指标满分2分，得分2分。</w:t>
      </w:r>
    </w:p>
    <w:p w14:paraId="3822216A">
      <w:pPr>
        <w:pageBreakBefore w:val="0"/>
        <w:kinsoku/>
        <w:wordWrap/>
        <w:overflowPunct/>
        <w:topLinePunct w:val="0"/>
        <w:autoSpaceDE/>
        <w:autoSpaceDN/>
        <w:bidi w:val="0"/>
        <w:spacing w:line="560" w:lineRule="exact"/>
        <w:textAlignment w:val="auto"/>
        <w:outlineLvl w:val="2"/>
        <w:rPr>
          <w:rFonts w:hint="eastAsia" w:ascii="仿宋_GB2312" w:hAnsi="仿宋_GB2312" w:eastAsia="仿宋_GB2312" w:cs="仿宋_GB2312"/>
          <w:b/>
          <w:bCs/>
          <w:color w:val="auto"/>
          <w:sz w:val="32"/>
          <w:szCs w:val="32"/>
          <w:highlight w:val="none"/>
          <w:lang w:val="en-US" w:eastAsia="zh-CN"/>
        </w:rPr>
      </w:pPr>
      <w:bookmarkStart w:id="111" w:name="_Toc21976"/>
      <w:bookmarkStart w:id="112" w:name="_Toc23240"/>
      <w:r>
        <w:rPr>
          <w:rFonts w:hint="eastAsia" w:ascii="仿宋_GB2312" w:hAnsi="仿宋_GB2312" w:eastAsia="仿宋_GB2312" w:cs="仿宋_GB2312"/>
          <w:b/>
          <w:bCs/>
          <w:color w:val="auto"/>
          <w:sz w:val="32"/>
          <w:szCs w:val="32"/>
          <w:highlight w:val="none"/>
          <w:lang w:val="en-US" w:eastAsia="zh-CN"/>
        </w:rPr>
        <w:t>2.立项程序规范性</w:t>
      </w:r>
      <w:bookmarkEnd w:id="111"/>
      <w:bookmarkEnd w:id="112"/>
    </w:p>
    <w:p w14:paraId="53C582B3">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①项目经《阜康市项目会审会议纪要》研究确定，立项资料齐全，立项程序规范；</w:t>
      </w:r>
    </w:p>
    <w:p w14:paraId="0221A791">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②项目审批文件《阜康市项目会审会议纪要》符合相关要求；</w:t>
      </w:r>
    </w:p>
    <w:p w14:paraId="54D973E1">
      <w:pPr>
        <w:pageBreakBefore w:val="0"/>
        <w:kinsoku/>
        <w:wordWrap/>
        <w:overflowPunct/>
        <w:topLinePunct w:val="0"/>
        <w:autoSpaceDE/>
        <w:autoSpaceDN/>
        <w:bidi w:val="0"/>
        <w:spacing w:line="560" w:lineRule="exact"/>
        <w:textAlignment w:val="auto"/>
        <w:rPr>
          <w:rFonts w:hint="eastAsia"/>
          <w:color w:val="auto"/>
          <w:highlight w:val="none"/>
          <w:lang w:eastAsia="zh-CN"/>
        </w:rPr>
      </w:pPr>
      <w:r>
        <w:rPr>
          <w:rFonts w:hint="eastAsia" w:ascii="仿宋_GB2312" w:hAnsi="仿宋_GB2312" w:eastAsia="仿宋_GB2312" w:cs="仿宋_GB2312"/>
          <w:color w:val="auto"/>
          <w:sz w:val="32"/>
          <w:szCs w:val="32"/>
          <w:highlight w:val="none"/>
          <w:lang w:eastAsia="zh-CN"/>
        </w:rPr>
        <w:t>③事前经过必要的可行性研究、</w:t>
      </w:r>
      <w:r>
        <w:rPr>
          <w:rFonts w:hint="eastAsia" w:ascii="仿宋_GB2312" w:hAnsi="仿宋_GB2312" w:eastAsia="仿宋_GB2312" w:cs="仿宋_GB2312"/>
          <w:color w:val="auto"/>
          <w:sz w:val="32"/>
          <w:szCs w:val="32"/>
          <w:highlight w:val="none"/>
          <w:lang w:val="en-US" w:eastAsia="zh-CN"/>
        </w:rPr>
        <w:t>费用测算以及</w:t>
      </w:r>
      <w:r>
        <w:rPr>
          <w:rFonts w:hint="eastAsia" w:ascii="仿宋_GB2312" w:hAnsi="仿宋_GB2312" w:eastAsia="仿宋_GB2312" w:cs="仿宋_GB2312"/>
          <w:color w:val="auto"/>
          <w:sz w:val="32"/>
          <w:szCs w:val="32"/>
          <w:highlight w:val="none"/>
          <w:lang w:eastAsia="zh-CN"/>
        </w:rPr>
        <w:t>集体决策，该项目实施通过阜康市城市管理局党组会议研究，项目实施的必要性，以及通过第三方对购买服务费用进行测算。</w:t>
      </w:r>
    </w:p>
    <w:p w14:paraId="0972EE91">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综上，该项指标满分3分，得分2.4分。</w:t>
      </w:r>
    </w:p>
    <w:p w14:paraId="3493C791">
      <w:pPr>
        <w:pageBreakBefore w:val="0"/>
        <w:kinsoku/>
        <w:wordWrap/>
        <w:overflowPunct/>
        <w:topLinePunct w:val="0"/>
        <w:autoSpaceDE/>
        <w:autoSpaceDN/>
        <w:bidi w:val="0"/>
        <w:spacing w:line="560" w:lineRule="exact"/>
        <w:textAlignment w:val="auto"/>
        <w:outlineLvl w:val="2"/>
        <w:rPr>
          <w:rFonts w:hint="eastAsia" w:ascii="仿宋_GB2312" w:hAnsi="仿宋_GB2312" w:eastAsia="仿宋_GB2312" w:cs="仿宋_GB2312"/>
          <w:b/>
          <w:bCs/>
          <w:color w:val="auto"/>
          <w:sz w:val="32"/>
          <w:szCs w:val="32"/>
          <w:highlight w:val="none"/>
          <w:lang w:val="en-US" w:eastAsia="zh-CN"/>
        </w:rPr>
      </w:pPr>
      <w:bookmarkStart w:id="113" w:name="_Toc15382"/>
      <w:bookmarkStart w:id="114" w:name="_Toc23542"/>
      <w:r>
        <w:rPr>
          <w:rFonts w:hint="eastAsia" w:ascii="仿宋_GB2312" w:hAnsi="仿宋_GB2312" w:eastAsia="仿宋_GB2312" w:cs="仿宋_GB2312"/>
          <w:b/>
          <w:bCs/>
          <w:color w:val="auto"/>
          <w:sz w:val="32"/>
          <w:szCs w:val="32"/>
          <w:highlight w:val="none"/>
          <w:lang w:val="en-US" w:eastAsia="zh-CN"/>
        </w:rPr>
        <w:t>3.绩效目标合理性</w:t>
      </w:r>
      <w:bookmarkEnd w:id="113"/>
      <w:bookmarkEnd w:id="114"/>
    </w:p>
    <w:p w14:paraId="767AFC1F">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①该项目已设置年度绩效目标。</w:t>
      </w:r>
    </w:p>
    <w:p w14:paraId="5425E2A0">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②该项目实际工作内容为：</w:t>
      </w: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color w:val="auto"/>
          <w:sz w:val="32"/>
          <w:szCs w:val="32"/>
          <w:highlight w:val="none"/>
          <w:lang w:eastAsia="zh-CN"/>
        </w:rPr>
        <w:t>4230769.92平方米</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eastAsia="zh-CN"/>
        </w:rPr>
        <w:t>城市道路</w:t>
      </w:r>
      <w:r>
        <w:rPr>
          <w:rFonts w:hint="eastAsia" w:ascii="仿宋_GB2312" w:hAnsi="仿宋_GB2312" w:eastAsia="仿宋_GB2312" w:cs="仿宋_GB2312"/>
          <w:color w:val="auto"/>
          <w:sz w:val="32"/>
          <w:szCs w:val="32"/>
          <w:highlight w:val="none"/>
          <w:lang w:val="en-US" w:eastAsia="zh-CN"/>
        </w:rPr>
        <w:t>进行</w:t>
      </w:r>
      <w:r>
        <w:rPr>
          <w:rFonts w:hint="eastAsia" w:ascii="仿宋_GB2312" w:hAnsi="仿宋_GB2312" w:eastAsia="仿宋_GB2312" w:cs="仿宋_GB2312"/>
          <w:color w:val="auto"/>
          <w:sz w:val="32"/>
          <w:szCs w:val="32"/>
          <w:highlight w:val="none"/>
          <w:lang w:eastAsia="zh-CN"/>
        </w:rPr>
        <w:t>清扫保洁、</w:t>
      </w: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color w:val="auto"/>
          <w:sz w:val="32"/>
          <w:szCs w:val="32"/>
          <w:highlight w:val="none"/>
          <w:lang w:eastAsia="zh-CN"/>
        </w:rPr>
        <w:t>3981769.44平方米</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eastAsia="zh-CN"/>
        </w:rPr>
        <w:t>城市绿化</w:t>
      </w:r>
      <w:r>
        <w:rPr>
          <w:rFonts w:hint="eastAsia" w:ascii="仿宋_GB2312" w:hAnsi="仿宋_GB2312" w:eastAsia="仿宋_GB2312" w:cs="仿宋_GB2312"/>
          <w:color w:val="auto"/>
          <w:sz w:val="32"/>
          <w:szCs w:val="32"/>
          <w:highlight w:val="none"/>
          <w:lang w:val="en-US" w:eastAsia="zh-CN"/>
        </w:rPr>
        <w:t>进行</w:t>
      </w:r>
      <w:r>
        <w:rPr>
          <w:rFonts w:hint="eastAsia" w:ascii="仿宋_GB2312" w:hAnsi="仿宋_GB2312" w:eastAsia="仿宋_GB2312" w:cs="仿宋_GB2312"/>
          <w:color w:val="auto"/>
          <w:sz w:val="32"/>
          <w:szCs w:val="32"/>
          <w:highlight w:val="none"/>
          <w:lang w:eastAsia="zh-CN"/>
        </w:rPr>
        <w:t>养护。绩效目标与实际工作内容一致，两者具有相关性。</w:t>
      </w:r>
    </w:p>
    <w:p w14:paraId="25A1C14F">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③该项目按照绩效目标完成数量指标、质量指标、时效指标、成本指标，完成了城市道路清扫、保洁面积4230769.92平方米、城市绿化养护面积3981769.44平方米，道路及时清扫保洁，城市道路实施机械化清扫，达到创造良好的城市工作生活环境，提高环境质量，提高城市生态环境，保持生态平衡的效益，预期产出效益和效果符合正常的业绩水平。</w:t>
      </w:r>
    </w:p>
    <w:p w14:paraId="32CF9531">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④《项目支出绩效目标表》中预算金额为</w:t>
      </w:r>
      <w:r>
        <w:rPr>
          <w:rFonts w:hint="eastAsia" w:ascii="仿宋_GB2312" w:hAnsi="仿宋_GB2312" w:eastAsia="仿宋_GB2312" w:cs="仿宋_GB2312"/>
          <w:color w:val="auto"/>
          <w:sz w:val="32"/>
          <w:szCs w:val="32"/>
          <w:highlight w:val="none"/>
          <w:lang w:val="en-US" w:eastAsia="zh-CN"/>
        </w:rPr>
        <w:t>3980.94</w:t>
      </w:r>
      <w:r>
        <w:rPr>
          <w:rFonts w:hint="eastAsia" w:ascii="仿宋_GB2312" w:hAnsi="仿宋_GB2312" w:eastAsia="仿宋_GB2312" w:cs="仿宋_GB2312"/>
          <w:color w:val="auto"/>
          <w:sz w:val="32"/>
          <w:szCs w:val="32"/>
          <w:highlight w:val="none"/>
          <w:lang w:eastAsia="zh-CN"/>
        </w:rPr>
        <w:t>万元，预算确定的项目资金与预算确定的项目投资额相匹配。</w:t>
      </w:r>
    </w:p>
    <w:p w14:paraId="0CC39A0C">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综上，该项指标满分5分，得分5分。</w:t>
      </w:r>
    </w:p>
    <w:p w14:paraId="51A0F049">
      <w:pPr>
        <w:pageBreakBefore w:val="0"/>
        <w:kinsoku/>
        <w:wordWrap/>
        <w:overflowPunct/>
        <w:topLinePunct w:val="0"/>
        <w:autoSpaceDE/>
        <w:autoSpaceDN/>
        <w:bidi w:val="0"/>
        <w:spacing w:line="560" w:lineRule="exact"/>
        <w:textAlignment w:val="auto"/>
        <w:outlineLvl w:val="2"/>
        <w:rPr>
          <w:rFonts w:hint="eastAsia" w:ascii="仿宋_GB2312" w:hAnsi="仿宋_GB2312" w:eastAsia="仿宋_GB2312" w:cs="仿宋_GB2312"/>
          <w:b/>
          <w:bCs/>
          <w:color w:val="auto"/>
          <w:sz w:val="32"/>
          <w:szCs w:val="32"/>
          <w:highlight w:val="none"/>
          <w:lang w:val="en-US" w:eastAsia="zh-CN"/>
        </w:rPr>
      </w:pPr>
      <w:bookmarkStart w:id="115" w:name="_Toc18198"/>
      <w:bookmarkStart w:id="116" w:name="_Toc10650"/>
      <w:r>
        <w:rPr>
          <w:rFonts w:hint="eastAsia" w:ascii="仿宋_GB2312" w:hAnsi="仿宋_GB2312" w:eastAsia="仿宋_GB2312" w:cs="仿宋_GB2312"/>
          <w:b/>
          <w:bCs/>
          <w:color w:val="auto"/>
          <w:sz w:val="32"/>
          <w:szCs w:val="32"/>
          <w:highlight w:val="none"/>
          <w:lang w:val="en-US" w:eastAsia="zh-CN"/>
        </w:rPr>
        <w:t>4.绩效指标明确性</w:t>
      </w:r>
      <w:bookmarkEnd w:id="115"/>
      <w:bookmarkEnd w:id="116"/>
    </w:p>
    <w:p w14:paraId="1AC046E4">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①将项目绩效目标细化分解为具体的绩效指标，</w:t>
      </w:r>
      <w:r>
        <w:rPr>
          <w:rFonts w:hint="eastAsia" w:ascii="仿宋_GB2312" w:hAnsi="仿宋_GB2312" w:eastAsia="仿宋_GB2312" w:cs="仿宋_GB2312"/>
          <w:color w:val="auto"/>
          <w:sz w:val="32"/>
          <w:szCs w:val="32"/>
          <w:highlight w:val="none"/>
          <w:lang w:val="en-US" w:eastAsia="zh-CN"/>
        </w:rPr>
        <w:t>其中三级指标共计8个</w:t>
      </w:r>
      <w:r>
        <w:rPr>
          <w:rFonts w:hint="eastAsia" w:ascii="仿宋_GB2312" w:hAnsi="仿宋_GB2312" w:eastAsia="仿宋_GB2312" w:cs="仿宋_GB2312"/>
          <w:color w:val="auto"/>
          <w:sz w:val="32"/>
          <w:szCs w:val="32"/>
          <w:highlight w:val="none"/>
          <w:lang w:eastAsia="zh-CN"/>
        </w:rPr>
        <w:t>；</w:t>
      </w:r>
    </w:p>
    <w:p w14:paraId="039513F5">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②通过清晰、可衡量的指标值予以体现，</w:t>
      </w:r>
      <w:r>
        <w:rPr>
          <w:rFonts w:hint="eastAsia" w:ascii="仿宋_GB2312" w:hAnsi="仿宋_GB2312" w:eastAsia="仿宋_GB2312" w:cs="仿宋_GB2312"/>
          <w:color w:val="auto"/>
          <w:sz w:val="32"/>
          <w:szCs w:val="32"/>
          <w:highlight w:val="none"/>
          <w:lang w:val="en-US" w:eastAsia="zh-CN"/>
        </w:rPr>
        <w:t>量化率达到75%</w:t>
      </w:r>
      <w:r>
        <w:rPr>
          <w:rFonts w:hint="eastAsia" w:ascii="仿宋_GB2312" w:hAnsi="仿宋_GB2312" w:eastAsia="仿宋_GB2312" w:cs="仿宋_GB2312"/>
          <w:color w:val="auto"/>
          <w:sz w:val="32"/>
          <w:szCs w:val="32"/>
          <w:highlight w:val="none"/>
          <w:lang w:eastAsia="zh-CN"/>
        </w:rPr>
        <w:t>；</w:t>
      </w:r>
    </w:p>
    <w:p w14:paraId="432C3DAA">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③《项目绩效目标申报表》中，三级指标的年度指标值与年度绩效目标中任务数一致。</w:t>
      </w:r>
    </w:p>
    <w:p w14:paraId="2E3A56A4">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已设置的绩效目标具备明确性、可衡量性、可实现性、相关性、时限性。</w:t>
      </w:r>
    </w:p>
    <w:p w14:paraId="424D8DED">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综上，该项指标满分5分，得分5分。</w:t>
      </w:r>
    </w:p>
    <w:p w14:paraId="4CC2E1E1">
      <w:pPr>
        <w:pageBreakBefore w:val="0"/>
        <w:kinsoku/>
        <w:wordWrap/>
        <w:overflowPunct/>
        <w:topLinePunct w:val="0"/>
        <w:autoSpaceDE/>
        <w:autoSpaceDN/>
        <w:bidi w:val="0"/>
        <w:spacing w:line="560" w:lineRule="exact"/>
        <w:textAlignment w:val="auto"/>
        <w:outlineLvl w:val="2"/>
        <w:rPr>
          <w:rFonts w:hint="eastAsia" w:ascii="仿宋_GB2312" w:hAnsi="仿宋_GB2312" w:eastAsia="仿宋_GB2312" w:cs="仿宋_GB2312"/>
          <w:b/>
          <w:bCs/>
          <w:color w:val="auto"/>
          <w:sz w:val="32"/>
          <w:szCs w:val="32"/>
          <w:highlight w:val="none"/>
          <w:lang w:val="en-US" w:eastAsia="zh-CN"/>
        </w:rPr>
      </w:pPr>
      <w:bookmarkStart w:id="117" w:name="_Toc19401"/>
      <w:bookmarkStart w:id="118" w:name="_Toc8296"/>
      <w:r>
        <w:rPr>
          <w:rFonts w:hint="eastAsia" w:ascii="仿宋_GB2312" w:hAnsi="仿宋_GB2312" w:eastAsia="仿宋_GB2312" w:cs="仿宋_GB2312"/>
          <w:b/>
          <w:bCs/>
          <w:color w:val="auto"/>
          <w:sz w:val="32"/>
          <w:szCs w:val="32"/>
          <w:highlight w:val="none"/>
          <w:lang w:val="en-US" w:eastAsia="zh-CN"/>
        </w:rPr>
        <w:t>5.预算编制科学性</w:t>
      </w:r>
      <w:bookmarkEnd w:id="117"/>
      <w:bookmarkEnd w:id="118"/>
    </w:p>
    <w:p w14:paraId="03E7CF59">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①预算编制经过第三方机构测算有科学论证；</w:t>
      </w:r>
    </w:p>
    <w:p w14:paraId="44670072">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②</w:t>
      </w:r>
      <w:r>
        <w:rPr>
          <w:rFonts w:hint="eastAsia" w:ascii="仿宋_GB2312" w:hAnsi="仿宋_GB2312" w:eastAsia="仿宋_GB2312" w:cs="仿宋_GB2312"/>
          <w:color w:val="auto"/>
          <w:sz w:val="32"/>
          <w:szCs w:val="32"/>
          <w:highlight w:val="none"/>
          <w:lang w:eastAsia="zh-CN"/>
        </w:rPr>
        <w:t>预算申请内容为阜康市环卫保洁和园林养护政府购买服务项目，项目实际内容为阜康市环卫保洁和园林养护政府购买服务项目，预算申请与项目内容匹配；</w:t>
      </w:r>
    </w:p>
    <w:p w14:paraId="1DA2BE96">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③</w:t>
      </w:r>
      <w:r>
        <w:rPr>
          <w:rFonts w:hint="eastAsia" w:ascii="仿宋_GB2312" w:hAnsi="仿宋_GB2312" w:eastAsia="仿宋_GB2312" w:cs="仿宋_GB2312"/>
          <w:color w:val="auto"/>
          <w:sz w:val="32"/>
          <w:szCs w:val="32"/>
          <w:highlight w:val="none"/>
          <w:lang w:eastAsia="zh-CN"/>
        </w:rPr>
        <w:t>项目预算申请资金</w:t>
      </w:r>
      <w:r>
        <w:rPr>
          <w:rFonts w:hint="eastAsia" w:ascii="仿宋_GB2312" w:hAnsi="仿宋_GB2312" w:eastAsia="仿宋_GB2312" w:cs="仿宋_GB2312"/>
          <w:color w:val="auto"/>
          <w:sz w:val="32"/>
          <w:szCs w:val="32"/>
          <w:highlight w:val="none"/>
          <w:lang w:val="en-US" w:eastAsia="zh-CN"/>
        </w:rPr>
        <w:t>3980.94万</w:t>
      </w:r>
      <w:r>
        <w:rPr>
          <w:rFonts w:hint="eastAsia" w:ascii="仿宋_GB2312" w:hAnsi="仿宋_GB2312" w:eastAsia="仿宋_GB2312" w:cs="仿宋_GB2312"/>
          <w:color w:val="auto"/>
          <w:sz w:val="32"/>
          <w:szCs w:val="32"/>
          <w:highlight w:val="none"/>
          <w:lang w:eastAsia="zh-CN"/>
        </w:rPr>
        <w:t>元，我单位在预算申请中严格按照项目实施内容及测算标准进行核算，其中：环境卫生保洁成本控制</w:t>
      </w:r>
      <w:r>
        <w:rPr>
          <w:rFonts w:hint="eastAsia" w:ascii="仿宋_GB2312" w:hAnsi="仿宋_GB2312" w:eastAsia="仿宋_GB2312" w:cs="仿宋_GB2312"/>
          <w:color w:val="auto"/>
          <w:sz w:val="32"/>
          <w:szCs w:val="32"/>
          <w:highlight w:val="none"/>
          <w:lang w:val="en-US" w:eastAsia="zh-CN"/>
        </w:rPr>
        <w:t>2388.56万元，园林绿化养护成本控制1592.38万元。</w:t>
      </w:r>
      <w:r>
        <w:rPr>
          <w:rFonts w:hint="eastAsia" w:ascii="仿宋_GB2312" w:hAnsi="仿宋_GB2312" w:eastAsia="仿宋_GB2312" w:cs="仿宋_GB2312"/>
          <w:color w:val="auto"/>
          <w:sz w:val="32"/>
          <w:szCs w:val="32"/>
          <w:highlight w:val="none"/>
          <w:lang w:eastAsia="zh-CN"/>
        </w:rPr>
        <w:t>预算额度经过第三方机构测算，测算依据充分，按照购买服务金额测算标准编制。</w:t>
      </w:r>
    </w:p>
    <w:p w14:paraId="39B45D26">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④</w:t>
      </w:r>
      <w:r>
        <w:rPr>
          <w:rFonts w:hint="eastAsia" w:ascii="仿宋_GB2312" w:hAnsi="仿宋_GB2312" w:eastAsia="仿宋_GB2312" w:cs="仿宋_GB2312"/>
          <w:color w:val="auto"/>
          <w:sz w:val="32"/>
          <w:szCs w:val="32"/>
          <w:highlight w:val="none"/>
          <w:lang w:eastAsia="zh-CN"/>
        </w:rPr>
        <w:t>预算确定资金量与实际工作任务相匹配。项目预算额度测算依据充分，严格按照标准编制，项目资金量与</w:t>
      </w:r>
      <w:r>
        <w:rPr>
          <w:rFonts w:hint="eastAsia" w:ascii="仿宋_GB2312" w:hAnsi="仿宋_GB2312" w:eastAsia="仿宋_GB2312" w:cs="仿宋_GB2312"/>
          <w:color w:val="auto"/>
          <w:sz w:val="32"/>
          <w:szCs w:val="32"/>
          <w:highlight w:val="none"/>
          <w:lang w:val="en-US" w:eastAsia="zh-CN"/>
        </w:rPr>
        <w:t>项目实施内容</w:t>
      </w:r>
      <w:r>
        <w:rPr>
          <w:rFonts w:hint="eastAsia" w:ascii="仿宋_GB2312" w:hAnsi="仿宋_GB2312" w:eastAsia="仿宋_GB2312" w:cs="仿宋_GB2312"/>
          <w:color w:val="auto"/>
          <w:sz w:val="32"/>
          <w:szCs w:val="32"/>
          <w:highlight w:val="none"/>
          <w:lang w:eastAsia="zh-CN"/>
        </w:rPr>
        <w:t>相匹配。</w:t>
      </w:r>
    </w:p>
    <w:p w14:paraId="76327E0D">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综上，该项指标满分2分，得分2分。</w:t>
      </w:r>
    </w:p>
    <w:p w14:paraId="198A210F">
      <w:pPr>
        <w:pageBreakBefore w:val="0"/>
        <w:kinsoku/>
        <w:wordWrap/>
        <w:overflowPunct/>
        <w:topLinePunct w:val="0"/>
        <w:autoSpaceDE/>
        <w:autoSpaceDN/>
        <w:bidi w:val="0"/>
        <w:spacing w:line="560" w:lineRule="exact"/>
        <w:textAlignment w:val="auto"/>
        <w:outlineLvl w:val="2"/>
        <w:rPr>
          <w:rFonts w:hint="eastAsia" w:ascii="仿宋_GB2312" w:hAnsi="仿宋_GB2312" w:eastAsia="仿宋_GB2312" w:cs="仿宋_GB2312"/>
          <w:b/>
          <w:bCs/>
          <w:color w:val="auto"/>
          <w:sz w:val="32"/>
          <w:szCs w:val="32"/>
          <w:highlight w:val="none"/>
          <w:lang w:val="en-US" w:eastAsia="zh-CN"/>
        </w:rPr>
      </w:pPr>
      <w:bookmarkStart w:id="119" w:name="_Toc697"/>
      <w:bookmarkStart w:id="120" w:name="_Toc20556"/>
      <w:r>
        <w:rPr>
          <w:rFonts w:hint="eastAsia" w:ascii="仿宋_GB2312" w:hAnsi="仿宋_GB2312" w:eastAsia="仿宋_GB2312" w:cs="仿宋_GB2312"/>
          <w:b/>
          <w:bCs/>
          <w:color w:val="auto"/>
          <w:sz w:val="32"/>
          <w:szCs w:val="32"/>
          <w:highlight w:val="none"/>
          <w:lang w:val="en-US" w:eastAsia="zh-CN"/>
        </w:rPr>
        <w:t>6.资金分配合理性</w:t>
      </w:r>
      <w:bookmarkEnd w:id="119"/>
      <w:bookmarkEnd w:id="120"/>
    </w:p>
    <w:p w14:paraId="78D00B67">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①预算资金分配依据《阜康市城市管理局环卫保洁和园林养护政府购买服务合同》实施</w:t>
      </w:r>
      <w:r>
        <w:rPr>
          <w:rFonts w:hint="eastAsia" w:ascii="仿宋_GB2312" w:hAnsi="仿宋_GB2312" w:eastAsia="仿宋_GB2312" w:cs="仿宋_GB2312"/>
          <w:color w:val="auto"/>
          <w:sz w:val="32"/>
          <w:szCs w:val="32"/>
          <w:highlight w:val="none"/>
          <w:lang w:val="en-US" w:eastAsia="zh-Hans"/>
        </w:rPr>
        <w:t>，预算资金分配依据充分</w:t>
      </w:r>
      <w:r>
        <w:rPr>
          <w:rFonts w:hint="eastAsia" w:ascii="仿宋_GB2312" w:hAnsi="仿宋_GB2312" w:eastAsia="仿宋_GB2312" w:cs="仿宋_GB2312"/>
          <w:color w:val="auto"/>
          <w:sz w:val="32"/>
          <w:szCs w:val="32"/>
          <w:highlight w:val="none"/>
          <w:lang w:val="en-US" w:eastAsia="zh-CN"/>
        </w:rPr>
        <w:t>。</w:t>
      </w:r>
    </w:p>
    <w:p w14:paraId="3B982DA6">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②项目实际到位资金3980.94万元，资金分配额度</w:t>
      </w:r>
      <w:r>
        <w:rPr>
          <w:rFonts w:hint="eastAsia" w:ascii="仿宋_GB2312" w:hAnsi="仿宋_GB2312" w:eastAsia="仿宋_GB2312" w:cs="仿宋_GB2312"/>
          <w:color w:val="auto"/>
          <w:sz w:val="32"/>
          <w:szCs w:val="32"/>
          <w:highlight w:val="none"/>
          <w:lang w:eastAsia="zh-CN"/>
        </w:rPr>
        <w:t>合理，与项目单位</w:t>
      </w:r>
      <w:r>
        <w:rPr>
          <w:rFonts w:hint="eastAsia" w:ascii="仿宋_GB2312" w:hAnsi="仿宋_GB2312" w:eastAsia="仿宋_GB2312" w:cs="仿宋_GB2312"/>
          <w:color w:val="auto"/>
          <w:sz w:val="32"/>
          <w:szCs w:val="32"/>
          <w:highlight w:val="none"/>
          <w:lang w:val="en-US" w:eastAsia="zh-CN"/>
        </w:rPr>
        <w:t>及项目实际实施情况相</w:t>
      </w:r>
      <w:r>
        <w:rPr>
          <w:rFonts w:hint="eastAsia" w:ascii="仿宋_GB2312" w:hAnsi="仿宋_GB2312" w:eastAsia="仿宋_GB2312" w:cs="仿宋_GB2312"/>
          <w:color w:val="auto"/>
          <w:sz w:val="32"/>
          <w:szCs w:val="32"/>
          <w:highlight w:val="none"/>
          <w:lang w:eastAsia="zh-CN"/>
        </w:rPr>
        <w:t>适应。</w:t>
      </w:r>
    </w:p>
    <w:p w14:paraId="15A264B3">
      <w:pPr>
        <w:pageBreakBefore w:val="0"/>
        <w:kinsoku/>
        <w:wordWrap/>
        <w:overflowPunct/>
        <w:topLinePunct w:val="0"/>
        <w:autoSpaceDE/>
        <w:autoSpaceDN/>
        <w:bidi w:val="0"/>
        <w:spacing w:line="560" w:lineRule="exact"/>
        <w:textAlignment w:val="auto"/>
        <w:rPr>
          <w:rFonts w:hint="eastAsia"/>
          <w:color w:val="auto"/>
          <w:highlight w:val="none"/>
          <w:lang w:eastAsia="zh-CN"/>
        </w:rPr>
      </w:pPr>
      <w:r>
        <w:rPr>
          <w:rFonts w:hint="eastAsia" w:ascii="仿宋_GB2312" w:hAnsi="仿宋_GB2312" w:eastAsia="仿宋_GB2312" w:cs="仿宋_GB2312"/>
          <w:b/>
          <w:bCs/>
          <w:color w:val="auto"/>
          <w:sz w:val="32"/>
          <w:szCs w:val="32"/>
          <w:highlight w:val="none"/>
          <w:lang w:val="en-US" w:eastAsia="zh-CN"/>
        </w:rPr>
        <w:t>综上，该项指标满分3分，得分3分。</w:t>
      </w:r>
    </w:p>
    <w:p w14:paraId="413D8598">
      <w:pPr>
        <w:pStyle w:val="14"/>
        <w:widowControl/>
        <w:numPr>
          <w:ilvl w:val="0"/>
          <w:numId w:val="0"/>
        </w:numPr>
        <w:spacing w:before="0" w:beforeLines="-2147483648" w:after="0" w:afterLines="-2147483648" w:line="560" w:lineRule="exact"/>
        <w:ind w:firstLine="643" w:firstLineChars="200"/>
        <w:jc w:val="both"/>
        <w:rPr>
          <w:rFonts w:hint="eastAsia" w:ascii="Times New Roman" w:hAnsi="Times New Roman" w:eastAsia="楷体" w:cs="Times New Roman"/>
          <w:color w:val="auto"/>
          <w:kern w:val="28"/>
          <w:sz w:val="32"/>
          <w:highlight w:val="none"/>
        </w:rPr>
      </w:pPr>
      <w:bookmarkStart w:id="121" w:name="_Toc10564"/>
      <w:r>
        <w:rPr>
          <w:rFonts w:hint="eastAsia" w:ascii="Times New Roman" w:hAnsi="Times New Roman" w:eastAsia="楷体" w:cs="Times New Roman"/>
          <w:color w:val="auto"/>
          <w:kern w:val="28"/>
          <w:sz w:val="32"/>
          <w:highlight w:val="none"/>
          <w:lang w:eastAsia="zh-CN"/>
        </w:rPr>
        <w:t>（</w:t>
      </w:r>
      <w:r>
        <w:rPr>
          <w:rFonts w:hint="eastAsia" w:ascii="Times New Roman" w:hAnsi="Times New Roman" w:eastAsia="楷体" w:cs="Times New Roman"/>
          <w:color w:val="auto"/>
          <w:kern w:val="28"/>
          <w:sz w:val="32"/>
          <w:highlight w:val="none"/>
          <w:lang w:val="en-US" w:eastAsia="zh-CN"/>
        </w:rPr>
        <w:t>二</w:t>
      </w:r>
      <w:r>
        <w:rPr>
          <w:rFonts w:hint="eastAsia" w:ascii="Times New Roman" w:hAnsi="Times New Roman" w:eastAsia="楷体" w:cs="Times New Roman"/>
          <w:color w:val="auto"/>
          <w:kern w:val="28"/>
          <w:sz w:val="32"/>
          <w:highlight w:val="none"/>
          <w:lang w:eastAsia="zh-CN"/>
        </w:rPr>
        <w:t>）</w:t>
      </w:r>
      <w:r>
        <w:rPr>
          <w:rFonts w:hint="eastAsia" w:ascii="Times New Roman" w:hAnsi="Times New Roman" w:eastAsia="楷体" w:cs="Times New Roman"/>
          <w:color w:val="auto"/>
          <w:kern w:val="28"/>
          <w:sz w:val="32"/>
          <w:highlight w:val="none"/>
        </w:rPr>
        <w:t>项目过程情况</w:t>
      </w:r>
      <w:bookmarkEnd w:id="121"/>
    </w:p>
    <w:p w14:paraId="466CAF0E">
      <w:pPr>
        <w:pageBreakBefore w:val="0"/>
        <w:widowControl w:val="0"/>
        <w:kinsoku/>
        <w:wordWrap/>
        <w:overflowPunct/>
        <w:topLinePunct w:val="0"/>
        <w:autoSpaceDE/>
        <w:autoSpaceDN/>
        <w:bidi w:val="0"/>
        <w:adjustRightInd/>
        <w:spacing w:line="560" w:lineRule="exact"/>
        <w:ind w:firstLine="560"/>
        <w:textAlignment w:val="auto"/>
        <w:rPr>
          <w:rFonts w:hint="eastAsia" w:ascii="仿宋_GB2312" w:hAnsi="仿宋_GB2312" w:eastAsia="仿宋_GB2312" w:cs="仿宋_GB2312"/>
          <w:color w:val="auto"/>
          <w:kern w:val="2"/>
          <w:sz w:val="32"/>
          <w:szCs w:val="32"/>
          <w:highlight w:val="none"/>
          <w:u w:color="000000"/>
          <w:shd w:val="clear" w:color="auto" w:fill="auto"/>
          <w:lang w:val="zh-TW" w:eastAsia="zh-TW"/>
        </w:rPr>
      </w:pPr>
      <w:r>
        <w:rPr>
          <w:rFonts w:hint="eastAsia" w:ascii="仿宋_GB2312" w:hAnsi="仿宋_GB2312" w:eastAsia="仿宋_GB2312" w:cs="仿宋_GB2312"/>
          <w:color w:val="auto"/>
          <w:kern w:val="2"/>
          <w:sz w:val="32"/>
          <w:szCs w:val="32"/>
          <w:highlight w:val="none"/>
          <w:u w:color="000000"/>
          <w:shd w:val="clear" w:color="auto" w:fill="auto"/>
          <w:lang w:val="zh-TW" w:eastAsia="zh-TW"/>
        </w:rPr>
        <w:t>项目</w:t>
      </w:r>
      <w:r>
        <w:rPr>
          <w:rFonts w:hint="eastAsia" w:ascii="仿宋_GB2312" w:hAnsi="仿宋_GB2312" w:eastAsia="仿宋_GB2312" w:cs="仿宋_GB2312"/>
          <w:color w:val="auto"/>
          <w:sz w:val="32"/>
          <w:szCs w:val="32"/>
          <w:highlight w:val="none"/>
          <w:shd w:val="clear" w:color="auto" w:fill="auto"/>
        </w:rPr>
        <w:t>过程</w:t>
      </w:r>
      <w:r>
        <w:rPr>
          <w:rFonts w:hint="eastAsia" w:ascii="仿宋_GB2312" w:hAnsi="仿宋_GB2312" w:eastAsia="仿宋_GB2312" w:cs="仿宋_GB2312"/>
          <w:color w:val="auto"/>
          <w:kern w:val="2"/>
          <w:sz w:val="32"/>
          <w:szCs w:val="32"/>
          <w:highlight w:val="none"/>
          <w:u w:color="000000"/>
          <w:shd w:val="clear" w:color="auto" w:fill="auto"/>
          <w:lang w:eastAsia="zh-CN"/>
        </w:rPr>
        <w:t>管理</w:t>
      </w:r>
      <w:r>
        <w:rPr>
          <w:rFonts w:hint="eastAsia" w:ascii="仿宋_GB2312" w:hAnsi="仿宋_GB2312" w:eastAsia="仿宋_GB2312" w:cs="仿宋_GB2312"/>
          <w:color w:val="auto"/>
          <w:kern w:val="2"/>
          <w:sz w:val="32"/>
          <w:szCs w:val="32"/>
          <w:highlight w:val="none"/>
          <w:u w:color="000000"/>
          <w:shd w:val="clear" w:color="auto" w:fill="auto"/>
          <w:lang w:val="zh-TW" w:eastAsia="zh-TW"/>
        </w:rPr>
        <w:t>类指标由</w:t>
      </w:r>
      <w:r>
        <w:rPr>
          <w:rFonts w:hint="eastAsia" w:ascii="仿宋_GB2312" w:hAnsi="仿宋_GB2312" w:eastAsia="仿宋_GB2312" w:cs="仿宋_GB2312"/>
          <w:color w:val="auto"/>
          <w:kern w:val="2"/>
          <w:sz w:val="32"/>
          <w:szCs w:val="32"/>
          <w:highlight w:val="none"/>
          <w:u w:color="000000"/>
          <w:shd w:val="clear" w:color="auto" w:fill="auto"/>
          <w:lang w:eastAsia="zh-CN"/>
        </w:rPr>
        <w:t>2</w:t>
      </w:r>
      <w:r>
        <w:rPr>
          <w:rFonts w:hint="eastAsia" w:ascii="仿宋_GB2312" w:hAnsi="仿宋_GB2312" w:eastAsia="仿宋_GB2312" w:cs="仿宋_GB2312"/>
          <w:color w:val="auto"/>
          <w:kern w:val="2"/>
          <w:sz w:val="32"/>
          <w:szCs w:val="32"/>
          <w:highlight w:val="none"/>
          <w:u w:color="000000"/>
          <w:shd w:val="clear" w:color="auto" w:fill="auto"/>
          <w:lang w:val="zh-TW" w:eastAsia="zh-TW"/>
        </w:rPr>
        <w:t>个</w:t>
      </w:r>
      <w:r>
        <w:rPr>
          <w:rFonts w:hint="eastAsia" w:ascii="仿宋_GB2312" w:hAnsi="仿宋_GB2312" w:eastAsia="仿宋_GB2312" w:cs="仿宋_GB2312"/>
          <w:color w:val="auto"/>
          <w:kern w:val="2"/>
          <w:sz w:val="32"/>
          <w:szCs w:val="32"/>
          <w:highlight w:val="none"/>
          <w:u w:color="000000"/>
          <w:shd w:val="clear" w:color="auto" w:fill="auto"/>
          <w:lang w:val="zh-TW" w:eastAsia="zh-CN"/>
        </w:rPr>
        <w:t>二</w:t>
      </w:r>
      <w:r>
        <w:rPr>
          <w:rFonts w:hint="eastAsia" w:ascii="仿宋_GB2312" w:hAnsi="仿宋_GB2312" w:eastAsia="仿宋_GB2312" w:cs="仿宋_GB2312"/>
          <w:color w:val="auto"/>
          <w:kern w:val="2"/>
          <w:sz w:val="32"/>
          <w:szCs w:val="32"/>
          <w:highlight w:val="none"/>
          <w:u w:color="000000"/>
          <w:shd w:val="clear" w:color="auto" w:fill="auto"/>
          <w:lang w:val="zh-TW" w:eastAsia="zh-TW"/>
        </w:rPr>
        <w:t>级指标和</w:t>
      </w:r>
      <w:r>
        <w:rPr>
          <w:rFonts w:hint="eastAsia" w:ascii="仿宋_GB2312" w:hAnsi="仿宋_GB2312" w:eastAsia="仿宋_GB2312" w:cs="仿宋_GB2312"/>
          <w:color w:val="auto"/>
          <w:kern w:val="2"/>
          <w:sz w:val="32"/>
          <w:szCs w:val="32"/>
          <w:highlight w:val="none"/>
          <w:u w:color="000000"/>
          <w:shd w:val="clear" w:color="auto" w:fill="auto"/>
          <w:lang w:val="en-US" w:eastAsia="zh-CN"/>
        </w:rPr>
        <w:t>5</w:t>
      </w:r>
      <w:r>
        <w:rPr>
          <w:rFonts w:hint="eastAsia" w:ascii="仿宋_GB2312" w:hAnsi="仿宋_GB2312" w:eastAsia="仿宋_GB2312" w:cs="仿宋_GB2312"/>
          <w:color w:val="auto"/>
          <w:kern w:val="2"/>
          <w:sz w:val="32"/>
          <w:szCs w:val="32"/>
          <w:highlight w:val="none"/>
          <w:u w:color="000000"/>
          <w:shd w:val="clear" w:color="auto" w:fill="auto"/>
          <w:lang w:val="zh-TW" w:eastAsia="zh-TW"/>
        </w:rPr>
        <w:t>个</w:t>
      </w:r>
      <w:r>
        <w:rPr>
          <w:rFonts w:hint="eastAsia" w:ascii="仿宋_GB2312" w:hAnsi="仿宋_GB2312" w:eastAsia="仿宋_GB2312" w:cs="仿宋_GB2312"/>
          <w:color w:val="auto"/>
          <w:kern w:val="2"/>
          <w:sz w:val="32"/>
          <w:szCs w:val="32"/>
          <w:highlight w:val="none"/>
          <w:u w:color="000000"/>
          <w:shd w:val="clear" w:color="auto" w:fill="auto"/>
          <w:lang w:eastAsia="zh-CN"/>
        </w:rPr>
        <w:t>三</w:t>
      </w:r>
      <w:r>
        <w:rPr>
          <w:rFonts w:hint="eastAsia" w:ascii="仿宋_GB2312" w:hAnsi="仿宋_GB2312" w:eastAsia="仿宋_GB2312" w:cs="仿宋_GB2312"/>
          <w:color w:val="auto"/>
          <w:kern w:val="2"/>
          <w:sz w:val="32"/>
          <w:szCs w:val="32"/>
          <w:highlight w:val="none"/>
          <w:u w:color="000000"/>
          <w:shd w:val="clear" w:color="auto" w:fill="auto"/>
          <w:lang w:val="zh-TW" w:eastAsia="zh-TW"/>
        </w:rPr>
        <w:t>级指标构成，权重分</w:t>
      </w:r>
      <w:r>
        <w:rPr>
          <w:rFonts w:hint="eastAsia" w:ascii="仿宋_GB2312" w:hAnsi="仿宋_GB2312" w:eastAsia="仿宋_GB2312" w:cs="仿宋_GB2312"/>
          <w:color w:val="auto"/>
          <w:kern w:val="2"/>
          <w:sz w:val="32"/>
          <w:szCs w:val="32"/>
          <w:highlight w:val="none"/>
          <w:u w:color="000000"/>
          <w:shd w:val="clear" w:color="auto" w:fill="auto"/>
          <w:lang w:val="en-US" w:eastAsia="zh-CN"/>
        </w:rPr>
        <w:t>20</w:t>
      </w:r>
      <w:r>
        <w:rPr>
          <w:rFonts w:hint="eastAsia" w:ascii="仿宋_GB2312" w:hAnsi="仿宋_GB2312" w:eastAsia="仿宋_GB2312" w:cs="仿宋_GB2312"/>
          <w:color w:val="auto"/>
          <w:kern w:val="2"/>
          <w:sz w:val="32"/>
          <w:szCs w:val="32"/>
          <w:highlight w:val="none"/>
          <w:u w:color="000000"/>
          <w:shd w:val="clear" w:color="auto" w:fill="auto"/>
          <w:lang w:val="zh-TW" w:eastAsia="zh-TW"/>
        </w:rPr>
        <w:t>分，实际得分</w:t>
      </w:r>
      <w:r>
        <w:rPr>
          <w:rFonts w:hint="eastAsia" w:ascii="仿宋_GB2312" w:hAnsi="仿宋_GB2312" w:eastAsia="仿宋_GB2312" w:cs="仿宋_GB2312"/>
          <w:color w:val="auto"/>
          <w:kern w:val="2"/>
          <w:sz w:val="32"/>
          <w:szCs w:val="32"/>
          <w:highlight w:val="none"/>
          <w:u w:color="000000"/>
          <w:shd w:val="clear" w:color="auto" w:fill="auto"/>
          <w:lang w:val="en-US" w:eastAsia="zh-CN"/>
        </w:rPr>
        <w:t>19.99</w:t>
      </w:r>
      <w:r>
        <w:rPr>
          <w:rFonts w:hint="eastAsia" w:ascii="仿宋_GB2312" w:hAnsi="仿宋_GB2312" w:eastAsia="仿宋_GB2312" w:cs="仿宋_GB2312"/>
          <w:color w:val="auto"/>
          <w:kern w:val="2"/>
          <w:sz w:val="32"/>
          <w:szCs w:val="32"/>
          <w:highlight w:val="none"/>
          <w:u w:color="000000"/>
          <w:shd w:val="clear" w:color="auto" w:fill="auto"/>
          <w:lang w:val="zh-TW" w:eastAsia="zh-TW"/>
        </w:rPr>
        <w:t>分</w:t>
      </w:r>
      <w:r>
        <w:rPr>
          <w:rFonts w:hint="eastAsia" w:ascii="仿宋_GB2312" w:hAnsi="仿宋_GB2312" w:eastAsia="仿宋_GB2312" w:cs="仿宋_GB2312"/>
          <w:color w:val="auto"/>
          <w:kern w:val="2"/>
          <w:sz w:val="32"/>
          <w:szCs w:val="32"/>
          <w:highlight w:val="none"/>
          <w:u w:color="000000"/>
          <w:shd w:val="clear" w:color="auto" w:fill="auto"/>
          <w:lang w:val="zh-TW" w:eastAsia="zh-CN"/>
        </w:rPr>
        <w:t>，</w:t>
      </w:r>
      <w:r>
        <w:rPr>
          <w:rFonts w:hint="eastAsia" w:ascii="仿宋_GB2312" w:hAnsi="仿宋_GB2312" w:eastAsia="仿宋_GB2312" w:cs="仿宋_GB2312"/>
          <w:color w:val="auto"/>
          <w:kern w:val="2"/>
          <w:sz w:val="32"/>
          <w:szCs w:val="32"/>
          <w:highlight w:val="none"/>
          <w:u w:color="000000"/>
          <w:shd w:val="clear" w:color="auto" w:fill="auto"/>
          <w:lang w:val="zh-TW" w:eastAsia="zh-TW"/>
        </w:rPr>
        <w:t>各指标业绩值和绩效分值如表</w:t>
      </w:r>
      <w:r>
        <w:rPr>
          <w:rFonts w:hint="eastAsia" w:ascii="仿宋_GB2312" w:hAnsi="仿宋_GB2312" w:eastAsia="仿宋_GB2312" w:cs="仿宋_GB2312"/>
          <w:color w:val="auto"/>
          <w:kern w:val="2"/>
          <w:sz w:val="32"/>
          <w:szCs w:val="32"/>
          <w:highlight w:val="none"/>
          <w:u w:color="000000"/>
          <w:shd w:val="clear" w:color="auto" w:fill="auto"/>
          <w:lang w:val="en-US" w:eastAsia="zh-CN"/>
        </w:rPr>
        <w:t>4</w:t>
      </w:r>
      <w:r>
        <w:rPr>
          <w:rFonts w:hint="eastAsia" w:ascii="仿宋_GB2312" w:hAnsi="仿宋_GB2312" w:eastAsia="仿宋_GB2312" w:cs="仿宋_GB2312"/>
          <w:color w:val="auto"/>
          <w:kern w:val="2"/>
          <w:sz w:val="32"/>
          <w:szCs w:val="32"/>
          <w:highlight w:val="none"/>
          <w:u w:color="000000"/>
          <w:shd w:val="clear" w:color="auto" w:fill="auto"/>
          <w:lang w:eastAsia="zh-CN"/>
        </w:rPr>
        <w:t>-2</w:t>
      </w:r>
      <w:r>
        <w:rPr>
          <w:rFonts w:hint="eastAsia" w:ascii="仿宋_GB2312" w:hAnsi="仿宋_GB2312" w:eastAsia="仿宋_GB2312" w:cs="仿宋_GB2312"/>
          <w:color w:val="auto"/>
          <w:kern w:val="2"/>
          <w:sz w:val="32"/>
          <w:szCs w:val="32"/>
          <w:highlight w:val="none"/>
          <w:u w:color="000000"/>
          <w:shd w:val="clear" w:color="auto" w:fill="auto"/>
          <w:lang w:val="zh-TW" w:eastAsia="zh-TW"/>
        </w:rPr>
        <w:t>所示</w:t>
      </w:r>
      <w:r>
        <w:rPr>
          <w:rFonts w:hint="eastAsia" w:ascii="仿宋_GB2312" w:hAnsi="仿宋_GB2312" w:eastAsia="仿宋_GB2312" w:cs="仿宋_GB2312"/>
          <w:b/>
          <w:bCs/>
          <w:color w:val="auto"/>
          <w:kern w:val="2"/>
          <w:sz w:val="32"/>
          <w:szCs w:val="32"/>
          <w:highlight w:val="none"/>
          <w:u w:color="000000"/>
          <w:shd w:val="clear" w:color="auto" w:fill="auto"/>
          <w:lang w:val="zh-TW" w:eastAsia="zh-CN"/>
        </w:rPr>
        <w:t>（</w:t>
      </w:r>
      <w:r>
        <w:rPr>
          <w:rFonts w:hint="eastAsia" w:ascii="仿宋_GB2312" w:hAnsi="仿宋_GB2312" w:eastAsia="仿宋_GB2312" w:cs="仿宋_GB2312"/>
          <w:b/>
          <w:bCs/>
          <w:color w:val="auto"/>
          <w:kern w:val="2"/>
          <w:sz w:val="32"/>
          <w:szCs w:val="32"/>
          <w:highlight w:val="none"/>
          <w:u w:color="000000"/>
          <w:shd w:val="clear" w:color="auto" w:fill="auto"/>
          <w:lang w:val="en-US" w:eastAsia="zh-CN"/>
        </w:rPr>
        <w:t>详见上传的附件二</w:t>
      </w:r>
      <w:r>
        <w:rPr>
          <w:rFonts w:hint="eastAsia" w:ascii="仿宋_GB2312" w:hAnsi="仿宋_GB2312" w:eastAsia="仿宋_GB2312" w:cs="仿宋_GB2312"/>
          <w:b/>
          <w:bCs/>
          <w:color w:val="auto"/>
          <w:kern w:val="2"/>
          <w:sz w:val="32"/>
          <w:szCs w:val="32"/>
          <w:highlight w:val="none"/>
          <w:u w:color="000000"/>
          <w:shd w:val="clear" w:color="auto" w:fill="auto"/>
          <w:lang w:val="zh-TW" w:eastAsia="zh-CN"/>
        </w:rPr>
        <w:t>）</w:t>
      </w:r>
      <w:r>
        <w:rPr>
          <w:rFonts w:hint="eastAsia" w:ascii="仿宋_GB2312" w:hAnsi="仿宋_GB2312" w:eastAsia="仿宋_GB2312" w:cs="仿宋_GB2312"/>
          <w:color w:val="auto"/>
          <w:kern w:val="2"/>
          <w:sz w:val="32"/>
          <w:szCs w:val="32"/>
          <w:highlight w:val="none"/>
          <w:u w:color="000000"/>
          <w:shd w:val="clear" w:color="auto" w:fill="auto"/>
          <w:lang w:val="zh-TW" w:eastAsia="zh-TW"/>
        </w:rPr>
        <w:t>：</w:t>
      </w:r>
    </w:p>
    <w:p w14:paraId="31BE5E64">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4-2</w:t>
      </w:r>
      <w:r>
        <w:rPr>
          <w:rFonts w:hint="eastAsia" w:ascii="宋体" w:hAnsi="宋体" w:eastAsia="宋体" w:cs="宋体"/>
          <w:b/>
          <w:bCs/>
          <w:color w:val="auto"/>
          <w:kern w:val="0"/>
          <w:sz w:val="28"/>
          <w:szCs w:val="28"/>
          <w:highlight w:val="none"/>
          <w:shd w:val="clear" w:color="auto" w:fill="auto"/>
          <w:lang w:val="zh-TW" w:eastAsia="zh-TW"/>
        </w:rPr>
        <w:t>项目</w:t>
      </w:r>
      <w:r>
        <w:rPr>
          <w:rFonts w:hint="eastAsia" w:cs="宋体"/>
          <w:b/>
          <w:bCs/>
          <w:color w:val="auto"/>
          <w:kern w:val="0"/>
          <w:sz w:val="28"/>
          <w:szCs w:val="28"/>
          <w:highlight w:val="none"/>
          <w:shd w:val="clear" w:color="auto" w:fill="auto"/>
          <w:lang w:val="en-US" w:eastAsia="zh-CN"/>
        </w:rPr>
        <w:t>过程</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6"/>
        <w:tblW w:w="8317" w:type="dxa"/>
        <w:jc w:val="center"/>
        <w:tblLayout w:type="fixed"/>
        <w:tblCellMar>
          <w:top w:w="0" w:type="dxa"/>
          <w:left w:w="0" w:type="dxa"/>
          <w:bottom w:w="0" w:type="dxa"/>
          <w:right w:w="0" w:type="dxa"/>
        </w:tblCellMar>
      </w:tblPr>
      <w:tblGrid>
        <w:gridCol w:w="1182"/>
        <w:gridCol w:w="738"/>
        <w:gridCol w:w="1248"/>
        <w:gridCol w:w="1176"/>
        <w:gridCol w:w="1833"/>
        <w:gridCol w:w="987"/>
        <w:gridCol w:w="1153"/>
      </w:tblGrid>
      <w:tr w14:paraId="39BF6765">
        <w:tblPrEx>
          <w:tblCellMar>
            <w:top w:w="0" w:type="dxa"/>
            <w:left w:w="0" w:type="dxa"/>
            <w:bottom w:w="0" w:type="dxa"/>
            <w:right w:w="0" w:type="dxa"/>
          </w:tblCellMar>
        </w:tblPrEx>
        <w:trPr>
          <w:trHeight w:val="272" w:hRule="atLeast"/>
          <w:tblHeader/>
          <w:jc w:val="center"/>
        </w:trPr>
        <w:tc>
          <w:tcPr>
            <w:tcW w:w="11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AB031F">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2D3FA4">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F0D653">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425CA5">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4D81AA">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19A43A">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3BFF1B">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14:paraId="69FA4D75">
        <w:tblPrEx>
          <w:tblCellMar>
            <w:top w:w="0" w:type="dxa"/>
            <w:left w:w="0" w:type="dxa"/>
            <w:bottom w:w="0" w:type="dxa"/>
            <w:right w:w="0" w:type="dxa"/>
          </w:tblCellMar>
        </w:tblPrEx>
        <w:trPr>
          <w:trHeight w:val="23"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4D23AE">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过程管理</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B3BA1A">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7D749E">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资金管理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AB8E1C">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12</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D18D1D">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资金到位率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A93257">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63F08E">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116953D3">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099A0A">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52CB62">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A161A4">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6D2A98">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0598BF">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预算执行率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86A357">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3AA498">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3.99</w:t>
            </w:r>
          </w:p>
        </w:tc>
      </w:tr>
      <w:tr w14:paraId="3E2059FD">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70B0E3">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13E633">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3C1BC1">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56DDA0">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5A0FAB">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资金使用合规性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5EE34E">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6284D6">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6CE5BA39">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15845B">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AB9997">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B2F613">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组织实施</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BCEE4A">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866A22">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管理制度健全性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F66666">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5383BC">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6F31C0B2">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850C63">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9A9829">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CD182B">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29DBB3">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33C358">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制度执行有效性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263142">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831042">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4D1A7C32">
        <w:tblPrEx>
          <w:tblCellMar>
            <w:top w:w="0" w:type="dxa"/>
            <w:left w:w="0" w:type="dxa"/>
            <w:bottom w:w="0" w:type="dxa"/>
            <w:right w:w="0" w:type="dxa"/>
          </w:tblCellMar>
        </w:tblPrEx>
        <w:trPr>
          <w:trHeight w:val="23" w:hRule="atLeast"/>
          <w:jc w:val="center"/>
        </w:trPr>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C11BD3">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977C87">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DD4DB0">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0EC273">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A98AC7">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19.99</w:t>
            </w:r>
          </w:p>
        </w:tc>
      </w:tr>
    </w:tbl>
    <w:p w14:paraId="2DC26057">
      <w:pPr>
        <w:pageBreakBefore w:val="0"/>
        <w:kinsoku/>
        <w:wordWrap/>
        <w:overflowPunct/>
        <w:topLinePunct w:val="0"/>
        <w:autoSpaceDE/>
        <w:autoSpaceDN/>
        <w:bidi w:val="0"/>
        <w:spacing w:line="560" w:lineRule="exact"/>
        <w:textAlignment w:val="auto"/>
        <w:outlineLvl w:val="2"/>
        <w:rPr>
          <w:rFonts w:hint="eastAsia" w:ascii="仿宋_GB2312" w:hAnsi="仿宋_GB2312" w:eastAsia="仿宋_GB2312" w:cs="仿宋_GB2312"/>
          <w:b/>
          <w:bCs/>
          <w:color w:val="auto"/>
          <w:sz w:val="32"/>
          <w:szCs w:val="32"/>
          <w:highlight w:val="none"/>
          <w:lang w:val="en-US" w:eastAsia="zh-CN"/>
        </w:rPr>
      </w:pPr>
      <w:bookmarkStart w:id="122" w:name="_Toc3886"/>
      <w:bookmarkStart w:id="123" w:name="_Toc20449"/>
      <w:r>
        <w:rPr>
          <w:rFonts w:hint="eastAsia" w:ascii="仿宋_GB2312" w:hAnsi="仿宋_GB2312" w:eastAsia="仿宋_GB2312" w:cs="仿宋_GB2312"/>
          <w:b/>
          <w:bCs/>
          <w:color w:val="auto"/>
          <w:sz w:val="32"/>
          <w:szCs w:val="32"/>
          <w:highlight w:val="none"/>
          <w:lang w:val="en-US" w:eastAsia="zh-CN"/>
        </w:rPr>
        <w:t>1.资金到位率</w:t>
      </w:r>
      <w:bookmarkEnd w:id="122"/>
      <w:bookmarkEnd w:id="123"/>
    </w:p>
    <w:p w14:paraId="3210896D">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项目预算资金为</w:t>
      </w:r>
      <w:r>
        <w:rPr>
          <w:rFonts w:hint="eastAsia" w:ascii="仿宋_GB2312" w:hAnsi="仿宋_GB2312" w:eastAsia="仿宋_GB2312" w:cs="仿宋_GB2312"/>
          <w:b w:val="0"/>
          <w:bCs w:val="0"/>
          <w:color w:val="auto"/>
          <w:sz w:val="32"/>
          <w:szCs w:val="32"/>
          <w:highlight w:val="none"/>
          <w:lang w:val="en-US" w:eastAsia="zh-CN"/>
        </w:rPr>
        <w:t>3980.94</w:t>
      </w:r>
      <w:r>
        <w:rPr>
          <w:rFonts w:hint="eastAsia" w:ascii="仿宋_GB2312" w:hAnsi="仿宋_GB2312" w:eastAsia="仿宋_GB2312" w:cs="仿宋_GB2312"/>
          <w:b w:val="0"/>
          <w:bCs w:val="0"/>
          <w:color w:val="auto"/>
          <w:sz w:val="32"/>
          <w:szCs w:val="32"/>
          <w:highlight w:val="none"/>
        </w:rPr>
        <w:t>万元，其中：财政安排资金</w:t>
      </w:r>
      <w:r>
        <w:rPr>
          <w:rFonts w:hint="eastAsia" w:ascii="仿宋_GB2312" w:hAnsi="仿宋_GB2312" w:eastAsia="仿宋_GB2312" w:cs="仿宋_GB2312"/>
          <w:b w:val="0"/>
          <w:bCs w:val="0"/>
          <w:color w:val="auto"/>
          <w:sz w:val="32"/>
          <w:szCs w:val="32"/>
          <w:highlight w:val="none"/>
          <w:lang w:val="en-US" w:eastAsia="zh-CN"/>
        </w:rPr>
        <w:t>3980.94</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eastAsia="仿宋_GB2312" w:cs="仿宋_GB2312"/>
          <w:b w:val="0"/>
          <w:bCs w:val="0"/>
          <w:color w:val="auto"/>
          <w:sz w:val="32"/>
          <w:szCs w:val="32"/>
          <w:highlight w:val="none"/>
          <w:lang w:eastAsia="zh-CN"/>
        </w:rPr>
        <w:t>。</w:t>
      </w:r>
    </w:p>
    <w:p w14:paraId="6E982163">
      <w:pPr>
        <w:pageBreakBefore w:val="0"/>
        <w:kinsoku/>
        <w:wordWrap/>
        <w:overflowPunct/>
        <w:topLinePunct w:val="0"/>
        <w:autoSpaceDE/>
        <w:autoSpaceDN/>
        <w:bidi w:val="0"/>
        <w:spacing w:line="560" w:lineRule="exact"/>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资金到位率=（</w:t>
      </w:r>
      <w:r>
        <w:rPr>
          <w:rFonts w:hint="eastAsia" w:ascii="仿宋_GB2312" w:hAnsi="仿宋_GB2312" w:eastAsia="仿宋_GB2312" w:cs="仿宋_GB2312"/>
          <w:b w:val="0"/>
          <w:bCs w:val="0"/>
          <w:color w:val="auto"/>
          <w:sz w:val="32"/>
          <w:szCs w:val="32"/>
          <w:highlight w:val="none"/>
          <w:lang w:val="en-US" w:eastAsia="zh-CN"/>
        </w:rPr>
        <w:t>3980.94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3980.94</w:t>
      </w:r>
      <w:r>
        <w:rPr>
          <w:rFonts w:hint="eastAsia" w:ascii="仿宋_GB2312" w:hAnsi="仿宋_GB2312" w:eastAsia="仿宋_GB2312" w:cs="仿宋_GB2312"/>
          <w:color w:val="auto"/>
          <w:sz w:val="32"/>
          <w:szCs w:val="32"/>
          <w:highlight w:val="none"/>
          <w:lang w:eastAsia="zh-CN"/>
        </w:rPr>
        <w:t>）×100%</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100%。</w:t>
      </w:r>
    </w:p>
    <w:p w14:paraId="2FEE3847">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综上，该项指标满分4分，得分4分。</w:t>
      </w:r>
    </w:p>
    <w:p w14:paraId="48AFCA55">
      <w:pPr>
        <w:pageBreakBefore w:val="0"/>
        <w:kinsoku/>
        <w:wordWrap/>
        <w:overflowPunct/>
        <w:topLinePunct w:val="0"/>
        <w:autoSpaceDE/>
        <w:autoSpaceDN/>
        <w:bidi w:val="0"/>
        <w:spacing w:line="560" w:lineRule="exact"/>
        <w:textAlignment w:val="auto"/>
        <w:outlineLvl w:val="2"/>
        <w:rPr>
          <w:rFonts w:hint="eastAsia" w:ascii="仿宋_GB2312" w:hAnsi="仿宋_GB2312" w:eastAsia="仿宋_GB2312" w:cs="仿宋_GB2312"/>
          <w:b/>
          <w:bCs/>
          <w:color w:val="auto"/>
          <w:sz w:val="32"/>
          <w:szCs w:val="32"/>
          <w:highlight w:val="none"/>
          <w:lang w:val="en-US" w:eastAsia="zh-CN"/>
        </w:rPr>
      </w:pPr>
      <w:bookmarkStart w:id="124" w:name="_Toc17709"/>
      <w:bookmarkStart w:id="125" w:name="_Toc9705"/>
      <w:r>
        <w:rPr>
          <w:rFonts w:hint="eastAsia" w:ascii="仿宋_GB2312" w:hAnsi="仿宋_GB2312" w:eastAsia="仿宋_GB2312" w:cs="仿宋_GB2312"/>
          <w:b/>
          <w:bCs/>
          <w:color w:val="auto"/>
          <w:sz w:val="32"/>
          <w:szCs w:val="32"/>
          <w:highlight w:val="none"/>
          <w:lang w:val="en-US" w:eastAsia="zh-CN"/>
        </w:rPr>
        <w:t>2.预算执行率</w:t>
      </w:r>
      <w:bookmarkEnd w:id="124"/>
      <w:bookmarkEnd w:id="125"/>
    </w:p>
    <w:p w14:paraId="1AE7FDBC">
      <w:pPr>
        <w:pageBreakBefore w:val="0"/>
        <w:kinsoku/>
        <w:wordWrap/>
        <w:overflowPunct/>
        <w:topLinePunct w:val="0"/>
        <w:autoSpaceDE/>
        <w:autoSpaceDN/>
        <w:bidi w:val="0"/>
        <w:spacing w:line="56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截至2024年12月31日，项目实际支出</w:t>
      </w:r>
      <w:r>
        <w:rPr>
          <w:rFonts w:hint="eastAsia" w:ascii="仿宋_GB2312" w:hAnsi="仿宋_GB2312" w:eastAsia="仿宋_GB2312" w:cs="仿宋_GB2312"/>
          <w:b w:val="0"/>
          <w:bCs w:val="0"/>
          <w:color w:val="auto"/>
          <w:sz w:val="32"/>
          <w:szCs w:val="32"/>
          <w:highlight w:val="none"/>
          <w:lang w:val="en-US" w:eastAsia="zh-CN"/>
        </w:rPr>
        <w:t>3968.63</w:t>
      </w:r>
      <w:r>
        <w:rPr>
          <w:rFonts w:hint="eastAsia" w:ascii="仿宋_GB2312" w:hAnsi="仿宋_GB2312" w:eastAsia="仿宋_GB2312" w:cs="仿宋_GB2312"/>
          <w:color w:val="auto"/>
          <w:sz w:val="32"/>
          <w:szCs w:val="32"/>
          <w:highlight w:val="none"/>
          <w:lang w:val="en-US" w:eastAsia="zh-CN"/>
        </w:rPr>
        <w:t>万元。</w:t>
      </w:r>
    </w:p>
    <w:p w14:paraId="1772A91B">
      <w:pPr>
        <w:pageBreakBefore w:val="0"/>
        <w:kinsoku/>
        <w:wordWrap/>
        <w:overflowPunct/>
        <w:topLinePunct w:val="0"/>
        <w:autoSpaceDE/>
        <w:autoSpaceDN/>
        <w:bidi w:val="0"/>
        <w:spacing w:line="56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预算执行率=（</w:t>
      </w:r>
      <w:r>
        <w:rPr>
          <w:rFonts w:hint="eastAsia" w:ascii="仿宋_GB2312" w:hAnsi="仿宋_GB2312" w:eastAsia="仿宋_GB2312" w:cs="仿宋_GB2312"/>
          <w:color w:val="auto"/>
          <w:sz w:val="32"/>
          <w:szCs w:val="32"/>
          <w:highlight w:val="none"/>
          <w:lang w:val="en-US" w:eastAsia="zh-CN"/>
        </w:rPr>
        <w:t>3968.63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3980.94</w:t>
      </w:r>
      <w:r>
        <w:rPr>
          <w:rFonts w:hint="eastAsia" w:ascii="仿宋_GB2312" w:hAnsi="仿宋_GB2312" w:eastAsia="仿宋_GB2312" w:cs="仿宋_GB2312"/>
          <w:color w:val="auto"/>
          <w:sz w:val="32"/>
          <w:szCs w:val="32"/>
          <w:highlight w:val="none"/>
          <w:lang w:eastAsia="zh-CN"/>
        </w:rPr>
        <w:t>）×100%。</w:t>
      </w:r>
      <w:r>
        <w:rPr>
          <w:rFonts w:hint="eastAsia" w:ascii="仿宋_GB2312" w:hAnsi="仿宋_GB2312" w:eastAsia="仿宋_GB2312" w:cs="仿宋_GB2312"/>
          <w:b/>
          <w:bCs/>
          <w:color w:val="auto"/>
          <w:sz w:val="32"/>
          <w:szCs w:val="32"/>
          <w:highlight w:val="none"/>
          <w:lang w:val="en-US" w:eastAsia="zh-CN"/>
        </w:rPr>
        <w:t>=99.7%</w:t>
      </w:r>
    </w:p>
    <w:p w14:paraId="7AB3B56E">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综上，该项指标满分4分，得分3.99分。</w:t>
      </w:r>
    </w:p>
    <w:p w14:paraId="47753BEB">
      <w:pPr>
        <w:pageBreakBefore w:val="0"/>
        <w:kinsoku/>
        <w:wordWrap/>
        <w:overflowPunct/>
        <w:topLinePunct w:val="0"/>
        <w:autoSpaceDE/>
        <w:autoSpaceDN/>
        <w:bidi w:val="0"/>
        <w:spacing w:line="560" w:lineRule="exact"/>
        <w:textAlignment w:val="auto"/>
        <w:outlineLvl w:val="2"/>
        <w:rPr>
          <w:rFonts w:hint="eastAsia" w:ascii="仿宋_GB2312" w:hAnsi="仿宋_GB2312" w:eastAsia="仿宋_GB2312" w:cs="仿宋_GB2312"/>
          <w:b/>
          <w:bCs/>
          <w:color w:val="auto"/>
          <w:sz w:val="32"/>
          <w:szCs w:val="32"/>
          <w:highlight w:val="none"/>
          <w:lang w:val="en-US" w:eastAsia="zh-CN"/>
        </w:rPr>
      </w:pPr>
      <w:bookmarkStart w:id="126" w:name="_Toc18691"/>
      <w:bookmarkStart w:id="127" w:name="_Toc28875"/>
      <w:r>
        <w:rPr>
          <w:rFonts w:hint="eastAsia" w:ascii="仿宋_GB2312" w:hAnsi="仿宋_GB2312" w:eastAsia="仿宋_GB2312" w:cs="仿宋_GB2312"/>
          <w:b/>
          <w:bCs/>
          <w:color w:val="auto"/>
          <w:sz w:val="32"/>
          <w:szCs w:val="32"/>
          <w:highlight w:val="none"/>
          <w:lang w:val="en-US" w:eastAsia="zh-CN"/>
        </w:rPr>
        <w:t>3.资金使用合规性</w:t>
      </w:r>
      <w:bookmarkEnd w:id="126"/>
      <w:bookmarkEnd w:id="127"/>
    </w:p>
    <w:p w14:paraId="29D12724">
      <w:pPr>
        <w:pageBreakBefore w:val="0"/>
        <w:kinsoku/>
        <w:wordWrap/>
        <w:overflowPunct/>
        <w:topLinePunct w:val="0"/>
        <w:autoSpaceDE/>
        <w:autoSpaceDN/>
        <w:bidi w:val="0"/>
        <w:spacing w:line="560" w:lineRule="exact"/>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①符合</w:t>
      </w:r>
      <w:r>
        <w:rPr>
          <w:rFonts w:hint="eastAsia" w:ascii="Times New Roman" w:hAnsi="Times New Roman" w:eastAsia="仿宋_GB2312" w:cs="Times New Roman"/>
          <w:color w:val="auto"/>
          <w:sz w:val="32"/>
          <w:szCs w:val="32"/>
          <w:highlight w:val="none"/>
          <w:lang w:val="en-US" w:eastAsia="zh-CN"/>
        </w:rPr>
        <w:t>《阜康市城市管理局财务管理制度》、《阜康市城市管理局政府购买服务管理办法》、《阜康市城市管理局项目支出绩效管理办法》</w:t>
      </w:r>
      <w:r>
        <w:rPr>
          <w:rFonts w:hint="eastAsia" w:ascii="Times New Roman" w:hAnsi="Times New Roman" w:eastAsia="仿宋_GB2312" w:cs="Times New Roman"/>
          <w:color w:val="auto"/>
          <w:sz w:val="32"/>
          <w:szCs w:val="32"/>
          <w:highlight w:val="none"/>
          <w:lang w:eastAsia="zh-CN"/>
        </w:rPr>
        <w:t>的规定；</w:t>
      </w:r>
    </w:p>
    <w:p w14:paraId="320E6F7F">
      <w:pPr>
        <w:pageBreakBefore w:val="0"/>
        <w:kinsoku/>
        <w:wordWrap/>
        <w:overflowPunct/>
        <w:topLinePunct w:val="0"/>
        <w:autoSpaceDE/>
        <w:autoSpaceDN/>
        <w:bidi w:val="0"/>
        <w:spacing w:line="560" w:lineRule="exact"/>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②资金的拨付有《关于申请拨付环卫保洁园林养护政府购买服务费的报告》申请，有完整的审批程序和手续；</w:t>
      </w:r>
    </w:p>
    <w:p w14:paraId="15152388">
      <w:pPr>
        <w:pageBreakBefore w:val="0"/>
        <w:kinsoku/>
        <w:wordWrap/>
        <w:overflowPunct/>
        <w:topLinePunct w:val="0"/>
        <w:autoSpaceDE/>
        <w:autoSpaceDN/>
        <w:bidi w:val="0"/>
        <w:spacing w:line="560" w:lineRule="exact"/>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③符合《阜康市城市管理局环卫保洁和园林养护政府购买服务合同》规定的用途；</w:t>
      </w:r>
    </w:p>
    <w:p w14:paraId="2D6158BE">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④</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lang w:eastAsia="zh-CN"/>
        </w:rPr>
        <w:t>存在截留、挤占、挪用、虚列支出等情况。</w:t>
      </w:r>
    </w:p>
    <w:p w14:paraId="11A496B2">
      <w:pPr>
        <w:pageBreakBefore w:val="0"/>
        <w:kinsoku/>
        <w:wordWrap/>
        <w:overflowPunct/>
        <w:topLinePunct w:val="0"/>
        <w:autoSpaceDE/>
        <w:autoSpaceDN/>
        <w:bidi w:val="0"/>
        <w:spacing w:line="560" w:lineRule="exact"/>
        <w:textAlignment w:val="auto"/>
        <w:rPr>
          <w:rFonts w:hint="default" w:ascii="仿宋_GB2312" w:hAnsi="仿宋_GB2312" w:eastAsia="仿宋_GB2312" w:cs="仿宋_GB2312"/>
          <w:b/>
          <w:bCs/>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本项目的资金使用是合规的、安全的，既符合国家相关法律法规与财务制度的要求，又满足了项目实施的实际需要。资金使用的合规性为项目的成功实施提供了有力的保障，也为项目的绩效评价奠定了坚实的基础。</w:t>
      </w:r>
      <w:r>
        <w:rPr>
          <w:rFonts w:hint="eastAsia" w:ascii="Times New Roman" w:hAnsi="Times New Roman" w:eastAsia="仿宋_GB2312" w:cs="Times New Roman"/>
          <w:color w:val="auto"/>
          <w:sz w:val="32"/>
          <w:szCs w:val="32"/>
          <w:highlight w:val="none"/>
          <w:lang w:val="en-US" w:eastAsia="zh-CN"/>
        </w:rPr>
        <w:t xml:space="preserve"> </w:t>
      </w:r>
    </w:p>
    <w:p w14:paraId="2934D964">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综上，该项指标满分4分，得分4分。</w:t>
      </w:r>
    </w:p>
    <w:p w14:paraId="2BCA5FC9">
      <w:pPr>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4.</w:t>
      </w:r>
      <w:r>
        <w:rPr>
          <w:rFonts w:hint="eastAsia" w:ascii="仿宋_GB2312" w:hAnsi="仿宋_GB2312" w:eastAsia="仿宋_GB2312" w:cs="仿宋_GB2312"/>
          <w:b/>
          <w:bCs/>
          <w:color w:val="auto"/>
          <w:sz w:val="32"/>
          <w:szCs w:val="32"/>
          <w:highlight w:val="none"/>
          <w:lang w:val="en-US" w:eastAsia="zh-CN"/>
        </w:rPr>
        <w:t>管理制度健全性</w:t>
      </w:r>
    </w:p>
    <w:p w14:paraId="51E76AF2">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①</w:t>
      </w:r>
      <w:r>
        <w:rPr>
          <w:rFonts w:hint="eastAsia" w:ascii="仿宋_GB2312" w:hAnsi="仿宋_GB2312" w:eastAsia="仿宋_GB2312" w:cs="仿宋_GB2312"/>
          <w:color w:val="auto"/>
          <w:sz w:val="32"/>
          <w:szCs w:val="32"/>
          <w:highlight w:val="none"/>
          <w:lang w:eastAsia="zh-CN"/>
        </w:rPr>
        <w:t>我单位已制定</w:t>
      </w:r>
      <w:r>
        <w:rPr>
          <w:rFonts w:hint="eastAsia" w:ascii="仿宋_GB2312" w:hAnsi="仿宋_GB2312" w:eastAsia="仿宋_GB2312" w:cs="仿宋_GB2312"/>
          <w:color w:val="auto"/>
          <w:sz w:val="32"/>
          <w:szCs w:val="32"/>
          <w:highlight w:val="none"/>
          <w:lang w:val="en-US" w:eastAsia="zh-CN"/>
        </w:rPr>
        <w:t>《阜康市城市管理局财务管理制度》、《阜康市城市管理局政府购买服务管理办法》、《阜康市城市管理局项目支出绩效管理办法》、《阜康市城市管理局环卫保洁和园林养护考核实施细则》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lang w:eastAsia="zh-CN"/>
        </w:rPr>
        <w:t>制度均符合行政事业单位内控管理要求；</w:t>
      </w:r>
    </w:p>
    <w:p w14:paraId="66A94B3F">
      <w:pPr>
        <w:pageBreakBefore w:val="0"/>
        <w:kinsoku/>
        <w:wordWrap/>
        <w:overflowPunct/>
        <w:topLinePunct w:val="0"/>
        <w:autoSpaceDE/>
        <w:autoSpaceDN/>
        <w:bidi w:val="0"/>
        <w:spacing w:line="560" w:lineRule="exact"/>
        <w:textAlignment w:val="auto"/>
        <w:rPr>
          <w:rFonts w:hint="eastAsia" w:ascii="Times New Roman" w:hAnsi="Times New Roman" w:eastAsia="仿宋_GB2312" w:cs="Times New Roman"/>
          <w:color w:val="auto"/>
          <w:sz w:val="30"/>
          <w:szCs w:val="30"/>
          <w:highlight w:val="none"/>
          <w:lang w:val="en-US" w:eastAsia="zh-CN"/>
        </w:rPr>
      </w:pPr>
      <w:r>
        <w:rPr>
          <w:rFonts w:hint="eastAsia" w:ascii="仿宋_GB2312" w:hAnsi="仿宋_GB2312" w:eastAsia="仿宋_GB2312" w:cs="仿宋_GB2312"/>
          <w:color w:val="auto"/>
          <w:sz w:val="32"/>
          <w:szCs w:val="32"/>
          <w:highlight w:val="none"/>
          <w:lang w:val="en-US" w:eastAsia="zh-CN"/>
        </w:rPr>
        <w:t>②已制定的</w:t>
      </w:r>
      <w:r>
        <w:rPr>
          <w:rFonts w:hint="eastAsia" w:ascii="仿宋_GB2312" w:hAnsi="仿宋_GB2312" w:eastAsia="仿宋_GB2312" w:cs="仿宋_GB2312"/>
          <w:color w:val="auto"/>
          <w:sz w:val="32"/>
          <w:szCs w:val="32"/>
          <w:highlight w:val="none"/>
          <w:lang w:eastAsia="zh-CN"/>
        </w:rPr>
        <w:t>财务和业务管理制度合法、合规、完整，本项目执行符合上述制度规定。</w:t>
      </w:r>
    </w:p>
    <w:p w14:paraId="206671D3">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综上，该项指标满分4分，得分4分。</w:t>
      </w:r>
    </w:p>
    <w:p w14:paraId="50D13750">
      <w:pPr>
        <w:pageBreakBefore w:val="0"/>
        <w:kinsoku/>
        <w:wordWrap/>
        <w:overflowPunct/>
        <w:topLinePunct w:val="0"/>
        <w:autoSpaceDE/>
        <w:autoSpaceDN/>
        <w:bidi w:val="0"/>
        <w:spacing w:line="560" w:lineRule="exact"/>
        <w:ind w:left="1524" w:leftChars="200" w:hanging="964" w:hangingChars="300"/>
        <w:textAlignment w:val="auto"/>
        <w:outlineLvl w:val="2"/>
        <w:rPr>
          <w:rFonts w:hint="eastAsia" w:ascii="仿宋_GB2312" w:hAnsi="仿宋_GB2312" w:eastAsia="仿宋_GB2312" w:cs="仿宋_GB2312"/>
          <w:b/>
          <w:bCs/>
          <w:color w:val="auto"/>
          <w:sz w:val="32"/>
          <w:szCs w:val="32"/>
          <w:highlight w:val="none"/>
          <w:lang w:val="en-US" w:eastAsia="zh-CN"/>
        </w:rPr>
      </w:pPr>
      <w:bookmarkStart w:id="128" w:name="_Toc13984"/>
      <w:bookmarkStart w:id="129" w:name="_Toc31684"/>
      <w:r>
        <w:rPr>
          <w:rFonts w:hint="eastAsia" w:ascii="仿宋_GB2312" w:hAnsi="仿宋_GB2312" w:eastAsia="仿宋_GB2312" w:cs="仿宋_GB2312"/>
          <w:b/>
          <w:bCs/>
          <w:color w:val="auto"/>
          <w:sz w:val="32"/>
          <w:szCs w:val="32"/>
          <w:highlight w:val="none"/>
          <w:lang w:val="en-US" w:eastAsia="zh-CN"/>
        </w:rPr>
        <w:t>5.制度执行有效性</w:t>
      </w:r>
      <w:bookmarkEnd w:id="128"/>
      <w:bookmarkEnd w:id="129"/>
    </w:p>
    <w:p w14:paraId="417BDB88">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①项目的实施遵守</w:t>
      </w:r>
      <w:r>
        <w:rPr>
          <w:rFonts w:hint="eastAsia" w:ascii="仿宋_GB2312" w:hAnsi="仿宋_GB2312" w:eastAsia="仿宋_GB2312" w:cs="仿宋_GB2312"/>
          <w:color w:val="auto"/>
          <w:sz w:val="32"/>
          <w:szCs w:val="32"/>
          <w:highlight w:val="none"/>
          <w:lang w:val="en-US" w:eastAsia="zh-CN"/>
        </w:rPr>
        <w:t>《阜康市城市管理局财务管理制度》、《阜康市城市</w:t>
      </w:r>
      <w:r>
        <w:rPr>
          <w:rFonts w:hint="eastAsia" w:ascii="仿宋_GB2312" w:hAnsi="仿宋_GB2312" w:eastAsia="仿宋_GB2312" w:cs="仿宋_GB2312"/>
          <w:color w:val="auto"/>
          <w:sz w:val="30"/>
          <w:szCs w:val="30"/>
          <w:highlight w:val="none"/>
          <w:lang w:val="en-US" w:eastAsia="zh-CN"/>
        </w:rPr>
        <w:t>管理局政府购买服务管理办法》、《阜康市城市管理局项目支出绩</w:t>
      </w:r>
      <w:r>
        <w:rPr>
          <w:rFonts w:hint="eastAsia" w:ascii="仿宋_GB2312" w:hAnsi="仿宋_GB2312" w:eastAsia="仿宋_GB2312" w:cs="仿宋_GB2312"/>
          <w:color w:val="auto"/>
          <w:sz w:val="32"/>
          <w:szCs w:val="32"/>
          <w:highlight w:val="none"/>
          <w:lang w:val="en-US" w:eastAsia="zh-CN"/>
        </w:rPr>
        <w:t>效管理办法》、《阜康市城市管理局环卫保洁和园林养护考核实施细则》</w:t>
      </w:r>
      <w:r>
        <w:rPr>
          <w:rFonts w:hint="eastAsia" w:ascii="仿宋_GB2312" w:hAnsi="仿宋_GB2312" w:eastAsia="仿宋_GB2312" w:cs="仿宋_GB2312"/>
          <w:color w:val="auto"/>
          <w:sz w:val="32"/>
          <w:szCs w:val="32"/>
          <w:highlight w:val="none"/>
          <w:lang w:eastAsia="zh-CN"/>
        </w:rPr>
        <w:t>等管理规定；</w:t>
      </w:r>
    </w:p>
    <w:p w14:paraId="2A8C11AD">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②项目调整及支出调整手续完备，该项目年初预算</w:t>
      </w:r>
      <w:r>
        <w:rPr>
          <w:rFonts w:hint="eastAsia" w:ascii="仿宋_GB2312" w:hAnsi="仿宋_GB2312" w:eastAsia="仿宋_GB2312" w:cs="仿宋_GB2312"/>
          <w:color w:val="auto"/>
          <w:sz w:val="32"/>
          <w:szCs w:val="32"/>
          <w:highlight w:val="none"/>
          <w:lang w:val="en-US" w:eastAsia="zh-CN"/>
        </w:rPr>
        <w:t>2000万元、年中调整预算金额为3980.94万元，该项目通过财政批准予以调整，项目调整手续齐全</w:t>
      </w:r>
      <w:r>
        <w:rPr>
          <w:rFonts w:hint="eastAsia" w:ascii="仿宋_GB2312" w:hAnsi="仿宋_GB2312" w:eastAsia="仿宋_GB2312" w:cs="仿宋_GB2312"/>
          <w:color w:val="auto"/>
          <w:sz w:val="32"/>
          <w:szCs w:val="32"/>
          <w:highlight w:val="none"/>
          <w:lang w:eastAsia="zh-CN"/>
        </w:rPr>
        <w:t>。</w:t>
      </w:r>
    </w:p>
    <w:p w14:paraId="456CED99">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③项目</w:t>
      </w:r>
      <w:r>
        <w:rPr>
          <w:rFonts w:hint="eastAsia" w:ascii="仿宋_GB2312" w:hAnsi="仿宋_GB2312" w:eastAsia="仿宋_GB2312" w:cs="仿宋_GB2312"/>
          <w:color w:val="auto"/>
          <w:sz w:val="32"/>
          <w:szCs w:val="32"/>
          <w:highlight w:val="none"/>
          <w:lang w:val="en-US" w:eastAsia="zh-CN"/>
        </w:rPr>
        <w:t>中标通知书，合同，购买服务绩效考核情况通报</w:t>
      </w:r>
      <w:r>
        <w:rPr>
          <w:rFonts w:hint="eastAsia" w:ascii="仿宋_GB2312" w:hAnsi="仿宋_GB2312" w:eastAsia="仿宋_GB2312" w:cs="仿宋_GB2312"/>
          <w:color w:val="auto"/>
          <w:sz w:val="32"/>
          <w:szCs w:val="32"/>
          <w:highlight w:val="none"/>
          <w:lang w:eastAsia="zh-CN"/>
        </w:rPr>
        <w:t>等资料齐全并及时归档。</w:t>
      </w:r>
    </w:p>
    <w:p w14:paraId="43338AF0">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④项目实施所需要的项目人员和场地设备均已落实到位，具体涉及内容包括：项目资金支出严格按照自治区、地区以及本单位资金管理办法执行，项目启动实施后，为了加快本项目的实施，成立了阜康市环卫保洁和园林养护政府购买服务项目工作领导小组，由</w:t>
      </w:r>
      <w:r>
        <w:rPr>
          <w:rFonts w:hint="eastAsia" w:ascii="仿宋_GB2312" w:hAnsi="仿宋_GB2312" w:eastAsia="仿宋_GB2312" w:cs="仿宋_GB2312"/>
          <w:color w:val="auto"/>
          <w:sz w:val="32"/>
          <w:szCs w:val="32"/>
          <w:highlight w:val="none"/>
          <w:lang w:val="en-US" w:eastAsia="zh-CN"/>
        </w:rPr>
        <w:t>秦长虎</w:t>
      </w:r>
      <w:r>
        <w:rPr>
          <w:rFonts w:hint="eastAsia" w:ascii="仿宋_GB2312" w:hAnsi="仿宋_GB2312" w:eastAsia="仿宋_GB2312" w:cs="仿宋_GB2312"/>
          <w:color w:val="auto"/>
          <w:sz w:val="32"/>
          <w:szCs w:val="32"/>
          <w:highlight w:val="none"/>
          <w:lang w:eastAsia="zh-CN"/>
        </w:rPr>
        <w:t>任组长，负责项目的组织工作；</w:t>
      </w:r>
      <w:r>
        <w:rPr>
          <w:rFonts w:hint="eastAsia" w:ascii="仿宋_GB2312" w:hAnsi="仿宋_GB2312" w:eastAsia="仿宋_GB2312" w:cs="仿宋_GB2312"/>
          <w:color w:val="auto"/>
          <w:sz w:val="32"/>
          <w:szCs w:val="32"/>
          <w:highlight w:val="none"/>
          <w:lang w:val="en-US" w:eastAsia="zh-CN"/>
        </w:rPr>
        <w:t>黄艺伟</w:t>
      </w:r>
      <w:r>
        <w:rPr>
          <w:rFonts w:hint="eastAsia" w:ascii="仿宋_GB2312" w:hAnsi="仿宋_GB2312" w:eastAsia="仿宋_GB2312" w:cs="仿宋_GB2312"/>
          <w:color w:val="auto"/>
          <w:sz w:val="32"/>
          <w:szCs w:val="32"/>
          <w:highlight w:val="none"/>
          <w:lang w:eastAsia="zh-CN"/>
        </w:rPr>
        <w:t>任副组长，负责项目的实施工作；组员包括：</w:t>
      </w:r>
      <w:r>
        <w:rPr>
          <w:rFonts w:hint="eastAsia" w:ascii="仿宋_GB2312" w:hAnsi="仿宋_GB2312" w:eastAsia="仿宋_GB2312" w:cs="仿宋_GB2312"/>
          <w:color w:val="auto"/>
          <w:sz w:val="32"/>
          <w:szCs w:val="32"/>
          <w:highlight w:val="none"/>
          <w:lang w:val="en-US" w:eastAsia="zh-CN"/>
        </w:rPr>
        <w:t>郭勇、陶明、杜兵</w:t>
      </w:r>
      <w:r>
        <w:rPr>
          <w:rFonts w:hint="eastAsia" w:ascii="仿宋_GB2312" w:hAnsi="仿宋_GB2312" w:eastAsia="仿宋_GB2312" w:cs="仿宋_GB2312"/>
          <w:color w:val="auto"/>
          <w:sz w:val="32"/>
          <w:szCs w:val="32"/>
          <w:highlight w:val="none"/>
          <w:lang w:eastAsia="zh-CN"/>
        </w:rPr>
        <w:t>，主要负责</w:t>
      </w:r>
      <w:r>
        <w:rPr>
          <w:rFonts w:hint="eastAsia" w:ascii="仿宋_GB2312" w:hAnsi="仿宋_GB2312" w:eastAsia="仿宋_GB2312" w:cs="仿宋_GB2312"/>
          <w:color w:val="auto"/>
          <w:sz w:val="32"/>
          <w:szCs w:val="32"/>
          <w:highlight w:val="none"/>
          <w:lang w:val="en-US" w:eastAsia="zh-CN"/>
        </w:rPr>
        <w:t>该</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lang w:val="en-US" w:eastAsia="zh-CN"/>
        </w:rPr>
        <w:t>的日常巡查和</w:t>
      </w:r>
      <w:r>
        <w:rPr>
          <w:rFonts w:hint="eastAsia" w:ascii="仿宋_GB2312" w:hAnsi="仿宋_GB2312" w:eastAsia="仿宋_GB2312" w:cs="仿宋_GB2312"/>
          <w:color w:val="auto"/>
          <w:sz w:val="32"/>
          <w:szCs w:val="32"/>
          <w:highlight w:val="none"/>
          <w:lang w:eastAsia="zh-CN"/>
        </w:rPr>
        <w:t>监督管理等工作。</w:t>
      </w:r>
    </w:p>
    <w:p w14:paraId="4DE793E3">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综上，该项指标满分4分，得分4分。</w:t>
      </w:r>
    </w:p>
    <w:p w14:paraId="614533A7">
      <w:pPr>
        <w:pStyle w:val="14"/>
        <w:keepNext w:val="0"/>
        <w:keepLines w:val="0"/>
        <w:pageBreakBefore w:val="0"/>
        <w:widowControl/>
        <w:kinsoku/>
        <w:wordWrap/>
        <w:overflowPunct/>
        <w:topLinePunct w:val="0"/>
        <w:autoSpaceDE/>
        <w:autoSpaceDN/>
        <w:bidi w:val="0"/>
        <w:adjustRightInd/>
        <w:snapToGrid/>
        <w:spacing w:before="0" w:beforeLines="-2147483648" w:after="0" w:afterLines="-2147483648" w:line="560" w:lineRule="exact"/>
        <w:ind w:firstLine="643" w:firstLineChars="200"/>
        <w:jc w:val="both"/>
        <w:textAlignment w:val="auto"/>
        <w:rPr>
          <w:rFonts w:hint="eastAsia" w:ascii="Times New Roman" w:hAnsi="Times New Roman" w:eastAsia="楷体_GB2312" w:cs="Times New Roman"/>
          <w:color w:val="auto"/>
          <w:kern w:val="28"/>
          <w:sz w:val="32"/>
          <w:highlight w:val="none"/>
          <w:lang w:val="en-US" w:eastAsia="zh-CN"/>
        </w:rPr>
      </w:pPr>
      <w:bookmarkStart w:id="130" w:name="_Toc2441"/>
      <w:r>
        <w:rPr>
          <w:rFonts w:hint="eastAsia" w:ascii="Times New Roman" w:hAnsi="Times New Roman" w:eastAsia="楷体_GB2312" w:cs="Times New Roman"/>
          <w:color w:val="auto"/>
          <w:kern w:val="28"/>
          <w:sz w:val="32"/>
          <w:highlight w:val="none"/>
          <w:lang w:val="en-US" w:eastAsia="zh-CN"/>
        </w:rPr>
        <w:t>（三）项目产出情况</w:t>
      </w:r>
      <w:bookmarkEnd w:id="130"/>
    </w:p>
    <w:p w14:paraId="3B4A1AB1">
      <w:pPr>
        <w:pageBreakBefore w:val="0"/>
        <w:widowControl w:val="0"/>
        <w:kinsoku/>
        <w:wordWrap/>
        <w:overflowPunct/>
        <w:topLinePunct w:val="0"/>
        <w:autoSpaceDE/>
        <w:autoSpaceDN/>
        <w:bidi w:val="0"/>
        <w:adjustRightInd/>
        <w:spacing w:line="560" w:lineRule="exact"/>
        <w:ind w:firstLine="560"/>
        <w:textAlignment w:val="auto"/>
        <w:rPr>
          <w:rFonts w:hint="eastAsia" w:ascii="仿宋_GB2312" w:hAnsi="仿宋_GB2312" w:eastAsia="仿宋_GB2312" w:cs="仿宋_GB2312"/>
          <w:color w:val="auto"/>
          <w:kern w:val="2"/>
          <w:sz w:val="32"/>
          <w:szCs w:val="32"/>
          <w:highlight w:val="none"/>
          <w:u w:color="000000"/>
          <w:shd w:val="clear" w:color="auto" w:fill="auto"/>
          <w:lang w:val="zh-TW" w:eastAsia="zh-TW"/>
        </w:rPr>
      </w:pPr>
      <w:r>
        <w:rPr>
          <w:rFonts w:hint="eastAsia" w:ascii="仿宋_GB2312" w:hAnsi="仿宋_GB2312" w:eastAsia="仿宋_GB2312" w:cs="仿宋_GB2312"/>
          <w:color w:val="auto"/>
          <w:kern w:val="2"/>
          <w:sz w:val="32"/>
          <w:szCs w:val="32"/>
          <w:highlight w:val="none"/>
          <w:u w:color="000000"/>
          <w:shd w:val="clear" w:color="auto" w:fill="auto"/>
          <w:lang w:val="zh-TW" w:eastAsia="zh-TW"/>
        </w:rPr>
        <w:t>项目</w:t>
      </w:r>
      <w:r>
        <w:rPr>
          <w:rFonts w:hint="eastAsia" w:ascii="仿宋_GB2312" w:hAnsi="仿宋_GB2312" w:eastAsia="仿宋_GB2312" w:cs="仿宋_GB2312"/>
          <w:color w:val="auto"/>
          <w:sz w:val="32"/>
          <w:szCs w:val="32"/>
          <w:highlight w:val="none"/>
          <w:shd w:val="clear" w:color="auto" w:fill="auto"/>
          <w:lang w:val="en-US" w:eastAsia="zh-CN"/>
        </w:rPr>
        <w:t>产出</w:t>
      </w:r>
      <w:r>
        <w:rPr>
          <w:rFonts w:hint="eastAsia" w:ascii="仿宋_GB2312" w:hAnsi="仿宋_GB2312" w:eastAsia="仿宋_GB2312" w:cs="仿宋_GB2312"/>
          <w:color w:val="auto"/>
          <w:kern w:val="2"/>
          <w:sz w:val="32"/>
          <w:szCs w:val="32"/>
          <w:highlight w:val="none"/>
          <w:u w:color="000000"/>
          <w:shd w:val="clear" w:color="auto" w:fill="auto"/>
          <w:lang w:val="zh-TW" w:eastAsia="zh-TW"/>
        </w:rPr>
        <w:t>类指标</w:t>
      </w:r>
      <w:r>
        <w:rPr>
          <w:rFonts w:hint="default" w:ascii="Times New Roman" w:hAnsi="Times New Roman" w:eastAsia="仿宋_GB2312" w:cs="Times New Roman"/>
          <w:color w:val="auto"/>
          <w:sz w:val="32"/>
          <w:szCs w:val="32"/>
          <w:highlight w:val="none"/>
          <w:lang w:val="en-US" w:eastAsia="zh-CN"/>
        </w:rPr>
        <w:t>包括产出数量、产出质量、产出时效、产出成本四方面的内容，</w:t>
      </w:r>
      <w:r>
        <w:rPr>
          <w:rFonts w:hint="eastAsia" w:ascii="Times New Roman" w:hAnsi="Times New Roman" w:eastAsia="仿宋_GB2312" w:cs="Times New Roman"/>
          <w:color w:val="auto"/>
          <w:sz w:val="32"/>
          <w:szCs w:val="32"/>
          <w:highlight w:val="none"/>
          <w:lang w:val="en-US" w:eastAsia="zh-CN"/>
        </w:rPr>
        <w:t>共</w:t>
      </w:r>
      <w:r>
        <w:rPr>
          <w:rFonts w:hint="eastAsia" w:ascii="仿宋_GB2312" w:hAnsi="仿宋_GB2312" w:eastAsia="仿宋_GB2312" w:cs="仿宋_GB2312"/>
          <w:color w:val="auto"/>
          <w:kern w:val="2"/>
          <w:sz w:val="32"/>
          <w:szCs w:val="32"/>
          <w:highlight w:val="none"/>
          <w:u w:color="000000"/>
          <w:shd w:val="clear" w:color="auto" w:fill="auto"/>
          <w:lang w:val="en-US" w:eastAsia="zh-CN"/>
        </w:rPr>
        <w:t>4</w:t>
      </w:r>
      <w:r>
        <w:rPr>
          <w:rFonts w:hint="eastAsia" w:ascii="仿宋_GB2312" w:hAnsi="仿宋_GB2312" w:eastAsia="仿宋_GB2312" w:cs="仿宋_GB2312"/>
          <w:color w:val="auto"/>
          <w:kern w:val="2"/>
          <w:sz w:val="32"/>
          <w:szCs w:val="32"/>
          <w:highlight w:val="none"/>
          <w:u w:color="000000"/>
          <w:shd w:val="clear" w:color="auto" w:fill="auto"/>
          <w:lang w:val="zh-TW" w:eastAsia="zh-TW"/>
        </w:rPr>
        <w:t>个</w:t>
      </w:r>
      <w:r>
        <w:rPr>
          <w:rFonts w:hint="eastAsia" w:ascii="仿宋_GB2312" w:hAnsi="仿宋_GB2312" w:eastAsia="仿宋_GB2312" w:cs="仿宋_GB2312"/>
          <w:color w:val="auto"/>
          <w:kern w:val="2"/>
          <w:sz w:val="32"/>
          <w:szCs w:val="32"/>
          <w:highlight w:val="none"/>
          <w:u w:color="000000"/>
          <w:shd w:val="clear" w:color="auto" w:fill="auto"/>
          <w:lang w:val="zh-TW" w:eastAsia="zh-CN"/>
        </w:rPr>
        <w:t>二</w:t>
      </w:r>
      <w:r>
        <w:rPr>
          <w:rFonts w:hint="eastAsia" w:ascii="仿宋_GB2312" w:hAnsi="仿宋_GB2312" w:eastAsia="仿宋_GB2312" w:cs="仿宋_GB2312"/>
          <w:color w:val="auto"/>
          <w:kern w:val="2"/>
          <w:sz w:val="32"/>
          <w:szCs w:val="32"/>
          <w:highlight w:val="none"/>
          <w:u w:color="000000"/>
          <w:shd w:val="clear" w:color="auto" w:fill="auto"/>
          <w:lang w:val="zh-TW" w:eastAsia="zh-TW"/>
        </w:rPr>
        <w:t>级指标和</w:t>
      </w:r>
      <w:r>
        <w:rPr>
          <w:rFonts w:hint="eastAsia" w:ascii="仿宋_GB2312" w:hAnsi="仿宋_GB2312" w:eastAsia="仿宋_GB2312" w:cs="仿宋_GB2312"/>
          <w:color w:val="auto"/>
          <w:kern w:val="2"/>
          <w:sz w:val="32"/>
          <w:szCs w:val="32"/>
          <w:highlight w:val="none"/>
          <w:u w:color="000000"/>
          <w:shd w:val="clear" w:color="auto" w:fill="auto"/>
          <w:lang w:val="en-US" w:eastAsia="zh-CN"/>
        </w:rPr>
        <w:t>6</w:t>
      </w:r>
      <w:r>
        <w:rPr>
          <w:rFonts w:hint="eastAsia" w:ascii="仿宋_GB2312" w:hAnsi="仿宋_GB2312" w:eastAsia="仿宋_GB2312" w:cs="仿宋_GB2312"/>
          <w:color w:val="auto"/>
          <w:kern w:val="2"/>
          <w:sz w:val="32"/>
          <w:szCs w:val="32"/>
          <w:highlight w:val="none"/>
          <w:u w:color="000000"/>
          <w:shd w:val="clear" w:color="auto" w:fill="auto"/>
          <w:lang w:val="zh-TW" w:eastAsia="zh-TW"/>
        </w:rPr>
        <w:t>个</w:t>
      </w:r>
      <w:r>
        <w:rPr>
          <w:rFonts w:hint="eastAsia" w:ascii="仿宋_GB2312" w:hAnsi="仿宋_GB2312" w:eastAsia="仿宋_GB2312" w:cs="仿宋_GB2312"/>
          <w:color w:val="auto"/>
          <w:kern w:val="2"/>
          <w:sz w:val="32"/>
          <w:szCs w:val="32"/>
          <w:highlight w:val="none"/>
          <w:u w:color="000000"/>
          <w:shd w:val="clear" w:color="auto" w:fill="auto"/>
          <w:lang w:eastAsia="zh-CN"/>
        </w:rPr>
        <w:t>三</w:t>
      </w:r>
      <w:r>
        <w:rPr>
          <w:rFonts w:hint="eastAsia" w:ascii="仿宋_GB2312" w:hAnsi="仿宋_GB2312" w:eastAsia="仿宋_GB2312" w:cs="仿宋_GB2312"/>
          <w:color w:val="auto"/>
          <w:kern w:val="2"/>
          <w:sz w:val="32"/>
          <w:szCs w:val="32"/>
          <w:highlight w:val="none"/>
          <w:u w:color="000000"/>
          <w:shd w:val="clear" w:color="auto" w:fill="auto"/>
          <w:lang w:val="zh-TW" w:eastAsia="zh-TW"/>
        </w:rPr>
        <w:t>级指标构成，权重分</w:t>
      </w:r>
      <w:r>
        <w:rPr>
          <w:rFonts w:hint="eastAsia" w:ascii="仿宋_GB2312" w:hAnsi="仿宋_GB2312" w:eastAsia="仿宋_GB2312" w:cs="仿宋_GB2312"/>
          <w:color w:val="auto"/>
          <w:kern w:val="2"/>
          <w:sz w:val="32"/>
          <w:szCs w:val="32"/>
          <w:highlight w:val="none"/>
          <w:u w:color="000000"/>
          <w:shd w:val="clear" w:color="auto" w:fill="auto"/>
          <w:lang w:val="en-US" w:eastAsia="zh-CN"/>
        </w:rPr>
        <w:t>40</w:t>
      </w:r>
      <w:r>
        <w:rPr>
          <w:rFonts w:hint="eastAsia" w:ascii="仿宋_GB2312" w:hAnsi="仿宋_GB2312" w:eastAsia="仿宋_GB2312" w:cs="仿宋_GB2312"/>
          <w:color w:val="auto"/>
          <w:kern w:val="2"/>
          <w:sz w:val="32"/>
          <w:szCs w:val="32"/>
          <w:highlight w:val="none"/>
          <w:u w:color="000000"/>
          <w:shd w:val="clear" w:color="auto" w:fill="auto"/>
          <w:lang w:val="zh-TW" w:eastAsia="zh-TW"/>
        </w:rPr>
        <w:t>分，实际得分</w:t>
      </w:r>
      <w:r>
        <w:rPr>
          <w:rFonts w:hint="eastAsia" w:ascii="仿宋_GB2312" w:hAnsi="仿宋_GB2312" w:eastAsia="仿宋_GB2312" w:cs="仿宋_GB2312"/>
          <w:color w:val="auto"/>
          <w:kern w:val="2"/>
          <w:sz w:val="32"/>
          <w:szCs w:val="32"/>
          <w:highlight w:val="none"/>
          <w:u w:color="000000"/>
          <w:shd w:val="clear" w:color="auto" w:fill="auto"/>
          <w:lang w:val="en-US" w:eastAsia="zh-CN"/>
        </w:rPr>
        <w:t>39.9</w:t>
      </w:r>
      <w:r>
        <w:rPr>
          <w:rFonts w:hint="eastAsia" w:ascii="仿宋_GB2312" w:hAnsi="仿宋_GB2312" w:eastAsia="仿宋_GB2312" w:cs="仿宋_GB2312"/>
          <w:color w:val="auto"/>
          <w:kern w:val="2"/>
          <w:sz w:val="32"/>
          <w:szCs w:val="32"/>
          <w:highlight w:val="none"/>
          <w:u w:color="000000"/>
          <w:shd w:val="clear" w:color="auto" w:fill="auto"/>
          <w:lang w:val="zh-TW" w:eastAsia="zh-TW"/>
        </w:rPr>
        <w:t>分</w:t>
      </w:r>
      <w:r>
        <w:rPr>
          <w:rFonts w:hint="eastAsia" w:ascii="仿宋_GB2312" w:hAnsi="仿宋_GB2312" w:eastAsia="仿宋_GB2312" w:cs="仿宋_GB2312"/>
          <w:color w:val="auto"/>
          <w:kern w:val="2"/>
          <w:sz w:val="32"/>
          <w:szCs w:val="32"/>
          <w:highlight w:val="none"/>
          <w:u w:color="000000"/>
          <w:shd w:val="clear" w:color="auto" w:fill="auto"/>
          <w:lang w:val="zh-TW" w:eastAsia="zh-CN"/>
        </w:rPr>
        <w:t>，</w:t>
      </w:r>
      <w:r>
        <w:rPr>
          <w:rFonts w:hint="eastAsia" w:ascii="仿宋_GB2312" w:hAnsi="仿宋_GB2312" w:eastAsia="仿宋_GB2312" w:cs="仿宋_GB2312"/>
          <w:color w:val="auto"/>
          <w:kern w:val="2"/>
          <w:sz w:val="32"/>
          <w:szCs w:val="32"/>
          <w:highlight w:val="none"/>
          <w:u w:color="000000"/>
          <w:shd w:val="clear" w:color="auto" w:fill="auto"/>
          <w:lang w:val="zh-TW" w:eastAsia="zh-TW"/>
        </w:rPr>
        <w:t>各指标业绩值和绩效分值如表</w:t>
      </w:r>
      <w:r>
        <w:rPr>
          <w:rFonts w:hint="eastAsia" w:ascii="仿宋_GB2312" w:hAnsi="仿宋_GB2312" w:eastAsia="仿宋_GB2312" w:cs="仿宋_GB2312"/>
          <w:color w:val="auto"/>
          <w:kern w:val="2"/>
          <w:sz w:val="32"/>
          <w:szCs w:val="32"/>
          <w:highlight w:val="none"/>
          <w:u w:color="000000"/>
          <w:shd w:val="clear" w:color="auto" w:fill="auto"/>
          <w:lang w:val="en-US" w:eastAsia="zh-CN"/>
        </w:rPr>
        <w:t>4</w:t>
      </w:r>
      <w:r>
        <w:rPr>
          <w:rFonts w:hint="eastAsia" w:ascii="仿宋_GB2312" w:hAnsi="仿宋_GB2312" w:eastAsia="仿宋_GB2312" w:cs="仿宋_GB2312"/>
          <w:color w:val="auto"/>
          <w:kern w:val="2"/>
          <w:sz w:val="32"/>
          <w:szCs w:val="32"/>
          <w:highlight w:val="none"/>
          <w:u w:color="000000"/>
          <w:shd w:val="clear" w:color="auto" w:fill="auto"/>
          <w:lang w:eastAsia="zh-CN"/>
        </w:rPr>
        <w:t>-</w:t>
      </w:r>
      <w:r>
        <w:rPr>
          <w:rFonts w:hint="eastAsia" w:ascii="仿宋_GB2312" w:hAnsi="仿宋_GB2312" w:eastAsia="仿宋_GB2312" w:cs="仿宋_GB2312"/>
          <w:color w:val="auto"/>
          <w:kern w:val="2"/>
          <w:sz w:val="32"/>
          <w:szCs w:val="32"/>
          <w:highlight w:val="none"/>
          <w:u w:color="000000"/>
          <w:shd w:val="clear" w:color="auto" w:fill="auto"/>
          <w:lang w:val="en-US" w:eastAsia="zh-CN"/>
        </w:rPr>
        <w:t>3</w:t>
      </w:r>
      <w:r>
        <w:rPr>
          <w:rFonts w:hint="eastAsia" w:ascii="仿宋_GB2312" w:hAnsi="仿宋_GB2312" w:eastAsia="仿宋_GB2312" w:cs="仿宋_GB2312"/>
          <w:color w:val="auto"/>
          <w:kern w:val="2"/>
          <w:sz w:val="32"/>
          <w:szCs w:val="32"/>
          <w:highlight w:val="none"/>
          <w:u w:color="000000"/>
          <w:shd w:val="clear" w:color="auto" w:fill="auto"/>
          <w:lang w:val="zh-TW" w:eastAsia="zh-TW"/>
        </w:rPr>
        <w:t>所示</w:t>
      </w:r>
      <w:r>
        <w:rPr>
          <w:rFonts w:hint="eastAsia" w:ascii="仿宋_GB2312" w:hAnsi="仿宋_GB2312" w:eastAsia="仿宋_GB2312" w:cs="仿宋_GB2312"/>
          <w:b/>
          <w:bCs/>
          <w:color w:val="auto"/>
          <w:kern w:val="2"/>
          <w:sz w:val="32"/>
          <w:szCs w:val="32"/>
          <w:highlight w:val="none"/>
          <w:u w:color="000000"/>
          <w:shd w:val="clear" w:color="auto" w:fill="auto"/>
          <w:lang w:val="zh-TW" w:eastAsia="zh-CN"/>
        </w:rPr>
        <w:t>（</w:t>
      </w:r>
      <w:r>
        <w:rPr>
          <w:rFonts w:hint="eastAsia" w:ascii="仿宋_GB2312" w:hAnsi="仿宋_GB2312" w:eastAsia="仿宋_GB2312" w:cs="仿宋_GB2312"/>
          <w:b/>
          <w:bCs/>
          <w:color w:val="auto"/>
          <w:kern w:val="2"/>
          <w:sz w:val="32"/>
          <w:szCs w:val="32"/>
          <w:highlight w:val="none"/>
          <w:u w:color="000000"/>
          <w:shd w:val="clear" w:color="auto" w:fill="auto"/>
          <w:lang w:val="en-US" w:eastAsia="zh-CN"/>
        </w:rPr>
        <w:t>详见上传的附件</w:t>
      </w:r>
      <w:r>
        <w:rPr>
          <w:rFonts w:hint="eastAsia" w:ascii="仿宋_GB2312" w:hAnsi="仿宋_GB2312" w:eastAsia="仿宋_GB2312" w:cs="仿宋_GB2312"/>
          <w:b/>
          <w:bCs/>
          <w:color w:val="auto"/>
          <w:kern w:val="2"/>
          <w:sz w:val="32"/>
          <w:szCs w:val="32"/>
          <w:highlight w:val="none"/>
          <w:u w:color="000000"/>
          <w:shd w:val="clear" w:color="auto" w:fill="auto"/>
          <w:lang w:val="zh-TW" w:eastAsia="zh-CN"/>
        </w:rPr>
        <w:t>）</w:t>
      </w:r>
      <w:r>
        <w:rPr>
          <w:rFonts w:hint="eastAsia" w:ascii="仿宋_GB2312" w:hAnsi="仿宋_GB2312" w:eastAsia="仿宋_GB2312" w:cs="仿宋_GB2312"/>
          <w:color w:val="auto"/>
          <w:kern w:val="2"/>
          <w:sz w:val="32"/>
          <w:szCs w:val="32"/>
          <w:highlight w:val="none"/>
          <w:u w:color="000000"/>
          <w:shd w:val="clear" w:color="auto" w:fill="auto"/>
          <w:lang w:val="zh-TW" w:eastAsia="zh-TW"/>
        </w:rPr>
        <w:t>：</w:t>
      </w:r>
    </w:p>
    <w:p w14:paraId="10753959">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4-3项目产出</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6"/>
        <w:tblW w:w="8197" w:type="dxa"/>
        <w:tblInd w:w="0" w:type="dxa"/>
        <w:shd w:val="clear" w:color="auto" w:fill="auto"/>
        <w:tblLayout w:type="fixed"/>
        <w:tblCellMar>
          <w:top w:w="0" w:type="dxa"/>
          <w:left w:w="0" w:type="dxa"/>
          <w:bottom w:w="0" w:type="dxa"/>
          <w:right w:w="0" w:type="dxa"/>
        </w:tblCellMar>
      </w:tblPr>
      <w:tblGrid>
        <w:gridCol w:w="634"/>
        <w:gridCol w:w="928"/>
        <w:gridCol w:w="2644"/>
        <w:gridCol w:w="1437"/>
        <w:gridCol w:w="558"/>
        <w:gridCol w:w="1365"/>
        <w:gridCol w:w="631"/>
      </w:tblGrid>
      <w:tr w14:paraId="08B112C5">
        <w:tblPrEx>
          <w:tblCellMar>
            <w:top w:w="0" w:type="dxa"/>
            <w:left w:w="0" w:type="dxa"/>
            <w:bottom w:w="0" w:type="dxa"/>
            <w:right w:w="0" w:type="dxa"/>
          </w:tblCellMar>
        </w:tblPrEx>
        <w:trPr>
          <w:trHeight w:val="7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ACA38">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E5E32">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DB301">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F6644">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年度指标值</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96AE2">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标杆分值</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F49E7">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全年实际完成值</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9C08D">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指标得分</w:t>
            </w:r>
          </w:p>
        </w:tc>
      </w:tr>
      <w:tr w14:paraId="68684F92">
        <w:tblPrEx>
          <w:tblCellMar>
            <w:top w:w="0" w:type="dxa"/>
            <w:left w:w="0" w:type="dxa"/>
            <w:bottom w:w="0" w:type="dxa"/>
            <w:right w:w="0" w:type="dxa"/>
          </w:tblCellMar>
        </w:tblPrEx>
        <w:trPr>
          <w:trHeight w:val="415" w:hRule="atLeast"/>
        </w:trPr>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FD5E1">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产出</w:t>
            </w: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601119F">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数量指标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83B6A">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城市道路清扫、保洁面积</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771A0">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≥4230769.92平方米</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F2F35">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37086">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4230769.92平方米</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C6501">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7</w:t>
            </w:r>
          </w:p>
        </w:tc>
      </w:tr>
      <w:tr w14:paraId="6915B3A0">
        <w:tblPrEx>
          <w:shd w:val="clear" w:color="auto" w:fill="auto"/>
          <w:tblCellMar>
            <w:top w:w="0" w:type="dxa"/>
            <w:left w:w="0" w:type="dxa"/>
            <w:bottom w:w="0" w:type="dxa"/>
            <w:right w:w="0" w:type="dxa"/>
          </w:tblCellMar>
        </w:tblPrEx>
        <w:trPr>
          <w:trHeight w:val="415"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619352B">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7A2A7">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A5EE8">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城市绿化养护面积</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7B2A7">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≥3981769.44平方米</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7DB7C">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6DECB">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3981769.44平方米</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9A9D5">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6</w:t>
            </w:r>
          </w:p>
        </w:tc>
      </w:tr>
      <w:tr w14:paraId="3C02F23F">
        <w:tblPrEx>
          <w:shd w:val="clear" w:color="auto" w:fill="auto"/>
          <w:tblCellMar>
            <w:top w:w="0" w:type="dxa"/>
            <w:left w:w="0" w:type="dxa"/>
            <w:bottom w:w="0" w:type="dxa"/>
            <w:right w:w="0" w:type="dxa"/>
          </w:tblCellMar>
        </w:tblPrEx>
        <w:trPr>
          <w:trHeight w:val="390"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98DA4">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7A56D92">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质量指标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C4B16">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城市道路机械化清扫质量达标率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5EA5D">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60531">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D04F8">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F3D25">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7</w:t>
            </w:r>
          </w:p>
        </w:tc>
      </w:tr>
      <w:tr w14:paraId="2C2CD1E4">
        <w:tblPrEx>
          <w:shd w:val="clear" w:color="auto" w:fill="auto"/>
          <w:tblCellMar>
            <w:top w:w="0" w:type="dxa"/>
            <w:left w:w="0" w:type="dxa"/>
            <w:bottom w:w="0" w:type="dxa"/>
            <w:right w:w="0" w:type="dxa"/>
          </w:tblCellMar>
        </w:tblPrEx>
        <w:trPr>
          <w:trHeight w:val="410"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2AEDE">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CC4DC">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时效指标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AB183">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道路清扫保洁及时率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352E2">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≥95%</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F7874">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53900">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95%</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531B0">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6</w:t>
            </w:r>
          </w:p>
        </w:tc>
      </w:tr>
      <w:tr w14:paraId="2A2FEF1D">
        <w:tblPrEx>
          <w:tblCellMar>
            <w:top w:w="0" w:type="dxa"/>
            <w:left w:w="0" w:type="dxa"/>
            <w:bottom w:w="0" w:type="dxa"/>
            <w:right w:w="0" w:type="dxa"/>
          </w:tblCellMar>
        </w:tblPrEx>
        <w:trPr>
          <w:trHeight w:val="428"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B1BA5">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BAB8BB6">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成本指标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AAD40">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环境卫生保洁成本控制</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A41FD">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≦2388.56万元</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1F4B1">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56D47">
            <w:pPr>
              <w:keepNext w:val="0"/>
              <w:keepLines w:val="0"/>
              <w:pageBreakBefore w:val="0"/>
              <w:kinsoku/>
              <w:wordWrap/>
              <w:overflowPunct/>
              <w:topLinePunct w:val="0"/>
              <w:autoSpaceDE/>
              <w:autoSpaceDN/>
              <w:bidi w:val="0"/>
              <w:adjustRightInd/>
              <w:spacing w:line="300" w:lineRule="exact"/>
              <w:ind w:left="0" w:leftChars="0" w:firstLine="0" w:firstLineChars="0"/>
              <w:textAlignment w:val="auto"/>
              <w:rPr>
                <w:color w:val="auto"/>
                <w:sz w:val="20"/>
                <w:szCs w:val="20"/>
                <w:highlight w:val="none"/>
              </w:rPr>
            </w:pPr>
            <w:r>
              <w:rPr>
                <w:rFonts w:hint="eastAsia"/>
                <w:color w:val="auto"/>
                <w:sz w:val="20"/>
                <w:szCs w:val="20"/>
                <w:highlight w:val="none"/>
              </w:rPr>
              <w:t>2376.25万元</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35E76">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7.9</w:t>
            </w:r>
          </w:p>
        </w:tc>
      </w:tr>
      <w:tr w14:paraId="665D8C3C">
        <w:tblPrEx>
          <w:shd w:val="clear" w:color="auto" w:fill="auto"/>
          <w:tblCellMar>
            <w:top w:w="0" w:type="dxa"/>
            <w:left w:w="0" w:type="dxa"/>
            <w:bottom w:w="0" w:type="dxa"/>
            <w:right w:w="0" w:type="dxa"/>
          </w:tblCellMar>
        </w:tblPrEx>
        <w:trPr>
          <w:trHeight w:val="428"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838FD">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4626A">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A5198">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园林绿化养护成本控制</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247A3">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≦1592.38万元</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755F8">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010F2">
            <w:pPr>
              <w:keepNext w:val="0"/>
              <w:keepLines w:val="0"/>
              <w:pageBreakBefore w:val="0"/>
              <w:kinsoku/>
              <w:wordWrap/>
              <w:overflowPunct/>
              <w:topLinePunct w:val="0"/>
              <w:autoSpaceDE/>
              <w:autoSpaceDN/>
              <w:bidi w:val="0"/>
              <w:adjustRightInd/>
              <w:spacing w:line="300" w:lineRule="exact"/>
              <w:ind w:left="0" w:leftChars="0" w:firstLine="0" w:firstLineChars="0"/>
              <w:textAlignment w:val="auto"/>
              <w:rPr>
                <w:color w:val="auto"/>
                <w:sz w:val="20"/>
                <w:szCs w:val="20"/>
                <w:highlight w:val="none"/>
              </w:rPr>
            </w:pPr>
            <w:r>
              <w:rPr>
                <w:rFonts w:hint="eastAsia"/>
                <w:color w:val="auto"/>
                <w:sz w:val="20"/>
                <w:szCs w:val="20"/>
                <w:highlight w:val="none"/>
              </w:rPr>
              <w:t>1592.38万元</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3EFC3">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6</w:t>
            </w:r>
          </w:p>
        </w:tc>
      </w:tr>
      <w:tr w14:paraId="3DB0CD48">
        <w:tblPrEx>
          <w:tblCellMar>
            <w:top w:w="0" w:type="dxa"/>
            <w:left w:w="0" w:type="dxa"/>
            <w:bottom w:w="0" w:type="dxa"/>
            <w:right w:w="0" w:type="dxa"/>
          </w:tblCellMar>
        </w:tblPrEx>
        <w:trPr>
          <w:trHeight w:val="403" w:hRule="atLeast"/>
        </w:trPr>
        <w:tc>
          <w:tcPr>
            <w:tcW w:w="564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9F738">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FB79D">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r>
              <w:rPr>
                <w:rFonts w:hint="eastAsia" w:ascii="宋体" w:hAnsi="宋体" w:eastAsia="宋体" w:cs="宋体"/>
                <w:color w:val="auto"/>
                <w:kern w:val="0"/>
                <w:sz w:val="20"/>
                <w:szCs w:val="20"/>
                <w:highlight w:val="none"/>
                <w:shd w:val="clear" w:color="auto" w:fill="auto"/>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11729">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8B1FE">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39.9</w:t>
            </w:r>
          </w:p>
        </w:tc>
      </w:tr>
    </w:tbl>
    <w:p w14:paraId="5C4088F1">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bCs/>
          <w:color w:val="auto"/>
          <w:sz w:val="32"/>
          <w:szCs w:val="32"/>
          <w:highlight w:val="none"/>
          <w:lang w:val="en-US" w:eastAsia="zh-CN"/>
        </w:rPr>
      </w:pPr>
      <w:bookmarkStart w:id="131" w:name="_Toc26689"/>
      <w:bookmarkStart w:id="132" w:name="_Toc11067"/>
      <w:r>
        <w:rPr>
          <w:rFonts w:hint="eastAsia" w:ascii="仿宋_GB2312" w:hAnsi="仿宋_GB2312" w:eastAsia="仿宋_GB2312" w:cs="仿宋_GB2312"/>
          <w:b/>
          <w:bCs/>
          <w:color w:val="auto"/>
          <w:sz w:val="32"/>
          <w:szCs w:val="32"/>
          <w:highlight w:val="none"/>
          <w:lang w:val="en-US" w:eastAsia="zh-CN"/>
        </w:rPr>
        <w:t>1.数量指标完成情况</w:t>
      </w:r>
      <w:bookmarkEnd w:id="131"/>
      <w:bookmarkEnd w:id="132"/>
    </w:p>
    <w:p w14:paraId="5C435A0E">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shd w:val="clear" w:color="auto" w:fill="auto"/>
          <w:lang w:val="en-US" w:eastAsia="zh-CN"/>
        </w:rPr>
        <w:t>城市道路清扫、保洁面积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指标，预期目标值为</w:t>
      </w:r>
      <w:r>
        <w:rPr>
          <w:rFonts w:hint="eastAsia" w:ascii="仿宋_GB2312" w:hAnsi="仿宋_GB2312" w:eastAsia="仿宋_GB2312" w:cs="仿宋_GB2312"/>
          <w:color w:val="auto"/>
          <w:kern w:val="0"/>
          <w:sz w:val="32"/>
          <w:szCs w:val="32"/>
          <w:highlight w:val="none"/>
          <w:shd w:val="clear" w:color="auto" w:fill="auto"/>
          <w:lang w:val="en-US" w:eastAsia="zh-CN"/>
        </w:rPr>
        <w:t>4230769.92平方米</w:t>
      </w:r>
      <w:r>
        <w:rPr>
          <w:rFonts w:hint="eastAsia" w:ascii="仿宋_GB2312" w:hAnsi="仿宋_GB2312" w:eastAsia="仿宋_GB2312" w:cs="仿宋_GB2312"/>
          <w:color w:val="auto"/>
          <w:sz w:val="32"/>
          <w:szCs w:val="32"/>
          <w:highlight w:val="none"/>
          <w:lang w:val="en-US" w:eastAsia="zh-CN"/>
        </w:rPr>
        <w:t>，实际完成为</w:t>
      </w:r>
      <w:r>
        <w:rPr>
          <w:rFonts w:hint="eastAsia" w:ascii="仿宋_GB2312" w:hAnsi="仿宋_GB2312" w:eastAsia="仿宋_GB2312" w:cs="仿宋_GB2312"/>
          <w:color w:val="auto"/>
          <w:kern w:val="0"/>
          <w:sz w:val="32"/>
          <w:szCs w:val="32"/>
          <w:highlight w:val="none"/>
          <w:shd w:val="clear" w:color="auto" w:fill="auto"/>
          <w:lang w:val="en-US" w:eastAsia="zh-CN"/>
        </w:rPr>
        <w:t>4230769.92平方米</w:t>
      </w:r>
      <w:r>
        <w:rPr>
          <w:rFonts w:hint="eastAsia" w:ascii="仿宋_GB2312" w:hAnsi="仿宋_GB2312" w:eastAsia="仿宋_GB2312" w:cs="仿宋_GB2312"/>
          <w:color w:val="auto"/>
          <w:sz w:val="32"/>
          <w:szCs w:val="32"/>
          <w:highlight w:val="none"/>
          <w:lang w:val="en-US" w:eastAsia="zh-CN"/>
        </w:rPr>
        <w:t>。实际完成率=（</w:t>
      </w:r>
      <w:r>
        <w:rPr>
          <w:rFonts w:hint="eastAsia" w:ascii="仿宋_GB2312" w:hAnsi="仿宋_GB2312" w:eastAsia="仿宋_GB2312" w:cs="仿宋_GB2312"/>
          <w:color w:val="auto"/>
          <w:kern w:val="0"/>
          <w:sz w:val="32"/>
          <w:szCs w:val="32"/>
          <w:highlight w:val="none"/>
          <w:shd w:val="clear" w:color="auto" w:fill="auto"/>
          <w:lang w:val="en-US" w:eastAsia="zh-CN"/>
        </w:rPr>
        <w:t>4230769.92平方米</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shd w:val="clear" w:color="auto" w:fill="auto"/>
          <w:lang w:val="en-US" w:eastAsia="zh-CN"/>
        </w:rPr>
        <w:t>4230769.92平方米</w:t>
      </w:r>
      <w:r>
        <w:rPr>
          <w:rFonts w:hint="eastAsia" w:ascii="仿宋_GB2312" w:hAnsi="仿宋_GB2312" w:eastAsia="仿宋_GB2312" w:cs="仿宋_GB2312"/>
          <w:color w:val="auto"/>
          <w:sz w:val="32"/>
          <w:szCs w:val="32"/>
          <w:highlight w:val="none"/>
          <w:lang w:val="en-US" w:eastAsia="zh-CN"/>
        </w:rPr>
        <w:t>）×100%=100%。</w:t>
      </w:r>
    </w:p>
    <w:p w14:paraId="72D121A4">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shd w:val="clear" w:color="auto" w:fill="auto"/>
          <w:lang w:val="en-US" w:eastAsia="zh-CN"/>
        </w:rPr>
        <w:t>城市绿化养护面积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指标，预期目标值为</w:t>
      </w:r>
      <w:r>
        <w:rPr>
          <w:rFonts w:hint="eastAsia" w:ascii="仿宋_GB2312" w:hAnsi="仿宋_GB2312" w:eastAsia="仿宋_GB2312" w:cs="仿宋_GB2312"/>
          <w:color w:val="auto"/>
          <w:kern w:val="0"/>
          <w:sz w:val="32"/>
          <w:szCs w:val="32"/>
          <w:highlight w:val="none"/>
          <w:shd w:val="clear" w:color="auto" w:fill="auto"/>
          <w:lang w:val="en-US" w:eastAsia="zh-CN"/>
        </w:rPr>
        <w:t>3981769.44平方米</w:t>
      </w:r>
      <w:r>
        <w:rPr>
          <w:rFonts w:hint="eastAsia" w:ascii="仿宋_GB2312" w:hAnsi="仿宋_GB2312" w:eastAsia="仿宋_GB2312" w:cs="仿宋_GB2312"/>
          <w:color w:val="auto"/>
          <w:sz w:val="32"/>
          <w:szCs w:val="32"/>
          <w:highlight w:val="none"/>
          <w:lang w:val="en-US" w:eastAsia="zh-CN"/>
        </w:rPr>
        <w:t>，实际完成为</w:t>
      </w:r>
      <w:r>
        <w:rPr>
          <w:rFonts w:hint="eastAsia" w:ascii="仿宋_GB2312" w:hAnsi="仿宋_GB2312" w:eastAsia="仿宋_GB2312" w:cs="仿宋_GB2312"/>
          <w:color w:val="auto"/>
          <w:kern w:val="0"/>
          <w:sz w:val="32"/>
          <w:szCs w:val="32"/>
          <w:highlight w:val="none"/>
          <w:shd w:val="clear" w:color="auto" w:fill="auto"/>
          <w:lang w:val="en-US" w:eastAsia="zh-CN"/>
        </w:rPr>
        <w:t>3981769.44平方米</w:t>
      </w:r>
      <w:r>
        <w:rPr>
          <w:rFonts w:hint="eastAsia" w:ascii="仿宋_GB2312" w:hAnsi="仿宋_GB2312" w:eastAsia="仿宋_GB2312" w:cs="仿宋_GB2312"/>
          <w:color w:val="auto"/>
          <w:sz w:val="32"/>
          <w:szCs w:val="32"/>
          <w:highlight w:val="none"/>
          <w:lang w:val="en-US" w:eastAsia="zh-CN"/>
        </w:rPr>
        <w:t>。实际完成率=（</w:t>
      </w:r>
      <w:r>
        <w:rPr>
          <w:rFonts w:hint="eastAsia" w:ascii="仿宋_GB2312" w:hAnsi="仿宋_GB2312" w:eastAsia="仿宋_GB2312" w:cs="仿宋_GB2312"/>
          <w:color w:val="auto"/>
          <w:kern w:val="0"/>
          <w:sz w:val="32"/>
          <w:szCs w:val="32"/>
          <w:highlight w:val="none"/>
          <w:shd w:val="clear" w:color="auto" w:fill="auto"/>
          <w:lang w:val="en-US" w:eastAsia="zh-CN"/>
        </w:rPr>
        <w:t>3981769.44平方米</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shd w:val="clear" w:color="auto" w:fill="auto"/>
          <w:lang w:val="en-US" w:eastAsia="zh-CN"/>
        </w:rPr>
        <w:t>3981769.44平方米</w:t>
      </w:r>
      <w:r>
        <w:rPr>
          <w:rFonts w:hint="eastAsia" w:ascii="仿宋_GB2312" w:hAnsi="仿宋_GB2312" w:eastAsia="仿宋_GB2312" w:cs="仿宋_GB2312"/>
          <w:color w:val="auto"/>
          <w:sz w:val="32"/>
          <w:szCs w:val="32"/>
          <w:highlight w:val="none"/>
          <w:lang w:val="en-US" w:eastAsia="zh-CN"/>
        </w:rPr>
        <w:t>）×100%=100%。</w:t>
      </w:r>
    </w:p>
    <w:p w14:paraId="16D6A15D">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综上，该项指标满分13分，得分13分。</w:t>
      </w:r>
    </w:p>
    <w:p w14:paraId="4D084F53">
      <w:pPr>
        <w:pageBreakBefore w:val="0"/>
        <w:kinsoku/>
        <w:wordWrap/>
        <w:overflowPunct/>
        <w:topLinePunct w:val="0"/>
        <w:autoSpaceDE/>
        <w:autoSpaceDN/>
        <w:bidi w:val="0"/>
        <w:spacing w:line="560" w:lineRule="exact"/>
        <w:textAlignment w:val="auto"/>
        <w:outlineLvl w:val="2"/>
        <w:rPr>
          <w:rFonts w:hint="eastAsia" w:ascii="仿宋_GB2312" w:hAnsi="仿宋_GB2312" w:eastAsia="仿宋_GB2312" w:cs="仿宋_GB2312"/>
          <w:b/>
          <w:bCs/>
          <w:color w:val="auto"/>
          <w:sz w:val="32"/>
          <w:szCs w:val="32"/>
          <w:highlight w:val="none"/>
          <w:lang w:val="en-US" w:eastAsia="zh-CN"/>
        </w:rPr>
      </w:pPr>
      <w:bookmarkStart w:id="133" w:name="_Toc31739"/>
      <w:bookmarkStart w:id="134" w:name="_Toc14255"/>
      <w:r>
        <w:rPr>
          <w:rFonts w:hint="eastAsia" w:ascii="仿宋_GB2312" w:hAnsi="仿宋_GB2312" w:eastAsia="仿宋_GB2312" w:cs="仿宋_GB2312"/>
          <w:b/>
          <w:bCs/>
          <w:color w:val="auto"/>
          <w:sz w:val="32"/>
          <w:szCs w:val="32"/>
          <w:highlight w:val="none"/>
          <w:lang w:val="en-US" w:eastAsia="zh-CN"/>
        </w:rPr>
        <w:t>2.</w:t>
      </w:r>
      <w:bookmarkEnd w:id="133"/>
      <w:r>
        <w:rPr>
          <w:rFonts w:hint="eastAsia" w:ascii="仿宋_GB2312" w:hAnsi="仿宋_GB2312" w:eastAsia="仿宋_GB2312" w:cs="仿宋_GB2312"/>
          <w:b/>
          <w:bCs/>
          <w:color w:val="auto"/>
          <w:sz w:val="32"/>
          <w:szCs w:val="32"/>
          <w:highlight w:val="none"/>
          <w:lang w:val="en-US" w:eastAsia="zh-CN"/>
        </w:rPr>
        <w:t>质量指标完成情况</w:t>
      </w:r>
      <w:bookmarkEnd w:id="134"/>
    </w:p>
    <w:p w14:paraId="3E26875B">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shd w:val="clear" w:color="auto" w:fill="auto"/>
          <w:lang w:val="en-US" w:eastAsia="zh-CN"/>
        </w:rPr>
        <w:t>城市道路机械化清扫质量达标率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指标，预期目标值为</w:t>
      </w:r>
      <w:r>
        <w:rPr>
          <w:rFonts w:hint="eastAsia" w:ascii="仿宋_GB2312" w:hAnsi="仿宋_GB2312" w:eastAsia="仿宋_GB2312" w:cs="仿宋_GB2312"/>
          <w:color w:val="auto"/>
          <w:kern w:val="0"/>
          <w:sz w:val="32"/>
          <w:szCs w:val="32"/>
          <w:highlight w:val="none"/>
          <w:shd w:val="clear" w:color="auto" w:fill="auto"/>
          <w:lang w:val="en-US" w:eastAsia="zh-CN"/>
        </w:rPr>
        <w:t>100%</w:t>
      </w:r>
      <w:r>
        <w:rPr>
          <w:rFonts w:hint="eastAsia" w:ascii="仿宋_GB2312" w:hAnsi="仿宋_GB2312" w:eastAsia="仿宋_GB2312" w:cs="仿宋_GB2312"/>
          <w:color w:val="auto"/>
          <w:sz w:val="32"/>
          <w:szCs w:val="32"/>
          <w:highlight w:val="none"/>
          <w:lang w:val="en-US" w:eastAsia="zh-CN"/>
        </w:rPr>
        <w:t>，实际完成为</w:t>
      </w:r>
      <w:r>
        <w:rPr>
          <w:rFonts w:hint="eastAsia" w:ascii="仿宋_GB2312" w:hAnsi="仿宋_GB2312" w:eastAsia="仿宋_GB2312" w:cs="仿宋_GB2312"/>
          <w:color w:val="auto"/>
          <w:kern w:val="0"/>
          <w:sz w:val="32"/>
          <w:szCs w:val="32"/>
          <w:highlight w:val="none"/>
          <w:shd w:val="clear" w:color="auto" w:fill="auto"/>
          <w:lang w:val="en-US" w:eastAsia="zh-CN"/>
        </w:rPr>
        <w:t>100%</w:t>
      </w:r>
      <w:r>
        <w:rPr>
          <w:rFonts w:hint="eastAsia" w:ascii="仿宋_GB2312" w:hAnsi="仿宋_GB2312" w:eastAsia="仿宋_GB2312" w:cs="仿宋_GB2312"/>
          <w:color w:val="auto"/>
          <w:sz w:val="32"/>
          <w:szCs w:val="32"/>
          <w:highlight w:val="none"/>
          <w:lang w:val="en-US" w:eastAsia="zh-CN"/>
        </w:rPr>
        <w:t>。实际完成率</w:t>
      </w:r>
      <w:r>
        <w:rPr>
          <w:rFonts w:hint="eastAsia" w:ascii="仿宋_GB2312" w:hAnsi="仿宋_GB2312" w:eastAsia="仿宋_GB2312" w:cs="仿宋_GB2312"/>
          <w:color w:val="auto"/>
          <w:kern w:val="0"/>
          <w:sz w:val="32"/>
          <w:szCs w:val="32"/>
          <w:highlight w:val="none"/>
          <w:shd w:val="clear" w:color="auto" w:fill="auto"/>
          <w:lang w:val="en-US" w:eastAsia="zh-CN"/>
        </w:rPr>
        <w:t>100%</w:t>
      </w:r>
      <w:r>
        <w:rPr>
          <w:rFonts w:hint="eastAsia" w:ascii="仿宋_GB2312" w:hAnsi="仿宋_GB2312" w:eastAsia="仿宋_GB2312" w:cs="仿宋_GB2312"/>
          <w:color w:val="auto"/>
          <w:sz w:val="32"/>
          <w:szCs w:val="32"/>
          <w:highlight w:val="none"/>
          <w:lang w:val="en-US" w:eastAsia="zh-CN"/>
        </w:rPr>
        <w:t>。</w:t>
      </w:r>
    </w:p>
    <w:p w14:paraId="29572CF9">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综上，该项指标满分7分，得分7分。</w:t>
      </w:r>
    </w:p>
    <w:p w14:paraId="533B7ED9">
      <w:pPr>
        <w:pageBreakBefore w:val="0"/>
        <w:kinsoku/>
        <w:wordWrap/>
        <w:overflowPunct/>
        <w:topLinePunct w:val="0"/>
        <w:autoSpaceDE/>
        <w:autoSpaceDN/>
        <w:bidi w:val="0"/>
        <w:spacing w:line="560" w:lineRule="exact"/>
        <w:textAlignment w:val="auto"/>
        <w:outlineLvl w:val="2"/>
        <w:rPr>
          <w:rFonts w:hint="eastAsia" w:ascii="仿宋_GB2312" w:hAnsi="仿宋_GB2312" w:eastAsia="仿宋_GB2312" w:cs="仿宋_GB2312"/>
          <w:b/>
          <w:bCs/>
          <w:color w:val="auto"/>
          <w:sz w:val="32"/>
          <w:szCs w:val="32"/>
          <w:highlight w:val="none"/>
          <w:lang w:val="en-US" w:eastAsia="zh-CN"/>
        </w:rPr>
      </w:pPr>
      <w:bookmarkStart w:id="135" w:name="_Toc18307"/>
      <w:bookmarkStart w:id="136" w:name="_Toc28885"/>
      <w:r>
        <w:rPr>
          <w:rFonts w:hint="eastAsia" w:ascii="仿宋_GB2312" w:hAnsi="仿宋_GB2312" w:eastAsia="仿宋_GB2312" w:cs="仿宋_GB2312"/>
          <w:b/>
          <w:bCs/>
          <w:color w:val="auto"/>
          <w:sz w:val="32"/>
          <w:szCs w:val="32"/>
          <w:highlight w:val="none"/>
          <w:lang w:val="en-US" w:eastAsia="zh-CN"/>
        </w:rPr>
        <w:t>3.</w:t>
      </w:r>
      <w:bookmarkEnd w:id="135"/>
      <w:r>
        <w:rPr>
          <w:rFonts w:hint="eastAsia" w:ascii="仿宋_GB2312" w:hAnsi="仿宋_GB2312" w:eastAsia="仿宋_GB2312" w:cs="仿宋_GB2312"/>
          <w:b/>
          <w:bCs/>
          <w:color w:val="auto"/>
          <w:sz w:val="32"/>
          <w:szCs w:val="32"/>
          <w:highlight w:val="none"/>
          <w:lang w:val="en-US" w:eastAsia="zh-CN"/>
        </w:rPr>
        <w:t>时效指标完成情况</w:t>
      </w:r>
      <w:bookmarkEnd w:id="136"/>
    </w:p>
    <w:p w14:paraId="10C975C9">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shd w:val="clear" w:color="auto" w:fill="auto"/>
          <w:lang w:val="en-US" w:eastAsia="zh-CN"/>
        </w:rPr>
        <w:t>道路清扫保洁及时率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指标，预期目标值为95%，实际完成为95%。实际完成率100%。</w:t>
      </w:r>
    </w:p>
    <w:p w14:paraId="69F2B445">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综上，该项指标满分6分，得分6分。</w:t>
      </w:r>
    </w:p>
    <w:p w14:paraId="1CE6EF04">
      <w:pPr>
        <w:pageBreakBefore w:val="0"/>
        <w:kinsoku/>
        <w:wordWrap/>
        <w:overflowPunct/>
        <w:topLinePunct w:val="0"/>
        <w:autoSpaceDE/>
        <w:autoSpaceDN/>
        <w:bidi w:val="0"/>
        <w:spacing w:line="560" w:lineRule="exact"/>
        <w:textAlignment w:val="auto"/>
        <w:outlineLvl w:val="2"/>
        <w:rPr>
          <w:rFonts w:hint="eastAsia" w:ascii="仿宋_GB2312" w:hAnsi="仿宋_GB2312" w:eastAsia="仿宋_GB2312" w:cs="仿宋_GB2312"/>
          <w:b/>
          <w:bCs/>
          <w:color w:val="auto"/>
          <w:sz w:val="32"/>
          <w:szCs w:val="32"/>
          <w:highlight w:val="none"/>
          <w:lang w:val="en-US" w:eastAsia="zh-CN"/>
        </w:rPr>
      </w:pPr>
      <w:bookmarkStart w:id="137" w:name="_Toc32765"/>
      <w:bookmarkStart w:id="138" w:name="_Toc20607"/>
      <w:r>
        <w:rPr>
          <w:rFonts w:hint="eastAsia" w:ascii="仿宋_GB2312" w:hAnsi="仿宋_GB2312" w:eastAsia="仿宋_GB2312" w:cs="仿宋_GB2312"/>
          <w:b/>
          <w:bCs/>
          <w:color w:val="auto"/>
          <w:sz w:val="32"/>
          <w:szCs w:val="32"/>
          <w:highlight w:val="none"/>
          <w:lang w:val="en-US" w:eastAsia="zh-CN"/>
        </w:rPr>
        <w:t>4.项目</w:t>
      </w:r>
      <w:bookmarkEnd w:id="137"/>
      <w:r>
        <w:rPr>
          <w:rFonts w:hint="eastAsia" w:ascii="仿宋_GB2312" w:hAnsi="仿宋_GB2312" w:eastAsia="仿宋_GB2312" w:cs="仿宋_GB2312"/>
          <w:b/>
          <w:bCs/>
          <w:color w:val="auto"/>
          <w:sz w:val="32"/>
          <w:szCs w:val="32"/>
          <w:highlight w:val="none"/>
          <w:lang w:val="en-US" w:eastAsia="zh-CN"/>
        </w:rPr>
        <w:t>成本情况</w:t>
      </w:r>
      <w:bookmarkEnd w:id="138"/>
    </w:p>
    <w:p w14:paraId="3D5C3212">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经济</w:t>
      </w:r>
      <w:r>
        <w:rPr>
          <w:rFonts w:hint="eastAsia" w:ascii="仿宋_GB2312" w:hAnsi="仿宋_GB2312" w:eastAsia="仿宋_GB2312" w:cs="仿宋_GB2312"/>
          <w:b/>
          <w:bCs/>
          <w:color w:val="auto"/>
          <w:sz w:val="32"/>
          <w:szCs w:val="32"/>
          <w:highlight w:val="none"/>
          <w:lang w:eastAsia="zh-CN"/>
        </w:rPr>
        <w:t>成本指标完成情况</w:t>
      </w:r>
    </w:p>
    <w:p w14:paraId="02F21D9E">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shd w:val="clear" w:color="auto" w:fill="auto"/>
          <w:lang w:val="en-US" w:eastAsia="zh-CN"/>
        </w:rPr>
        <w:t>环境卫生保洁成本控制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指标，预期目标值为</w:t>
      </w:r>
      <w:r>
        <w:rPr>
          <w:rFonts w:hint="eastAsia" w:ascii="仿宋_GB2312" w:hAnsi="仿宋_GB2312" w:eastAsia="仿宋_GB2312" w:cs="仿宋_GB2312"/>
          <w:color w:val="auto"/>
          <w:kern w:val="0"/>
          <w:sz w:val="32"/>
          <w:szCs w:val="32"/>
          <w:highlight w:val="none"/>
          <w:shd w:val="clear" w:color="auto" w:fill="auto"/>
          <w:lang w:val="en-US" w:eastAsia="zh-CN"/>
        </w:rPr>
        <w:t>2388.56万元</w:t>
      </w:r>
      <w:r>
        <w:rPr>
          <w:rFonts w:hint="eastAsia" w:ascii="仿宋_GB2312" w:hAnsi="仿宋_GB2312" w:eastAsia="仿宋_GB2312" w:cs="仿宋_GB2312"/>
          <w:color w:val="auto"/>
          <w:sz w:val="32"/>
          <w:szCs w:val="32"/>
          <w:highlight w:val="none"/>
          <w:lang w:val="en-US" w:eastAsia="zh-CN"/>
        </w:rPr>
        <w:t>，实际完成为</w:t>
      </w:r>
      <w:r>
        <w:rPr>
          <w:rFonts w:hint="eastAsia" w:ascii="仿宋_GB2312" w:hAnsi="仿宋_GB2312" w:eastAsia="仿宋_GB2312" w:cs="仿宋_GB2312"/>
          <w:color w:val="auto"/>
          <w:sz w:val="32"/>
          <w:szCs w:val="32"/>
          <w:highlight w:val="none"/>
        </w:rPr>
        <w:t>2376.25万元</w:t>
      </w:r>
      <w:r>
        <w:rPr>
          <w:rFonts w:hint="eastAsia" w:ascii="仿宋_GB2312" w:hAnsi="仿宋_GB2312" w:eastAsia="仿宋_GB2312" w:cs="仿宋_GB2312"/>
          <w:color w:val="auto"/>
          <w:sz w:val="32"/>
          <w:szCs w:val="32"/>
          <w:highlight w:val="none"/>
          <w:lang w:val="en-US" w:eastAsia="zh-CN"/>
        </w:rPr>
        <w:t>。实际完成率=（</w:t>
      </w:r>
      <w:r>
        <w:rPr>
          <w:rFonts w:hint="eastAsia" w:ascii="仿宋_GB2312" w:hAnsi="仿宋_GB2312" w:eastAsia="仿宋_GB2312" w:cs="仿宋_GB2312"/>
          <w:color w:val="auto"/>
          <w:sz w:val="32"/>
          <w:szCs w:val="32"/>
          <w:highlight w:val="none"/>
        </w:rPr>
        <w:t>2376.25万元</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shd w:val="clear" w:color="auto" w:fill="auto"/>
          <w:lang w:val="en-US" w:eastAsia="zh-CN"/>
        </w:rPr>
        <w:t>2388.56万元</w:t>
      </w:r>
      <w:r>
        <w:rPr>
          <w:rFonts w:hint="eastAsia" w:ascii="仿宋_GB2312" w:hAnsi="仿宋_GB2312" w:eastAsia="仿宋_GB2312" w:cs="仿宋_GB2312"/>
          <w:color w:val="auto"/>
          <w:sz w:val="32"/>
          <w:szCs w:val="32"/>
          <w:highlight w:val="none"/>
          <w:lang w:val="en-US" w:eastAsia="zh-CN"/>
        </w:rPr>
        <w:t>）×100%=99.48%，</w:t>
      </w:r>
      <w:r>
        <w:rPr>
          <w:rFonts w:hint="eastAsia" w:ascii="仿宋_GB2312" w:hAnsi="仿宋_GB2312" w:eastAsia="仿宋_GB2312" w:cs="仿宋_GB2312"/>
          <w:color w:val="auto"/>
          <w:sz w:val="32"/>
          <w:szCs w:val="32"/>
          <w:highlight w:val="none"/>
          <w:lang w:eastAsia="zh-CN"/>
        </w:rPr>
        <w:t>偏差原因：</w:t>
      </w:r>
      <w:r>
        <w:rPr>
          <w:rFonts w:hint="eastAsia" w:ascii="仿宋_GB2312" w:hAnsi="仿宋_GB2312" w:eastAsia="仿宋_GB2312" w:cs="仿宋_GB2312"/>
          <w:color w:val="auto"/>
          <w:sz w:val="32"/>
          <w:szCs w:val="32"/>
          <w:highlight w:val="none"/>
          <w:lang w:val="en-US" w:eastAsia="zh-CN"/>
        </w:rPr>
        <w:t>项目实施进度与资金支付进度不一致，资金支付进度存在滞后的情况。改进措施：与财政局对接，按照合同约定的支付进度及时拨付资金。</w:t>
      </w:r>
    </w:p>
    <w:p w14:paraId="0A1084F1">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shd w:val="clear" w:color="auto" w:fill="auto"/>
          <w:lang w:val="en-US" w:eastAsia="zh-CN"/>
        </w:rPr>
        <w:t>园林绿化养护成本控制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指标，预期目标值为</w:t>
      </w:r>
      <w:r>
        <w:rPr>
          <w:rFonts w:hint="eastAsia" w:ascii="仿宋_GB2312" w:hAnsi="仿宋_GB2312" w:eastAsia="仿宋_GB2312" w:cs="仿宋_GB2312"/>
          <w:color w:val="auto"/>
          <w:kern w:val="0"/>
          <w:sz w:val="32"/>
          <w:szCs w:val="32"/>
          <w:highlight w:val="none"/>
          <w:shd w:val="clear" w:color="auto" w:fill="auto"/>
          <w:lang w:val="en-US" w:eastAsia="zh-CN"/>
        </w:rPr>
        <w:t>1592.38万元</w:t>
      </w:r>
      <w:r>
        <w:rPr>
          <w:rFonts w:hint="eastAsia" w:ascii="仿宋_GB2312" w:hAnsi="仿宋_GB2312" w:eastAsia="仿宋_GB2312" w:cs="仿宋_GB2312"/>
          <w:color w:val="auto"/>
          <w:sz w:val="32"/>
          <w:szCs w:val="32"/>
          <w:highlight w:val="none"/>
          <w:lang w:val="en-US" w:eastAsia="zh-CN"/>
        </w:rPr>
        <w:t>，实际完成为</w:t>
      </w:r>
      <w:r>
        <w:rPr>
          <w:rFonts w:hint="eastAsia" w:ascii="仿宋_GB2312" w:hAnsi="仿宋_GB2312" w:eastAsia="仿宋_GB2312" w:cs="仿宋_GB2312"/>
          <w:color w:val="auto"/>
          <w:kern w:val="0"/>
          <w:sz w:val="32"/>
          <w:szCs w:val="32"/>
          <w:highlight w:val="none"/>
          <w:shd w:val="clear" w:color="auto" w:fill="auto"/>
          <w:lang w:val="en-US" w:eastAsia="zh-CN"/>
        </w:rPr>
        <w:t>1592.38万元</w:t>
      </w:r>
      <w:r>
        <w:rPr>
          <w:rFonts w:hint="eastAsia" w:ascii="仿宋_GB2312" w:hAnsi="仿宋_GB2312" w:eastAsia="仿宋_GB2312" w:cs="仿宋_GB2312"/>
          <w:color w:val="auto"/>
          <w:sz w:val="32"/>
          <w:szCs w:val="32"/>
          <w:highlight w:val="none"/>
          <w:lang w:val="en-US" w:eastAsia="zh-CN"/>
        </w:rPr>
        <w:t>。实际完成率=（</w:t>
      </w:r>
      <w:r>
        <w:rPr>
          <w:rFonts w:hint="eastAsia" w:ascii="仿宋_GB2312" w:hAnsi="仿宋_GB2312" w:eastAsia="仿宋_GB2312" w:cs="仿宋_GB2312"/>
          <w:color w:val="auto"/>
          <w:kern w:val="0"/>
          <w:sz w:val="32"/>
          <w:szCs w:val="32"/>
          <w:highlight w:val="none"/>
          <w:shd w:val="clear" w:color="auto" w:fill="auto"/>
          <w:lang w:val="en-US" w:eastAsia="zh-CN"/>
        </w:rPr>
        <w:t>1592.38万元</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shd w:val="clear" w:color="auto" w:fill="auto"/>
          <w:lang w:val="en-US" w:eastAsia="zh-CN"/>
        </w:rPr>
        <w:t>1592.38万元</w:t>
      </w:r>
      <w:r>
        <w:rPr>
          <w:rFonts w:hint="eastAsia" w:ascii="仿宋_GB2312" w:hAnsi="仿宋_GB2312" w:eastAsia="仿宋_GB2312" w:cs="仿宋_GB2312"/>
          <w:color w:val="auto"/>
          <w:sz w:val="32"/>
          <w:szCs w:val="32"/>
          <w:highlight w:val="none"/>
          <w:lang w:val="en-US" w:eastAsia="zh-CN"/>
        </w:rPr>
        <w:t>）×100%=100%。</w:t>
      </w:r>
    </w:p>
    <w:p w14:paraId="34F3DA17">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综上，该项指标满分14分，得分13.9分。</w:t>
      </w:r>
    </w:p>
    <w:p w14:paraId="3504C966">
      <w:pPr>
        <w:pStyle w:val="14"/>
        <w:keepNext w:val="0"/>
        <w:keepLines w:val="0"/>
        <w:pageBreakBefore w:val="0"/>
        <w:widowControl/>
        <w:kinsoku/>
        <w:wordWrap/>
        <w:overflowPunct/>
        <w:topLinePunct w:val="0"/>
        <w:autoSpaceDE/>
        <w:autoSpaceDN/>
        <w:bidi w:val="0"/>
        <w:adjustRightInd/>
        <w:snapToGrid/>
        <w:spacing w:before="0" w:beforeLines="-2147483648" w:after="0" w:afterLines="-2147483648" w:line="560" w:lineRule="exact"/>
        <w:ind w:firstLine="643" w:firstLineChars="200"/>
        <w:jc w:val="both"/>
        <w:textAlignment w:val="auto"/>
        <w:rPr>
          <w:rFonts w:hint="eastAsia" w:ascii="Times New Roman" w:hAnsi="Times New Roman" w:eastAsia="楷体_GB2312" w:cs="Times New Roman"/>
          <w:color w:val="auto"/>
          <w:kern w:val="28"/>
          <w:sz w:val="32"/>
          <w:highlight w:val="none"/>
          <w:lang w:val="en-US" w:eastAsia="zh-CN"/>
        </w:rPr>
      </w:pPr>
      <w:bookmarkStart w:id="139" w:name="_Toc19424"/>
      <w:r>
        <w:rPr>
          <w:rFonts w:hint="eastAsia" w:ascii="Times New Roman" w:hAnsi="Times New Roman" w:eastAsia="楷体_GB2312" w:cs="Times New Roman"/>
          <w:color w:val="auto"/>
          <w:kern w:val="28"/>
          <w:sz w:val="32"/>
          <w:highlight w:val="none"/>
          <w:lang w:val="en-US" w:eastAsia="zh-CN"/>
        </w:rPr>
        <w:t>（四）项目效益情况</w:t>
      </w:r>
      <w:bookmarkEnd w:id="139"/>
    </w:p>
    <w:p w14:paraId="7CF4F1A2">
      <w:pPr>
        <w:pageBreakBefore w:val="0"/>
        <w:widowControl w:val="0"/>
        <w:kinsoku/>
        <w:wordWrap/>
        <w:overflowPunct/>
        <w:topLinePunct w:val="0"/>
        <w:autoSpaceDE/>
        <w:autoSpaceDN/>
        <w:bidi w:val="0"/>
        <w:adjustRightInd/>
        <w:spacing w:line="560" w:lineRule="exact"/>
        <w:ind w:firstLine="560"/>
        <w:jc w:val="left"/>
        <w:textAlignment w:val="auto"/>
        <w:rPr>
          <w:rFonts w:hint="eastAsia" w:ascii="仿宋_GB2312" w:hAnsi="仿宋_GB2312" w:eastAsia="仿宋_GB2312" w:cs="仿宋_GB2312"/>
          <w:color w:val="auto"/>
          <w:kern w:val="2"/>
          <w:sz w:val="32"/>
          <w:szCs w:val="32"/>
          <w:highlight w:val="none"/>
          <w:u w:color="000000"/>
          <w:shd w:val="clear" w:color="auto" w:fill="auto"/>
          <w:lang w:val="zh-TW" w:eastAsia="zh-TW"/>
        </w:rPr>
      </w:pPr>
      <w:r>
        <w:rPr>
          <w:rFonts w:hint="eastAsia" w:ascii="仿宋_GB2312" w:hAnsi="仿宋_GB2312" w:eastAsia="仿宋_GB2312" w:cs="仿宋_GB2312"/>
          <w:color w:val="auto"/>
          <w:kern w:val="2"/>
          <w:sz w:val="32"/>
          <w:szCs w:val="32"/>
          <w:highlight w:val="none"/>
          <w:u w:color="000000"/>
          <w:shd w:val="clear" w:color="auto" w:fill="auto"/>
          <w:lang w:val="zh-TW" w:eastAsia="zh-TW"/>
        </w:rPr>
        <w:t>项目</w:t>
      </w:r>
      <w:r>
        <w:rPr>
          <w:rFonts w:hint="eastAsia" w:ascii="仿宋_GB2312" w:hAnsi="仿宋_GB2312" w:eastAsia="仿宋_GB2312" w:cs="仿宋_GB2312"/>
          <w:color w:val="auto"/>
          <w:sz w:val="32"/>
          <w:szCs w:val="32"/>
          <w:highlight w:val="none"/>
          <w:shd w:val="clear" w:color="auto" w:fill="auto"/>
          <w:lang w:val="en-US" w:eastAsia="zh-CN"/>
        </w:rPr>
        <w:t>效益</w:t>
      </w:r>
      <w:r>
        <w:rPr>
          <w:rFonts w:hint="eastAsia" w:ascii="仿宋_GB2312" w:hAnsi="仿宋_GB2312" w:eastAsia="仿宋_GB2312" w:cs="仿宋_GB2312"/>
          <w:color w:val="auto"/>
          <w:kern w:val="2"/>
          <w:sz w:val="32"/>
          <w:szCs w:val="32"/>
          <w:highlight w:val="none"/>
          <w:u w:color="000000"/>
          <w:shd w:val="clear" w:color="auto" w:fill="auto"/>
          <w:lang w:val="zh-TW" w:eastAsia="zh-TW"/>
        </w:rPr>
        <w:t>类指标</w:t>
      </w:r>
      <w:r>
        <w:rPr>
          <w:rFonts w:hint="default" w:ascii="Times New Roman" w:hAnsi="Times New Roman" w:eastAsia="仿宋_GB2312" w:cs="Times New Roman"/>
          <w:color w:val="auto"/>
          <w:sz w:val="32"/>
          <w:szCs w:val="32"/>
          <w:highlight w:val="none"/>
          <w:lang w:val="en-US" w:eastAsia="zh-CN"/>
        </w:rPr>
        <w:t>包括项目实施效益和满意度两方面的内容，</w:t>
      </w:r>
      <w:r>
        <w:rPr>
          <w:rFonts w:hint="eastAsia" w:ascii="仿宋_GB2312" w:hAnsi="仿宋_GB2312" w:eastAsia="仿宋_GB2312" w:cs="仿宋_GB2312"/>
          <w:color w:val="auto"/>
          <w:kern w:val="2"/>
          <w:sz w:val="32"/>
          <w:szCs w:val="32"/>
          <w:highlight w:val="none"/>
          <w:u w:color="000000"/>
          <w:shd w:val="clear" w:color="auto" w:fill="auto"/>
          <w:lang w:val="zh-TW" w:eastAsia="zh-TW"/>
        </w:rPr>
        <w:t>由</w:t>
      </w:r>
      <w:r>
        <w:rPr>
          <w:rFonts w:hint="eastAsia" w:ascii="仿宋_GB2312" w:hAnsi="仿宋_GB2312" w:eastAsia="仿宋_GB2312" w:cs="仿宋_GB2312"/>
          <w:color w:val="auto"/>
          <w:kern w:val="2"/>
          <w:sz w:val="32"/>
          <w:szCs w:val="32"/>
          <w:highlight w:val="none"/>
          <w:u w:color="000000"/>
          <w:shd w:val="clear" w:color="auto" w:fill="auto"/>
          <w:lang w:val="en-US" w:eastAsia="zh-CN"/>
        </w:rPr>
        <w:t>3</w:t>
      </w:r>
      <w:r>
        <w:rPr>
          <w:rFonts w:hint="eastAsia" w:ascii="仿宋_GB2312" w:hAnsi="仿宋_GB2312" w:eastAsia="仿宋_GB2312" w:cs="仿宋_GB2312"/>
          <w:color w:val="auto"/>
          <w:kern w:val="2"/>
          <w:sz w:val="32"/>
          <w:szCs w:val="32"/>
          <w:highlight w:val="none"/>
          <w:u w:color="000000"/>
          <w:shd w:val="clear" w:color="auto" w:fill="auto"/>
          <w:lang w:val="zh-TW" w:eastAsia="zh-TW"/>
        </w:rPr>
        <w:t>个</w:t>
      </w:r>
      <w:r>
        <w:rPr>
          <w:rFonts w:hint="eastAsia" w:ascii="仿宋_GB2312" w:hAnsi="仿宋_GB2312" w:eastAsia="仿宋_GB2312" w:cs="仿宋_GB2312"/>
          <w:color w:val="auto"/>
          <w:kern w:val="2"/>
          <w:sz w:val="32"/>
          <w:szCs w:val="32"/>
          <w:highlight w:val="none"/>
          <w:u w:color="000000"/>
          <w:shd w:val="clear" w:color="auto" w:fill="auto"/>
          <w:lang w:val="zh-TW" w:eastAsia="zh-CN"/>
        </w:rPr>
        <w:t>二</w:t>
      </w:r>
      <w:r>
        <w:rPr>
          <w:rFonts w:hint="eastAsia" w:ascii="仿宋_GB2312" w:hAnsi="仿宋_GB2312" w:eastAsia="仿宋_GB2312" w:cs="仿宋_GB2312"/>
          <w:color w:val="auto"/>
          <w:kern w:val="2"/>
          <w:sz w:val="32"/>
          <w:szCs w:val="32"/>
          <w:highlight w:val="none"/>
          <w:u w:color="000000"/>
          <w:shd w:val="clear" w:color="auto" w:fill="auto"/>
          <w:lang w:val="zh-TW" w:eastAsia="zh-TW"/>
        </w:rPr>
        <w:t>级指标和</w:t>
      </w:r>
      <w:r>
        <w:rPr>
          <w:rFonts w:hint="eastAsia" w:ascii="仿宋_GB2312" w:hAnsi="仿宋_GB2312" w:eastAsia="仿宋_GB2312" w:cs="仿宋_GB2312"/>
          <w:color w:val="auto"/>
          <w:kern w:val="2"/>
          <w:sz w:val="32"/>
          <w:szCs w:val="32"/>
          <w:highlight w:val="none"/>
          <w:u w:color="000000"/>
          <w:shd w:val="clear" w:color="auto" w:fill="auto"/>
          <w:lang w:val="en-US" w:eastAsia="zh-CN"/>
        </w:rPr>
        <w:t>3</w:t>
      </w:r>
      <w:r>
        <w:rPr>
          <w:rFonts w:hint="eastAsia" w:ascii="仿宋_GB2312" w:hAnsi="仿宋_GB2312" w:eastAsia="仿宋_GB2312" w:cs="仿宋_GB2312"/>
          <w:color w:val="auto"/>
          <w:kern w:val="2"/>
          <w:sz w:val="32"/>
          <w:szCs w:val="32"/>
          <w:highlight w:val="none"/>
          <w:u w:color="000000"/>
          <w:shd w:val="clear" w:color="auto" w:fill="auto"/>
          <w:lang w:val="zh-TW" w:eastAsia="zh-TW"/>
        </w:rPr>
        <w:t>个</w:t>
      </w:r>
      <w:r>
        <w:rPr>
          <w:rFonts w:hint="eastAsia" w:ascii="仿宋_GB2312" w:hAnsi="仿宋_GB2312" w:eastAsia="仿宋_GB2312" w:cs="仿宋_GB2312"/>
          <w:color w:val="auto"/>
          <w:kern w:val="2"/>
          <w:sz w:val="32"/>
          <w:szCs w:val="32"/>
          <w:highlight w:val="none"/>
          <w:u w:color="000000"/>
          <w:shd w:val="clear" w:color="auto" w:fill="auto"/>
          <w:lang w:eastAsia="zh-CN"/>
        </w:rPr>
        <w:t>三</w:t>
      </w:r>
      <w:r>
        <w:rPr>
          <w:rFonts w:hint="eastAsia" w:ascii="仿宋_GB2312" w:hAnsi="仿宋_GB2312" w:eastAsia="仿宋_GB2312" w:cs="仿宋_GB2312"/>
          <w:color w:val="auto"/>
          <w:kern w:val="2"/>
          <w:sz w:val="32"/>
          <w:szCs w:val="32"/>
          <w:highlight w:val="none"/>
          <w:u w:color="000000"/>
          <w:shd w:val="clear" w:color="auto" w:fill="auto"/>
          <w:lang w:val="zh-TW" w:eastAsia="zh-TW"/>
        </w:rPr>
        <w:t>级指标构成，权重分</w:t>
      </w:r>
      <w:r>
        <w:rPr>
          <w:rFonts w:hint="eastAsia" w:ascii="仿宋_GB2312" w:hAnsi="仿宋_GB2312" w:eastAsia="仿宋_GB2312" w:cs="仿宋_GB2312"/>
          <w:color w:val="auto"/>
          <w:kern w:val="2"/>
          <w:sz w:val="32"/>
          <w:szCs w:val="32"/>
          <w:highlight w:val="none"/>
          <w:u w:color="000000"/>
          <w:shd w:val="clear" w:color="auto" w:fill="auto"/>
          <w:lang w:val="en-US" w:eastAsia="zh-CN"/>
        </w:rPr>
        <w:t>20</w:t>
      </w:r>
      <w:r>
        <w:rPr>
          <w:rFonts w:hint="eastAsia" w:ascii="仿宋_GB2312" w:hAnsi="仿宋_GB2312" w:eastAsia="仿宋_GB2312" w:cs="仿宋_GB2312"/>
          <w:color w:val="auto"/>
          <w:kern w:val="2"/>
          <w:sz w:val="32"/>
          <w:szCs w:val="32"/>
          <w:highlight w:val="none"/>
          <w:u w:color="000000"/>
          <w:shd w:val="clear" w:color="auto" w:fill="auto"/>
          <w:lang w:val="zh-TW" w:eastAsia="zh-TW"/>
        </w:rPr>
        <w:t>分，实际得分</w:t>
      </w:r>
      <w:r>
        <w:rPr>
          <w:rFonts w:hint="eastAsia" w:ascii="仿宋_GB2312" w:hAnsi="仿宋_GB2312" w:eastAsia="仿宋_GB2312" w:cs="仿宋_GB2312"/>
          <w:color w:val="auto"/>
          <w:kern w:val="2"/>
          <w:sz w:val="32"/>
          <w:szCs w:val="32"/>
          <w:highlight w:val="none"/>
          <w:u w:color="000000"/>
          <w:shd w:val="clear" w:color="auto" w:fill="auto"/>
          <w:lang w:val="en-US" w:eastAsia="zh-CN"/>
        </w:rPr>
        <w:t>20</w:t>
      </w:r>
      <w:r>
        <w:rPr>
          <w:rFonts w:hint="eastAsia" w:ascii="仿宋_GB2312" w:hAnsi="仿宋_GB2312" w:eastAsia="仿宋_GB2312" w:cs="仿宋_GB2312"/>
          <w:color w:val="auto"/>
          <w:kern w:val="2"/>
          <w:sz w:val="32"/>
          <w:szCs w:val="32"/>
          <w:highlight w:val="none"/>
          <w:u w:color="000000"/>
          <w:shd w:val="clear" w:color="auto" w:fill="auto"/>
          <w:lang w:val="zh-TW" w:eastAsia="zh-TW"/>
        </w:rPr>
        <w:t>分</w:t>
      </w:r>
      <w:r>
        <w:rPr>
          <w:rFonts w:hint="eastAsia" w:ascii="仿宋_GB2312" w:hAnsi="仿宋_GB2312" w:eastAsia="仿宋_GB2312" w:cs="仿宋_GB2312"/>
          <w:color w:val="auto"/>
          <w:kern w:val="2"/>
          <w:sz w:val="32"/>
          <w:szCs w:val="32"/>
          <w:highlight w:val="none"/>
          <w:u w:color="000000"/>
          <w:shd w:val="clear" w:color="auto" w:fill="auto"/>
          <w:lang w:val="zh-TW" w:eastAsia="zh-CN"/>
        </w:rPr>
        <w:t>，</w:t>
      </w:r>
      <w:r>
        <w:rPr>
          <w:rFonts w:hint="eastAsia" w:ascii="仿宋_GB2312" w:hAnsi="仿宋_GB2312" w:eastAsia="仿宋_GB2312" w:cs="仿宋_GB2312"/>
          <w:color w:val="auto"/>
          <w:kern w:val="2"/>
          <w:sz w:val="32"/>
          <w:szCs w:val="32"/>
          <w:highlight w:val="none"/>
          <w:u w:color="000000"/>
          <w:shd w:val="clear" w:color="auto" w:fill="auto"/>
          <w:lang w:val="zh-TW" w:eastAsia="zh-TW"/>
        </w:rPr>
        <w:t>各指标业绩值和绩效分值如表</w:t>
      </w:r>
      <w:r>
        <w:rPr>
          <w:rFonts w:hint="eastAsia" w:ascii="仿宋_GB2312" w:hAnsi="仿宋_GB2312" w:eastAsia="仿宋_GB2312" w:cs="仿宋_GB2312"/>
          <w:color w:val="auto"/>
          <w:kern w:val="2"/>
          <w:sz w:val="32"/>
          <w:szCs w:val="32"/>
          <w:highlight w:val="none"/>
          <w:u w:color="000000"/>
          <w:shd w:val="clear" w:color="auto" w:fill="auto"/>
          <w:lang w:val="en-US" w:eastAsia="zh-CN"/>
        </w:rPr>
        <w:t>4</w:t>
      </w:r>
      <w:r>
        <w:rPr>
          <w:rFonts w:hint="eastAsia" w:ascii="仿宋_GB2312" w:hAnsi="仿宋_GB2312" w:eastAsia="仿宋_GB2312" w:cs="仿宋_GB2312"/>
          <w:color w:val="auto"/>
          <w:kern w:val="2"/>
          <w:sz w:val="32"/>
          <w:szCs w:val="32"/>
          <w:highlight w:val="none"/>
          <w:u w:color="000000"/>
          <w:shd w:val="clear" w:color="auto" w:fill="auto"/>
          <w:lang w:eastAsia="zh-CN"/>
        </w:rPr>
        <w:t>-</w:t>
      </w:r>
      <w:r>
        <w:rPr>
          <w:rFonts w:hint="eastAsia" w:ascii="仿宋_GB2312" w:hAnsi="仿宋_GB2312" w:eastAsia="仿宋_GB2312" w:cs="仿宋_GB2312"/>
          <w:color w:val="auto"/>
          <w:kern w:val="2"/>
          <w:sz w:val="32"/>
          <w:szCs w:val="32"/>
          <w:highlight w:val="none"/>
          <w:u w:color="000000"/>
          <w:shd w:val="clear" w:color="auto" w:fill="auto"/>
          <w:lang w:val="en-US" w:eastAsia="zh-CN"/>
        </w:rPr>
        <w:t>4</w:t>
      </w:r>
      <w:r>
        <w:rPr>
          <w:rFonts w:hint="eastAsia" w:ascii="仿宋_GB2312" w:hAnsi="仿宋_GB2312" w:eastAsia="仿宋_GB2312" w:cs="仿宋_GB2312"/>
          <w:color w:val="auto"/>
          <w:kern w:val="2"/>
          <w:sz w:val="32"/>
          <w:szCs w:val="32"/>
          <w:highlight w:val="none"/>
          <w:u w:color="000000"/>
          <w:shd w:val="clear" w:color="auto" w:fill="auto"/>
          <w:lang w:val="zh-TW" w:eastAsia="zh-TW"/>
        </w:rPr>
        <w:t>所示</w:t>
      </w:r>
      <w:r>
        <w:rPr>
          <w:rFonts w:hint="eastAsia" w:ascii="仿宋_GB2312" w:hAnsi="仿宋_GB2312" w:eastAsia="仿宋_GB2312" w:cs="仿宋_GB2312"/>
          <w:b/>
          <w:bCs/>
          <w:color w:val="auto"/>
          <w:kern w:val="2"/>
          <w:sz w:val="32"/>
          <w:szCs w:val="32"/>
          <w:highlight w:val="none"/>
          <w:u w:color="000000"/>
          <w:shd w:val="clear" w:color="auto" w:fill="auto"/>
          <w:lang w:val="zh-TW" w:eastAsia="zh-CN"/>
        </w:rPr>
        <w:t>（</w:t>
      </w:r>
      <w:r>
        <w:rPr>
          <w:rFonts w:hint="eastAsia" w:ascii="仿宋_GB2312" w:hAnsi="仿宋_GB2312" w:eastAsia="仿宋_GB2312" w:cs="仿宋_GB2312"/>
          <w:b/>
          <w:bCs/>
          <w:color w:val="auto"/>
          <w:kern w:val="2"/>
          <w:sz w:val="32"/>
          <w:szCs w:val="32"/>
          <w:highlight w:val="none"/>
          <w:u w:color="000000"/>
          <w:shd w:val="clear" w:color="auto" w:fill="auto"/>
          <w:lang w:val="en-US" w:eastAsia="zh-CN"/>
        </w:rPr>
        <w:t>详见上传的附件</w:t>
      </w:r>
      <w:r>
        <w:rPr>
          <w:rFonts w:hint="eastAsia" w:ascii="仿宋_GB2312" w:hAnsi="仿宋_GB2312" w:eastAsia="仿宋_GB2312" w:cs="仿宋_GB2312"/>
          <w:b/>
          <w:bCs/>
          <w:color w:val="auto"/>
          <w:kern w:val="2"/>
          <w:sz w:val="32"/>
          <w:szCs w:val="32"/>
          <w:highlight w:val="none"/>
          <w:u w:color="000000"/>
          <w:shd w:val="clear" w:color="auto" w:fill="auto"/>
          <w:lang w:val="zh-TW" w:eastAsia="zh-CN"/>
        </w:rPr>
        <w:t>）</w:t>
      </w:r>
      <w:r>
        <w:rPr>
          <w:rFonts w:hint="eastAsia" w:ascii="仿宋_GB2312" w:hAnsi="仿宋_GB2312" w:eastAsia="仿宋_GB2312" w:cs="仿宋_GB2312"/>
          <w:color w:val="auto"/>
          <w:kern w:val="2"/>
          <w:sz w:val="32"/>
          <w:szCs w:val="32"/>
          <w:highlight w:val="none"/>
          <w:u w:color="000000"/>
          <w:shd w:val="clear" w:color="auto" w:fill="auto"/>
          <w:lang w:val="zh-TW" w:eastAsia="zh-TW"/>
        </w:rPr>
        <w:t>：</w:t>
      </w:r>
    </w:p>
    <w:p w14:paraId="4974C75B">
      <w:pPr>
        <w:pageBreakBefore w:val="0"/>
        <w:widowControl w:val="0"/>
        <w:kinsoku/>
        <w:wordWrap/>
        <w:overflowPunct/>
        <w:topLinePunct w:val="0"/>
        <w:autoSpaceDE/>
        <w:autoSpaceDN/>
        <w:bidi w:val="0"/>
        <w:adjustRightInd/>
        <w:spacing w:line="560" w:lineRule="exact"/>
        <w:ind w:firstLine="56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4-4项目效益</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6"/>
        <w:tblW w:w="8372" w:type="dxa"/>
        <w:jc w:val="center"/>
        <w:shd w:val="clear" w:color="auto" w:fill="auto"/>
        <w:tblLayout w:type="fixed"/>
        <w:tblCellMar>
          <w:top w:w="0" w:type="dxa"/>
          <w:left w:w="0" w:type="dxa"/>
          <w:bottom w:w="0" w:type="dxa"/>
          <w:right w:w="0" w:type="dxa"/>
        </w:tblCellMar>
      </w:tblPr>
      <w:tblGrid>
        <w:gridCol w:w="685"/>
        <w:gridCol w:w="1725"/>
        <w:gridCol w:w="2744"/>
        <w:gridCol w:w="870"/>
        <w:gridCol w:w="645"/>
        <w:gridCol w:w="1050"/>
        <w:gridCol w:w="653"/>
      </w:tblGrid>
      <w:tr w14:paraId="48FDBA8F">
        <w:tblPrEx>
          <w:tblCellMar>
            <w:top w:w="0" w:type="dxa"/>
            <w:left w:w="0" w:type="dxa"/>
            <w:bottom w:w="0" w:type="dxa"/>
            <w:right w:w="0" w:type="dxa"/>
          </w:tblCellMar>
        </w:tblPrEx>
        <w:trPr>
          <w:trHeight w:val="816" w:hRule="atLeast"/>
          <w:jc w:val="center"/>
        </w:trPr>
        <w:tc>
          <w:tcPr>
            <w:tcW w:w="6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2B8109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w:t>
            </w:r>
          </w:p>
          <w:p w14:paraId="574B9C2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tc>
        <w:tc>
          <w:tcPr>
            <w:tcW w:w="17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F9AC38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6044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91C1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w:t>
            </w:r>
          </w:p>
          <w:p w14:paraId="2E15EFD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标值</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A775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w:t>
            </w:r>
          </w:p>
          <w:p w14:paraId="344BB3C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69E0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w:t>
            </w:r>
          </w:p>
          <w:p w14:paraId="3EFBA14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际完成值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3BCF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p w14:paraId="35E0AB0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14:paraId="2766385F">
        <w:tblPrEx>
          <w:shd w:val="clear" w:color="auto" w:fill="auto"/>
          <w:tblCellMar>
            <w:top w:w="0" w:type="dxa"/>
            <w:left w:w="0" w:type="dxa"/>
            <w:bottom w:w="0" w:type="dxa"/>
            <w:right w:w="0" w:type="dxa"/>
          </w:tblCellMar>
        </w:tblPrEx>
        <w:trPr>
          <w:trHeight w:val="436" w:hRule="atLeast"/>
          <w:jc w:val="center"/>
        </w:trPr>
        <w:tc>
          <w:tcPr>
            <w:tcW w:w="685" w:type="dxa"/>
            <w:vMerge w:val="restart"/>
            <w:tcBorders>
              <w:left w:val="single" w:color="auto" w:sz="4" w:space="0"/>
              <w:right w:val="single" w:color="000000" w:sz="4" w:space="0"/>
            </w:tcBorders>
            <w:shd w:val="clear" w:color="auto" w:fill="auto"/>
            <w:tcMar>
              <w:top w:w="15" w:type="dxa"/>
              <w:left w:w="15" w:type="dxa"/>
              <w:right w:w="15" w:type="dxa"/>
            </w:tcMar>
            <w:vAlign w:val="center"/>
          </w:tcPr>
          <w:p w14:paraId="4C2B42E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效益</w:t>
            </w: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E8C169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社会效益指标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F73CC1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创造良好的城市工作生活环境，提高环境质量</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9248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提高</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EB8F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9F9A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达到预期指标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C641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7</w:t>
            </w:r>
          </w:p>
        </w:tc>
      </w:tr>
      <w:tr w14:paraId="529C13D3">
        <w:tblPrEx>
          <w:shd w:val="clear" w:color="auto" w:fill="auto"/>
          <w:tblCellMar>
            <w:top w:w="0" w:type="dxa"/>
            <w:left w:w="0" w:type="dxa"/>
            <w:bottom w:w="0" w:type="dxa"/>
            <w:right w:w="0" w:type="dxa"/>
          </w:tblCellMar>
        </w:tblPrEx>
        <w:trPr>
          <w:trHeight w:val="436" w:hRule="atLeast"/>
          <w:jc w:val="center"/>
        </w:trPr>
        <w:tc>
          <w:tcPr>
            <w:tcW w:w="685"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054B94B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0D30EB4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生态效益指标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7E3A51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提高城市生态环境，保持生态平衡</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77D7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保持</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CF57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9543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达到预期指标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68B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7</w:t>
            </w:r>
          </w:p>
        </w:tc>
      </w:tr>
      <w:tr w14:paraId="0A51D101">
        <w:tblPrEx>
          <w:shd w:val="clear" w:color="auto" w:fill="auto"/>
          <w:tblCellMar>
            <w:top w:w="0" w:type="dxa"/>
            <w:left w:w="0" w:type="dxa"/>
            <w:bottom w:w="0" w:type="dxa"/>
            <w:right w:w="0" w:type="dxa"/>
          </w:tblCellMar>
        </w:tblPrEx>
        <w:trPr>
          <w:trHeight w:val="436" w:hRule="atLeast"/>
          <w:jc w:val="center"/>
        </w:trPr>
        <w:tc>
          <w:tcPr>
            <w:tcW w:w="685" w:type="dxa"/>
            <w:vMerge w:val="continue"/>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53CF64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9C9A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满意度指标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3360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市民满意度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FACA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≥95%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B59F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5B46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95%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7B82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6</w:t>
            </w:r>
          </w:p>
        </w:tc>
      </w:tr>
      <w:tr w14:paraId="0ED27477">
        <w:tblPrEx>
          <w:shd w:val="clear" w:color="auto" w:fill="auto"/>
          <w:tblCellMar>
            <w:top w:w="0" w:type="dxa"/>
            <w:left w:w="0" w:type="dxa"/>
            <w:bottom w:w="0" w:type="dxa"/>
            <w:right w:w="0" w:type="dxa"/>
          </w:tblCellMar>
        </w:tblPrEx>
        <w:trPr>
          <w:trHeight w:val="469" w:hRule="atLeast"/>
          <w:jc w:val="center"/>
        </w:trPr>
        <w:tc>
          <w:tcPr>
            <w:tcW w:w="6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7A8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0B5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r>
              <w:rPr>
                <w:rFonts w:hint="eastAsia" w:ascii="宋体" w:hAnsi="宋体" w:eastAsia="宋体" w:cs="宋体"/>
                <w:color w:val="auto"/>
                <w:kern w:val="0"/>
                <w:sz w:val="20"/>
                <w:szCs w:val="20"/>
                <w:highlight w:val="none"/>
                <w:shd w:val="clear" w:color="auto" w:fill="auto"/>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87A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C49F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w:t>
            </w:r>
          </w:p>
        </w:tc>
      </w:tr>
    </w:tbl>
    <w:p w14:paraId="69555698">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bCs/>
          <w:color w:val="auto"/>
          <w:sz w:val="32"/>
          <w:szCs w:val="32"/>
          <w:highlight w:val="none"/>
          <w:lang w:val="en-US" w:eastAsia="zh-CN"/>
        </w:rPr>
      </w:pPr>
      <w:bookmarkStart w:id="140" w:name="_Toc5170"/>
      <w:bookmarkStart w:id="141" w:name="_Toc8010"/>
      <w:r>
        <w:rPr>
          <w:rFonts w:hint="eastAsia" w:ascii="仿宋_GB2312" w:hAnsi="仿宋_GB2312" w:eastAsia="仿宋_GB2312" w:cs="仿宋_GB2312"/>
          <w:b/>
          <w:bCs/>
          <w:color w:val="auto"/>
          <w:sz w:val="32"/>
          <w:szCs w:val="32"/>
          <w:highlight w:val="none"/>
          <w:lang w:val="en-US" w:eastAsia="zh-CN"/>
        </w:rPr>
        <w:t>1.</w:t>
      </w:r>
      <w:bookmarkEnd w:id="140"/>
      <w:bookmarkEnd w:id="141"/>
      <w:bookmarkStart w:id="142" w:name="_Toc27006"/>
      <w:bookmarkStart w:id="143" w:name="_Toc29606"/>
      <w:r>
        <w:rPr>
          <w:rFonts w:hint="eastAsia" w:ascii="仿宋_GB2312" w:hAnsi="仿宋_GB2312" w:eastAsia="仿宋_GB2312" w:cs="仿宋_GB2312"/>
          <w:b/>
          <w:bCs/>
          <w:color w:val="auto"/>
          <w:sz w:val="32"/>
          <w:szCs w:val="32"/>
          <w:highlight w:val="none"/>
          <w:lang w:val="en-US" w:eastAsia="zh-CN"/>
        </w:rPr>
        <w:t>社会效益指标</w:t>
      </w:r>
      <w:bookmarkEnd w:id="142"/>
      <w:r>
        <w:rPr>
          <w:rFonts w:hint="eastAsia" w:ascii="仿宋_GB2312" w:hAnsi="仿宋_GB2312" w:eastAsia="仿宋_GB2312" w:cs="仿宋_GB2312"/>
          <w:b/>
          <w:bCs/>
          <w:color w:val="auto"/>
          <w:sz w:val="32"/>
          <w:szCs w:val="32"/>
          <w:highlight w:val="none"/>
          <w:lang w:val="en-US" w:eastAsia="zh-CN"/>
        </w:rPr>
        <w:t>完成情况</w:t>
      </w:r>
      <w:bookmarkEnd w:id="143"/>
    </w:p>
    <w:p w14:paraId="1BE89BF1">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shd w:val="clear" w:color="auto" w:fill="auto"/>
          <w:lang w:val="en-US" w:eastAsia="zh-CN"/>
        </w:rPr>
        <w:t>创造良好的城市工作生活环境，提高环境质量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指标，预期目标值为</w:t>
      </w:r>
      <w:r>
        <w:rPr>
          <w:rFonts w:hint="eastAsia" w:ascii="仿宋_GB2312" w:hAnsi="仿宋_GB2312" w:eastAsia="仿宋_GB2312" w:cs="仿宋_GB2312"/>
          <w:color w:val="auto"/>
          <w:kern w:val="0"/>
          <w:sz w:val="32"/>
          <w:szCs w:val="32"/>
          <w:highlight w:val="none"/>
          <w:shd w:val="clear" w:color="auto" w:fill="auto"/>
          <w:lang w:val="en-US" w:eastAsia="zh-CN"/>
        </w:rPr>
        <w:t>提高</w:t>
      </w:r>
      <w:r>
        <w:rPr>
          <w:rFonts w:hint="eastAsia" w:ascii="仿宋_GB2312" w:hAnsi="仿宋_GB2312" w:eastAsia="仿宋_GB2312" w:cs="仿宋_GB2312"/>
          <w:color w:val="auto"/>
          <w:sz w:val="32"/>
          <w:szCs w:val="32"/>
          <w:highlight w:val="none"/>
          <w:lang w:val="en-US" w:eastAsia="zh-CN"/>
        </w:rPr>
        <w:t>，实际完成为</w:t>
      </w:r>
      <w:r>
        <w:rPr>
          <w:rFonts w:hint="eastAsia" w:ascii="仿宋_GB2312" w:hAnsi="仿宋_GB2312" w:eastAsia="仿宋_GB2312" w:cs="仿宋_GB2312"/>
          <w:color w:val="auto"/>
          <w:kern w:val="0"/>
          <w:sz w:val="32"/>
          <w:szCs w:val="32"/>
          <w:highlight w:val="none"/>
          <w:shd w:val="clear" w:color="auto" w:fill="auto"/>
          <w:lang w:val="en-US" w:eastAsia="zh-CN"/>
        </w:rPr>
        <w:t>100%</w:t>
      </w:r>
      <w:r>
        <w:rPr>
          <w:rFonts w:hint="eastAsia" w:ascii="仿宋_GB2312" w:hAnsi="仿宋_GB2312" w:eastAsia="仿宋_GB2312" w:cs="仿宋_GB2312"/>
          <w:color w:val="auto"/>
          <w:sz w:val="32"/>
          <w:szCs w:val="32"/>
          <w:highlight w:val="none"/>
          <w:lang w:val="en-US" w:eastAsia="zh-CN"/>
        </w:rPr>
        <w:t>。</w:t>
      </w:r>
    </w:p>
    <w:p w14:paraId="0B804553">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通过项目的实施，达到创造良好的城市工作生活环境，提高城市环境质量的目的，同时该项目的实施，也美化了城市环境，为市民及游客提供宜居、宜游的生活环境氛围的效益。</w:t>
      </w:r>
    </w:p>
    <w:p w14:paraId="3E4CC20B">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综上，该项指标满分7分，得分7分。</w:t>
      </w:r>
    </w:p>
    <w:p w14:paraId="1F7C0C5D">
      <w:pPr>
        <w:pageBreakBefore w:val="0"/>
        <w:kinsoku/>
        <w:wordWrap/>
        <w:overflowPunct/>
        <w:topLinePunct w:val="0"/>
        <w:autoSpaceDE/>
        <w:autoSpaceDN/>
        <w:bidi w:val="0"/>
        <w:spacing w:line="560" w:lineRule="exact"/>
        <w:textAlignment w:val="auto"/>
        <w:outlineLvl w:val="2"/>
        <w:rPr>
          <w:rFonts w:hint="eastAsia" w:ascii="仿宋_GB2312" w:hAnsi="仿宋_GB2312" w:eastAsia="仿宋_GB2312" w:cs="仿宋_GB2312"/>
          <w:b/>
          <w:bCs/>
          <w:color w:val="auto"/>
          <w:sz w:val="32"/>
          <w:szCs w:val="32"/>
          <w:highlight w:val="none"/>
          <w:lang w:val="en-US" w:eastAsia="zh-CN"/>
        </w:rPr>
      </w:pPr>
      <w:bookmarkStart w:id="144" w:name="_Toc23106"/>
      <w:bookmarkStart w:id="145" w:name="_Toc14320"/>
      <w:r>
        <w:rPr>
          <w:rFonts w:hint="eastAsia" w:ascii="仿宋_GB2312" w:hAnsi="仿宋_GB2312" w:eastAsia="仿宋_GB2312" w:cs="仿宋_GB2312"/>
          <w:b/>
          <w:bCs/>
          <w:color w:val="auto"/>
          <w:sz w:val="32"/>
          <w:szCs w:val="32"/>
          <w:highlight w:val="none"/>
          <w:lang w:val="en-US" w:eastAsia="zh-CN"/>
        </w:rPr>
        <w:t>2.生态效益指标</w:t>
      </w:r>
      <w:bookmarkEnd w:id="144"/>
      <w:r>
        <w:rPr>
          <w:rFonts w:hint="eastAsia" w:ascii="仿宋_GB2312" w:hAnsi="仿宋_GB2312" w:eastAsia="仿宋_GB2312" w:cs="仿宋_GB2312"/>
          <w:b/>
          <w:bCs/>
          <w:color w:val="auto"/>
          <w:sz w:val="32"/>
          <w:szCs w:val="32"/>
          <w:highlight w:val="none"/>
          <w:lang w:val="en-US" w:eastAsia="zh-CN"/>
        </w:rPr>
        <w:t>完成情况</w:t>
      </w:r>
      <w:bookmarkEnd w:id="145"/>
    </w:p>
    <w:p w14:paraId="6C6C8098">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shd w:val="clear" w:color="auto" w:fill="auto"/>
          <w:lang w:val="en-US" w:eastAsia="zh-CN"/>
        </w:rPr>
        <w:t>提高城市生态环境，保持生态平衡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指标，预期目标值为</w:t>
      </w:r>
      <w:r>
        <w:rPr>
          <w:rFonts w:hint="eastAsia" w:ascii="仿宋_GB2312" w:hAnsi="仿宋_GB2312" w:eastAsia="仿宋_GB2312" w:cs="仿宋_GB2312"/>
          <w:color w:val="auto"/>
          <w:kern w:val="0"/>
          <w:sz w:val="32"/>
          <w:szCs w:val="32"/>
          <w:highlight w:val="none"/>
          <w:shd w:val="clear" w:color="auto" w:fill="auto"/>
          <w:lang w:val="en-US" w:eastAsia="zh-CN"/>
        </w:rPr>
        <w:t>保持</w:t>
      </w:r>
      <w:r>
        <w:rPr>
          <w:rFonts w:hint="eastAsia" w:ascii="仿宋_GB2312" w:hAnsi="仿宋_GB2312" w:eastAsia="仿宋_GB2312" w:cs="仿宋_GB2312"/>
          <w:color w:val="auto"/>
          <w:sz w:val="32"/>
          <w:szCs w:val="32"/>
          <w:highlight w:val="none"/>
          <w:lang w:val="en-US" w:eastAsia="zh-CN"/>
        </w:rPr>
        <w:t>，实际完成为</w:t>
      </w:r>
      <w:r>
        <w:rPr>
          <w:rFonts w:hint="eastAsia" w:ascii="仿宋_GB2312" w:hAnsi="仿宋_GB2312" w:eastAsia="仿宋_GB2312" w:cs="仿宋_GB2312"/>
          <w:color w:val="auto"/>
          <w:kern w:val="0"/>
          <w:sz w:val="32"/>
          <w:szCs w:val="32"/>
          <w:highlight w:val="none"/>
          <w:shd w:val="clear" w:color="auto" w:fill="auto"/>
          <w:lang w:val="en-US" w:eastAsia="zh-CN"/>
        </w:rPr>
        <w:t>100%</w:t>
      </w:r>
      <w:r>
        <w:rPr>
          <w:rFonts w:hint="eastAsia" w:ascii="仿宋_GB2312" w:hAnsi="仿宋_GB2312" w:eastAsia="仿宋_GB2312" w:cs="仿宋_GB2312"/>
          <w:color w:val="auto"/>
          <w:sz w:val="32"/>
          <w:szCs w:val="32"/>
          <w:highlight w:val="none"/>
          <w:lang w:val="en-US" w:eastAsia="zh-CN"/>
        </w:rPr>
        <w:t>。</w:t>
      </w:r>
    </w:p>
    <w:p w14:paraId="5D93B06A">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通过项目的实施，达到</w:t>
      </w:r>
      <w:r>
        <w:rPr>
          <w:rFonts w:hint="eastAsia" w:ascii="仿宋_GB2312" w:hAnsi="仿宋_GB2312" w:eastAsia="仿宋_GB2312" w:cs="仿宋_GB2312"/>
          <w:color w:val="auto"/>
          <w:sz w:val="32"/>
          <w:szCs w:val="32"/>
          <w:highlight w:val="none"/>
          <w:lang w:val="en-US" w:eastAsia="zh-CN"/>
        </w:rPr>
        <w:t>提高城市生态环境，保护生态环境质量，有效的促进阜康市生态体系的完善，保持生态平衡，为阜康市生态可持续发展提供有力保障的效益。</w:t>
      </w:r>
    </w:p>
    <w:p w14:paraId="114B4D5F">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综上，该项指标满分7分，得分7分。</w:t>
      </w:r>
    </w:p>
    <w:p w14:paraId="07081082">
      <w:pPr>
        <w:pStyle w:val="14"/>
        <w:keepNext w:val="0"/>
        <w:keepLines w:val="0"/>
        <w:pageBreakBefore w:val="0"/>
        <w:widowControl/>
        <w:kinsoku/>
        <w:wordWrap/>
        <w:overflowPunct/>
        <w:topLinePunct w:val="0"/>
        <w:autoSpaceDE/>
        <w:autoSpaceDN/>
        <w:bidi w:val="0"/>
        <w:adjustRightInd/>
        <w:snapToGrid/>
        <w:spacing w:before="0" w:beforeLines="-2147483648" w:after="0" w:afterLines="-2147483648" w:line="560" w:lineRule="exact"/>
        <w:ind w:firstLine="643" w:firstLineChars="200"/>
        <w:jc w:val="both"/>
        <w:textAlignment w:val="auto"/>
        <w:rPr>
          <w:rFonts w:hint="eastAsia" w:ascii="仿宋_GB2312" w:hAnsi="仿宋_GB2312" w:eastAsia="仿宋_GB2312" w:cs="仿宋_GB2312"/>
          <w:b/>
          <w:bCs/>
          <w:color w:val="auto"/>
          <w:kern w:val="28"/>
          <w:sz w:val="32"/>
          <w:szCs w:val="32"/>
          <w:highlight w:val="none"/>
          <w:lang w:val="en-US" w:eastAsia="zh-CN"/>
        </w:rPr>
      </w:pPr>
      <w:bookmarkStart w:id="146" w:name="_Toc23313"/>
      <w:r>
        <w:rPr>
          <w:rFonts w:hint="eastAsia" w:ascii="仿宋_GB2312" w:hAnsi="仿宋_GB2312" w:eastAsia="仿宋_GB2312" w:cs="仿宋_GB2312"/>
          <w:b/>
          <w:bCs/>
          <w:color w:val="auto"/>
          <w:kern w:val="28"/>
          <w:sz w:val="32"/>
          <w:szCs w:val="32"/>
          <w:highlight w:val="none"/>
          <w:lang w:val="en-US" w:eastAsia="zh-CN"/>
        </w:rPr>
        <w:t>（五）满意度指标完成情况分析</w:t>
      </w:r>
      <w:bookmarkEnd w:id="146"/>
    </w:p>
    <w:p w14:paraId="37A7F6D1">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shd w:val="clear" w:color="auto" w:fill="auto"/>
          <w:lang w:val="en-US" w:eastAsia="zh-CN"/>
        </w:rPr>
        <w:t>市民满意度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指标，预期目标值为</w:t>
      </w:r>
      <w:r>
        <w:rPr>
          <w:rFonts w:hint="eastAsia" w:ascii="仿宋_GB2312" w:hAnsi="仿宋_GB2312" w:eastAsia="仿宋_GB2312" w:cs="仿宋_GB2312"/>
          <w:color w:val="auto"/>
          <w:kern w:val="0"/>
          <w:sz w:val="32"/>
          <w:szCs w:val="32"/>
          <w:highlight w:val="none"/>
          <w:shd w:val="clear" w:color="auto" w:fill="auto"/>
          <w:lang w:val="en-US" w:eastAsia="zh-CN"/>
        </w:rPr>
        <w:t>95%</w:t>
      </w:r>
      <w:r>
        <w:rPr>
          <w:rFonts w:hint="eastAsia" w:ascii="仿宋_GB2312" w:hAnsi="仿宋_GB2312" w:eastAsia="仿宋_GB2312" w:cs="仿宋_GB2312"/>
          <w:color w:val="auto"/>
          <w:sz w:val="32"/>
          <w:szCs w:val="32"/>
          <w:highlight w:val="none"/>
          <w:lang w:val="en-US" w:eastAsia="zh-CN"/>
        </w:rPr>
        <w:t>，实际完成为</w:t>
      </w:r>
      <w:r>
        <w:rPr>
          <w:rFonts w:hint="eastAsia" w:ascii="仿宋_GB2312" w:hAnsi="仿宋_GB2312" w:eastAsia="仿宋_GB2312" w:cs="仿宋_GB2312"/>
          <w:color w:val="auto"/>
          <w:kern w:val="0"/>
          <w:sz w:val="32"/>
          <w:szCs w:val="32"/>
          <w:highlight w:val="none"/>
          <w:shd w:val="clear" w:color="auto" w:fill="auto"/>
          <w:lang w:val="en-US" w:eastAsia="zh-CN"/>
        </w:rPr>
        <w:t>95%，实际完成率100%</w:t>
      </w:r>
      <w:r>
        <w:rPr>
          <w:rFonts w:hint="eastAsia" w:ascii="仿宋_GB2312" w:hAnsi="仿宋_GB2312" w:eastAsia="仿宋_GB2312" w:cs="仿宋_GB2312"/>
          <w:color w:val="auto"/>
          <w:sz w:val="32"/>
          <w:szCs w:val="32"/>
          <w:highlight w:val="none"/>
          <w:lang w:val="en-US" w:eastAsia="zh-CN"/>
        </w:rPr>
        <w:t>。</w:t>
      </w:r>
    </w:p>
    <w:p w14:paraId="7B483FDC">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综上，该项指标满分6分，得分6分。</w:t>
      </w:r>
    </w:p>
    <w:p w14:paraId="05B0B9C7">
      <w:pPr>
        <w:pStyle w:val="3"/>
        <w:pageBreakBefore w:val="0"/>
        <w:kinsoku/>
        <w:wordWrap/>
        <w:overflowPunct/>
        <w:topLinePunct w:val="0"/>
        <w:autoSpaceDE/>
        <w:autoSpaceDN/>
        <w:bidi w:val="0"/>
        <w:adjustRightInd/>
        <w:spacing w:beforeLines="0" w:afterLines="0" w:line="560" w:lineRule="exact"/>
        <w:textAlignment w:val="auto"/>
        <w:rPr>
          <w:rFonts w:hint="eastAsia" w:ascii="黑体" w:hAnsi="黑体" w:eastAsia="黑体" w:cs="黑体"/>
          <w:b w:val="0"/>
          <w:bCs w:val="0"/>
          <w:color w:val="auto"/>
          <w:highlight w:val="none"/>
          <w:shd w:val="clear" w:color="auto" w:fill="auto"/>
          <w:lang w:val="en-US" w:eastAsia="zh-CN"/>
        </w:rPr>
      </w:pPr>
      <w:bookmarkStart w:id="147" w:name="_Toc6622"/>
      <w:r>
        <w:rPr>
          <w:rFonts w:hint="eastAsia" w:ascii="黑体" w:hAnsi="黑体" w:cs="黑体"/>
          <w:b w:val="0"/>
          <w:bCs w:val="0"/>
          <w:color w:val="auto"/>
          <w:highlight w:val="none"/>
          <w:shd w:val="clear" w:color="auto" w:fill="auto"/>
          <w:lang w:val="en-US" w:eastAsia="zh-CN"/>
        </w:rPr>
        <w:t>五</w:t>
      </w:r>
      <w:r>
        <w:rPr>
          <w:rFonts w:hint="eastAsia" w:ascii="黑体" w:hAnsi="黑体" w:eastAsia="黑体" w:cs="黑体"/>
          <w:b w:val="0"/>
          <w:bCs w:val="0"/>
          <w:color w:val="auto"/>
          <w:highlight w:val="none"/>
          <w:shd w:val="clear" w:color="auto" w:fill="auto"/>
          <w:lang w:val="en-US" w:eastAsia="zh-CN"/>
        </w:rPr>
        <w:t>、主要经验及做法、存在的问题及原因分析</w:t>
      </w:r>
      <w:bookmarkEnd w:id="147"/>
    </w:p>
    <w:p w14:paraId="0DB98BAB">
      <w:pPr>
        <w:pStyle w:val="14"/>
        <w:keepNext w:val="0"/>
        <w:keepLines w:val="0"/>
        <w:pageBreakBefore w:val="0"/>
        <w:widowControl/>
        <w:kinsoku/>
        <w:wordWrap/>
        <w:overflowPunct/>
        <w:topLinePunct w:val="0"/>
        <w:autoSpaceDE/>
        <w:autoSpaceDN/>
        <w:bidi w:val="0"/>
        <w:adjustRightInd/>
        <w:snapToGrid/>
        <w:spacing w:before="0" w:beforeLines="-2147483648" w:after="0" w:afterLines="-2147483648" w:line="560" w:lineRule="exact"/>
        <w:ind w:firstLine="643" w:firstLineChars="200"/>
        <w:jc w:val="both"/>
        <w:textAlignment w:val="auto"/>
        <w:rPr>
          <w:rFonts w:hint="eastAsia" w:ascii="Times New Roman" w:hAnsi="Times New Roman" w:eastAsia="楷体_GB2312" w:cs="Times New Roman"/>
          <w:b/>
          <w:bCs/>
          <w:color w:val="auto"/>
          <w:kern w:val="28"/>
          <w:sz w:val="32"/>
          <w:highlight w:val="none"/>
          <w:lang w:val="en-US" w:eastAsia="zh-CN"/>
        </w:rPr>
      </w:pPr>
      <w:bookmarkStart w:id="148" w:name="_Toc15449"/>
      <w:bookmarkStart w:id="149" w:name="_Toc28290"/>
      <w:bookmarkStart w:id="150" w:name="_Toc1921"/>
      <w:r>
        <w:rPr>
          <w:rFonts w:hint="eastAsia" w:ascii="Times New Roman" w:hAnsi="Times New Roman" w:eastAsia="楷体_GB2312" w:cs="Times New Roman"/>
          <w:b/>
          <w:bCs/>
          <w:color w:val="auto"/>
          <w:kern w:val="28"/>
          <w:sz w:val="32"/>
          <w:highlight w:val="none"/>
          <w:lang w:val="en-US" w:eastAsia="zh-CN"/>
        </w:rPr>
        <w:t>（一）主要经验及做法</w:t>
      </w:r>
      <w:bookmarkEnd w:id="148"/>
    </w:p>
    <w:p w14:paraId="01A418E4">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阜康市环卫保洁和园林养护政府购买服务项目</w:t>
      </w: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lang w:eastAsia="zh-CN"/>
        </w:rPr>
        <w:t>年预算</w:t>
      </w:r>
      <w:r>
        <w:rPr>
          <w:rFonts w:hint="eastAsia" w:ascii="仿宋_GB2312" w:hAnsi="仿宋_GB2312" w:eastAsia="仿宋_GB2312" w:cs="仿宋_GB2312"/>
          <w:color w:val="auto"/>
          <w:sz w:val="32"/>
          <w:szCs w:val="32"/>
          <w:highlight w:val="none"/>
          <w:lang w:val="en-US" w:eastAsia="zh-CN"/>
        </w:rPr>
        <w:t>数</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lang w:val="en-US" w:eastAsia="zh-CN"/>
        </w:rPr>
        <w:t>3980.94</w:t>
      </w:r>
      <w:r>
        <w:rPr>
          <w:rFonts w:hint="eastAsia" w:ascii="仿宋_GB2312" w:hAnsi="仿宋_GB2312" w:eastAsia="仿宋_GB2312" w:cs="仿宋_GB2312"/>
          <w:color w:val="auto"/>
          <w:sz w:val="32"/>
          <w:szCs w:val="32"/>
          <w:highlight w:val="none"/>
          <w:lang w:eastAsia="zh-CN"/>
        </w:rPr>
        <w:t>万元，</w:t>
      </w:r>
      <w:r>
        <w:rPr>
          <w:rFonts w:hint="eastAsia" w:ascii="仿宋_GB2312" w:hAnsi="仿宋_GB2312" w:eastAsia="仿宋_GB2312" w:cs="仿宋_GB2312"/>
          <w:color w:val="auto"/>
          <w:sz w:val="32"/>
          <w:szCs w:val="32"/>
          <w:highlight w:val="none"/>
          <w:lang w:val="en-US" w:eastAsia="zh-CN"/>
        </w:rPr>
        <w:t>截至2024年12月31日共</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3968.63</w:t>
      </w:r>
      <w:r>
        <w:rPr>
          <w:rFonts w:hint="eastAsia" w:ascii="仿宋_GB2312" w:hAnsi="仿宋_GB2312" w:eastAsia="仿宋_GB2312" w:cs="仿宋_GB2312"/>
          <w:color w:val="auto"/>
          <w:sz w:val="32"/>
          <w:szCs w:val="32"/>
          <w:highlight w:val="none"/>
          <w:lang w:eastAsia="zh-CN"/>
        </w:rPr>
        <w:t>万元，预算</w:t>
      </w:r>
      <w:r>
        <w:rPr>
          <w:rFonts w:hint="eastAsia" w:ascii="仿宋_GB2312" w:hAnsi="仿宋_GB2312" w:eastAsia="仿宋_GB2312" w:cs="仿宋_GB2312"/>
          <w:color w:val="auto"/>
          <w:sz w:val="32"/>
          <w:szCs w:val="32"/>
          <w:highlight w:val="none"/>
          <w:lang w:val="en-US" w:eastAsia="zh-CN"/>
        </w:rPr>
        <w:t>执行</w:t>
      </w:r>
      <w:r>
        <w:rPr>
          <w:rFonts w:hint="eastAsia" w:ascii="仿宋_GB2312" w:hAnsi="仿宋_GB2312" w:eastAsia="仿宋_GB2312" w:cs="仿宋_GB2312"/>
          <w:color w:val="auto"/>
          <w:sz w:val="32"/>
          <w:szCs w:val="32"/>
          <w:highlight w:val="none"/>
          <w:lang w:eastAsia="zh-CN"/>
        </w:rPr>
        <w:t>率为</w:t>
      </w:r>
      <w:r>
        <w:rPr>
          <w:rFonts w:hint="eastAsia" w:ascii="仿宋_GB2312" w:hAnsi="仿宋_GB2312" w:eastAsia="仿宋_GB2312" w:cs="仿宋_GB2312"/>
          <w:color w:val="auto"/>
          <w:sz w:val="32"/>
          <w:szCs w:val="32"/>
          <w:highlight w:val="none"/>
          <w:lang w:val="en-US" w:eastAsia="zh-CN"/>
        </w:rPr>
        <w:t>99.7</w:t>
      </w:r>
      <w:r>
        <w:rPr>
          <w:rFonts w:hint="eastAsia" w:ascii="仿宋_GB2312" w:hAnsi="仿宋_GB2312" w:eastAsia="仿宋_GB2312" w:cs="仿宋_GB2312"/>
          <w:color w:val="auto"/>
          <w:sz w:val="32"/>
          <w:szCs w:val="32"/>
          <w:highlight w:val="none"/>
          <w:lang w:eastAsia="zh-CN"/>
        </w:rPr>
        <w:t>%。</w:t>
      </w:r>
    </w:p>
    <w:p w14:paraId="4E3B1A13">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阜康市城市管理局</w:t>
      </w:r>
      <w:r>
        <w:rPr>
          <w:rFonts w:hint="eastAsia" w:ascii="仿宋_GB2312" w:hAnsi="仿宋_GB2312" w:eastAsia="仿宋_GB2312" w:cs="仿宋_GB2312"/>
          <w:color w:val="auto"/>
          <w:sz w:val="32"/>
          <w:szCs w:val="32"/>
          <w:highlight w:val="none"/>
          <w:lang w:eastAsia="zh-CN"/>
        </w:rPr>
        <w:t>建立健全了预算管理规章制度，各部门严格按照预算编制的原则和要求做好当年预算编制工作，在预算绩效管理工作中，做到合理安排各项资金，重点保障基本支出，按轻重缓急顺序原则，优先安排了</w:t>
      </w:r>
      <w:r>
        <w:rPr>
          <w:rFonts w:hint="eastAsia" w:ascii="仿宋_GB2312" w:hAnsi="仿宋_GB2312" w:eastAsia="仿宋_GB2312" w:cs="仿宋_GB2312"/>
          <w:color w:val="auto"/>
          <w:sz w:val="32"/>
          <w:szCs w:val="32"/>
          <w:highlight w:val="none"/>
          <w:lang w:val="en-US" w:eastAsia="zh-CN"/>
        </w:rPr>
        <w:t>阜康市城市管理局</w:t>
      </w:r>
      <w:r>
        <w:rPr>
          <w:rFonts w:hint="eastAsia" w:ascii="仿宋_GB2312" w:hAnsi="仿宋_GB2312" w:eastAsia="仿宋_GB2312" w:cs="仿宋_GB2312"/>
          <w:color w:val="auto"/>
          <w:sz w:val="32"/>
          <w:szCs w:val="32"/>
          <w:highlight w:val="none"/>
          <w:lang w:eastAsia="zh-CN"/>
        </w:rPr>
        <w:t>事业发展中关系民生与稳定的项目，切实优化资源配置，提高了资金使用的效率和效果。</w:t>
      </w:r>
    </w:p>
    <w:bookmarkEnd w:id="149"/>
    <w:bookmarkEnd w:id="150"/>
    <w:p w14:paraId="61572A03">
      <w:pPr>
        <w:pStyle w:val="14"/>
        <w:keepNext w:val="0"/>
        <w:keepLines w:val="0"/>
        <w:pageBreakBefore w:val="0"/>
        <w:widowControl/>
        <w:kinsoku/>
        <w:wordWrap/>
        <w:overflowPunct/>
        <w:topLinePunct w:val="0"/>
        <w:autoSpaceDE/>
        <w:autoSpaceDN/>
        <w:bidi w:val="0"/>
        <w:adjustRightInd/>
        <w:snapToGrid/>
        <w:spacing w:before="0" w:beforeLines="-2147483648" w:after="0" w:afterLines="-2147483648" w:line="560" w:lineRule="exact"/>
        <w:ind w:firstLine="643" w:firstLineChars="200"/>
        <w:jc w:val="both"/>
        <w:textAlignment w:val="auto"/>
        <w:rPr>
          <w:rFonts w:hint="eastAsia" w:ascii="Times New Roman" w:hAnsi="Times New Roman" w:eastAsia="楷体_GB2312" w:cs="Times New Roman"/>
          <w:b/>
          <w:bCs/>
          <w:color w:val="auto"/>
          <w:kern w:val="28"/>
          <w:sz w:val="32"/>
          <w:highlight w:val="none"/>
          <w:lang w:val="en-US" w:eastAsia="zh-CN"/>
        </w:rPr>
      </w:pPr>
      <w:bookmarkStart w:id="151" w:name="_Toc29168"/>
      <w:r>
        <w:rPr>
          <w:rFonts w:hint="eastAsia" w:ascii="Times New Roman" w:hAnsi="Times New Roman" w:eastAsia="楷体_GB2312" w:cs="Times New Roman"/>
          <w:b/>
          <w:bCs/>
          <w:color w:val="auto"/>
          <w:kern w:val="28"/>
          <w:sz w:val="32"/>
          <w:highlight w:val="none"/>
          <w:lang w:val="en-US" w:eastAsia="zh-CN"/>
        </w:rPr>
        <w:t>（二）存在的问题及原因分析</w:t>
      </w:r>
      <w:bookmarkEnd w:id="151"/>
    </w:p>
    <w:p w14:paraId="7ABF09F1">
      <w:pPr>
        <w:pageBreakBefore w:val="0"/>
        <w:kinsoku/>
        <w:wordWrap/>
        <w:overflowPunct/>
        <w:topLinePunct w:val="0"/>
        <w:autoSpaceDE/>
        <w:autoSpaceDN/>
        <w:bidi w:val="0"/>
        <w:spacing w:line="560" w:lineRule="exact"/>
        <w:textAlignment w:val="auto"/>
        <w:rPr>
          <w:rFonts w:hint="default" w:ascii="仿宋_GB2312" w:hAnsi="仿宋_GB2312" w:eastAsia="仿宋_GB2312" w:cs="仿宋_GB2312"/>
          <w:color w:val="auto"/>
          <w:sz w:val="32"/>
          <w:szCs w:val="32"/>
          <w:highlight w:val="none"/>
          <w:lang w:val="en-US" w:eastAsia="zh-CN"/>
        </w:rPr>
      </w:pPr>
      <w:bookmarkStart w:id="152" w:name="_Toc3333"/>
      <w:r>
        <w:rPr>
          <w:rFonts w:hint="eastAsia" w:ascii="仿宋_GB2312" w:hAnsi="仿宋_GB2312" w:eastAsia="仿宋_GB2312" w:cs="仿宋_GB2312"/>
          <w:color w:val="auto"/>
          <w:sz w:val="32"/>
          <w:szCs w:val="32"/>
          <w:highlight w:val="none"/>
          <w:lang w:val="en-US" w:eastAsia="zh-CN"/>
        </w:rPr>
        <w:t>1.阜康市城市管理局环卫保洁和园林养护政府购买服务项目</w:t>
      </w:r>
      <w:r>
        <w:rPr>
          <w:rFonts w:hint="eastAsia" w:ascii="仿宋_GB2312" w:hAnsi="仿宋_GB2312" w:eastAsia="仿宋_GB2312" w:cs="仿宋_GB2312"/>
          <w:color w:val="auto"/>
          <w:sz w:val="32"/>
          <w:szCs w:val="32"/>
          <w:highlight w:val="none"/>
          <w:lang w:eastAsia="zh-CN"/>
        </w:rPr>
        <w:t>在实施过程中，</w:t>
      </w:r>
      <w:r>
        <w:rPr>
          <w:rFonts w:hint="eastAsia" w:ascii="仿宋_GB2312" w:hAnsi="仿宋_GB2312" w:eastAsia="仿宋_GB2312" w:cs="仿宋_GB2312"/>
          <w:color w:val="auto"/>
          <w:sz w:val="32"/>
          <w:szCs w:val="32"/>
          <w:highlight w:val="none"/>
          <w:lang w:val="en-US" w:eastAsia="zh-CN"/>
        </w:rPr>
        <w:t>存在服务进度与资金支付进度不一致的情况，购买服务事项按照合同约定有计划的进行，购买服务的资金拨付较为缓慢，影响预算执行率。</w:t>
      </w:r>
    </w:p>
    <w:p w14:paraId="050C6EFF">
      <w:pPr>
        <w:pageBreakBefore w:val="0"/>
        <w:kinsoku/>
        <w:wordWrap/>
        <w:overflowPunct/>
        <w:topLinePunct w:val="0"/>
        <w:autoSpaceDE/>
        <w:autoSpaceDN/>
        <w:bidi w:val="0"/>
        <w:spacing w:line="56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该项目实施过程中，存在监督不到位、落实整改不力的问题。通过平时的购买服务考核通报，下发限时整改通知书，经多次催促，仍然存在整改不彻底的情况，存在道路及公共基础设施的日常保洁不彻底、不及时的问题。</w:t>
      </w:r>
    </w:p>
    <w:p w14:paraId="16593CCF">
      <w:pPr>
        <w:pStyle w:val="3"/>
        <w:pageBreakBefore w:val="0"/>
        <w:kinsoku/>
        <w:wordWrap/>
        <w:overflowPunct/>
        <w:topLinePunct w:val="0"/>
        <w:autoSpaceDE/>
        <w:autoSpaceDN/>
        <w:bidi w:val="0"/>
        <w:adjustRightInd/>
        <w:spacing w:beforeLines="0" w:afterLines="0" w:line="560" w:lineRule="exact"/>
        <w:textAlignment w:val="auto"/>
        <w:rPr>
          <w:rFonts w:hint="eastAsia" w:ascii="黑体" w:hAnsi="黑体" w:eastAsia="黑体" w:cs="黑体"/>
          <w:b w:val="0"/>
          <w:bCs w:val="0"/>
          <w:color w:val="auto"/>
          <w:highlight w:val="none"/>
          <w:shd w:val="clear" w:color="auto" w:fill="auto"/>
          <w:lang w:val="en-US" w:eastAsia="zh-CN"/>
        </w:rPr>
      </w:pPr>
      <w:r>
        <w:rPr>
          <w:rFonts w:hint="eastAsia" w:ascii="黑体" w:hAnsi="黑体" w:cs="黑体"/>
          <w:b w:val="0"/>
          <w:bCs w:val="0"/>
          <w:color w:val="auto"/>
          <w:highlight w:val="none"/>
          <w:shd w:val="clear" w:color="auto" w:fill="auto"/>
          <w:lang w:val="en-US" w:eastAsia="zh-CN"/>
        </w:rPr>
        <w:t>六</w:t>
      </w:r>
      <w:r>
        <w:rPr>
          <w:rFonts w:hint="eastAsia" w:ascii="黑体" w:hAnsi="黑体" w:eastAsia="黑体" w:cs="黑体"/>
          <w:b w:val="0"/>
          <w:bCs w:val="0"/>
          <w:color w:val="auto"/>
          <w:highlight w:val="none"/>
          <w:shd w:val="clear" w:color="auto" w:fill="auto"/>
          <w:lang w:val="en-US" w:eastAsia="zh-CN"/>
        </w:rPr>
        <w:t>、有关建议</w:t>
      </w:r>
      <w:bookmarkEnd w:id="152"/>
    </w:p>
    <w:p w14:paraId="1EB1A1EC">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US" w:eastAsia="zh-CN"/>
        </w:rPr>
      </w:pPr>
      <w:bookmarkStart w:id="153" w:name="_Toc14256"/>
      <w:r>
        <w:rPr>
          <w:rFonts w:hint="eastAsia" w:ascii="仿宋_GB2312" w:hAnsi="仿宋_GB2312" w:eastAsia="仿宋_GB2312" w:cs="仿宋_GB2312"/>
          <w:color w:val="auto"/>
          <w:sz w:val="32"/>
          <w:szCs w:val="32"/>
          <w:highlight w:val="none"/>
          <w:lang w:val="en-US" w:eastAsia="zh-CN"/>
        </w:rPr>
        <w:t>（一）在项目实施过程中，需要做好项目进度管理与资金使用的匹配，根据项目实施计划，制定出科学合理的资金计划，不断提高资金使用效率。</w:t>
      </w:r>
    </w:p>
    <w:p w14:paraId="21D5B065">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（二）积极与购买服务企业协调，通过加大考核扣款力度，督促购买服务企业提高认识，按照《阜康市城市管理局环卫保洁和园林养护考核实施细则》的要求，认真落实好环卫保洁和园林养护责任。</w:t>
      </w:r>
    </w:p>
    <w:p w14:paraId="78E5CF28">
      <w:pPr>
        <w:pStyle w:val="3"/>
        <w:pageBreakBefore w:val="0"/>
        <w:kinsoku/>
        <w:wordWrap/>
        <w:overflowPunct/>
        <w:topLinePunct w:val="0"/>
        <w:autoSpaceDE/>
        <w:autoSpaceDN/>
        <w:bidi w:val="0"/>
        <w:adjustRightInd/>
        <w:spacing w:beforeLines="0" w:afterLines="0" w:line="560" w:lineRule="exact"/>
        <w:textAlignment w:val="auto"/>
        <w:rPr>
          <w:rFonts w:hint="eastAsia" w:ascii="黑体" w:hAnsi="黑体" w:eastAsia="黑体" w:cs="黑体"/>
          <w:b w:val="0"/>
          <w:bCs w:val="0"/>
          <w:color w:val="auto"/>
          <w:highlight w:val="none"/>
          <w:shd w:val="clear" w:color="auto" w:fill="auto"/>
          <w:lang w:val="en-US" w:eastAsia="zh-CN"/>
        </w:rPr>
      </w:pPr>
      <w:r>
        <w:rPr>
          <w:rFonts w:hint="eastAsia" w:ascii="黑体" w:hAnsi="黑体" w:cs="黑体"/>
          <w:b w:val="0"/>
          <w:bCs w:val="0"/>
          <w:color w:val="auto"/>
          <w:highlight w:val="none"/>
          <w:shd w:val="clear" w:color="auto" w:fill="auto"/>
          <w:lang w:val="en-US" w:eastAsia="zh-CN"/>
        </w:rPr>
        <w:t>七</w:t>
      </w:r>
      <w:r>
        <w:rPr>
          <w:rFonts w:hint="eastAsia" w:ascii="黑体" w:hAnsi="黑体" w:eastAsia="黑体" w:cs="黑体"/>
          <w:b w:val="0"/>
          <w:bCs w:val="0"/>
          <w:color w:val="auto"/>
          <w:highlight w:val="none"/>
          <w:shd w:val="clear" w:color="auto" w:fill="auto"/>
          <w:lang w:val="en-US" w:eastAsia="zh-CN"/>
        </w:rPr>
        <w:t>、其他需要说明的问题</w:t>
      </w:r>
      <w:bookmarkEnd w:id="153"/>
    </w:p>
    <w:p w14:paraId="65AE7C60">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无其他需要说明的问题。</w:t>
      </w:r>
    </w:p>
    <w:p w14:paraId="04749C6B">
      <w:pPr>
        <w:pageBreakBefore w:val="0"/>
        <w:kinsoku/>
        <w:wordWrap/>
        <w:overflowPunct/>
        <w:topLinePunct w:val="0"/>
        <w:autoSpaceDE/>
        <w:autoSpaceDN/>
        <w:bidi w:val="0"/>
        <w:adjustRightInd/>
        <w:spacing w:line="560" w:lineRule="exact"/>
        <w:textAlignment w:val="auto"/>
        <w:rPr>
          <w:rFonts w:hint="eastAsia" w:cs="宋体"/>
          <w:color w:val="auto"/>
          <w:highlight w:val="none"/>
          <w:shd w:val="clear" w:color="auto" w:fill="auto"/>
          <w:lang w:val="en-US" w:eastAsia="zh-CN"/>
        </w:rPr>
        <w:sectPr>
          <w:footerReference r:id="rId5" w:type="default"/>
          <w:pgSz w:w="11906" w:h="16838"/>
          <w:pgMar w:top="1440" w:right="1800" w:bottom="1440" w:left="1800" w:header="737" w:footer="851" w:gutter="0"/>
          <w:pgNumType w:fmt="decimal"/>
          <w:cols w:space="720" w:num="1"/>
          <w:docGrid w:type="lines" w:linePitch="408" w:charSpace="0"/>
        </w:sectPr>
      </w:pPr>
    </w:p>
    <w:p w14:paraId="6A7B1466">
      <w:pPr>
        <w:pStyle w:val="3"/>
        <w:pageBreakBefore w:val="0"/>
        <w:numPr>
          <w:ilvl w:val="0"/>
          <w:numId w:val="0"/>
        </w:numPr>
        <w:kinsoku/>
        <w:wordWrap/>
        <w:overflowPunct/>
        <w:topLinePunct w:val="0"/>
        <w:autoSpaceDE/>
        <w:autoSpaceDN/>
        <w:bidi w:val="0"/>
        <w:adjustRightInd/>
        <w:spacing w:beforeLines="0" w:afterLines="0" w:line="560" w:lineRule="exact"/>
        <w:textAlignment w:val="auto"/>
        <w:rPr>
          <w:color w:val="auto"/>
          <w:highlight w:val="none"/>
        </w:rPr>
      </w:pPr>
      <w:bookmarkStart w:id="154" w:name="_Toc28971"/>
      <w:bookmarkStart w:id="155" w:name="_Toc11349"/>
      <w:r>
        <w:rPr>
          <w:rFonts w:hint="eastAsia" w:ascii="宋体" w:hAnsi="宋体" w:eastAsia="宋体" w:cs="宋体"/>
          <w:b/>
          <w:bCs/>
          <w:color w:val="auto"/>
          <w:highlight w:val="none"/>
          <w:shd w:val="clear" w:color="auto" w:fill="auto"/>
          <w:lang w:val="en-US" w:eastAsia="zh-CN"/>
        </w:rPr>
        <w:t>附件一、项目支出绩效自评表</w:t>
      </w:r>
      <w:bookmarkEnd w:id="154"/>
      <w:bookmarkEnd w:id="155"/>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3"/>
        <w:gridCol w:w="803"/>
        <w:gridCol w:w="804"/>
        <w:gridCol w:w="804"/>
        <w:gridCol w:w="1160"/>
        <w:gridCol w:w="1517"/>
        <w:gridCol w:w="1445"/>
        <w:gridCol w:w="1089"/>
        <w:gridCol w:w="1017"/>
        <w:gridCol w:w="804"/>
        <w:gridCol w:w="1374"/>
        <w:gridCol w:w="804"/>
        <w:gridCol w:w="804"/>
        <w:gridCol w:w="946"/>
      </w:tblGrid>
      <w:tr w14:paraId="42E1C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14"/>
            <w:tcBorders>
              <w:top w:val="nil"/>
              <w:left w:val="nil"/>
              <w:bottom w:val="nil"/>
              <w:right w:val="nil"/>
            </w:tcBorders>
            <w:shd w:val="clear" w:color="auto" w:fill="auto"/>
            <w:vAlign w:val="center"/>
          </w:tcPr>
          <w:p w14:paraId="2C66C8B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14:paraId="1FEE6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14"/>
            <w:tcBorders>
              <w:top w:val="nil"/>
              <w:left w:val="nil"/>
              <w:bottom w:val="single" w:color="auto" w:sz="4" w:space="0"/>
              <w:right w:val="nil"/>
            </w:tcBorders>
            <w:shd w:val="clear" w:color="auto" w:fill="auto"/>
            <w:vAlign w:val="center"/>
          </w:tcPr>
          <w:p w14:paraId="4FDA6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0E7EC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51E5A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591" w:type="pct"/>
            <w:gridSpan w:val="12"/>
            <w:tcBorders>
              <w:top w:val="single" w:color="auto" w:sz="4" w:space="0"/>
              <w:left w:val="single" w:color="000000" w:sz="4" w:space="0"/>
              <w:bottom w:val="single" w:color="000000" w:sz="4" w:space="0"/>
              <w:right w:val="single" w:color="000000" w:sz="4" w:space="0"/>
            </w:tcBorders>
            <w:shd w:val="clear" w:color="auto" w:fill="auto"/>
            <w:vAlign w:val="center"/>
          </w:tcPr>
          <w:p w14:paraId="7BF40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阜康市环卫保洁和园林养护政府购买服务项目</w:t>
            </w:r>
          </w:p>
        </w:tc>
      </w:tr>
      <w:tr w14:paraId="6939C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202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17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8F1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阜康市城市管理局（阜康市城市管理行政执法局）</w:t>
            </w:r>
          </w:p>
        </w:tc>
        <w:tc>
          <w:tcPr>
            <w:tcW w:w="6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F96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215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25C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阜康市城市管理局（阜康市城市管理行政执法局）</w:t>
            </w:r>
          </w:p>
        </w:tc>
      </w:tr>
      <w:tr w14:paraId="267A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ABE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D9DC2">
            <w:pPr>
              <w:jc w:val="center"/>
              <w:rPr>
                <w:rFonts w:hint="eastAsia" w:ascii="宋体" w:hAnsi="宋体" w:eastAsia="宋体" w:cs="宋体"/>
                <w:b/>
                <w:bCs/>
                <w:i w:val="0"/>
                <w:iCs w:val="0"/>
                <w:color w:val="000000"/>
                <w:sz w:val="18"/>
                <w:szCs w:val="18"/>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465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DC8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6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3C2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9D0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498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E01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w:t>
            </w:r>
          </w:p>
        </w:tc>
      </w:tr>
      <w:tr w14:paraId="22DE4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EC686">
            <w:pPr>
              <w:jc w:val="center"/>
              <w:rPr>
                <w:rFonts w:hint="eastAsia" w:ascii="宋体" w:hAnsi="宋体" w:eastAsia="宋体" w:cs="宋体"/>
                <w:b/>
                <w:bCs/>
                <w:i w:val="0"/>
                <w:iCs w:val="0"/>
                <w:color w:val="000000"/>
                <w:sz w:val="18"/>
                <w:szCs w:val="18"/>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29C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3E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E3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3980.94</w:t>
            </w:r>
          </w:p>
        </w:tc>
        <w:tc>
          <w:tcPr>
            <w:tcW w:w="6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ED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3968.63</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E1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FC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99.69%</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86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9.97</w:t>
            </w:r>
          </w:p>
        </w:tc>
      </w:tr>
      <w:tr w14:paraId="77ED1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07C97">
            <w:pPr>
              <w:jc w:val="center"/>
              <w:rPr>
                <w:rFonts w:hint="eastAsia" w:ascii="宋体" w:hAnsi="宋体" w:eastAsia="宋体" w:cs="宋体"/>
                <w:b/>
                <w:bCs/>
                <w:i w:val="0"/>
                <w:iCs w:val="0"/>
                <w:color w:val="000000"/>
                <w:sz w:val="18"/>
                <w:szCs w:val="18"/>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04E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其中：当年财政拨款</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6E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8D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3980.94</w:t>
            </w:r>
          </w:p>
        </w:tc>
        <w:tc>
          <w:tcPr>
            <w:tcW w:w="6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4E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3968.63</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34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7E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DF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0042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5A409">
            <w:pPr>
              <w:jc w:val="center"/>
              <w:rPr>
                <w:rFonts w:hint="eastAsia" w:ascii="宋体" w:hAnsi="宋体" w:eastAsia="宋体" w:cs="宋体"/>
                <w:b/>
                <w:bCs/>
                <w:i w:val="0"/>
                <w:iCs w:val="0"/>
                <w:color w:val="000000"/>
                <w:sz w:val="18"/>
                <w:szCs w:val="18"/>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06B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其他资金</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EC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EE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81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91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00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0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6004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B8E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20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7D7D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27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6F32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033A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64D8C">
            <w:pPr>
              <w:jc w:val="center"/>
              <w:rPr>
                <w:rFonts w:hint="eastAsia" w:ascii="宋体" w:hAnsi="宋体" w:eastAsia="宋体" w:cs="宋体"/>
                <w:b/>
                <w:bCs/>
                <w:i w:val="0"/>
                <w:iCs w:val="0"/>
                <w:color w:val="000000"/>
                <w:sz w:val="18"/>
                <w:szCs w:val="18"/>
                <w:u w:val="none"/>
              </w:rPr>
            </w:pPr>
          </w:p>
        </w:tc>
        <w:tc>
          <w:tcPr>
            <w:tcW w:w="20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FEF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我单位预计完成城市道路清扫、保洁面积4230769.92平方米、城市绿化养护面积3981769.44平方米，道路及时清扫保洁，城市道路实施机械化清扫，该项目的实施，预期能够创造良好的城市工作生活环境，提高环境质量，提高城市生态环境，保持生态平衡的效益。</w:t>
            </w:r>
          </w:p>
        </w:tc>
        <w:tc>
          <w:tcPr>
            <w:tcW w:w="27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348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至2024年12月31日，本项目完成城市道路清扫、保洁面积4230769.92平方米、城市绿化养护面积3981769.44平方米，道路及时清扫保洁，城市道路实施机械化清扫，该项目的实施，达到创造良好的城市工作生活环境，提高环境质量，提高城市生态环境，保持生态平衡的效益。</w:t>
            </w:r>
          </w:p>
        </w:tc>
      </w:tr>
      <w:tr w14:paraId="0CBBB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9AFFC">
            <w:pPr>
              <w:jc w:val="center"/>
              <w:rPr>
                <w:rFonts w:hint="eastAsia" w:ascii="宋体" w:hAnsi="宋体" w:eastAsia="宋体" w:cs="宋体"/>
                <w:i w:val="0"/>
                <w:iCs w:val="0"/>
                <w:color w:val="000000"/>
                <w:sz w:val="18"/>
                <w:szCs w:val="18"/>
                <w:u w:val="none"/>
              </w:rPr>
            </w:pP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FED9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52A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1A6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066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0EB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目标值</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8F1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业绩值</w:t>
            </w: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41B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完成率</w:t>
            </w: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5CC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06E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指标值设定依据</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633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上年完成情况</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9C0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赋分规则</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131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佐证资料</w:t>
            </w:r>
          </w:p>
        </w:tc>
        <w:tc>
          <w:tcPr>
            <w:tcW w:w="7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45F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706E1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1833B">
            <w:pPr>
              <w:jc w:val="center"/>
              <w:rPr>
                <w:rFonts w:hint="eastAsia" w:ascii="宋体" w:hAnsi="宋体" w:eastAsia="宋体" w:cs="宋体"/>
                <w:i w:val="0"/>
                <w:iCs w:val="0"/>
                <w:color w:val="000000"/>
                <w:sz w:val="18"/>
                <w:szCs w:val="18"/>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1B3B3">
            <w:pPr>
              <w:jc w:val="center"/>
              <w:rPr>
                <w:rFonts w:hint="eastAsia" w:ascii="宋体" w:hAnsi="宋体" w:eastAsia="宋体" w:cs="宋体"/>
                <w:b/>
                <w:bCs/>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D31CF">
            <w:pPr>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FFAE8">
            <w:pPr>
              <w:jc w:val="center"/>
              <w:rPr>
                <w:rFonts w:hint="eastAsia" w:ascii="宋体" w:hAnsi="宋体" w:eastAsia="宋体" w:cs="宋体"/>
                <w:b/>
                <w:bCs/>
                <w:i w:val="0"/>
                <w:iCs w:val="0"/>
                <w:color w:val="000000"/>
                <w:sz w:val="18"/>
                <w:szCs w:val="18"/>
                <w:u w:val="none"/>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15A67">
            <w:pPr>
              <w:jc w:val="center"/>
              <w:rPr>
                <w:rFonts w:hint="eastAsia" w:ascii="宋体" w:hAnsi="宋体" w:eastAsia="宋体" w:cs="宋体"/>
                <w:b/>
                <w:bCs/>
                <w:i w:val="0"/>
                <w:iCs w:val="0"/>
                <w:color w:val="000000"/>
                <w:sz w:val="18"/>
                <w:szCs w:val="18"/>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996EE">
            <w:pPr>
              <w:jc w:val="center"/>
              <w:rPr>
                <w:rFonts w:hint="eastAsia" w:ascii="宋体" w:hAnsi="宋体" w:eastAsia="宋体" w:cs="宋体"/>
                <w:b/>
                <w:bCs/>
                <w:i w:val="0"/>
                <w:iCs w:val="0"/>
                <w:color w:val="000000"/>
                <w:sz w:val="18"/>
                <w:szCs w:val="18"/>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AE5BB">
            <w:pPr>
              <w:jc w:val="center"/>
              <w:rPr>
                <w:rFonts w:hint="eastAsia" w:ascii="宋体" w:hAnsi="宋体" w:eastAsia="宋体" w:cs="宋体"/>
                <w:b/>
                <w:bCs/>
                <w:i w:val="0"/>
                <w:iCs w:val="0"/>
                <w:color w:val="000000"/>
                <w:sz w:val="18"/>
                <w:szCs w:val="18"/>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40A48">
            <w:pPr>
              <w:jc w:val="center"/>
              <w:rPr>
                <w:rFonts w:hint="eastAsia" w:ascii="宋体" w:hAnsi="宋体" w:eastAsia="宋体" w:cs="宋体"/>
                <w:b/>
                <w:bCs/>
                <w:i w:val="0"/>
                <w:iCs w:val="0"/>
                <w:color w:val="000000"/>
                <w:sz w:val="18"/>
                <w:szCs w:val="18"/>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43D53">
            <w:pPr>
              <w:jc w:val="center"/>
              <w:rPr>
                <w:rFonts w:hint="eastAsia" w:ascii="宋体" w:hAnsi="宋体" w:eastAsia="宋体" w:cs="宋体"/>
                <w:b/>
                <w:bCs/>
                <w:i w:val="0"/>
                <w:iCs w:val="0"/>
                <w:color w:val="000000"/>
                <w:sz w:val="18"/>
                <w:szCs w:val="18"/>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B0408">
            <w:pPr>
              <w:jc w:val="center"/>
              <w:rPr>
                <w:rFonts w:hint="eastAsia" w:ascii="宋体" w:hAnsi="宋体" w:eastAsia="宋体" w:cs="宋体"/>
                <w:b/>
                <w:bCs/>
                <w:i w:val="0"/>
                <w:iCs w:val="0"/>
                <w:color w:val="000000"/>
                <w:sz w:val="18"/>
                <w:szCs w:val="18"/>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7F1B1">
            <w:pPr>
              <w:jc w:val="center"/>
              <w:rPr>
                <w:rFonts w:hint="eastAsia" w:ascii="宋体" w:hAnsi="宋体" w:eastAsia="宋体" w:cs="宋体"/>
                <w:b/>
                <w:bCs/>
                <w:i w:val="0"/>
                <w:iCs w:val="0"/>
                <w:color w:val="000000"/>
                <w:sz w:val="18"/>
                <w:szCs w:val="18"/>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E7AA5">
            <w:pPr>
              <w:jc w:val="center"/>
              <w:rPr>
                <w:rFonts w:hint="eastAsia" w:ascii="宋体" w:hAnsi="宋体" w:eastAsia="宋体" w:cs="宋体"/>
                <w:b/>
                <w:bCs/>
                <w:i w:val="0"/>
                <w:iCs w:val="0"/>
                <w:color w:val="000000"/>
                <w:sz w:val="18"/>
                <w:szCs w:val="18"/>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51E2E">
            <w:pPr>
              <w:jc w:val="center"/>
              <w:rPr>
                <w:rFonts w:hint="eastAsia" w:ascii="宋体" w:hAnsi="宋体" w:eastAsia="宋体" w:cs="宋体"/>
                <w:b/>
                <w:bCs/>
                <w:i w:val="0"/>
                <w:iCs w:val="0"/>
                <w:color w:val="000000"/>
                <w:sz w:val="18"/>
                <w:szCs w:val="18"/>
                <w:u w:val="none"/>
              </w:rPr>
            </w:pPr>
          </w:p>
        </w:tc>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EFFF6">
            <w:pPr>
              <w:jc w:val="center"/>
              <w:rPr>
                <w:rFonts w:hint="eastAsia" w:ascii="宋体" w:hAnsi="宋体" w:eastAsia="宋体" w:cs="宋体"/>
                <w:b/>
                <w:bCs/>
                <w:i w:val="0"/>
                <w:iCs w:val="0"/>
                <w:color w:val="000000"/>
                <w:sz w:val="18"/>
                <w:szCs w:val="18"/>
                <w:u w:val="none"/>
              </w:rPr>
            </w:pPr>
          </w:p>
        </w:tc>
      </w:tr>
      <w:tr w14:paraId="3B37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08E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年度绩效指标完成情况</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A0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4B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F9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城市道路清扫、保洁面积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00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94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&gt;=4230769.92平方米</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2B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=4230769.92平方米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8309">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9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13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历史标准</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6D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4230769.92平方米</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B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按照完成比例赋分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C5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工作资料</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03961">
            <w:pPr>
              <w:jc w:val="center"/>
              <w:rPr>
                <w:rFonts w:hint="eastAsia" w:ascii="宋体" w:hAnsi="宋体" w:eastAsia="宋体" w:cs="宋体"/>
                <w:i w:val="0"/>
                <w:iCs w:val="0"/>
                <w:color w:val="000000"/>
                <w:sz w:val="18"/>
                <w:szCs w:val="18"/>
                <w:u w:val="none"/>
              </w:rPr>
            </w:pPr>
          </w:p>
        </w:tc>
      </w:tr>
      <w:tr w14:paraId="5DF88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EB9EC">
            <w:pPr>
              <w:jc w:val="center"/>
              <w:rPr>
                <w:rFonts w:hint="eastAsia" w:ascii="宋体" w:hAnsi="宋体" w:eastAsia="宋体" w:cs="宋体"/>
                <w:b/>
                <w:bCs/>
                <w:i w:val="0"/>
                <w:iCs w:val="0"/>
                <w:color w:val="000000"/>
                <w:sz w:val="18"/>
                <w:szCs w:val="18"/>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27E8B">
            <w:pPr>
              <w:jc w:val="cente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3D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5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城市绿化养护面积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E0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37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&gt;=3981769.44平方米</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94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=3981769.44平方米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99FC">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30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A7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历史标准</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A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3981769.44平方米</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54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按照完成比例赋分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12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工作资料</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E4164">
            <w:pPr>
              <w:jc w:val="center"/>
              <w:rPr>
                <w:rFonts w:hint="eastAsia" w:ascii="宋体" w:hAnsi="宋体" w:eastAsia="宋体" w:cs="宋体"/>
                <w:i w:val="0"/>
                <w:iCs w:val="0"/>
                <w:color w:val="000000"/>
                <w:sz w:val="18"/>
                <w:szCs w:val="18"/>
                <w:u w:val="none"/>
              </w:rPr>
            </w:pPr>
          </w:p>
        </w:tc>
      </w:tr>
      <w:tr w14:paraId="4767C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6A202">
            <w:pPr>
              <w:jc w:val="center"/>
              <w:rPr>
                <w:rFonts w:hint="eastAsia" w:ascii="宋体" w:hAnsi="宋体" w:eastAsia="宋体" w:cs="宋体"/>
                <w:b/>
                <w:bCs/>
                <w:i w:val="0"/>
                <w:iCs w:val="0"/>
                <w:color w:val="000000"/>
                <w:sz w:val="18"/>
                <w:szCs w:val="18"/>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DF26E">
            <w:pPr>
              <w:jc w:val="cente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5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F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城市道路机械化清扫质量达标率</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E4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08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7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5089">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E6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8F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计划标准</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9439">
            <w:pPr>
              <w:jc w:val="center"/>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50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按照完成比例赋分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29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工作资料</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B2252">
            <w:pPr>
              <w:jc w:val="center"/>
              <w:rPr>
                <w:rFonts w:hint="eastAsia" w:ascii="宋体" w:hAnsi="宋体" w:eastAsia="宋体" w:cs="宋体"/>
                <w:i w:val="0"/>
                <w:iCs w:val="0"/>
                <w:color w:val="000000"/>
                <w:sz w:val="18"/>
                <w:szCs w:val="18"/>
                <w:u w:val="none"/>
              </w:rPr>
            </w:pPr>
          </w:p>
        </w:tc>
      </w:tr>
      <w:tr w14:paraId="0A3AC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3A946">
            <w:pPr>
              <w:jc w:val="center"/>
              <w:rPr>
                <w:rFonts w:hint="eastAsia" w:ascii="宋体" w:hAnsi="宋体" w:eastAsia="宋体" w:cs="宋体"/>
                <w:b/>
                <w:bCs/>
                <w:i w:val="0"/>
                <w:iCs w:val="0"/>
                <w:color w:val="000000"/>
                <w:sz w:val="18"/>
                <w:szCs w:val="18"/>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3C472">
            <w:pPr>
              <w:jc w:val="cente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75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B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道路清扫保洁及时率</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33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D1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&gt;=95%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EE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E766">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14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9E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历史标准</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2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59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按照完成比例赋分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F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工作资料</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13F1F">
            <w:pPr>
              <w:jc w:val="center"/>
              <w:rPr>
                <w:rFonts w:hint="eastAsia" w:ascii="宋体" w:hAnsi="宋体" w:eastAsia="宋体" w:cs="宋体"/>
                <w:i w:val="0"/>
                <w:iCs w:val="0"/>
                <w:color w:val="000000"/>
                <w:sz w:val="18"/>
                <w:szCs w:val="18"/>
                <w:u w:val="none"/>
              </w:rPr>
            </w:pPr>
          </w:p>
        </w:tc>
      </w:tr>
      <w:tr w14:paraId="085BD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1258F">
            <w:pPr>
              <w:jc w:val="center"/>
              <w:rPr>
                <w:rFonts w:hint="eastAsia" w:ascii="宋体" w:hAnsi="宋体" w:eastAsia="宋体" w:cs="宋体"/>
                <w:b/>
                <w:bCs/>
                <w:i w:val="0"/>
                <w:iCs w:val="0"/>
                <w:color w:val="000000"/>
                <w:sz w:val="18"/>
                <w:szCs w:val="18"/>
                <w:u w:val="none"/>
              </w:rPr>
            </w:pP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3B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72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6D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环境卫生保洁成本控制</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1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2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&lt;=2388.56万元</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5B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=2376.25万元</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4DCA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99.48</w:t>
            </w:r>
            <w:r>
              <w:rPr>
                <w:rFonts w:hint="eastAsia" w:cs="宋体"/>
                <w:i w:val="0"/>
                <w:iCs w:val="0"/>
                <w:color w:val="000000"/>
                <w:kern w:val="0"/>
                <w:sz w:val="18"/>
                <w:szCs w:val="18"/>
                <w:u w:val="none"/>
                <w:lang w:val="en-US" w:eastAsia="zh-CN"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1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9.87</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3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预算支出标准</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5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3625.32万元</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E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按照完成比例赋分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E8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原始凭证</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3C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存在偏差的原因：项目实施进度与资金支付进度不一致，资金支付进度存在滞后的情况。改进措施：与财政局对接，按照合同约定的支付进度及时拨付资金。</w:t>
            </w:r>
          </w:p>
        </w:tc>
      </w:tr>
      <w:tr w14:paraId="475EB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B2002">
            <w:pPr>
              <w:jc w:val="center"/>
              <w:rPr>
                <w:rFonts w:hint="eastAsia" w:ascii="宋体" w:hAnsi="宋体" w:eastAsia="宋体" w:cs="宋体"/>
                <w:b/>
                <w:bCs/>
                <w:i w:val="0"/>
                <w:iCs w:val="0"/>
                <w:color w:val="000000"/>
                <w:sz w:val="18"/>
                <w:szCs w:val="18"/>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A90B1">
            <w:pPr>
              <w:jc w:val="cente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90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B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园林绿化养护成本控制</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29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7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&lt;=1592.38万元</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64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=1592.38万元</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109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r>
              <w:rPr>
                <w:rFonts w:hint="eastAsia" w:cs="宋体"/>
                <w:i w:val="0"/>
                <w:iCs w:val="0"/>
                <w:color w:val="000000"/>
                <w:kern w:val="0"/>
                <w:sz w:val="18"/>
                <w:szCs w:val="18"/>
                <w:u w:val="none"/>
                <w:lang w:val="en-US" w:eastAsia="zh-CN"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D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F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预算支出标准</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DE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1611.06万元</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C1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按照完成比例赋分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B5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原始凭证</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4C013">
            <w:pPr>
              <w:jc w:val="center"/>
              <w:rPr>
                <w:rFonts w:hint="eastAsia" w:ascii="宋体" w:hAnsi="宋体" w:eastAsia="宋体" w:cs="宋体"/>
                <w:i w:val="0"/>
                <w:iCs w:val="0"/>
                <w:color w:val="000000"/>
                <w:sz w:val="18"/>
                <w:szCs w:val="18"/>
                <w:u w:val="none"/>
              </w:rPr>
            </w:pPr>
          </w:p>
        </w:tc>
      </w:tr>
      <w:tr w14:paraId="64082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A37F6">
            <w:pPr>
              <w:jc w:val="center"/>
              <w:rPr>
                <w:rFonts w:hint="eastAsia" w:ascii="宋体" w:hAnsi="宋体" w:eastAsia="宋体" w:cs="宋体"/>
                <w:b/>
                <w:bCs/>
                <w:i w:val="0"/>
                <w:iCs w:val="0"/>
                <w:color w:val="000000"/>
                <w:sz w:val="18"/>
                <w:szCs w:val="18"/>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8E669">
            <w:pPr>
              <w:jc w:val="cente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97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87E13">
            <w:pPr>
              <w:jc w:val="center"/>
              <w:rPr>
                <w:rFonts w:hint="eastAsia" w:ascii="宋体" w:hAnsi="宋体" w:eastAsia="宋体" w:cs="宋体"/>
                <w:i w:val="0"/>
                <w:iCs w:val="0"/>
                <w:color w:val="000000"/>
                <w:sz w:val="18"/>
                <w:szCs w:val="18"/>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66D75">
            <w:pPr>
              <w:jc w:val="center"/>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F0989">
            <w:pPr>
              <w:jc w:val="center"/>
              <w:rPr>
                <w:rFonts w:hint="eastAsia" w:ascii="宋体" w:hAnsi="宋体" w:eastAsia="宋体" w:cs="宋体"/>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4E29">
            <w:pPr>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D45AC">
            <w:pPr>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6D9A">
            <w:pPr>
              <w:jc w:val="center"/>
              <w:rPr>
                <w:rFonts w:hint="eastAsia" w:ascii="宋体" w:hAnsi="宋体" w:eastAsia="宋体" w:cs="宋体"/>
                <w:i w:val="0"/>
                <w:iCs w:val="0"/>
                <w:color w:val="000000"/>
                <w:sz w:val="18"/>
                <w:szCs w:val="18"/>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3F97">
            <w:pPr>
              <w:jc w:val="center"/>
              <w:rPr>
                <w:rFonts w:hint="eastAsia" w:ascii="宋体" w:hAnsi="宋体" w:eastAsia="宋体" w:cs="宋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6D7F">
            <w:pPr>
              <w:jc w:val="center"/>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32478">
            <w:pPr>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C005">
            <w:pPr>
              <w:jc w:val="center"/>
              <w:rPr>
                <w:rFonts w:hint="eastAsia" w:ascii="宋体" w:hAnsi="宋体" w:eastAsia="宋体" w:cs="宋体"/>
                <w:i w:val="0"/>
                <w:iCs w:val="0"/>
                <w:color w:val="000000"/>
                <w:sz w:val="18"/>
                <w:szCs w:val="18"/>
                <w:u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6B655">
            <w:pPr>
              <w:jc w:val="center"/>
              <w:rPr>
                <w:rFonts w:hint="eastAsia" w:ascii="宋体" w:hAnsi="宋体" w:eastAsia="宋体" w:cs="宋体"/>
                <w:i w:val="0"/>
                <w:iCs w:val="0"/>
                <w:color w:val="000000"/>
                <w:sz w:val="18"/>
                <w:szCs w:val="18"/>
                <w:u w:val="none"/>
              </w:rPr>
            </w:pPr>
          </w:p>
        </w:tc>
      </w:tr>
      <w:tr w14:paraId="7248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FEF3E">
            <w:pPr>
              <w:jc w:val="center"/>
              <w:rPr>
                <w:rFonts w:hint="eastAsia" w:ascii="宋体" w:hAnsi="宋体" w:eastAsia="宋体" w:cs="宋体"/>
                <w:b/>
                <w:bCs/>
                <w:i w:val="0"/>
                <w:iCs w:val="0"/>
                <w:color w:val="000000"/>
                <w:sz w:val="18"/>
                <w:szCs w:val="18"/>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CA924">
            <w:pPr>
              <w:jc w:val="cente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2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C507">
            <w:pPr>
              <w:jc w:val="center"/>
              <w:rPr>
                <w:rFonts w:hint="eastAsia" w:ascii="宋体" w:hAnsi="宋体" w:eastAsia="宋体" w:cs="宋体"/>
                <w:i w:val="0"/>
                <w:iCs w:val="0"/>
                <w:color w:val="000000"/>
                <w:sz w:val="18"/>
                <w:szCs w:val="18"/>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DA78">
            <w:pPr>
              <w:jc w:val="center"/>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E8BB2">
            <w:pPr>
              <w:jc w:val="center"/>
              <w:rPr>
                <w:rFonts w:hint="eastAsia" w:ascii="宋体" w:hAnsi="宋体" w:eastAsia="宋体" w:cs="宋体"/>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FAFB">
            <w:pPr>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0DA2">
            <w:pPr>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276DC">
            <w:pPr>
              <w:jc w:val="center"/>
              <w:rPr>
                <w:rFonts w:hint="eastAsia" w:ascii="宋体" w:hAnsi="宋体" w:eastAsia="宋体" w:cs="宋体"/>
                <w:i w:val="0"/>
                <w:iCs w:val="0"/>
                <w:color w:val="000000"/>
                <w:sz w:val="18"/>
                <w:szCs w:val="18"/>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BE240">
            <w:pPr>
              <w:jc w:val="center"/>
              <w:rPr>
                <w:rFonts w:hint="eastAsia" w:ascii="宋体" w:hAnsi="宋体" w:eastAsia="宋体" w:cs="宋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3257">
            <w:pPr>
              <w:jc w:val="center"/>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989B">
            <w:pPr>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183B8">
            <w:pPr>
              <w:jc w:val="center"/>
              <w:rPr>
                <w:rFonts w:hint="eastAsia" w:ascii="宋体" w:hAnsi="宋体" w:eastAsia="宋体" w:cs="宋体"/>
                <w:i w:val="0"/>
                <w:iCs w:val="0"/>
                <w:color w:val="000000"/>
                <w:sz w:val="18"/>
                <w:szCs w:val="18"/>
                <w:u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F05D">
            <w:pPr>
              <w:jc w:val="center"/>
              <w:rPr>
                <w:rFonts w:hint="eastAsia" w:ascii="宋体" w:hAnsi="宋体" w:eastAsia="宋体" w:cs="宋体"/>
                <w:i w:val="0"/>
                <w:iCs w:val="0"/>
                <w:color w:val="000000"/>
                <w:sz w:val="18"/>
                <w:szCs w:val="18"/>
                <w:u w:val="none"/>
              </w:rPr>
            </w:pPr>
          </w:p>
        </w:tc>
      </w:tr>
      <w:tr w14:paraId="78E2E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A09D0">
            <w:pPr>
              <w:jc w:val="center"/>
              <w:rPr>
                <w:rFonts w:hint="eastAsia" w:ascii="宋体" w:hAnsi="宋体" w:eastAsia="宋体" w:cs="宋体"/>
                <w:b/>
                <w:bCs/>
                <w:i w:val="0"/>
                <w:iCs w:val="0"/>
                <w:color w:val="000000"/>
                <w:sz w:val="18"/>
                <w:szCs w:val="18"/>
                <w:u w:val="none"/>
              </w:rPr>
            </w:pP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22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4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6C8C9">
            <w:pPr>
              <w:jc w:val="center"/>
              <w:rPr>
                <w:rFonts w:hint="eastAsia" w:ascii="宋体" w:hAnsi="宋体" w:eastAsia="宋体" w:cs="宋体"/>
                <w:i w:val="0"/>
                <w:iCs w:val="0"/>
                <w:color w:val="000000"/>
                <w:sz w:val="18"/>
                <w:szCs w:val="18"/>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4885">
            <w:pPr>
              <w:jc w:val="center"/>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DCD2">
            <w:pPr>
              <w:jc w:val="center"/>
              <w:rPr>
                <w:rFonts w:hint="eastAsia" w:ascii="宋体" w:hAnsi="宋体" w:eastAsia="宋体" w:cs="宋体"/>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2DB25">
            <w:pPr>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31A14">
            <w:pPr>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172A">
            <w:pPr>
              <w:jc w:val="center"/>
              <w:rPr>
                <w:rFonts w:hint="eastAsia" w:ascii="宋体" w:hAnsi="宋体" w:eastAsia="宋体" w:cs="宋体"/>
                <w:i w:val="0"/>
                <w:iCs w:val="0"/>
                <w:color w:val="000000"/>
                <w:sz w:val="18"/>
                <w:szCs w:val="18"/>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88764">
            <w:pPr>
              <w:jc w:val="center"/>
              <w:rPr>
                <w:rFonts w:hint="eastAsia" w:ascii="宋体" w:hAnsi="宋体" w:eastAsia="宋体" w:cs="宋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BEBE">
            <w:pPr>
              <w:jc w:val="center"/>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4C404">
            <w:pPr>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AFB06">
            <w:pPr>
              <w:jc w:val="center"/>
              <w:rPr>
                <w:rFonts w:hint="eastAsia" w:ascii="宋体" w:hAnsi="宋体" w:eastAsia="宋体" w:cs="宋体"/>
                <w:i w:val="0"/>
                <w:iCs w:val="0"/>
                <w:color w:val="000000"/>
                <w:sz w:val="18"/>
                <w:szCs w:val="18"/>
                <w:u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2C4C">
            <w:pPr>
              <w:jc w:val="center"/>
              <w:rPr>
                <w:rFonts w:hint="eastAsia" w:ascii="宋体" w:hAnsi="宋体" w:eastAsia="宋体" w:cs="宋体"/>
                <w:i w:val="0"/>
                <w:iCs w:val="0"/>
                <w:color w:val="000000"/>
                <w:sz w:val="18"/>
                <w:szCs w:val="18"/>
                <w:u w:val="none"/>
              </w:rPr>
            </w:pPr>
          </w:p>
        </w:tc>
      </w:tr>
      <w:tr w14:paraId="02EA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076E9">
            <w:pPr>
              <w:jc w:val="center"/>
              <w:rPr>
                <w:rFonts w:hint="eastAsia" w:ascii="宋体" w:hAnsi="宋体" w:eastAsia="宋体" w:cs="宋体"/>
                <w:b/>
                <w:bCs/>
                <w:i w:val="0"/>
                <w:iCs w:val="0"/>
                <w:color w:val="000000"/>
                <w:sz w:val="18"/>
                <w:szCs w:val="18"/>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FC6A5">
            <w:pPr>
              <w:jc w:val="cente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95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B5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创造良好的城市工作生活环境，提高环境质量</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53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0A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0B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达到预期指标</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EAF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r>
              <w:rPr>
                <w:rFonts w:hint="eastAsia" w:cs="宋体"/>
                <w:i w:val="0"/>
                <w:iCs w:val="0"/>
                <w:color w:val="000000"/>
                <w:kern w:val="0"/>
                <w:sz w:val="18"/>
                <w:szCs w:val="18"/>
                <w:u w:val="none"/>
                <w:lang w:val="en-US" w:eastAsia="zh-CN"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4A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ED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历史标准</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A2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FC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按评判等级赋分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97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工作资料,说明材料</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D82E">
            <w:pPr>
              <w:jc w:val="center"/>
              <w:rPr>
                <w:rFonts w:hint="eastAsia" w:ascii="宋体" w:hAnsi="宋体" w:eastAsia="宋体" w:cs="宋体"/>
                <w:i w:val="0"/>
                <w:iCs w:val="0"/>
                <w:color w:val="000000"/>
                <w:sz w:val="18"/>
                <w:szCs w:val="18"/>
                <w:u w:val="none"/>
              </w:rPr>
            </w:pPr>
          </w:p>
        </w:tc>
      </w:tr>
      <w:tr w14:paraId="1EB46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44C3C">
            <w:pPr>
              <w:jc w:val="center"/>
              <w:rPr>
                <w:rFonts w:hint="eastAsia" w:ascii="宋体" w:hAnsi="宋体" w:eastAsia="宋体" w:cs="宋体"/>
                <w:b/>
                <w:bCs/>
                <w:i w:val="0"/>
                <w:iCs w:val="0"/>
                <w:color w:val="000000"/>
                <w:sz w:val="18"/>
                <w:szCs w:val="18"/>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1EA9D">
            <w:pPr>
              <w:jc w:val="cente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A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34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提高城市生态环境，保持生态平衡</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8D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2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保持</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4E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达到预期指标</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3F5D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r>
              <w:rPr>
                <w:rFonts w:hint="eastAsia" w:cs="宋体"/>
                <w:i w:val="0"/>
                <w:iCs w:val="0"/>
                <w:color w:val="000000"/>
                <w:kern w:val="0"/>
                <w:sz w:val="18"/>
                <w:szCs w:val="18"/>
                <w:u w:val="none"/>
                <w:lang w:val="en-US" w:eastAsia="zh-CN" w:bidi="ar"/>
              </w:rPr>
              <w:t>%</w:t>
            </w:r>
            <w:bookmarkStart w:id="158" w:name="_GoBack"/>
            <w:bookmarkEnd w:id="158"/>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59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0B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历史标准</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5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1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按评判等级赋分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E7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工作资料,说明材料</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A7BB9">
            <w:pPr>
              <w:jc w:val="center"/>
              <w:rPr>
                <w:rFonts w:hint="eastAsia" w:ascii="宋体" w:hAnsi="宋体" w:eastAsia="宋体" w:cs="宋体"/>
                <w:i w:val="0"/>
                <w:iCs w:val="0"/>
                <w:color w:val="000000"/>
                <w:sz w:val="18"/>
                <w:szCs w:val="18"/>
                <w:u w:val="none"/>
              </w:rPr>
            </w:pPr>
          </w:p>
        </w:tc>
      </w:tr>
      <w:tr w14:paraId="45B0E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A17D7">
            <w:pPr>
              <w:jc w:val="center"/>
              <w:rPr>
                <w:rFonts w:hint="eastAsia" w:ascii="宋体" w:hAnsi="宋体" w:eastAsia="宋体" w:cs="宋体"/>
                <w:b/>
                <w:bCs/>
                <w:i w:val="0"/>
                <w:iCs w:val="0"/>
                <w:color w:val="000000"/>
                <w:sz w:val="18"/>
                <w:szCs w:val="18"/>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43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1D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4FDE">
            <w:pPr>
              <w:jc w:val="center"/>
              <w:rPr>
                <w:rFonts w:hint="eastAsia" w:ascii="宋体" w:hAnsi="宋体" w:eastAsia="宋体" w:cs="宋体"/>
                <w:i w:val="0"/>
                <w:iCs w:val="0"/>
                <w:color w:val="000000"/>
                <w:sz w:val="18"/>
                <w:szCs w:val="18"/>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56B7D">
            <w:pPr>
              <w:jc w:val="center"/>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665FE">
            <w:pPr>
              <w:jc w:val="center"/>
              <w:rPr>
                <w:rFonts w:hint="eastAsia" w:ascii="宋体" w:hAnsi="宋体" w:eastAsia="宋体" w:cs="宋体"/>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921E">
            <w:pPr>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1D2B2">
            <w:pPr>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3AF0C">
            <w:pPr>
              <w:jc w:val="center"/>
              <w:rPr>
                <w:rFonts w:hint="eastAsia" w:ascii="宋体" w:hAnsi="宋体" w:eastAsia="宋体" w:cs="宋体"/>
                <w:i w:val="0"/>
                <w:iCs w:val="0"/>
                <w:color w:val="000000"/>
                <w:sz w:val="18"/>
                <w:szCs w:val="18"/>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1414A">
            <w:pPr>
              <w:jc w:val="center"/>
              <w:rPr>
                <w:rFonts w:hint="eastAsia" w:ascii="宋体" w:hAnsi="宋体" w:eastAsia="宋体" w:cs="宋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CDD3D">
            <w:pPr>
              <w:jc w:val="center"/>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566EF">
            <w:pPr>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E3A0">
            <w:pPr>
              <w:jc w:val="center"/>
              <w:rPr>
                <w:rFonts w:hint="eastAsia" w:ascii="宋体" w:hAnsi="宋体" w:eastAsia="宋体" w:cs="宋体"/>
                <w:i w:val="0"/>
                <w:iCs w:val="0"/>
                <w:color w:val="000000"/>
                <w:sz w:val="18"/>
                <w:szCs w:val="18"/>
                <w:u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D9DF">
            <w:pPr>
              <w:jc w:val="center"/>
              <w:rPr>
                <w:rFonts w:hint="eastAsia" w:ascii="宋体" w:hAnsi="宋体" w:eastAsia="宋体" w:cs="宋体"/>
                <w:i w:val="0"/>
                <w:iCs w:val="0"/>
                <w:color w:val="000000"/>
                <w:sz w:val="18"/>
                <w:szCs w:val="18"/>
                <w:u w:val="none"/>
              </w:rPr>
            </w:pPr>
          </w:p>
        </w:tc>
      </w:tr>
      <w:tr w14:paraId="09113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42" w:type="pct"/>
            <w:gridSpan w:val="4"/>
            <w:tcBorders>
              <w:top w:val="single" w:color="000000" w:sz="4" w:space="0"/>
              <w:left w:val="single" w:color="000000" w:sz="4" w:space="0"/>
              <w:bottom w:val="single" w:color="000000" w:sz="4" w:space="0"/>
              <w:right w:val="nil"/>
            </w:tcBorders>
            <w:shd w:val="clear" w:color="auto" w:fill="auto"/>
            <w:vAlign w:val="center"/>
          </w:tcPr>
          <w:p w14:paraId="447A88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总分</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F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79" w:type="pct"/>
            <w:tcBorders>
              <w:top w:val="single" w:color="000000" w:sz="4" w:space="0"/>
              <w:left w:val="nil"/>
              <w:bottom w:val="single" w:color="000000" w:sz="4" w:space="0"/>
              <w:right w:val="single" w:color="000000" w:sz="4" w:space="0"/>
            </w:tcBorders>
            <w:shd w:val="clear" w:color="auto" w:fill="auto"/>
            <w:vAlign w:val="center"/>
          </w:tcPr>
          <w:p w14:paraId="67143976">
            <w:pPr>
              <w:rPr>
                <w:rFonts w:hint="eastAsia" w:ascii="宋体" w:hAnsi="宋体" w:eastAsia="宋体" w:cs="宋体"/>
                <w:b/>
                <w:bCs/>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E2B52">
            <w:pPr>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C2F5">
            <w:pPr>
              <w:jc w:val="cente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4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99.84分</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0B70">
            <w:pPr>
              <w:rPr>
                <w:rFonts w:hint="eastAsia" w:ascii="宋体" w:hAnsi="宋体" w:eastAsia="宋体" w:cs="宋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933B2">
            <w:pPr>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267C0">
            <w:pP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B6E43">
            <w:pPr>
              <w:rPr>
                <w:rFonts w:hint="eastAsia" w:ascii="宋体" w:hAnsi="宋体" w:eastAsia="宋体" w:cs="宋体"/>
                <w:i w:val="0"/>
                <w:iCs w:val="0"/>
                <w:color w:val="000000"/>
                <w:sz w:val="18"/>
                <w:szCs w:val="18"/>
                <w:u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CA982">
            <w:pPr>
              <w:rPr>
                <w:rFonts w:hint="eastAsia" w:ascii="宋体" w:hAnsi="宋体" w:eastAsia="宋体" w:cs="宋体"/>
                <w:i w:val="0"/>
                <w:iCs w:val="0"/>
                <w:color w:val="000000"/>
                <w:sz w:val="18"/>
                <w:szCs w:val="18"/>
                <w:u w:val="none"/>
              </w:rPr>
            </w:pPr>
          </w:p>
        </w:tc>
      </w:tr>
    </w:tbl>
    <w:p w14:paraId="61F5F779">
      <w:pPr>
        <w:ind w:left="0" w:leftChars="0" w:firstLine="0" w:firstLineChars="0"/>
        <w:rPr>
          <w:color w:val="auto"/>
          <w:highlight w:val="none"/>
        </w:rPr>
      </w:pPr>
      <w:r>
        <w:rPr>
          <w:color w:val="auto"/>
          <w:highlight w:val="none"/>
        </w:rPr>
        <w:br w:type="page"/>
      </w:r>
    </w:p>
    <w:p w14:paraId="144CD360">
      <w:pPr>
        <w:pStyle w:val="3"/>
        <w:pageBreakBefore w:val="0"/>
        <w:numPr>
          <w:ilvl w:val="0"/>
          <w:numId w:val="0"/>
        </w:numPr>
        <w:kinsoku/>
        <w:wordWrap/>
        <w:overflowPunct/>
        <w:topLinePunct w:val="0"/>
        <w:autoSpaceDE/>
        <w:autoSpaceDN/>
        <w:bidi w:val="0"/>
        <w:adjustRightInd/>
        <w:spacing w:beforeLines="0" w:afterLines="0" w:line="560" w:lineRule="exact"/>
        <w:textAlignment w:val="auto"/>
        <w:rPr>
          <w:rFonts w:hint="eastAsia" w:ascii="宋体" w:hAnsi="宋体" w:eastAsia="宋体" w:cs="宋体"/>
          <w:b/>
          <w:bCs/>
          <w:color w:val="auto"/>
          <w:highlight w:val="none"/>
          <w:shd w:val="clear" w:color="auto" w:fill="auto"/>
          <w:lang w:val="en-US" w:eastAsia="zh-CN"/>
        </w:rPr>
      </w:pPr>
      <w:bookmarkStart w:id="156" w:name="_Toc15067"/>
      <w:bookmarkStart w:id="157" w:name="_Toc11223"/>
      <w:r>
        <w:rPr>
          <w:rFonts w:hint="eastAsia" w:ascii="宋体" w:hAnsi="宋体" w:eastAsia="宋体" w:cs="宋体"/>
          <w:b/>
          <w:bCs/>
          <w:color w:val="auto"/>
          <w:highlight w:val="none"/>
          <w:shd w:val="clear" w:color="auto" w:fill="auto"/>
          <w:lang w:val="en-US" w:eastAsia="zh-CN"/>
        </w:rPr>
        <w:t>附件二、项目支出绩效评价指标体系打分表</w:t>
      </w:r>
      <w:bookmarkEnd w:id="156"/>
      <w:bookmarkEnd w:id="157"/>
    </w:p>
    <w:tbl>
      <w:tblPr>
        <w:tblStyle w:val="16"/>
        <w:tblW w:w="1392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61"/>
        <w:gridCol w:w="727"/>
        <w:gridCol w:w="1249"/>
        <w:gridCol w:w="2550"/>
        <w:gridCol w:w="6983"/>
        <w:gridCol w:w="785"/>
        <w:gridCol w:w="769"/>
      </w:tblGrid>
      <w:tr w14:paraId="5FBE3F2B">
        <w:tblPrEx>
          <w:shd w:val="clear" w:color="auto" w:fill="auto"/>
          <w:tblCellMar>
            <w:top w:w="0" w:type="dxa"/>
            <w:left w:w="108" w:type="dxa"/>
            <w:bottom w:w="0" w:type="dxa"/>
            <w:right w:w="108" w:type="dxa"/>
          </w:tblCellMar>
        </w:tblPrEx>
        <w:trPr>
          <w:trHeight w:val="692" w:hRule="atLeast"/>
          <w:tblHeader/>
          <w:jc w:val="center"/>
        </w:trPr>
        <w:tc>
          <w:tcPr>
            <w:tcW w:w="861" w:type="dxa"/>
            <w:shd w:val="clear" w:color="auto" w:fill="auto"/>
            <w:noWrap w:val="0"/>
            <w:vAlign w:val="center"/>
          </w:tcPr>
          <w:p w14:paraId="3C5A420B">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一级指标</w:t>
            </w:r>
          </w:p>
        </w:tc>
        <w:tc>
          <w:tcPr>
            <w:tcW w:w="727" w:type="dxa"/>
            <w:shd w:val="clear" w:color="auto" w:fill="auto"/>
            <w:noWrap w:val="0"/>
            <w:vAlign w:val="center"/>
          </w:tcPr>
          <w:p w14:paraId="43AB9AE4">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二级指标</w:t>
            </w:r>
          </w:p>
        </w:tc>
        <w:tc>
          <w:tcPr>
            <w:tcW w:w="1249" w:type="dxa"/>
            <w:shd w:val="clear" w:color="auto" w:fill="auto"/>
            <w:noWrap w:val="0"/>
            <w:vAlign w:val="center"/>
          </w:tcPr>
          <w:p w14:paraId="5DE28BCD">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三级指标</w:t>
            </w:r>
          </w:p>
        </w:tc>
        <w:tc>
          <w:tcPr>
            <w:tcW w:w="2550" w:type="dxa"/>
            <w:shd w:val="clear" w:color="auto" w:fill="auto"/>
            <w:noWrap w:val="0"/>
            <w:vAlign w:val="center"/>
          </w:tcPr>
          <w:p w14:paraId="2E0BA557">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指标解释</w:t>
            </w:r>
          </w:p>
        </w:tc>
        <w:tc>
          <w:tcPr>
            <w:tcW w:w="6983" w:type="dxa"/>
            <w:shd w:val="clear" w:color="auto" w:fill="auto"/>
            <w:noWrap w:val="0"/>
            <w:vAlign w:val="center"/>
          </w:tcPr>
          <w:p w14:paraId="2448A038">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指标说明</w:t>
            </w:r>
          </w:p>
        </w:tc>
        <w:tc>
          <w:tcPr>
            <w:tcW w:w="785" w:type="dxa"/>
            <w:shd w:val="clear" w:color="auto" w:fill="auto"/>
            <w:noWrap w:val="0"/>
            <w:vAlign w:val="center"/>
          </w:tcPr>
          <w:p w14:paraId="132E863E">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分值</w:t>
            </w:r>
          </w:p>
        </w:tc>
        <w:tc>
          <w:tcPr>
            <w:tcW w:w="769" w:type="dxa"/>
            <w:shd w:val="clear" w:color="auto" w:fill="auto"/>
            <w:noWrap w:val="0"/>
            <w:vAlign w:val="center"/>
          </w:tcPr>
          <w:p w14:paraId="6A08BA77">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得分</w:t>
            </w:r>
          </w:p>
        </w:tc>
      </w:tr>
      <w:tr w14:paraId="2F3DD6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318" w:hRule="atLeast"/>
          <w:jc w:val="center"/>
        </w:trPr>
        <w:tc>
          <w:tcPr>
            <w:tcW w:w="861" w:type="dxa"/>
            <w:vMerge w:val="restart"/>
            <w:shd w:val="clear" w:color="auto" w:fill="auto"/>
            <w:noWrap w:val="0"/>
            <w:vAlign w:val="center"/>
          </w:tcPr>
          <w:p w14:paraId="7BD3525D">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决策　</w:t>
            </w:r>
          </w:p>
          <w:p w14:paraId="350B72B8">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p w14:paraId="70DC1DF1">
            <w:pPr>
              <w:pageBreakBefore w:val="0"/>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727" w:type="dxa"/>
            <w:vMerge w:val="restart"/>
            <w:shd w:val="clear" w:color="auto" w:fill="auto"/>
            <w:noWrap w:val="0"/>
            <w:vAlign w:val="center"/>
          </w:tcPr>
          <w:p w14:paraId="04195AC0">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项目立项　</w:t>
            </w:r>
          </w:p>
        </w:tc>
        <w:tc>
          <w:tcPr>
            <w:tcW w:w="1249" w:type="dxa"/>
            <w:shd w:val="clear" w:color="auto" w:fill="auto"/>
            <w:noWrap w:val="0"/>
            <w:vAlign w:val="center"/>
          </w:tcPr>
          <w:p w14:paraId="696CA576">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立项依据</w:t>
            </w:r>
          </w:p>
          <w:p w14:paraId="6052EF14">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充分性</w:t>
            </w:r>
          </w:p>
        </w:tc>
        <w:tc>
          <w:tcPr>
            <w:tcW w:w="2550" w:type="dxa"/>
            <w:shd w:val="clear" w:color="auto" w:fill="auto"/>
            <w:noWrap w:val="0"/>
            <w:vAlign w:val="center"/>
          </w:tcPr>
          <w:p w14:paraId="43A95C30">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项目立项是否符合法律法规、相关政策、发展规划以及部门职责，用以反映和考核项目立项依据情况。</w:t>
            </w:r>
          </w:p>
        </w:tc>
        <w:tc>
          <w:tcPr>
            <w:tcW w:w="6983" w:type="dxa"/>
            <w:shd w:val="clear" w:color="auto" w:fill="auto"/>
            <w:noWrap w:val="0"/>
            <w:vAlign w:val="center"/>
          </w:tcPr>
          <w:p w14:paraId="36F32072">
            <w:pPr>
              <w:pageBreakBefore w:val="0"/>
              <w:widowControl/>
              <w:kinsoku/>
              <w:wordWrap/>
              <w:overflowPunct/>
              <w:topLinePunct w:val="0"/>
              <w:autoSpaceDE/>
              <w:autoSpaceDN/>
              <w:bidi w:val="0"/>
              <w:spacing w:line="240" w:lineRule="auto"/>
              <w:ind w:firstLine="0" w:firstLineChars="0"/>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3F0052FF">
            <w:pPr>
              <w:pageBreakBefore w:val="0"/>
              <w:widowControl/>
              <w:kinsoku/>
              <w:wordWrap/>
              <w:overflowPunct/>
              <w:topLinePunct w:val="0"/>
              <w:autoSpaceDE/>
              <w:autoSpaceDN/>
              <w:bidi w:val="0"/>
              <w:spacing w:line="240" w:lineRule="auto"/>
              <w:ind w:firstLine="0" w:firstLineChars="0"/>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①项目立项是否符合国家法律法规、国民经济发展规划和相关政策；</w:t>
            </w:r>
          </w:p>
          <w:p w14:paraId="09608CA0">
            <w:pPr>
              <w:pageBreakBefore w:val="0"/>
              <w:widowControl/>
              <w:kinsoku/>
              <w:wordWrap/>
              <w:overflowPunct/>
              <w:topLinePunct w:val="0"/>
              <w:autoSpaceDE/>
              <w:autoSpaceDN/>
              <w:bidi w:val="0"/>
              <w:spacing w:line="240" w:lineRule="auto"/>
              <w:ind w:firstLine="0" w:firstLineChars="0"/>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②项目立项是否符合行业发展规划和政策要求；</w:t>
            </w:r>
          </w:p>
          <w:p w14:paraId="4AE23DE0">
            <w:pPr>
              <w:pageBreakBefore w:val="0"/>
              <w:widowControl/>
              <w:kinsoku/>
              <w:wordWrap/>
              <w:overflowPunct/>
              <w:topLinePunct w:val="0"/>
              <w:autoSpaceDE/>
              <w:autoSpaceDN/>
              <w:bidi w:val="0"/>
              <w:spacing w:line="240" w:lineRule="auto"/>
              <w:ind w:firstLine="0" w:firstLineChars="0"/>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③项目立项是否与部门职责范围相符，属于部门履职所需；</w:t>
            </w:r>
          </w:p>
          <w:p w14:paraId="33EC851B">
            <w:pPr>
              <w:pageBreakBefore w:val="0"/>
              <w:widowControl/>
              <w:kinsoku/>
              <w:wordWrap/>
              <w:overflowPunct/>
              <w:topLinePunct w:val="0"/>
              <w:autoSpaceDE/>
              <w:autoSpaceDN/>
              <w:bidi w:val="0"/>
              <w:spacing w:line="240" w:lineRule="auto"/>
              <w:ind w:firstLine="0" w:firstLineChars="0"/>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④项目是否属于公共财政支持范围，是否符合中央、地方事权支出责任划分原则；</w:t>
            </w:r>
          </w:p>
          <w:p w14:paraId="250C54C9">
            <w:pPr>
              <w:pageBreakBefore w:val="0"/>
              <w:widowControl/>
              <w:kinsoku/>
              <w:wordWrap/>
              <w:overflowPunct/>
              <w:topLinePunct w:val="0"/>
              <w:autoSpaceDE/>
              <w:autoSpaceDN/>
              <w:bidi w:val="0"/>
              <w:spacing w:line="240" w:lineRule="auto"/>
              <w:ind w:firstLine="0" w:firstLineChars="0"/>
              <w:jc w:val="left"/>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⑤项目是否与相关部门同类项目或部门内部相关项目重复。</w:t>
            </w:r>
          </w:p>
        </w:tc>
        <w:tc>
          <w:tcPr>
            <w:tcW w:w="785" w:type="dxa"/>
            <w:shd w:val="clear" w:color="auto" w:fill="auto"/>
            <w:noWrap w:val="0"/>
            <w:vAlign w:val="center"/>
          </w:tcPr>
          <w:p w14:paraId="52BDC1C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noWrap w:val="0"/>
            <w:vAlign w:val="center"/>
          </w:tcPr>
          <w:p w14:paraId="7F4C5ADD">
            <w:pPr>
              <w:pageBreakBefore w:val="0"/>
              <w:widowControl/>
              <w:kinsoku/>
              <w:wordWrap/>
              <w:overflowPunct/>
              <w:topLinePunct w:val="0"/>
              <w:autoSpaceDE/>
              <w:autoSpaceDN/>
              <w:bidi w:val="0"/>
              <w:spacing w:line="240" w:lineRule="auto"/>
              <w:ind w:firstLine="0" w:firstLineChars="0"/>
              <w:jc w:val="center"/>
              <w:textAlignment w:val="auto"/>
              <w:rPr>
                <w:rFonts w:hint="default" w:ascii="宋体" w:hAnsi="宋体" w:eastAsia="宋体" w:cs="宋体"/>
                <w:color w:val="auto"/>
                <w:kern w:val="0"/>
                <w:sz w:val="22"/>
                <w:szCs w:val="22"/>
                <w:highlight w:val="none"/>
                <w:lang w:val="en-US"/>
              </w:rPr>
            </w:pPr>
            <w:r>
              <w:rPr>
                <w:rFonts w:hint="default" w:cs="宋体"/>
                <w:color w:val="auto"/>
                <w:kern w:val="0"/>
                <w:sz w:val="22"/>
                <w:szCs w:val="22"/>
                <w:highlight w:val="none"/>
                <w:lang w:val="en-US"/>
              </w:rPr>
              <w:t>2</w:t>
            </w:r>
          </w:p>
        </w:tc>
      </w:tr>
      <w:tr w14:paraId="44334B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40" w:hRule="atLeast"/>
          <w:jc w:val="center"/>
        </w:trPr>
        <w:tc>
          <w:tcPr>
            <w:tcW w:w="861" w:type="dxa"/>
            <w:vMerge w:val="continue"/>
            <w:shd w:val="clear" w:color="auto" w:fill="auto"/>
            <w:noWrap w:val="0"/>
            <w:vAlign w:val="center"/>
          </w:tcPr>
          <w:p w14:paraId="335512DB">
            <w:pPr>
              <w:pageBreakBefore w:val="0"/>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p>
        </w:tc>
        <w:tc>
          <w:tcPr>
            <w:tcW w:w="727" w:type="dxa"/>
            <w:vMerge w:val="continue"/>
            <w:shd w:val="clear" w:color="auto" w:fill="auto"/>
            <w:noWrap w:val="0"/>
            <w:vAlign w:val="center"/>
          </w:tcPr>
          <w:p w14:paraId="0A0BE962">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p>
        </w:tc>
        <w:tc>
          <w:tcPr>
            <w:tcW w:w="1249" w:type="dxa"/>
            <w:shd w:val="clear" w:color="auto" w:fill="auto"/>
            <w:noWrap w:val="0"/>
            <w:vAlign w:val="center"/>
          </w:tcPr>
          <w:p w14:paraId="2E61E6CA">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立项程序</w:t>
            </w:r>
          </w:p>
          <w:p w14:paraId="00149575">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规范性</w:t>
            </w:r>
          </w:p>
        </w:tc>
        <w:tc>
          <w:tcPr>
            <w:tcW w:w="2550" w:type="dxa"/>
            <w:shd w:val="clear" w:color="auto" w:fill="auto"/>
            <w:noWrap w:val="0"/>
            <w:vAlign w:val="center"/>
          </w:tcPr>
          <w:p w14:paraId="6D80E69E">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项目申请、设立过程是否符合相关要求，用以反映和考核项目立项的规范情况。</w:t>
            </w:r>
          </w:p>
        </w:tc>
        <w:tc>
          <w:tcPr>
            <w:tcW w:w="6983" w:type="dxa"/>
            <w:shd w:val="clear" w:color="auto" w:fill="auto"/>
            <w:noWrap w:val="0"/>
            <w:vAlign w:val="center"/>
          </w:tcPr>
          <w:p w14:paraId="5B3DD084">
            <w:pPr>
              <w:pageBreakBefore w:val="0"/>
              <w:widowControl/>
              <w:kinsoku/>
              <w:wordWrap/>
              <w:overflowPunct/>
              <w:topLinePunct w:val="0"/>
              <w:autoSpaceDE/>
              <w:autoSpaceDN/>
              <w:bidi w:val="0"/>
              <w:spacing w:line="240" w:lineRule="auto"/>
              <w:ind w:firstLine="0" w:firstLineChars="0"/>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32BE3A4F">
            <w:pPr>
              <w:pageBreakBefore w:val="0"/>
              <w:widowControl/>
              <w:kinsoku/>
              <w:wordWrap/>
              <w:overflowPunct/>
              <w:topLinePunct w:val="0"/>
              <w:autoSpaceDE/>
              <w:autoSpaceDN/>
              <w:bidi w:val="0"/>
              <w:spacing w:line="240" w:lineRule="auto"/>
              <w:ind w:firstLine="0" w:firstLineChars="0"/>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①项目是否按照规定的程序申请设立；</w:t>
            </w:r>
          </w:p>
          <w:p w14:paraId="5C73B35F">
            <w:pPr>
              <w:pageBreakBefore w:val="0"/>
              <w:widowControl/>
              <w:kinsoku/>
              <w:wordWrap/>
              <w:overflowPunct/>
              <w:topLinePunct w:val="0"/>
              <w:autoSpaceDE/>
              <w:autoSpaceDN/>
              <w:bidi w:val="0"/>
              <w:spacing w:line="240" w:lineRule="auto"/>
              <w:ind w:firstLine="0" w:firstLineChars="0"/>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②审批文件、材料是否符合相关要求；</w:t>
            </w:r>
          </w:p>
          <w:p w14:paraId="1F327504">
            <w:pPr>
              <w:pageBreakBefore w:val="0"/>
              <w:widowControl/>
              <w:kinsoku/>
              <w:wordWrap/>
              <w:overflowPunct/>
              <w:topLinePunct w:val="0"/>
              <w:autoSpaceDE/>
              <w:autoSpaceDN/>
              <w:bidi w:val="0"/>
              <w:spacing w:line="240" w:lineRule="auto"/>
              <w:ind w:firstLine="0" w:firstLineChars="0"/>
              <w:jc w:val="left"/>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③事前是否已经过必要的可行性研究、专家论证、风险评估、绩效评估、集体决策。</w:t>
            </w:r>
          </w:p>
        </w:tc>
        <w:tc>
          <w:tcPr>
            <w:tcW w:w="785" w:type="dxa"/>
            <w:shd w:val="clear" w:color="auto" w:fill="auto"/>
            <w:noWrap w:val="0"/>
            <w:vAlign w:val="center"/>
          </w:tcPr>
          <w:p w14:paraId="044511C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noWrap w:val="0"/>
            <w:vAlign w:val="center"/>
          </w:tcPr>
          <w:p w14:paraId="53C8D7CB">
            <w:pPr>
              <w:pageBreakBefore w:val="0"/>
              <w:widowControl/>
              <w:kinsoku/>
              <w:wordWrap/>
              <w:overflowPunct/>
              <w:topLinePunct w:val="0"/>
              <w:autoSpaceDE/>
              <w:autoSpaceDN/>
              <w:bidi w:val="0"/>
              <w:spacing w:line="240" w:lineRule="auto"/>
              <w:ind w:firstLine="0" w:firstLineChars="0"/>
              <w:jc w:val="center"/>
              <w:textAlignment w:val="auto"/>
              <w:rPr>
                <w:rFonts w:hint="default" w:ascii="宋体" w:hAnsi="宋体" w:eastAsia="宋体" w:cs="宋体"/>
                <w:color w:val="auto"/>
                <w:kern w:val="0"/>
                <w:sz w:val="22"/>
                <w:szCs w:val="22"/>
                <w:highlight w:val="none"/>
                <w:lang w:val="en-US"/>
              </w:rPr>
            </w:pPr>
            <w:r>
              <w:rPr>
                <w:rFonts w:hint="default" w:cs="宋体"/>
                <w:color w:val="auto"/>
                <w:kern w:val="0"/>
                <w:sz w:val="22"/>
                <w:szCs w:val="22"/>
                <w:highlight w:val="none"/>
                <w:lang w:val="en-US"/>
              </w:rPr>
              <w:t>2.4</w:t>
            </w:r>
          </w:p>
        </w:tc>
      </w:tr>
      <w:tr w14:paraId="2A87A3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5" w:hRule="atLeast"/>
          <w:jc w:val="center"/>
        </w:trPr>
        <w:tc>
          <w:tcPr>
            <w:tcW w:w="861" w:type="dxa"/>
            <w:vMerge w:val="continue"/>
            <w:shd w:val="clear" w:color="auto" w:fill="auto"/>
            <w:noWrap w:val="0"/>
            <w:vAlign w:val="center"/>
          </w:tcPr>
          <w:p w14:paraId="4644837D">
            <w:pPr>
              <w:pageBreakBefore w:val="0"/>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p>
        </w:tc>
        <w:tc>
          <w:tcPr>
            <w:tcW w:w="727" w:type="dxa"/>
            <w:shd w:val="clear" w:color="auto" w:fill="auto"/>
            <w:noWrap w:val="0"/>
            <w:vAlign w:val="center"/>
          </w:tcPr>
          <w:p w14:paraId="1D665D9A">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　</w:t>
            </w:r>
          </w:p>
        </w:tc>
        <w:tc>
          <w:tcPr>
            <w:tcW w:w="1249" w:type="dxa"/>
            <w:shd w:val="clear" w:color="auto" w:fill="auto"/>
            <w:noWrap w:val="0"/>
            <w:vAlign w:val="center"/>
          </w:tcPr>
          <w:p w14:paraId="1CD992BF">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w:t>
            </w:r>
          </w:p>
          <w:p w14:paraId="4081998D">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合理性</w:t>
            </w:r>
          </w:p>
        </w:tc>
        <w:tc>
          <w:tcPr>
            <w:tcW w:w="2550" w:type="dxa"/>
            <w:shd w:val="clear" w:color="auto" w:fill="auto"/>
            <w:noWrap w:val="0"/>
            <w:vAlign w:val="center"/>
          </w:tcPr>
          <w:p w14:paraId="38CC0AEE">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项目所设定的绩效目标是否依据充分，是否符合客观实际，用以反映和考核项目绩效目标与项目实施的相符情况。</w:t>
            </w:r>
          </w:p>
        </w:tc>
        <w:tc>
          <w:tcPr>
            <w:tcW w:w="6983" w:type="dxa"/>
            <w:shd w:val="clear" w:color="auto" w:fill="auto"/>
            <w:noWrap w:val="0"/>
            <w:vAlign w:val="center"/>
          </w:tcPr>
          <w:p w14:paraId="5B67F1FF">
            <w:pPr>
              <w:pageBreakBefore w:val="0"/>
              <w:widowControl/>
              <w:kinsoku/>
              <w:wordWrap/>
              <w:overflowPunct/>
              <w:topLinePunct w:val="0"/>
              <w:autoSpaceDE/>
              <w:autoSpaceDN/>
              <w:bidi w:val="0"/>
              <w:spacing w:line="240" w:lineRule="auto"/>
              <w:ind w:firstLine="0" w:firstLineChars="0"/>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6BA2577A">
            <w:pPr>
              <w:pageBreakBefore w:val="0"/>
              <w:widowControl/>
              <w:kinsoku/>
              <w:wordWrap/>
              <w:overflowPunct/>
              <w:topLinePunct w:val="0"/>
              <w:autoSpaceDE/>
              <w:autoSpaceDN/>
              <w:bidi w:val="0"/>
              <w:spacing w:line="240" w:lineRule="auto"/>
              <w:ind w:firstLine="0" w:firstLineChars="0"/>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（如未设定预算绩效目标，也可考核其他工作任务目标）</w:t>
            </w:r>
          </w:p>
          <w:p w14:paraId="23F9995A">
            <w:pPr>
              <w:pageBreakBefore w:val="0"/>
              <w:widowControl/>
              <w:kinsoku/>
              <w:wordWrap/>
              <w:overflowPunct/>
              <w:topLinePunct w:val="0"/>
              <w:autoSpaceDE/>
              <w:autoSpaceDN/>
              <w:bidi w:val="0"/>
              <w:spacing w:line="240" w:lineRule="auto"/>
              <w:ind w:firstLine="0" w:firstLineChars="0"/>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①项目是否有绩效目标；</w:t>
            </w:r>
          </w:p>
          <w:p w14:paraId="41962FB1">
            <w:pPr>
              <w:pageBreakBefore w:val="0"/>
              <w:widowControl/>
              <w:kinsoku/>
              <w:wordWrap/>
              <w:overflowPunct/>
              <w:topLinePunct w:val="0"/>
              <w:autoSpaceDE/>
              <w:autoSpaceDN/>
              <w:bidi w:val="0"/>
              <w:spacing w:line="240" w:lineRule="auto"/>
              <w:ind w:firstLine="0" w:firstLineChars="0"/>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②项目绩效目标与实际工作内容是否具有相关性；</w:t>
            </w:r>
          </w:p>
          <w:p w14:paraId="3274893C">
            <w:pPr>
              <w:pageBreakBefore w:val="0"/>
              <w:widowControl/>
              <w:kinsoku/>
              <w:wordWrap/>
              <w:overflowPunct/>
              <w:topLinePunct w:val="0"/>
              <w:autoSpaceDE/>
              <w:autoSpaceDN/>
              <w:bidi w:val="0"/>
              <w:spacing w:line="240" w:lineRule="auto"/>
              <w:ind w:firstLine="0" w:firstLineChars="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③项目预期产出效益和效果是否符合正常的业绩水平；</w:t>
            </w:r>
          </w:p>
          <w:p w14:paraId="7F3A87BF">
            <w:pPr>
              <w:pageBreakBefore w:val="0"/>
              <w:widowControl/>
              <w:kinsoku/>
              <w:wordWrap/>
              <w:overflowPunct/>
              <w:topLinePunct w:val="0"/>
              <w:autoSpaceDE/>
              <w:autoSpaceDN/>
              <w:bidi w:val="0"/>
              <w:spacing w:line="240" w:lineRule="auto"/>
              <w:ind w:firstLine="0" w:firstLineChars="0"/>
              <w:jc w:val="left"/>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④是否与预算确定的项目投资额或资金量相匹配。</w:t>
            </w:r>
          </w:p>
        </w:tc>
        <w:tc>
          <w:tcPr>
            <w:tcW w:w="785" w:type="dxa"/>
            <w:shd w:val="clear" w:color="auto" w:fill="auto"/>
            <w:noWrap w:val="0"/>
            <w:vAlign w:val="center"/>
          </w:tcPr>
          <w:p w14:paraId="7C4B656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noWrap w:val="0"/>
            <w:vAlign w:val="center"/>
          </w:tcPr>
          <w:p w14:paraId="0F855CDB">
            <w:pPr>
              <w:pageBreakBefore w:val="0"/>
              <w:widowControl/>
              <w:kinsoku/>
              <w:wordWrap/>
              <w:overflowPunct/>
              <w:topLinePunct w:val="0"/>
              <w:autoSpaceDE/>
              <w:autoSpaceDN/>
              <w:bidi w:val="0"/>
              <w:spacing w:line="240" w:lineRule="auto"/>
              <w:ind w:firstLine="0" w:firstLineChars="0"/>
              <w:jc w:val="center"/>
              <w:textAlignment w:val="auto"/>
              <w:rPr>
                <w:rFonts w:hint="default" w:ascii="宋体" w:hAnsi="宋体" w:eastAsia="宋体" w:cs="宋体"/>
                <w:color w:val="auto"/>
                <w:kern w:val="0"/>
                <w:sz w:val="22"/>
                <w:szCs w:val="22"/>
                <w:highlight w:val="none"/>
                <w:lang w:val="en-US"/>
              </w:rPr>
            </w:pPr>
            <w:r>
              <w:rPr>
                <w:rFonts w:hint="default" w:cs="宋体"/>
                <w:color w:val="auto"/>
                <w:kern w:val="0"/>
                <w:sz w:val="22"/>
                <w:szCs w:val="22"/>
                <w:highlight w:val="none"/>
                <w:lang w:val="en-US"/>
              </w:rPr>
              <w:t>5</w:t>
            </w:r>
          </w:p>
        </w:tc>
      </w:tr>
      <w:tr w14:paraId="7C06D6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64" w:hRule="atLeast"/>
          <w:jc w:val="center"/>
        </w:trPr>
        <w:tc>
          <w:tcPr>
            <w:tcW w:w="861" w:type="dxa"/>
            <w:vMerge w:val="restart"/>
            <w:shd w:val="clear" w:color="auto" w:fill="auto"/>
            <w:noWrap w:val="0"/>
            <w:vAlign w:val="center"/>
          </w:tcPr>
          <w:p w14:paraId="3268805F">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决策　</w:t>
            </w:r>
          </w:p>
        </w:tc>
        <w:tc>
          <w:tcPr>
            <w:tcW w:w="727" w:type="dxa"/>
            <w:shd w:val="clear" w:color="auto" w:fill="auto"/>
            <w:noWrap w:val="0"/>
            <w:vAlign w:val="center"/>
          </w:tcPr>
          <w:p w14:paraId="4223A3E4">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w:t>
            </w:r>
          </w:p>
        </w:tc>
        <w:tc>
          <w:tcPr>
            <w:tcW w:w="1249" w:type="dxa"/>
            <w:shd w:val="clear" w:color="auto" w:fill="auto"/>
            <w:noWrap w:val="0"/>
            <w:vAlign w:val="center"/>
          </w:tcPr>
          <w:p w14:paraId="03F1CE52">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绩效指标</w:t>
            </w:r>
          </w:p>
          <w:p w14:paraId="1E4F936F">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明确性</w:t>
            </w:r>
          </w:p>
        </w:tc>
        <w:tc>
          <w:tcPr>
            <w:tcW w:w="2550" w:type="dxa"/>
            <w:shd w:val="clear" w:color="auto" w:fill="auto"/>
            <w:noWrap w:val="0"/>
            <w:vAlign w:val="center"/>
          </w:tcPr>
          <w:p w14:paraId="30434581">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依据绩效目标设定的绩效指标是否清晰、细化、可衡量等，用以反映和考核项目绩效目标的明细化情况。</w:t>
            </w:r>
          </w:p>
        </w:tc>
        <w:tc>
          <w:tcPr>
            <w:tcW w:w="6983" w:type="dxa"/>
            <w:shd w:val="clear" w:color="auto" w:fill="auto"/>
            <w:noWrap w:val="0"/>
            <w:vAlign w:val="center"/>
          </w:tcPr>
          <w:p w14:paraId="4C329A49">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199A5F1B">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①是否将项目绩效目标细化分解为具体的绩效指标；</w:t>
            </w:r>
          </w:p>
          <w:p w14:paraId="06877B3D">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②是否通过清晰、可衡量的指标值予以体现；</w:t>
            </w:r>
          </w:p>
          <w:p w14:paraId="66871610">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③是否与项目目标任务数或计划数相对应。</w:t>
            </w:r>
          </w:p>
          <w:p w14:paraId="524ADFC4">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p>
        </w:tc>
        <w:tc>
          <w:tcPr>
            <w:tcW w:w="785" w:type="dxa"/>
            <w:shd w:val="clear" w:color="auto" w:fill="auto"/>
            <w:noWrap w:val="0"/>
            <w:vAlign w:val="center"/>
          </w:tcPr>
          <w:p w14:paraId="4A12519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noWrap w:val="0"/>
            <w:vAlign w:val="center"/>
          </w:tcPr>
          <w:p w14:paraId="709D7964">
            <w:pPr>
              <w:pageBreakBefore w:val="0"/>
              <w:widowControl/>
              <w:kinsoku/>
              <w:wordWrap/>
              <w:overflowPunct/>
              <w:topLinePunct w:val="0"/>
              <w:autoSpaceDE/>
              <w:autoSpaceDN/>
              <w:bidi w:val="0"/>
              <w:spacing w:line="240" w:lineRule="auto"/>
              <w:ind w:firstLine="0" w:firstLineChars="0"/>
              <w:jc w:val="center"/>
              <w:textAlignment w:val="auto"/>
              <w:rPr>
                <w:rFonts w:hint="default" w:ascii="宋体" w:hAnsi="宋体" w:eastAsia="宋体" w:cs="宋体"/>
                <w:color w:val="auto"/>
                <w:kern w:val="0"/>
                <w:sz w:val="22"/>
                <w:szCs w:val="22"/>
                <w:highlight w:val="none"/>
                <w:lang w:val="en-US"/>
              </w:rPr>
            </w:pPr>
            <w:r>
              <w:rPr>
                <w:rFonts w:hint="default" w:cs="宋体"/>
                <w:color w:val="auto"/>
                <w:kern w:val="0"/>
                <w:sz w:val="22"/>
                <w:szCs w:val="22"/>
                <w:highlight w:val="none"/>
                <w:lang w:val="en-US"/>
              </w:rPr>
              <w:t>5</w:t>
            </w:r>
          </w:p>
        </w:tc>
      </w:tr>
      <w:tr w14:paraId="55F08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42" w:hRule="atLeast"/>
          <w:jc w:val="center"/>
        </w:trPr>
        <w:tc>
          <w:tcPr>
            <w:tcW w:w="861" w:type="dxa"/>
            <w:vMerge w:val="continue"/>
            <w:shd w:val="clear" w:color="auto" w:fill="auto"/>
            <w:noWrap w:val="0"/>
            <w:vAlign w:val="center"/>
          </w:tcPr>
          <w:p w14:paraId="590F8917">
            <w:pPr>
              <w:pageBreakBefore w:val="0"/>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p>
        </w:tc>
        <w:tc>
          <w:tcPr>
            <w:tcW w:w="727" w:type="dxa"/>
            <w:vMerge w:val="restart"/>
            <w:shd w:val="clear" w:color="auto" w:fill="auto"/>
            <w:noWrap w:val="0"/>
            <w:vAlign w:val="center"/>
          </w:tcPr>
          <w:p w14:paraId="2BBC40A4">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资金投入</w:t>
            </w:r>
          </w:p>
          <w:p w14:paraId="7D404AF4">
            <w:pPr>
              <w:pageBreakBefore w:val="0"/>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249" w:type="dxa"/>
            <w:shd w:val="clear" w:color="auto" w:fill="auto"/>
            <w:noWrap w:val="0"/>
            <w:vAlign w:val="center"/>
          </w:tcPr>
          <w:p w14:paraId="2E5FF7F6">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预算编制</w:t>
            </w:r>
          </w:p>
          <w:p w14:paraId="2D535716">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科学性</w:t>
            </w:r>
          </w:p>
        </w:tc>
        <w:tc>
          <w:tcPr>
            <w:tcW w:w="2550" w:type="dxa"/>
            <w:shd w:val="clear" w:color="auto" w:fill="auto"/>
            <w:noWrap w:val="0"/>
            <w:vAlign w:val="center"/>
          </w:tcPr>
          <w:p w14:paraId="6C17FA84">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项目预算编制是否经过科学论证、有明确标准，资金额度与年度目标是否相适应，用以反映和考核项目预算编制的科学性、合理性情况。</w:t>
            </w:r>
          </w:p>
        </w:tc>
        <w:tc>
          <w:tcPr>
            <w:tcW w:w="6983" w:type="dxa"/>
            <w:shd w:val="clear" w:color="auto" w:fill="auto"/>
            <w:noWrap w:val="0"/>
            <w:vAlign w:val="center"/>
          </w:tcPr>
          <w:p w14:paraId="0BEE2401">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433C0730">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①预算编制是否经过科学论证；</w:t>
            </w:r>
          </w:p>
          <w:p w14:paraId="3736AB26">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②预算内容与项目内容是否匹配；</w:t>
            </w:r>
          </w:p>
          <w:p w14:paraId="2A4086AE">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③预算额度测算依据是否充分，是否按照标准编制；</w:t>
            </w:r>
          </w:p>
          <w:p w14:paraId="1EA16097">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④预算确定的项目投资额或资金量是否与工作任务相匹配。</w:t>
            </w:r>
          </w:p>
        </w:tc>
        <w:tc>
          <w:tcPr>
            <w:tcW w:w="785" w:type="dxa"/>
            <w:shd w:val="clear" w:color="auto" w:fill="auto"/>
            <w:noWrap w:val="0"/>
            <w:vAlign w:val="center"/>
          </w:tcPr>
          <w:p w14:paraId="360E233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noWrap w:val="0"/>
            <w:vAlign w:val="center"/>
          </w:tcPr>
          <w:p w14:paraId="626FFFC5">
            <w:pPr>
              <w:pageBreakBefore w:val="0"/>
              <w:widowControl/>
              <w:kinsoku/>
              <w:wordWrap/>
              <w:overflowPunct/>
              <w:topLinePunct w:val="0"/>
              <w:autoSpaceDE/>
              <w:autoSpaceDN/>
              <w:bidi w:val="0"/>
              <w:spacing w:line="240" w:lineRule="auto"/>
              <w:ind w:firstLine="0" w:firstLineChars="0"/>
              <w:jc w:val="center"/>
              <w:textAlignment w:val="auto"/>
              <w:rPr>
                <w:rFonts w:hint="default" w:ascii="宋体" w:hAnsi="宋体" w:eastAsia="宋体" w:cs="宋体"/>
                <w:color w:val="auto"/>
                <w:kern w:val="0"/>
                <w:sz w:val="22"/>
                <w:szCs w:val="22"/>
                <w:highlight w:val="none"/>
                <w:lang w:val="en-US"/>
              </w:rPr>
            </w:pPr>
            <w:r>
              <w:rPr>
                <w:rFonts w:hint="default" w:cs="宋体"/>
                <w:color w:val="auto"/>
                <w:kern w:val="0"/>
                <w:sz w:val="22"/>
                <w:szCs w:val="22"/>
                <w:highlight w:val="none"/>
                <w:lang w:val="en-US"/>
              </w:rPr>
              <w:t>2</w:t>
            </w:r>
          </w:p>
        </w:tc>
      </w:tr>
      <w:tr w14:paraId="028F2A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569" w:hRule="atLeast"/>
          <w:jc w:val="center"/>
        </w:trPr>
        <w:tc>
          <w:tcPr>
            <w:tcW w:w="861" w:type="dxa"/>
            <w:vMerge w:val="continue"/>
            <w:shd w:val="clear" w:color="auto" w:fill="auto"/>
            <w:noWrap w:val="0"/>
            <w:vAlign w:val="center"/>
          </w:tcPr>
          <w:p w14:paraId="1E185582">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p>
        </w:tc>
        <w:tc>
          <w:tcPr>
            <w:tcW w:w="727" w:type="dxa"/>
            <w:vMerge w:val="continue"/>
            <w:shd w:val="clear" w:color="auto" w:fill="auto"/>
            <w:noWrap w:val="0"/>
            <w:vAlign w:val="center"/>
          </w:tcPr>
          <w:p w14:paraId="6C3C5387">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p>
        </w:tc>
        <w:tc>
          <w:tcPr>
            <w:tcW w:w="1249" w:type="dxa"/>
            <w:shd w:val="clear" w:color="auto" w:fill="auto"/>
            <w:noWrap w:val="0"/>
            <w:vAlign w:val="center"/>
          </w:tcPr>
          <w:p w14:paraId="40F9C735">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资金分配</w:t>
            </w:r>
          </w:p>
          <w:p w14:paraId="0E7AA716">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合理性</w:t>
            </w:r>
          </w:p>
        </w:tc>
        <w:tc>
          <w:tcPr>
            <w:tcW w:w="2550" w:type="dxa"/>
            <w:shd w:val="clear" w:color="auto" w:fill="auto"/>
            <w:noWrap w:val="0"/>
            <w:vAlign w:val="center"/>
          </w:tcPr>
          <w:p w14:paraId="09C5B01C">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项目预算资金分配是否有测算依据，与补助单位或地方实际是否相适应，用以反映和考核项目预算资金分配的科学性、合理性情况。</w:t>
            </w:r>
          </w:p>
        </w:tc>
        <w:tc>
          <w:tcPr>
            <w:tcW w:w="6983" w:type="dxa"/>
            <w:shd w:val="clear" w:color="auto" w:fill="auto"/>
            <w:noWrap w:val="0"/>
            <w:vAlign w:val="center"/>
          </w:tcPr>
          <w:p w14:paraId="01142B16">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6B73314C">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①预算资金分配依据是否充分；</w:t>
            </w:r>
          </w:p>
          <w:p w14:paraId="782892CE">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②资金分配额度是否合理，与项目单位或地方实际是否相适应。</w:t>
            </w:r>
          </w:p>
        </w:tc>
        <w:tc>
          <w:tcPr>
            <w:tcW w:w="785" w:type="dxa"/>
            <w:shd w:val="clear" w:color="auto" w:fill="auto"/>
            <w:noWrap w:val="0"/>
            <w:vAlign w:val="center"/>
          </w:tcPr>
          <w:p w14:paraId="3325ADD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noWrap w:val="0"/>
            <w:vAlign w:val="center"/>
          </w:tcPr>
          <w:p w14:paraId="0E19DF02">
            <w:pPr>
              <w:pageBreakBefore w:val="0"/>
              <w:widowControl/>
              <w:kinsoku/>
              <w:wordWrap/>
              <w:overflowPunct/>
              <w:topLinePunct w:val="0"/>
              <w:autoSpaceDE/>
              <w:autoSpaceDN/>
              <w:bidi w:val="0"/>
              <w:spacing w:line="240" w:lineRule="auto"/>
              <w:ind w:firstLine="0" w:firstLineChars="0"/>
              <w:jc w:val="center"/>
              <w:textAlignment w:val="auto"/>
              <w:rPr>
                <w:rFonts w:hint="default" w:ascii="宋体" w:hAnsi="宋体" w:eastAsia="宋体" w:cs="宋体"/>
                <w:color w:val="auto"/>
                <w:kern w:val="0"/>
                <w:sz w:val="22"/>
                <w:szCs w:val="22"/>
                <w:highlight w:val="none"/>
                <w:lang w:val="en-US"/>
              </w:rPr>
            </w:pPr>
            <w:r>
              <w:rPr>
                <w:rFonts w:hint="default" w:cs="宋体"/>
                <w:color w:val="auto"/>
                <w:kern w:val="0"/>
                <w:sz w:val="22"/>
                <w:szCs w:val="22"/>
                <w:highlight w:val="none"/>
                <w:lang w:val="en-US"/>
              </w:rPr>
              <w:t>3</w:t>
            </w:r>
          </w:p>
        </w:tc>
      </w:tr>
      <w:tr w14:paraId="39BAE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513" w:hRule="atLeast"/>
          <w:jc w:val="center"/>
        </w:trPr>
        <w:tc>
          <w:tcPr>
            <w:tcW w:w="861" w:type="dxa"/>
            <w:vMerge w:val="restart"/>
            <w:shd w:val="clear" w:color="auto" w:fill="auto"/>
            <w:noWrap w:val="0"/>
            <w:vAlign w:val="center"/>
          </w:tcPr>
          <w:p w14:paraId="3D258AE5">
            <w:pPr>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过程</w:t>
            </w:r>
          </w:p>
        </w:tc>
        <w:tc>
          <w:tcPr>
            <w:tcW w:w="727" w:type="dxa"/>
            <w:vMerge w:val="restart"/>
            <w:shd w:val="clear" w:color="auto" w:fill="auto"/>
            <w:noWrap w:val="0"/>
            <w:vAlign w:val="center"/>
          </w:tcPr>
          <w:p w14:paraId="3F09BE20">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资金管理</w:t>
            </w:r>
          </w:p>
        </w:tc>
        <w:tc>
          <w:tcPr>
            <w:tcW w:w="1249" w:type="dxa"/>
            <w:shd w:val="clear" w:color="auto" w:fill="auto"/>
            <w:noWrap w:val="0"/>
            <w:vAlign w:val="center"/>
          </w:tcPr>
          <w:p w14:paraId="65388769">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资金到位率</w:t>
            </w:r>
          </w:p>
        </w:tc>
        <w:tc>
          <w:tcPr>
            <w:tcW w:w="2550" w:type="dxa"/>
            <w:shd w:val="clear" w:color="auto" w:fill="auto"/>
            <w:noWrap w:val="0"/>
            <w:vAlign w:val="center"/>
          </w:tcPr>
          <w:p w14:paraId="49B76221">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实际到位资金与预算资金的比率，用以反映和考核资金落实情况对项目实施的总体保障程度。</w:t>
            </w:r>
          </w:p>
        </w:tc>
        <w:tc>
          <w:tcPr>
            <w:tcW w:w="6983" w:type="dxa"/>
            <w:shd w:val="clear" w:color="auto" w:fill="auto"/>
            <w:noWrap w:val="0"/>
            <w:vAlign w:val="center"/>
          </w:tcPr>
          <w:p w14:paraId="5834C7B9">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资金到位率=（</w:t>
            </w:r>
          </w:p>
          <w:p w14:paraId="28448E90">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实际到位资金/预算资金）×100%。</w:t>
            </w:r>
          </w:p>
          <w:p w14:paraId="0A3BE968">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实际到位资金：一定时期（本年度或项目期）内落实到具体项目的资金。</w:t>
            </w:r>
          </w:p>
          <w:p w14:paraId="4ADF9ADC">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预算资金：一定时期（本年度或项目期）内预算安排到具体项目的资金。</w:t>
            </w:r>
          </w:p>
        </w:tc>
        <w:tc>
          <w:tcPr>
            <w:tcW w:w="785" w:type="dxa"/>
            <w:shd w:val="clear" w:color="auto" w:fill="auto"/>
            <w:noWrap w:val="0"/>
            <w:vAlign w:val="center"/>
          </w:tcPr>
          <w:p w14:paraId="540A9A8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14:paraId="2D832F97">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2A95E1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118" w:hRule="atLeast"/>
          <w:jc w:val="center"/>
        </w:trPr>
        <w:tc>
          <w:tcPr>
            <w:tcW w:w="861" w:type="dxa"/>
            <w:vMerge w:val="continue"/>
            <w:shd w:val="clear" w:color="auto" w:fill="auto"/>
            <w:noWrap w:val="0"/>
            <w:vAlign w:val="center"/>
          </w:tcPr>
          <w:p w14:paraId="0EFCEF2C">
            <w:pPr>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rPr>
            </w:pPr>
          </w:p>
        </w:tc>
        <w:tc>
          <w:tcPr>
            <w:tcW w:w="727" w:type="dxa"/>
            <w:vMerge w:val="continue"/>
            <w:shd w:val="clear" w:color="auto" w:fill="auto"/>
            <w:noWrap w:val="0"/>
            <w:vAlign w:val="center"/>
          </w:tcPr>
          <w:p w14:paraId="5CA8F1A3">
            <w:pPr>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rPr>
            </w:pPr>
          </w:p>
        </w:tc>
        <w:tc>
          <w:tcPr>
            <w:tcW w:w="1249" w:type="dxa"/>
            <w:shd w:val="clear" w:color="auto" w:fill="auto"/>
            <w:noWrap w:val="0"/>
            <w:vAlign w:val="center"/>
          </w:tcPr>
          <w:p w14:paraId="61C53BDA">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预算执行率</w:t>
            </w:r>
          </w:p>
        </w:tc>
        <w:tc>
          <w:tcPr>
            <w:tcW w:w="2550" w:type="dxa"/>
            <w:shd w:val="clear" w:color="auto" w:fill="auto"/>
            <w:noWrap w:val="0"/>
            <w:vAlign w:val="center"/>
          </w:tcPr>
          <w:p w14:paraId="192F616D">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项目预算资金是否按照计划执行，用以反映或考核项目预算执行情况。</w:t>
            </w:r>
          </w:p>
        </w:tc>
        <w:tc>
          <w:tcPr>
            <w:tcW w:w="6983" w:type="dxa"/>
            <w:shd w:val="clear" w:color="auto" w:fill="auto"/>
            <w:noWrap w:val="0"/>
            <w:vAlign w:val="center"/>
          </w:tcPr>
          <w:p w14:paraId="2C61443E">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预算执行率=（实际支出资金/实际到位资金）×100%。</w:t>
            </w:r>
          </w:p>
          <w:p w14:paraId="29F7B05E">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实际支出资金：一定时期（本年度或项目期）内项目实际拨付的资金。</w:t>
            </w:r>
          </w:p>
        </w:tc>
        <w:tc>
          <w:tcPr>
            <w:tcW w:w="785" w:type="dxa"/>
            <w:shd w:val="clear" w:color="auto" w:fill="auto"/>
            <w:noWrap w:val="0"/>
            <w:vAlign w:val="center"/>
          </w:tcPr>
          <w:p w14:paraId="3ADBF2A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14:paraId="469EB759">
            <w:pPr>
              <w:pageBreakBefore w:val="0"/>
              <w:widowControl/>
              <w:kinsoku/>
              <w:wordWrap/>
              <w:overflowPunct/>
              <w:topLinePunct w:val="0"/>
              <w:autoSpaceDE/>
              <w:autoSpaceDN/>
              <w:bidi w:val="0"/>
              <w:spacing w:line="240" w:lineRule="auto"/>
              <w:ind w:firstLine="0" w:firstLineChars="0"/>
              <w:jc w:val="center"/>
              <w:textAlignment w:val="auto"/>
              <w:rPr>
                <w:rFonts w:hint="default" w:ascii="宋体" w:hAnsi="宋体" w:eastAsia="宋体" w:cs="宋体"/>
                <w:color w:val="auto"/>
                <w:kern w:val="0"/>
                <w:sz w:val="22"/>
                <w:szCs w:val="22"/>
                <w:highlight w:val="none"/>
                <w:lang w:val="en-US"/>
              </w:rPr>
            </w:pPr>
            <w:r>
              <w:rPr>
                <w:rFonts w:hint="default" w:cs="宋体"/>
                <w:color w:val="auto"/>
                <w:kern w:val="0"/>
                <w:sz w:val="22"/>
                <w:szCs w:val="22"/>
                <w:highlight w:val="none"/>
                <w:lang w:val="en-US"/>
              </w:rPr>
              <w:t>3.99</w:t>
            </w:r>
          </w:p>
        </w:tc>
      </w:tr>
      <w:tr w14:paraId="27FC98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670" w:hRule="atLeast"/>
          <w:jc w:val="center"/>
        </w:trPr>
        <w:tc>
          <w:tcPr>
            <w:tcW w:w="861" w:type="dxa"/>
            <w:vMerge w:val="restart"/>
            <w:shd w:val="clear" w:color="auto" w:fill="auto"/>
            <w:noWrap w:val="0"/>
            <w:vAlign w:val="center"/>
          </w:tcPr>
          <w:p w14:paraId="51BA7B30">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p w14:paraId="310AEEDA">
            <w:pPr>
              <w:pageBreakBefore w:val="0"/>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过程　</w:t>
            </w:r>
          </w:p>
        </w:tc>
        <w:tc>
          <w:tcPr>
            <w:tcW w:w="727" w:type="dxa"/>
            <w:shd w:val="clear" w:color="auto" w:fill="auto"/>
            <w:noWrap w:val="0"/>
            <w:vAlign w:val="center"/>
          </w:tcPr>
          <w:p w14:paraId="5C86716B">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资金管理</w:t>
            </w:r>
          </w:p>
        </w:tc>
        <w:tc>
          <w:tcPr>
            <w:tcW w:w="1249" w:type="dxa"/>
            <w:shd w:val="clear" w:color="auto" w:fill="auto"/>
            <w:noWrap w:val="0"/>
            <w:vAlign w:val="center"/>
          </w:tcPr>
          <w:p w14:paraId="2BB19E60">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资金使用</w:t>
            </w:r>
          </w:p>
          <w:p w14:paraId="34228CB2">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合规性</w:t>
            </w:r>
          </w:p>
        </w:tc>
        <w:tc>
          <w:tcPr>
            <w:tcW w:w="2550" w:type="dxa"/>
            <w:shd w:val="clear" w:color="auto" w:fill="auto"/>
            <w:noWrap w:val="0"/>
            <w:vAlign w:val="center"/>
          </w:tcPr>
          <w:p w14:paraId="5F4C76B6">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项目资金使用是否符合相关的财务管理制度规定，用以反映和考核项目资金的规范运行情况。</w:t>
            </w:r>
          </w:p>
        </w:tc>
        <w:tc>
          <w:tcPr>
            <w:tcW w:w="6983" w:type="dxa"/>
            <w:shd w:val="clear" w:color="auto" w:fill="auto"/>
            <w:noWrap w:val="0"/>
            <w:vAlign w:val="center"/>
          </w:tcPr>
          <w:p w14:paraId="37B8FC08">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1A25944E">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①是否符合国家财经法规和财务管理制度以及有关专项资金管理办法的规定；</w:t>
            </w:r>
          </w:p>
          <w:p w14:paraId="42FDD88D">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②资金的拨付是否有完整的审批程序和手续；</w:t>
            </w:r>
          </w:p>
          <w:p w14:paraId="65C23015">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③是否符合项目预算批复或合同规定的用途；</w:t>
            </w:r>
          </w:p>
          <w:p w14:paraId="231998B5">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④是否存在截留、挤占、挪用、虚列支出等情况。</w:t>
            </w:r>
          </w:p>
        </w:tc>
        <w:tc>
          <w:tcPr>
            <w:tcW w:w="785" w:type="dxa"/>
            <w:shd w:val="clear" w:color="auto" w:fill="auto"/>
            <w:noWrap w:val="0"/>
            <w:vAlign w:val="center"/>
          </w:tcPr>
          <w:p w14:paraId="0E04CA4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14:paraId="4F423070">
            <w:pPr>
              <w:pageBreakBefore w:val="0"/>
              <w:widowControl/>
              <w:kinsoku/>
              <w:wordWrap/>
              <w:overflowPunct/>
              <w:topLinePunct w:val="0"/>
              <w:autoSpaceDE/>
              <w:autoSpaceDN/>
              <w:bidi w:val="0"/>
              <w:spacing w:line="240" w:lineRule="auto"/>
              <w:ind w:firstLine="0" w:firstLineChars="0"/>
              <w:jc w:val="center"/>
              <w:textAlignment w:val="auto"/>
              <w:rPr>
                <w:rFonts w:hint="default" w:ascii="宋体" w:hAnsi="宋体" w:eastAsia="宋体" w:cs="宋体"/>
                <w:color w:val="auto"/>
                <w:kern w:val="0"/>
                <w:sz w:val="22"/>
                <w:szCs w:val="22"/>
                <w:highlight w:val="none"/>
                <w:lang w:val="en-US"/>
              </w:rPr>
            </w:pPr>
            <w:r>
              <w:rPr>
                <w:rFonts w:hint="default" w:cs="宋体"/>
                <w:color w:val="auto"/>
                <w:kern w:val="0"/>
                <w:sz w:val="22"/>
                <w:szCs w:val="22"/>
                <w:highlight w:val="none"/>
                <w:lang w:val="en-US"/>
              </w:rPr>
              <w:t>4</w:t>
            </w:r>
          </w:p>
        </w:tc>
      </w:tr>
      <w:tr w14:paraId="7E8EA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97" w:hRule="atLeast"/>
          <w:jc w:val="center"/>
        </w:trPr>
        <w:tc>
          <w:tcPr>
            <w:tcW w:w="861" w:type="dxa"/>
            <w:vMerge w:val="continue"/>
            <w:shd w:val="clear" w:color="auto" w:fill="auto"/>
            <w:noWrap w:val="0"/>
            <w:vAlign w:val="center"/>
          </w:tcPr>
          <w:p w14:paraId="715540DA">
            <w:pPr>
              <w:pageBreakBefore w:val="0"/>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p>
        </w:tc>
        <w:tc>
          <w:tcPr>
            <w:tcW w:w="727" w:type="dxa"/>
            <w:vMerge w:val="restart"/>
            <w:shd w:val="clear" w:color="auto" w:fill="auto"/>
            <w:noWrap w:val="0"/>
            <w:vAlign w:val="center"/>
          </w:tcPr>
          <w:p w14:paraId="5E9A0E91">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组织实施</w:t>
            </w:r>
          </w:p>
          <w:p w14:paraId="0CB59524">
            <w:pPr>
              <w:pageBreakBefore w:val="0"/>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249" w:type="dxa"/>
            <w:shd w:val="clear" w:color="auto" w:fill="auto"/>
            <w:noWrap w:val="0"/>
            <w:vAlign w:val="center"/>
          </w:tcPr>
          <w:p w14:paraId="5AF444A9">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管理制度</w:t>
            </w:r>
          </w:p>
          <w:p w14:paraId="1A4EAB78">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健全性</w:t>
            </w:r>
          </w:p>
        </w:tc>
        <w:tc>
          <w:tcPr>
            <w:tcW w:w="2550" w:type="dxa"/>
            <w:shd w:val="clear" w:color="auto" w:fill="auto"/>
            <w:noWrap w:val="0"/>
            <w:vAlign w:val="center"/>
          </w:tcPr>
          <w:p w14:paraId="1DFA88A6">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项目实施单位的财务和业务管理制度是否健全，用以反映和考核财务和业务管理制度对项目顺利实施的保障情况。</w:t>
            </w:r>
          </w:p>
        </w:tc>
        <w:tc>
          <w:tcPr>
            <w:tcW w:w="6983" w:type="dxa"/>
            <w:shd w:val="clear" w:color="auto" w:fill="auto"/>
            <w:noWrap w:val="0"/>
            <w:vAlign w:val="center"/>
          </w:tcPr>
          <w:p w14:paraId="48BE101C">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28299CF8">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①是否已制定或具有相应的财务和业务管理制度；</w:t>
            </w:r>
          </w:p>
          <w:p w14:paraId="6B2810EE">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②财务和业务管理制度是否合法、合规、完整。</w:t>
            </w:r>
          </w:p>
        </w:tc>
        <w:tc>
          <w:tcPr>
            <w:tcW w:w="785" w:type="dxa"/>
            <w:shd w:val="clear" w:color="auto" w:fill="auto"/>
            <w:noWrap w:val="0"/>
            <w:vAlign w:val="center"/>
          </w:tcPr>
          <w:p w14:paraId="5DE490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14:paraId="2B50E147">
            <w:pPr>
              <w:pageBreakBefore w:val="0"/>
              <w:widowControl/>
              <w:kinsoku/>
              <w:wordWrap/>
              <w:overflowPunct/>
              <w:topLinePunct w:val="0"/>
              <w:autoSpaceDE/>
              <w:autoSpaceDN/>
              <w:bidi w:val="0"/>
              <w:spacing w:line="240" w:lineRule="auto"/>
              <w:ind w:firstLine="0" w:firstLineChars="0"/>
              <w:jc w:val="center"/>
              <w:textAlignment w:val="auto"/>
              <w:rPr>
                <w:rFonts w:hint="default" w:ascii="宋体" w:hAnsi="宋体" w:eastAsia="宋体" w:cs="宋体"/>
                <w:color w:val="auto"/>
                <w:kern w:val="0"/>
                <w:sz w:val="22"/>
                <w:szCs w:val="22"/>
                <w:highlight w:val="none"/>
                <w:lang w:val="en-US"/>
              </w:rPr>
            </w:pPr>
            <w:r>
              <w:rPr>
                <w:rFonts w:hint="default" w:cs="宋体"/>
                <w:color w:val="auto"/>
                <w:kern w:val="0"/>
                <w:sz w:val="22"/>
                <w:szCs w:val="22"/>
                <w:highlight w:val="none"/>
                <w:lang w:val="en-US"/>
              </w:rPr>
              <w:t>4</w:t>
            </w:r>
          </w:p>
        </w:tc>
      </w:tr>
      <w:tr w14:paraId="0F4C0E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687" w:hRule="atLeast"/>
          <w:jc w:val="center"/>
        </w:trPr>
        <w:tc>
          <w:tcPr>
            <w:tcW w:w="861" w:type="dxa"/>
            <w:vMerge w:val="continue"/>
            <w:shd w:val="clear" w:color="auto" w:fill="auto"/>
            <w:noWrap w:val="0"/>
            <w:vAlign w:val="center"/>
          </w:tcPr>
          <w:p w14:paraId="5F85C036">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p>
        </w:tc>
        <w:tc>
          <w:tcPr>
            <w:tcW w:w="727" w:type="dxa"/>
            <w:vMerge w:val="continue"/>
            <w:shd w:val="clear" w:color="auto" w:fill="auto"/>
            <w:noWrap w:val="0"/>
            <w:vAlign w:val="center"/>
          </w:tcPr>
          <w:p w14:paraId="78B906B4">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p>
        </w:tc>
        <w:tc>
          <w:tcPr>
            <w:tcW w:w="1249" w:type="dxa"/>
            <w:shd w:val="clear" w:color="auto" w:fill="auto"/>
            <w:noWrap w:val="0"/>
            <w:vAlign w:val="center"/>
          </w:tcPr>
          <w:p w14:paraId="7CA39213">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制度执行</w:t>
            </w:r>
          </w:p>
          <w:p w14:paraId="52E84D3F">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有效性</w:t>
            </w:r>
          </w:p>
        </w:tc>
        <w:tc>
          <w:tcPr>
            <w:tcW w:w="2550" w:type="dxa"/>
            <w:shd w:val="clear" w:color="auto" w:fill="auto"/>
            <w:noWrap w:val="0"/>
            <w:vAlign w:val="center"/>
          </w:tcPr>
          <w:p w14:paraId="7611759C">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项目实施是否符合相关管理规定，用以反映和考核相关管理制度的有效执行情况。</w:t>
            </w:r>
          </w:p>
        </w:tc>
        <w:tc>
          <w:tcPr>
            <w:tcW w:w="6983" w:type="dxa"/>
            <w:shd w:val="clear" w:color="auto" w:fill="auto"/>
            <w:noWrap w:val="0"/>
            <w:vAlign w:val="center"/>
          </w:tcPr>
          <w:p w14:paraId="2D40C344">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5F9A77D4">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①是否遵守相关法律法规和相关管理规定；</w:t>
            </w:r>
          </w:p>
          <w:p w14:paraId="282F2CCB">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②项目调整及支出调整手续是否完备；</w:t>
            </w:r>
          </w:p>
          <w:p w14:paraId="4B2489F5">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③项目合同书、验收报告、技术鉴定等资料是否齐全并及时归档；</w:t>
            </w:r>
          </w:p>
          <w:p w14:paraId="5117604F">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④项目实施的人员条件、场地设备、信息支撑等是否落实到位。</w:t>
            </w:r>
          </w:p>
        </w:tc>
        <w:tc>
          <w:tcPr>
            <w:tcW w:w="785" w:type="dxa"/>
            <w:shd w:val="clear" w:color="auto" w:fill="auto"/>
            <w:noWrap w:val="0"/>
            <w:vAlign w:val="center"/>
          </w:tcPr>
          <w:p w14:paraId="0500281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14:paraId="691BBBED">
            <w:pPr>
              <w:pageBreakBefore w:val="0"/>
              <w:widowControl/>
              <w:kinsoku/>
              <w:wordWrap/>
              <w:overflowPunct/>
              <w:topLinePunct w:val="0"/>
              <w:autoSpaceDE/>
              <w:autoSpaceDN/>
              <w:bidi w:val="0"/>
              <w:spacing w:line="240" w:lineRule="auto"/>
              <w:ind w:firstLine="0" w:firstLineChars="0"/>
              <w:jc w:val="center"/>
              <w:textAlignment w:val="auto"/>
              <w:rPr>
                <w:rFonts w:hint="default" w:ascii="宋体" w:hAnsi="宋体" w:eastAsia="宋体" w:cs="宋体"/>
                <w:color w:val="auto"/>
                <w:kern w:val="0"/>
                <w:sz w:val="22"/>
                <w:szCs w:val="22"/>
                <w:highlight w:val="none"/>
                <w:lang w:val="en-US"/>
              </w:rPr>
            </w:pPr>
            <w:r>
              <w:rPr>
                <w:rFonts w:hint="default" w:cs="宋体"/>
                <w:color w:val="auto"/>
                <w:kern w:val="0"/>
                <w:sz w:val="22"/>
                <w:szCs w:val="22"/>
                <w:highlight w:val="none"/>
                <w:lang w:val="en-US"/>
              </w:rPr>
              <w:t>4</w:t>
            </w:r>
          </w:p>
        </w:tc>
      </w:tr>
      <w:tr w14:paraId="60DAC3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434" w:hRule="atLeast"/>
          <w:jc w:val="center"/>
        </w:trPr>
        <w:tc>
          <w:tcPr>
            <w:tcW w:w="861" w:type="dxa"/>
            <w:shd w:val="clear" w:color="auto" w:fill="auto"/>
            <w:noWrap w:val="0"/>
            <w:vAlign w:val="center"/>
          </w:tcPr>
          <w:p w14:paraId="07F0E00A">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w:t>
            </w:r>
          </w:p>
        </w:tc>
        <w:tc>
          <w:tcPr>
            <w:tcW w:w="727" w:type="dxa"/>
            <w:shd w:val="clear" w:color="auto" w:fill="auto"/>
            <w:noWrap w:val="0"/>
            <w:vAlign w:val="center"/>
          </w:tcPr>
          <w:p w14:paraId="116E5516">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产出数量</w:t>
            </w:r>
          </w:p>
        </w:tc>
        <w:tc>
          <w:tcPr>
            <w:tcW w:w="1249" w:type="dxa"/>
            <w:shd w:val="clear" w:color="auto" w:fill="auto"/>
            <w:noWrap w:val="0"/>
            <w:vAlign w:val="center"/>
          </w:tcPr>
          <w:p w14:paraId="7D60D789">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城市道路清扫、保洁面积</w:t>
            </w:r>
          </w:p>
        </w:tc>
        <w:tc>
          <w:tcPr>
            <w:tcW w:w="2550" w:type="dxa"/>
            <w:shd w:val="clear" w:color="auto" w:fill="auto"/>
            <w:noWrap w:val="0"/>
            <w:vAlign w:val="center"/>
          </w:tcPr>
          <w:p w14:paraId="40115621">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项目实施的实际产出数与计划产出数的比率，用以反映和考核项目产出数量目标的实现程度。</w:t>
            </w:r>
          </w:p>
        </w:tc>
        <w:tc>
          <w:tcPr>
            <w:tcW w:w="6983" w:type="dxa"/>
            <w:shd w:val="clear" w:color="auto" w:fill="auto"/>
            <w:noWrap w:val="0"/>
            <w:vAlign w:val="center"/>
          </w:tcPr>
          <w:p w14:paraId="57364A65">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实际完成率=（实际产出数/计划产出数）×100%。</w:t>
            </w:r>
          </w:p>
          <w:p w14:paraId="60A4C0C2">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实际产出数：一定时期（本年度或项目期）内项目实际产出的产品或提供的服务数量。</w:t>
            </w:r>
          </w:p>
          <w:p w14:paraId="6ACA7A60">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计划产出数：项目绩效目标确定的在一定时期（本年度或项目期）内计划产出的产品或提供的服务数量。</w:t>
            </w:r>
          </w:p>
        </w:tc>
        <w:tc>
          <w:tcPr>
            <w:tcW w:w="785" w:type="dxa"/>
            <w:shd w:val="clear" w:color="auto" w:fill="auto"/>
            <w:noWrap w:val="0"/>
            <w:vAlign w:val="center"/>
          </w:tcPr>
          <w:p w14:paraId="748FAE7F">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7</w:t>
            </w:r>
          </w:p>
        </w:tc>
        <w:tc>
          <w:tcPr>
            <w:tcW w:w="769" w:type="dxa"/>
            <w:shd w:val="clear" w:color="auto" w:fill="auto"/>
            <w:noWrap w:val="0"/>
            <w:vAlign w:val="center"/>
          </w:tcPr>
          <w:p w14:paraId="5E7B1BA8">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7</w:t>
            </w:r>
          </w:p>
        </w:tc>
      </w:tr>
      <w:tr w14:paraId="19A7B4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434" w:hRule="atLeast"/>
          <w:jc w:val="center"/>
        </w:trPr>
        <w:tc>
          <w:tcPr>
            <w:tcW w:w="861" w:type="dxa"/>
            <w:shd w:val="clear" w:color="auto" w:fill="auto"/>
            <w:noWrap w:val="0"/>
            <w:vAlign w:val="center"/>
          </w:tcPr>
          <w:p w14:paraId="62EAEBD1">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rPr>
            </w:pPr>
          </w:p>
        </w:tc>
        <w:tc>
          <w:tcPr>
            <w:tcW w:w="727" w:type="dxa"/>
            <w:shd w:val="clear" w:color="auto" w:fill="auto"/>
            <w:noWrap w:val="0"/>
            <w:vAlign w:val="center"/>
          </w:tcPr>
          <w:p w14:paraId="1F829073">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rPr>
            </w:pPr>
          </w:p>
        </w:tc>
        <w:tc>
          <w:tcPr>
            <w:tcW w:w="1249" w:type="dxa"/>
            <w:shd w:val="clear" w:color="auto" w:fill="auto"/>
            <w:noWrap w:val="0"/>
            <w:vAlign w:val="center"/>
          </w:tcPr>
          <w:p w14:paraId="3C3877F0">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城市绿化养护面积</w:t>
            </w:r>
          </w:p>
        </w:tc>
        <w:tc>
          <w:tcPr>
            <w:tcW w:w="2550" w:type="dxa"/>
            <w:shd w:val="clear" w:color="auto" w:fill="auto"/>
            <w:noWrap w:val="0"/>
            <w:vAlign w:val="center"/>
          </w:tcPr>
          <w:p w14:paraId="5D20AE7D">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项目实施的实际产出数与计划产出数的比率，用以反映和考核项目产出数量目标的实现程度。</w:t>
            </w:r>
          </w:p>
        </w:tc>
        <w:tc>
          <w:tcPr>
            <w:tcW w:w="6983" w:type="dxa"/>
            <w:shd w:val="clear" w:color="auto" w:fill="auto"/>
            <w:noWrap w:val="0"/>
            <w:vAlign w:val="center"/>
          </w:tcPr>
          <w:p w14:paraId="58953D6A">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实际完成率=（实际产出数/计划产出数）×100%。</w:t>
            </w:r>
          </w:p>
          <w:p w14:paraId="0D799606">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实际产出数：一定时期（本年度或项目期）内项目实际产出的产品或提供的服务数量。</w:t>
            </w:r>
          </w:p>
          <w:p w14:paraId="46FA8DA7">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计划产出数：项目绩效目标确定的在一定时期（本年度或项目期）内计划产出的产品或提供的服务数量。</w:t>
            </w:r>
          </w:p>
        </w:tc>
        <w:tc>
          <w:tcPr>
            <w:tcW w:w="785" w:type="dxa"/>
            <w:shd w:val="clear" w:color="auto" w:fill="auto"/>
            <w:noWrap w:val="0"/>
            <w:vAlign w:val="center"/>
          </w:tcPr>
          <w:p w14:paraId="413BB7BD">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6</w:t>
            </w:r>
          </w:p>
        </w:tc>
        <w:tc>
          <w:tcPr>
            <w:tcW w:w="769" w:type="dxa"/>
            <w:shd w:val="clear" w:color="auto" w:fill="auto"/>
            <w:noWrap w:val="0"/>
            <w:vAlign w:val="center"/>
          </w:tcPr>
          <w:p w14:paraId="7393B1C7">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6</w:t>
            </w:r>
          </w:p>
        </w:tc>
      </w:tr>
      <w:tr w14:paraId="5FCD24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53" w:hRule="atLeast"/>
          <w:jc w:val="center"/>
        </w:trPr>
        <w:tc>
          <w:tcPr>
            <w:tcW w:w="861" w:type="dxa"/>
            <w:vMerge w:val="restart"/>
            <w:shd w:val="clear" w:color="auto" w:fill="auto"/>
            <w:noWrap w:val="0"/>
            <w:vAlign w:val="center"/>
          </w:tcPr>
          <w:p w14:paraId="1048443B">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w:t>
            </w:r>
          </w:p>
        </w:tc>
        <w:tc>
          <w:tcPr>
            <w:tcW w:w="727" w:type="dxa"/>
            <w:shd w:val="clear" w:color="auto" w:fill="auto"/>
            <w:noWrap w:val="0"/>
            <w:vAlign w:val="center"/>
          </w:tcPr>
          <w:p w14:paraId="60C4651A">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产出质量</w:t>
            </w:r>
          </w:p>
        </w:tc>
        <w:tc>
          <w:tcPr>
            <w:tcW w:w="1249" w:type="dxa"/>
            <w:shd w:val="clear" w:color="auto" w:fill="auto"/>
            <w:noWrap w:val="0"/>
            <w:vAlign w:val="center"/>
          </w:tcPr>
          <w:p w14:paraId="2CE7FCC6">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城市道路机械化清扫质量达标率</w:t>
            </w:r>
          </w:p>
        </w:tc>
        <w:tc>
          <w:tcPr>
            <w:tcW w:w="2550" w:type="dxa"/>
            <w:shd w:val="clear" w:color="auto" w:fill="auto"/>
            <w:noWrap w:val="0"/>
            <w:vAlign w:val="center"/>
          </w:tcPr>
          <w:p w14:paraId="58DA3827">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项目完成的质量达标产出数与实际产出数的比率，用以反映和考核项目产出质量目标的实现程度。</w:t>
            </w:r>
          </w:p>
        </w:tc>
        <w:tc>
          <w:tcPr>
            <w:tcW w:w="6983" w:type="dxa"/>
            <w:shd w:val="clear" w:color="auto" w:fill="auto"/>
            <w:noWrap w:val="0"/>
            <w:vAlign w:val="center"/>
          </w:tcPr>
          <w:p w14:paraId="69B2ED67">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质量达标率=（质量达标产出数/实际产出数）×100%。</w:t>
            </w:r>
          </w:p>
          <w:p w14:paraId="29896502">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shd w:val="clear" w:color="auto" w:fill="auto"/>
            <w:noWrap w:val="0"/>
            <w:vAlign w:val="center"/>
          </w:tcPr>
          <w:p w14:paraId="29CE9BA5">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7</w:t>
            </w:r>
          </w:p>
        </w:tc>
        <w:tc>
          <w:tcPr>
            <w:tcW w:w="769" w:type="dxa"/>
            <w:shd w:val="clear" w:color="auto" w:fill="auto"/>
            <w:noWrap w:val="0"/>
            <w:vAlign w:val="center"/>
          </w:tcPr>
          <w:p w14:paraId="16CEB6CE">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7</w:t>
            </w:r>
          </w:p>
        </w:tc>
      </w:tr>
      <w:tr w14:paraId="2EFD34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506" w:hRule="atLeast"/>
          <w:jc w:val="center"/>
        </w:trPr>
        <w:tc>
          <w:tcPr>
            <w:tcW w:w="861" w:type="dxa"/>
            <w:vMerge w:val="continue"/>
            <w:shd w:val="clear" w:color="auto" w:fill="auto"/>
            <w:noWrap w:val="0"/>
            <w:vAlign w:val="center"/>
          </w:tcPr>
          <w:p w14:paraId="624ABD28">
            <w:pPr>
              <w:pageBreakBefore w:val="0"/>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p>
        </w:tc>
        <w:tc>
          <w:tcPr>
            <w:tcW w:w="727" w:type="dxa"/>
            <w:shd w:val="clear" w:color="auto" w:fill="auto"/>
            <w:noWrap w:val="0"/>
            <w:vAlign w:val="center"/>
          </w:tcPr>
          <w:p w14:paraId="734E5186">
            <w:pPr>
              <w:pageBreakBefore w:val="0"/>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产出时效</w:t>
            </w:r>
          </w:p>
        </w:tc>
        <w:tc>
          <w:tcPr>
            <w:tcW w:w="1249" w:type="dxa"/>
            <w:shd w:val="clear" w:color="auto" w:fill="auto"/>
            <w:noWrap w:val="0"/>
            <w:vAlign w:val="center"/>
          </w:tcPr>
          <w:p w14:paraId="2CC8DC53">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道路清扫保洁及时率</w:t>
            </w:r>
          </w:p>
        </w:tc>
        <w:tc>
          <w:tcPr>
            <w:tcW w:w="2550" w:type="dxa"/>
            <w:shd w:val="clear" w:color="auto" w:fill="auto"/>
            <w:noWrap w:val="0"/>
            <w:vAlign w:val="center"/>
          </w:tcPr>
          <w:p w14:paraId="14180A7B">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项目实际完成时间与计划完成时间的比较，用以反映和考核项目产出时效目标的实现程度。</w:t>
            </w:r>
          </w:p>
        </w:tc>
        <w:tc>
          <w:tcPr>
            <w:tcW w:w="6983" w:type="dxa"/>
            <w:shd w:val="clear" w:color="auto" w:fill="auto"/>
            <w:noWrap w:val="0"/>
            <w:vAlign w:val="center"/>
          </w:tcPr>
          <w:p w14:paraId="59EF10FE">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实际完成时间：项目实施单位完成该项目实际所耗用的时间。</w:t>
            </w:r>
          </w:p>
          <w:p w14:paraId="2EDACFF1">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计划完成时间：按照项目实施计划或相关规定完成该项目所需的时间。</w:t>
            </w:r>
          </w:p>
        </w:tc>
        <w:tc>
          <w:tcPr>
            <w:tcW w:w="785" w:type="dxa"/>
            <w:shd w:val="clear" w:color="auto" w:fill="auto"/>
            <w:noWrap w:val="0"/>
            <w:vAlign w:val="center"/>
          </w:tcPr>
          <w:p w14:paraId="505EAC4C">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6</w:t>
            </w:r>
          </w:p>
        </w:tc>
        <w:tc>
          <w:tcPr>
            <w:tcW w:w="769" w:type="dxa"/>
            <w:shd w:val="clear" w:color="auto" w:fill="auto"/>
            <w:noWrap w:val="0"/>
            <w:vAlign w:val="center"/>
          </w:tcPr>
          <w:p w14:paraId="6C30F619">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6</w:t>
            </w:r>
          </w:p>
        </w:tc>
      </w:tr>
      <w:tr w14:paraId="0F4B4E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076" w:hRule="atLeast"/>
          <w:jc w:val="center"/>
        </w:trPr>
        <w:tc>
          <w:tcPr>
            <w:tcW w:w="861" w:type="dxa"/>
            <w:vMerge w:val="continue"/>
            <w:shd w:val="clear" w:color="auto" w:fill="auto"/>
            <w:noWrap w:val="0"/>
            <w:vAlign w:val="center"/>
          </w:tcPr>
          <w:p w14:paraId="3FBBEA32">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p>
        </w:tc>
        <w:tc>
          <w:tcPr>
            <w:tcW w:w="727" w:type="dxa"/>
            <w:vMerge w:val="restart"/>
            <w:shd w:val="clear" w:color="auto" w:fill="auto"/>
            <w:noWrap w:val="0"/>
            <w:vAlign w:val="center"/>
          </w:tcPr>
          <w:p w14:paraId="2A532A59">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产出成本</w:t>
            </w:r>
          </w:p>
        </w:tc>
        <w:tc>
          <w:tcPr>
            <w:tcW w:w="1249" w:type="dxa"/>
            <w:shd w:val="clear" w:color="auto" w:fill="auto"/>
            <w:noWrap w:val="0"/>
            <w:vAlign w:val="center"/>
          </w:tcPr>
          <w:p w14:paraId="36E60B95">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环境卫生保洁成本控制</w:t>
            </w:r>
          </w:p>
        </w:tc>
        <w:tc>
          <w:tcPr>
            <w:tcW w:w="2550" w:type="dxa"/>
            <w:shd w:val="clear" w:color="auto" w:fill="auto"/>
            <w:noWrap w:val="0"/>
            <w:vAlign w:val="center"/>
          </w:tcPr>
          <w:p w14:paraId="7235F0BD">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完成项目计划工作目标的实际节约成本与计划成本的比率，用以反映和考核项目的成本节约程度。</w:t>
            </w:r>
          </w:p>
        </w:tc>
        <w:tc>
          <w:tcPr>
            <w:tcW w:w="6983" w:type="dxa"/>
            <w:shd w:val="clear" w:color="auto" w:fill="auto"/>
            <w:noWrap w:val="0"/>
            <w:vAlign w:val="center"/>
          </w:tcPr>
          <w:p w14:paraId="045C2088">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p>
          <w:p w14:paraId="7B62F13C">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成本节约率=[（计划成本-实际成本）/计划成本]×100%。</w:t>
            </w:r>
          </w:p>
          <w:p w14:paraId="6C0F6AF0">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实际成本：项目实施单位如期、保质、保量完成既定工作目标实际所耗费的支出。</w:t>
            </w:r>
          </w:p>
          <w:p w14:paraId="70248A9F">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计划成本：项目实施单位为完成工作目标计划安排的支出，一般以项目预算为参考。</w:t>
            </w:r>
          </w:p>
        </w:tc>
        <w:tc>
          <w:tcPr>
            <w:tcW w:w="785" w:type="dxa"/>
            <w:shd w:val="clear" w:color="auto" w:fill="auto"/>
            <w:noWrap w:val="0"/>
            <w:vAlign w:val="center"/>
          </w:tcPr>
          <w:p w14:paraId="04BBA9A4">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8</w:t>
            </w:r>
          </w:p>
        </w:tc>
        <w:tc>
          <w:tcPr>
            <w:tcW w:w="769" w:type="dxa"/>
            <w:shd w:val="clear" w:color="auto" w:fill="auto"/>
            <w:noWrap w:val="0"/>
            <w:vAlign w:val="center"/>
          </w:tcPr>
          <w:p w14:paraId="0EF9CF00">
            <w:pPr>
              <w:pageBreakBefore w:val="0"/>
              <w:widowControl/>
              <w:kinsoku/>
              <w:wordWrap/>
              <w:overflowPunct/>
              <w:topLinePunct w:val="0"/>
              <w:autoSpaceDE/>
              <w:autoSpaceDN/>
              <w:bidi w:val="0"/>
              <w:spacing w:line="240" w:lineRule="auto"/>
              <w:ind w:firstLine="0" w:firstLineChars="0"/>
              <w:jc w:val="center"/>
              <w:textAlignment w:val="auto"/>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7.9</w:t>
            </w:r>
          </w:p>
        </w:tc>
      </w:tr>
      <w:tr w14:paraId="195815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076" w:hRule="atLeast"/>
          <w:jc w:val="center"/>
        </w:trPr>
        <w:tc>
          <w:tcPr>
            <w:tcW w:w="861" w:type="dxa"/>
            <w:vMerge w:val="continue"/>
            <w:shd w:val="clear" w:color="auto" w:fill="auto"/>
            <w:noWrap w:val="0"/>
            <w:vAlign w:val="center"/>
          </w:tcPr>
          <w:p w14:paraId="47837591">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p>
        </w:tc>
        <w:tc>
          <w:tcPr>
            <w:tcW w:w="727" w:type="dxa"/>
            <w:vMerge w:val="continue"/>
            <w:shd w:val="clear" w:color="auto" w:fill="auto"/>
            <w:noWrap w:val="0"/>
            <w:vAlign w:val="center"/>
          </w:tcPr>
          <w:p w14:paraId="5C15F1AA">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rPr>
            </w:pPr>
          </w:p>
        </w:tc>
        <w:tc>
          <w:tcPr>
            <w:tcW w:w="1249" w:type="dxa"/>
            <w:shd w:val="clear" w:color="auto" w:fill="auto"/>
            <w:noWrap w:val="0"/>
            <w:vAlign w:val="center"/>
          </w:tcPr>
          <w:p w14:paraId="16680C8E">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园林绿化养护成本控制</w:t>
            </w:r>
          </w:p>
        </w:tc>
        <w:tc>
          <w:tcPr>
            <w:tcW w:w="2550" w:type="dxa"/>
            <w:shd w:val="clear" w:color="auto" w:fill="auto"/>
            <w:noWrap w:val="0"/>
            <w:vAlign w:val="center"/>
          </w:tcPr>
          <w:p w14:paraId="69271590">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完成项目计划工作目标的实际节约成本与计划成本的比率，用以反映和考核项目的成本节约程度。</w:t>
            </w:r>
          </w:p>
        </w:tc>
        <w:tc>
          <w:tcPr>
            <w:tcW w:w="6983" w:type="dxa"/>
            <w:shd w:val="clear" w:color="auto" w:fill="auto"/>
            <w:noWrap w:val="0"/>
            <w:vAlign w:val="center"/>
          </w:tcPr>
          <w:p w14:paraId="0210275E">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p>
          <w:p w14:paraId="31596F4E">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成本节约率=[（计划成本-实际成本）/计划成本]×100%。</w:t>
            </w:r>
          </w:p>
          <w:p w14:paraId="588308A7">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实际成本：项目实施单位如期、保质、保量完成既定工作目标实际所耗费的支出。</w:t>
            </w:r>
          </w:p>
          <w:p w14:paraId="5019D625">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计划成本：项目实施单位为完成工作目标计划安排的支出，一般以项目预算为参考。</w:t>
            </w:r>
          </w:p>
        </w:tc>
        <w:tc>
          <w:tcPr>
            <w:tcW w:w="785" w:type="dxa"/>
            <w:shd w:val="clear" w:color="auto" w:fill="auto"/>
            <w:noWrap w:val="0"/>
            <w:vAlign w:val="center"/>
          </w:tcPr>
          <w:p w14:paraId="4F80C6DE">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6</w:t>
            </w:r>
          </w:p>
        </w:tc>
        <w:tc>
          <w:tcPr>
            <w:tcW w:w="769" w:type="dxa"/>
            <w:shd w:val="clear" w:color="auto" w:fill="auto"/>
            <w:noWrap w:val="0"/>
            <w:vAlign w:val="center"/>
          </w:tcPr>
          <w:p w14:paraId="565FF395">
            <w:pPr>
              <w:pageBreakBefore w:val="0"/>
              <w:widowControl/>
              <w:kinsoku/>
              <w:wordWrap/>
              <w:overflowPunct/>
              <w:topLinePunct w:val="0"/>
              <w:autoSpaceDE/>
              <w:autoSpaceDN/>
              <w:bidi w:val="0"/>
              <w:spacing w:line="240" w:lineRule="auto"/>
              <w:ind w:firstLine="0" w:firstLineChars="0"/>
              <w:jc w:val="center"/>
              <w:textAlignment w:val="auto"/>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6</w:t>
            </w:r>
          </w:p>
        </w:tc>
      </w:tr>
      <w:tr w14:paraId="050FCD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03" w:hRule="atLeast"/>
          <w:jc w:val="center"/>
        </w:trPr>
        <w:tc>
          <w:tcPr>
            <w:tcW w:w="861" w:type="dxa"/>
            <w:vMerge w:val="restart"/>
            <w:shd w:val="clear" w:color="auto" w:fill="auto"/>
            <w:noWrap w:val="0"/>
            <w:vAlign w:val="center"/>
          </w:tcPr>
          <w:p w14:paraId="0F9ABE1B">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效益　</w:t>
            </w:r>
          </w:p>
        </w:tc>
        <w:tc>
          <w:tcPr>
            <w:tcW w:w="727" w:type="dxa"/>
            <w:vMerge w:val="restart"/>
            <w:shd w:val="clear" w:color="auto" w:fill="auto"/>
            <w:noWrap w:val="0"/>
            <w:vAlign w:val="center"/>
          </w:tcPr>
          <w:p w14:paraId="24A257A0">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项目效益　</w:t>
            </w:r>
          </w:p>
        </w:tc>
        <w:tc>
          <w:tcPr>
            <w:tcW w:w="1249" w:type="dxa"/>
            <w:shd w:val="clear" w:color="auto" w:fill="auto"/>
            <w:noWrap w:val="0"/>
            <w:vAlign w:val="center"/>
          </w:tcPr>
          <w:p w14:paraId="6387ED95">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创造良好的城市工作生活环境，提高环境质量</w:t>
            </w:r>
          </w:p>
        </w:tc>
        <w:tc>
          <w:tcPr>
            <w:tcW w:w="2550" w:type="dxa"/>
            <w:shd w:val="clear" w:color="auto" w:fill="auto"/>
            <w:noWrap w:val="0"/>
            <w:vAlign w:val="center"/>
          </w:tcPr>
          <w:p w14:paraId="07D92EF4">
            <w:pPr>
              <w:pageBreakBefore w:val="0"/>
              <w:widowControl/>
              <w:kinsoku/>
              <w:wordWrap/>
              <w:overflowPunct/>
              <w:topLinePunct w:val="0"/>
              <w:autoSpaceDE/>
              <w:autoSpaceDN/>
              <w:bidi w:val="0"/>
              <w:spacing w:line="240" w:lineRule="auto"/>
              <w:ind w:firstLine="0" w:firstLineChars="0"/>
              <w:jc w:val="left"/>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项目实施所产生的效益。</w:t>
            </w:r>
          </w:p>
        </w:tc>
        <w:tc>
          <w:tcPr>
            <w:tcW w:w="6983" w:type="dxa"/>
            <w:shd w:val="clear" w:color="auto" w:fill="auto"/>
            <w:noWrap w:val="0"/>
            <w:vAlign w:val="center"/>
          </w:tcPr>
          <w:p w14:paraId="4CCE60A5">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项目实施所产生的社会效益、经济效益、生态效益、可持续影响等。可根据项目实际情况有选择地设置和细化。</w:t>
            </w:r>
          </w:p>
        </w:tc>
        <w:tc>
          <w:tcPr>
            <w:tcW w:w="785" w:type="dxa"/>
            <w:shd w:val="clear" w:color="auto" w:fill="auto"/>
            <w:noWrap w:val="0"/>
            <w:vAlign w:val="center"/>
          </w:tcPr>
          <w:p w14:paraId="75441DE5">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7</w:t>
            </w:r>
          </w:p>
        </w:tc>
        <w:tc>
          <w:tcPr>
            <w:tcW w:w="769" w:type="dxa"/>
            <w:shd w:val="clear" w:color="auto" w:fill="auto"/>
            <w:noWrap w:val="0"/>
            <w:vAlign w:val="center"/>
          </w:tcPr>
          <w:p w14:paraId="3757682C">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7</w:t>
            </w:r>
          </w:p>
        </w:tc>
      </w:tr>
      <w:tr w14:paraId="40D07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03" w:hRule="atLeast"/>
          <w:jc w:val="center"/>
        </w:trPr>
        <w:tc>
          <w:tcPr>
            <w:tcW w:w="861" w:type="dxa"/>
            <w:vMerge w:val="continue"/>
            <w:shd w:val="clear" w:color="auto" w:fill="auto"/>
            <w:noWrap w:val="0"/>
            <w:vAlign w:val="center"/>
          </w:tcPr>
          <w:p w14:paraId="4BFA770D">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rPr>
            </w:pPr>
          </w:p>
        </w:tc>
        <w:tc>
          <w:tcPr>
            <w:tcW w:w="727" w:type="dxa"/>
            <w:vMerge w:val="continue"/>
            <w:shd w:val="clear" w:color="auto" w:fill="auto"/>
            <w:noWrap w:val="0"/>
            <w:vAlign w:val="center"/>
          </w:tcPr>
          <w:p w14:paraId="27E18A92">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rPr>
            </w:pPr>
          </w:p>
        </w:tc>
        <w:tc>
          <w:tcPr>
            <w:tcW w:w="1249" w:type="dxa"/>
            <w:shd w:val="clear" w:color="auto" w:fill="auto"/>
            <w:noWrap w:val="0"/>
            <w:vAlign w:val="center"/>
          </w:tcPr>
          <w:p w14:paraId="23B19813">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提高城市生态环境，保持生态平衡</w:t>
            </w:r>
          </w:p>
        </w:tc>
        <w:tc>
          <w:tcPr>
            <w:tcW w:w="2550" w:type="dxa"/>
            <w:shd w:val="clear" w:color="auto" w:fill="auto"/>
            <w:noWrap w:val="0"/>
            <w:vAlign w:val="center"/>
          </w:tcPr>
          <w:p w14:paraId="38F9C1E6">
            <w:pPr>
              <w:pageBreakBefore w:val="0"/>
              <w:widowControl/>
              <w:kinsoku/>
              <w:wordWrap/>
              <w:overflowPunct/>
              <w:topLinePunct w:val="0"/>
              <w:autoSpaceDE/>
              <w:autoSpaceDN/>
              <w:bidi w:val="0"/>
              <w:spacing w:line="240" w:lineRule="auto"/>
              <w:ind w:firstLine="0" w:firstLineChars="0"/>
              <w:jc w:val="left"/>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项目实施所产生的效益。</w:t>
            </w:r>
          </w:p>
        </w:tc>
        <w:tc>
          <w:tcPr>
            <w:tcW w:w="6983" w:type="dxa"/>
            <w:shd w:val="clear" w:color="auto" w:fill="auto"/>
            <w:noWrap w:val="0"/>
            <w:vAlign w:val="center"/>
          </w:tcPr>
          <w:p w14:paraId="251F828E">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项目实施所产生的社会效益、经济效益、生态效益、可持续影响等。可根据项目实际情况有选择地设置和细化。</w:t>
            </w:r>
          </w:p>
        </w:tc>
        <w:tc>
          <w:tcPr>
            <w:tcW w:w="785" w:type="dxa"/>
            <w:shd w:val="clear" w:color="auto" w:fill="auto"/>
            <w:noWrap w:val="0"/>
            <w:vAlign w:val="center"/>
          </w:tcPr>
          <w:p w14:paraId="3ABDEDF7">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7</w:t>
            </w:r>
          </w:p>
        </w:tc>
        <w:tc>
          <w:tcPr>
            <w:tcW w:w="769" w:type="dxa"/>
            <w:shd w:val="clear" w:color="auto" w:fill="auto"/>
            <w:noWrap w:val="0"/>
            <w:vAlign w:val="center"/>
          </w:tcPr>
          <w:p w14:paraId="2C193266">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7</w:t>
            </w:r>
          </w:p>
        </w:tc>
      </w:tr>
      <w:tr w14:paraId="42580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37" w:hRule="atLeast"/>
          <w:jc w:val="center"/>
        </w:trPr>
        <w:tc>
          <w:tcPr>
            <w:tcW w:w="861" w:type="dxa"/>
            <w:vMerge w:val="continue"/>
            <w:shd w:val="clear" w:color="auto" w:fill="auto"/>
            <w:noWrap w:val="0"/>
            <w:vAlign w:val="center"/>
          </w:tcPr>
          <w:p w14:paraId="311B30F2">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p>
        </w:tc>
        <w:tc>
          <w:tcPr>
            <w:tcW w:w="727" w:type="dxa"/>
            <w:vMerge w:val="continue"/>
            <w:shd w:val="clear" w:color="auto" w:fill="auto"/>
            <w:noWrap w:val="0"/>
            <w:vAlign w:val="center"/>
          </w:tcPr>
          <w:p w14:paraId="2FA1C116">
            <w:pPr>
              <w:pageBreakBefore w:val="0"/>
              <w:widowControl/>
              <w:kinsoku/>
              <w:wordWrap/>
              <w:overflowPunct/>
              <w:topLinePunct w:val="0"/>
              <w:autoSpaceDE/>
              <w:autoSpaceDN/>
              <w:bidi w:val="0"/>
              <w:spacing w:line="240" w:lineRule="auto"/>
              <w:ind w:firstLine="0" w:firstLineChars="0"/>
              <w:jc w:val="center"/>
              <w:textAlignment w:val="auto"/>
              <w:rPr>
                <w:rFonts w:ascii="宋体" w:hAnsi="宋体" w:eastAsia="宋体" w:cs="宋体"/>
                <w:color w:val="auto"/>
                <w:kern w:val="0"/>
                <w:sz w:val="22"/>
                <w:szCs w:val="22"/>
                <w:highlight w:val="none"/>
              </w:rPr>
            </w:pPr>
          </w:p>
        </w:tc>
        <w:tc>
          <w:tcPr>
            <w:tcW w:w="1249" w:type="dxa"/>
            <w:shd w:val="clear" w:color="auto" w:fill="auto"/>
            <w:noWrap w:val="0"/>
            <w:vAlign w:val="center"/>
          </w:tcPr>
          <w:p w14:paraId="0330D6BD">
            <w:pPr>
              <w:pageBreakBefore w:val="0"/>
              <w:widowControl/>
              <w:kinsoku/>
              <w:wordWrap/>
              <w:overflowPunct/>
              <w:topLinePunct w:val="0"/>
              <w:autoSpaceDE/>
              <w:autoSpaceDN/>
              <w:bidi w:val="0"/>
              <w:spacing w:line="240" w:lineRule="auto"/>
              <w:ind w:firstLine="0" w:firstLineChars="0"/>
              <w:jc w:val="center"/>
              <w:textAlignment w:val="auto"/>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市民满意度</w:t>
            </w:r>
          </w:p>
        </w:tc>
        <w:tc>
          <w:tcPr>
            <w:tcW w:w="2550" w:type="dxa"/>
            <w:shd w:val="clear" w:color="auto" w:fill="auto"/>
            <w:noWrap w:val="0"/>
            <w:vAlign w:val="center"/>
          </w:tcPr>
          <w:p w14:paraId="03F53075">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社会公众或服务对象对项目实施效果的满意程度。</w:t>
            </w:r>
          </w:p>
        </w:tc>
        <w:tc>
          <w:tcPr>
            <w:tcW w:w="6983" w:type="dxa"/>
            <w:shd w:val="clear" w:color="auto" w:fill="auto"/>
            <w:noWrap w:val="0"/>
            <w:vAlign w:val="center"/>
          </w:tcPr>
          <w:p w14:paraId="7763CAAE">
            <w:pPr>
              <w:pageBreakBefore w:val="0"/>
              <w:widowControl/>
              <w:kinsoku/>
              <w:wordWrap/>
              <w:overflowPunct/>
              <w:topLinePunct w:val="0"/>
              <w:autoSpaceDE/>
              <w:autoSpaceDN/>
              <w:bidi w:val="0"/>
              <w:spacing w:line="240" w:lineRule="auto"/>
              <w:ind w:firstLine="0" w:firstLineChars="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社会公众或服务对象是指因该项目实施而受到影响的部门（单位）、群体或个人。一般采取社会调查的方式。</w:t>
            </w:r>
          </w:p>
        </w:tc>
        <w:tc>
          <w:tcPr>
            <w:tcW w:w="785" w:type="dxa"/>
            <w:shd w:val="clear" w:color="auto" w:fill="auto"/>
            <w:noWrap w:val="0"/>
            <w:vAlign w:val="center"/>
          </w:tcPr>
          <w:p w14:paraId="61FDE1B0">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6</w:t>
            </w:r>
          </w:p>
        </w:tc>
        <w:tc>
          <w:tcPr>
            <w:tcW w:w="769" w:type="dxa"/>
            <w:shd w:val="clear" w:color="auto" w:fill="auto"/>
            <w:noWrap w:val="0"/>
            <w:vAlign w:val="center"/>
          </w:tcPr>
          <w:p w14:paraId="12D6725C">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6</w:t>
            </w:r>
          </w:p>
        </w:tc>
      </w:tr>
      <w:tr w14:paraId="2CF595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17" w:hRule="atLeast"/>
          <w:jc w:val="center"/>
        </w:trPr>
        <w:tc>
          <w:tcPr>
            <w:tcW w:w="5387" w:type="dxa"/>
            <w:gridSpan w:val="4"/>
            <w:shd w:val="clear" w:color="auto" w:fill="auto"/>
            <w:noWrap w:val="0"/>
            <w:vAlign w:val="center"/>
          </w:tcPr>
          <w:p w14:paraId="3458D851">
            <w:pPr>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合计</w:t>
            </w:r>
          </w:p>
        </w:tc>
        <w:tc>
          <w:tcPr>
            <w:tcW w:w="6983" w:type="dxa"/>
            <w:shd w:val="clear" w:color="auto" w:fill="auto"/>
            <w:noWrap w:val="0"/>
            <w:vAlign w:val="center"/>
          </w:tcPr>
          <w:p w14:paraId="05586F1F">
            <w:pPr>
              <w:pageBreakBefore w:val="0"/>
              <w:widowControl/>
              <w:kinsoku/>
              <w:wordWrap/>
              <w:overflowPunct/>
              <w:topLinePunct w:val="0"/>
              <w:autoSpaceDE/>
              <w:autoSpaceDN/>
              <w:bidi w:val="0"/>
              <w:spacing w:line="240" w:lineRule="auto"/>
              <w:ind w:firstLine="0" w:firstLineChars="0"/>
              <w:textAlignment w:val="auto"/>
              <w:rPr>
                <w:rFonts w:hint="eastAsia" w:ascii="宋体" w:hAnsi="宋体" w:eastAsia="宋体" w:cs="宋体"/>
                <w:color w:val="auto"/>
                <w:kern w:val="0"/>
                <w:sz w:val="22"/>
                <w:szCs w:val="22"/>
                <w:highlight w:val="none"/>
              </w:rPr>
            </w:pPr>
          </w:p>
        </w:tc>
        <w:tc>
          <w:tcPr>
            <w:tcW w:w="785" w:type="dxa"/>
            <w:shd w:val="clear" w:color="auto" w:fill="auto"/>
            <w:noWrap w:val="0"/>
            <w:vAlign w:val="center"/>
          </w:tcPr>
          <w:p w14:paraId="0932630E">
            <w:pPr>
              <w:pageBreakBefore w:val="0"/>
              <w:widowControl/>
              <w:kinsoku/>
              <w:wordWrap/>
              <w:overflowPunct/>
              <w:topLinePunct w:val="0"/>
              <w:autoSpaceDE/>
              <w:autoSpaceDN/>
              <w:bidi w:val="0"/>
              <w:spacing w:line="240" w:lineRule="auto"/>
              <w:ind w:firstLine="0" w:firstLineChars="0"/>
              <w:jc w:val="center"/>
              <w:textAlignment w:val="auto"/>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100</w:t>
            </w:r>
          </w:p>
        </w:tc>
        <w:tc>
          <w:tcPr>
            <w:tcW w:w="769" w:type="dxa"/>
            <w:shd w:val="clear" w:color="auto" w:fill="auto"/>
            <w:noWrap w:val="0"/>
            <w:vAlign w:val="center"/>
          </w:tcPr>
          <w:p w14:paraId="54E4FE83">
            <w:pPr>
              <w:pageBreakBefore w:val="0"/>
              <w:widowControl/>
              <w:kinsoku/>
              <w:wordWrap/>
              <w:overflowPunct/>
              <w:topLinePunct w:val="0"/>
              <w:autoSpaceDE/>
              <w:autoSpaceDN/>
              <w:bidi w:val="0"/>
              <w:spacing w:line="240" w:lineRule="auto"/>
              <w:ind w:firstLine="0" w:firstLineChars="0"/>
              <w:jc w:val="center"/>
              <w:textAlignment w:val="auto"/>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99.29</w:t>
            </w:r>
          </w:p>
        </w:tc>
      </w:tr>
    </w:tbl>
    <w:p w14:paraId="50EF8725">
      <w:pPr>
        <w:pageBreakBefore w:val="0"/>
        <w:kinsoku/>
        <w:wordWrap/>
        <w:overflowPunct/>
        <w:topLinePunct w:val="0"/>
        <w:autoSpaceDE/>
        <w:autoSpaceDN/>
        <w:bidi w:val="0"/>
        <w:spacing w:line="560" w:lineRule="exact"/>
        <w:ind w:firstLine="0" w:firstLineChars="0"/>
        <w:textAlignment w:val="auto"/>
        <w:rPr>
          <w:rFonts w:ascii="Times New Roman" w:hAnsi="Times New Roman" w:eastAsia="仿宋_GB2312" w:cs="Times New Roman"/>
          <w:color w:val="auto"/>
          <w:sz w:val="30"/>
          <w:szCs w:val="24"/>
          <w:highlight w:val="none"/>
        </w:rPr>
      </w:pPr>
    </w:p>
    <w:p w14:paraId="4F97E237">
      <w:pPr>
        <w:pageBreakBefore w:val="0"/>
        <w:kinsoku/>
        <w:wordWrap/>
        <w:overflowPunct/>
        <w:topLinePunct w:val="0"/>
        <w:autoSpaceDE/>
        <w:autoSpaceDN/>
        <w:bidi w:val="0"/>
        <w:spacing w:line="560" w:lineRule="exact"/>
        <w:textAlignment w:val="auto"/>
        <w:rPr>
          <w:rFonts w:hint="default"/>
          <w:color w:val="auto"/>
          <w:highlight w:val="none"/>
          <w:lang w:val="en-US" w:eastAsia="zh-CN"/>
        </w:rPr>
      </w:pPr>
    </w:p>
    <w:sectPr>
      <w:pgSz w:w="16838" w:h="11906" w:orient="landscape"/>
      <w:pgMar w:top="1800" w:right="1440" w:bottom="1800" w:left="1440" w:header="737" w:footer="851" w:gutter="0"/>
      <w:pgNumType w:fmt="decimal"/>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3B36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97558">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197558">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lZTAzNzU1YTMxMTkxNjU2ZDE5MmUzYjgzNzAyMTcifQ=="/>
  </w:docVars>
  <w:rsids>
    <w:rsidRoot w:val="68291A1A"/>
    <w:rsid w:val="007D6A04"/>
    <w:rsid w:val="00E23C81"/>
    <w:rsid w:val="01253350"/>
    <w:rsid w:val="01282E62"/>
    <w:rsid w:val="014029CF"/>
    <w:rsid w:val="01470C4C"/>
    <w:rsid w:val="02200440"/>
    <w:rsid w:val="02284B43"/>
    <w:rsid w:val="02B015E2"/>
    <w:rsid w:val="02DC08FA"/>
    <w:rsid w:val="033B569D"/>
    <w:rsid w:val="039C3BA0"/>
    <w:rsid w:val="03A845BB"/>
    <w:rsid w:val="03B45AD1"/>
    <w:rsid w:val="04D12EE4"/>
    <w:rsid w:val="04D63993"/>
    <w:rsid w:val="05D65CBA"/>
    <w:rsid w:val="07890F4F"/>
    <w:rsid w:val="08892439"/>
    <w:rsid w:val="08EB30F3"/>
    <w:rsid w:val="09237408"/>
    <w:rsid w:val="09781BD6"/>
    <w:rsid w:val="09F359DF"/>
    <w:rsid w:val="0A575E65"/>
    <w:rsid w:val="0ACA0AB6"/>
    <w:rsid w:val="0ADA6B55"/>
    <w:rsid w:val="0C032502"/>
    <w:rsid w:val="0C27698C"/>
    <w:rsid w:val="0C8E44C1"/>
    <w:rsid w:val="0CDC2312"/>
    <w:rsid w:val="0D4452F3"/>
    <w:rsid w:val="0DEE750E"/>
    <w:rsid w:val="0F5E5042"/>
    <w:rsid w:val="0FE95707"/>
    <w:rsid w:val="10510571"/>
    <w:rsid w:val="10787A20"/>
    <w:rsid w:val="108672DE"/>
    <w:rsid w:val="10EC685A"/>
    <w:rsid w:val="11FA6155"/>
    <w:rsid w:val="12CF0947"/>
    <w:rsid w:val="12F1313F"/>
    <w:rsid w:val="136C678E"/>
    <w:rsid w:val="13EB2FF5"/>
    <w:rsid w:val="14ED4CAC"/>
    <w:rsid w:val="15A46B04"/>
    <w:rsid w:val="165825BC"/>
    <w:rsid w:val="16BC5D73"/>
    <w:rsid w:val="16C378D7"/>
    <w:rsid w:val="176F36D7"/>
    <w:rsid w:val="1795226D"/>
    <w:rsid w:val="18456B1E"/>
    <w:rsid w:val="1C1171C5"/>
    <w:rsid w:val="1D265138"/>
    <w:rsid w:val="1D7B6BCA"/>
    <w:rsid w:val="1DA41A79"/>
    <w:rsid w:val="1DF53469"/>
    <w:rsid w:val="1E2F24F2"/>
    <w:rsid w:val="1E58492F"/>
    <w:rsid w:val="1E5B6757"/>
    <w:rsid w:val="1ED10AC6"/>
    <w:rsid w:val="1F89225F"/>
    <w:rsid w:val="1F900A1F"/>
    <w:rsid w:val="1FC0575D"/>
    <w:rsid w:val="206132C7"/>
    <w:rsid w:val="21B00C1D"/>
    <w:rsid w:val="23031BEB"/>
    <w:rsid w:val="23917691"/>
    <w:rsid w:val="244D65B8"/>
    <w:rsid w:val="245E1E24"/>
    <w:rsid w:val="25AD5E5D"/>
    <w:rsid w:val="2732478D"/>
    <w:rsid w:val="27661469"/>
    <w:rsid w:val="27900EAD"/>
    <w:rsid w:val="279B538A"/>
    <w:rsid w:val="286F545C"/>
    <w:rsid w:val="28E62054"/>
    <w:rsid w:val="29314FBC"/>
    <w:rsid w:val="2AA2081A"/>
    <w:rsid w:val="2C024B86"/>
    <w:rsid w:val="2C927671"/>
    <w:rsid w:val="2CC6306F"/>
    <w:rsid w:val="2D7C5CD6"/>
    <w:rsid w:val="2E483E7E"/>
    <w:rsid w:val="2E690493"/>
    <w:rsid w:val="2E9854BD"/>
    <w:rsid w:val="2F0D407F"/>
    <w:rsid w:val="2F3740ED"/>
    <w:rsid w:val="2F454B19"/>
    <w:rsid w:val="30B147F6"/>
    <w:rsid w:val="310224D9"/>
    <w:rsid w:val="31B4621C"/>
    <w:rsid w:val="31E3230A"/>
    <w:rsid w:val="330957E0"/>
    <w:rsid w:val="33356F64"/>
    <w:rsid w:val="33944516"/>
    <w:rsid w:val="34B62907"/>
    <w:rsid w:val="34BD3E15"/>
    <w:rsid w:val="34D565F1"/>
    <w:rsid w:val="36BD137C"/>
    <w:rsid w:val="38053EDF"/>
    <w:rsid w:val="380812A4"/>
    <w:rsid w:val="385D37E7"/>
    <w:rsid w:val="38782EDD"/>
    <w:rsid w:val="3B42664A"/>
    <w:rsid w:val="3CAD1E92"/>
    <w:rsid w:val="3CD43BC5"/>
    <w:rsid w:val="3D491BBB"/>
    <w:rsid w:val="3D836A4E"/>
    <w:rsid w:val="3EA37E97"/>
    <w:rsid w:val="3FBE0BC5"/>
    <w:rsid w:val="4048103A"/>
    <w:rsid w:val="40736643"/>
    <w:rsid w:val="40D24A7A"/>
    <w:rsid w:val="42621029"/>
    <w:rsid w:val="435241E2"/>
    <w:rsid w:val="43975C51"/>
    <w:rsid w:val="439E3FA7"/>
    <w:rsid w:val="44B32266"/>
    <w:rsid w:val="44FC64F4"/>
    <w:rsid w:val="467F4585"/>
    <w:rsid w:val="470628CB"/>
    <w:rsid w:val="4729480B"/>
    <w:rsid w:val="47555BD4"/>
    <w:rsid w:val="47BC2DB1"/>
    <w:rsid w:val="47E96399"/>
    <w:rsid w:val="47F76025"/>
    <w:rsid w:val="486E33F5"/>
    <w:rsid w:val="48E12B50"/>
    <w:rsid w:val="499441BE"/>
    <w:rsid w:val="499A6C1C"/>
    <w:rsid w:val="4A195607"/>
    <w:rsid w:val="4A2138F0"/>
    <w:rsid w:val="4A583887"/>
    <w:rsid w:val="4B9F6E02"/>
    <w:rsid w:val="4C89637B"/>
    <w:rsid w:val="4E6E48A8"/>
    <w:rsid w:val="4EEC036B"/>
    <w:rsid w:val="4F714FA1"/>
    <w:rsid w:val="501D2673"/>
    <w:rsid w:val="50581FBB"/>
    <w:rsid w:val="50C80BF1"/>
    <w:rsid w:val="51852833"/>
    <w:rsid w:val="52944DCE"/>
    <w:rsid w:val="52F11AC8"/>
    <w:rsid w:val="534F49D9"/>
    <w:rsid w:val="53555F0F"/>
    <w:rsid w:val="535D23D5"/>
    <w:rsid w:val="54357153"/>
    <w:rsid w:val="54FC7F72"/>
    <w:rsid w:val="56F4341A"/>
    <w:rsid w:val="575A7321"/>
    <w:rsid w:val="580C3AB9"/>
    <w:rsid w:val="583C7AE0"/>
    <w:rsid w:val="586C1E9A"/>
    <w:rsid w:val="586E0800"/>
    <w:rsid w:val="59216F96"/>
    <w:rsid w:val="598C4145"/>
    <w:rsid w:val="59957D1B"/>
    <w:rsid w:val="59D4294E"/>
    <w:rsid w:val="5B634312"/>
    <w:rsid w:val="5B9D2CCD"/>
    <w:rsid w:val="5B9E71EA"/>
    <w:rsid w:val="5CBD80A1"/>
    <w:rsid w:val="5E226FBC"/>
    <w:rsid w:val="5FE72BD2"/>
    <w:rsid w:val="60120613"/>
    <w:rsid w:val="618D5292"/>
    <w:rsid w:val="622E78FA"/>
    <w:rsid w:val="63343F70"/>
    <w:rsid w:val="64296E1C"/>
    <w:rsid w:val="64386FCC"/>
    <w:rsid w:val="649E64A2"/>
    <w:rsid w:val="65E5270A"/>
    <w:rsid w:val="663D3C54"/>
    <w:rsid w:val="667A6962"/>
    <w:rsid w:val="66862C89"/>
    <w:rsid w:val="66BB486D"/>
    <w:rsid w:val="67394C7D"/>
    <w:rsid w:val="67CF46B7"/>
    <w:rsid w:val="68126B38"/>
    <w:rsid w:val="68291A1A"/>
    <w:rsid w:val="68352BB8"/>
    <w:rsid w:val="68B41732"/>
    <w:rsid w:val="691327EB"/>
    <w:rsid w:val="691B1594"/>
    <w:rsid w:val="693A016B"/>
    <w:rsid w:val="6A17429C"/>
    <w:rsid w:val="6A567EA3"/>
    <w:rsid w:val="6B4B4368"/>
    <w:rsid w:val="6B79100E"/>
    <w:rsid w:val="6C844C00"/>
    <w:rsid w:val="6DFF3CD7"/>
    <w:rsid w:val="6E10212C"/>
    <w:rsid w:val="6E21682C"/>
    <w:rsid w:val="6E43561A"/>
    <w:rsid w:val="6E557973"/>
    <w:rsid w:val="6E9568DB"/>
    <w:rsid w:val="6F0D6C22"/>
    <w:rsid w:val="6F47657F"/>
    <w:rsid w:val="6FAF23D9"/>
    <w:rsid w:val="70635CF6"/>
    <w:rsid w:val="70670707"/>
    <w:rsid w:val="720E3691"/>
    <w:rsid w:val="7249173A"/>
    <w:rsid w:val="724E244C"/>
    <w:rsid w:val="72DA6946"/>
    <w:rsid w:val="732764B3"/>
    <w:rsid w:val="74026044"/>
    <w:rsid w:val="74325A77"/>
    <w:rsid w:val="74746410"/>
    <w:rsid w:val="75C8506C"/>
    <w:rsid w:val="75E5007C"/>
    <w:rsid w:val="77636B63"/>
    <w:rsid w:val="77813724"/>
    <w:rsid w:val="77861774"/>
    <w:rsid w:val="78260AA1"/>
    <w:rsid w:val="78F31435"/>
    <w:rsid w:val="79300B45"/>
    <w:rsid w:val="794D3E18"/>
    <w:rsid w:val="79F3729A"/>
    <w:rsid w:val="7A880722"/>
    <w:rsid w:val="7AB3702E"/>
    <w:rsid w:val="7ABE6120"/>
    <w:rsid w:val="7ACB0498"/>
    <w:rsid w:val="7AED0B4D"/>
    <w:rsid w:val="7C1E4487"/>
    <w:rsid w:val="7C215E02"/>
    <w:rsid w:val="7CAD2589"/>
    <w:rsid w:val="7CB93023"/>
    <w:rsid w:val="7CF23764"/>
    <w:rsid w:val="7D851A94"/>
    <w:rsid w:val="7E797F74"/>
    <w:rsid w:val="7F6E7AE4"/>
    <w:rsid w:val="7F924011"/>
    <w:rsid w:val="7FC52DC2"/>
    <w:rsid w:val="7FFA42FE"/>
    <w:rsid w:val="A3CBC7B8"/>
    <w:rsid w:val="FAD3E091"/>
    <w:rsid w:val="FEFD3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宋体" w:hAnsi="宋体" w:eastAsia="宋体" w:cs="宋体"/>
      <w:kern w:val="2"/>
      <w:sz w:val="28"/>
      <w:szCs w:val="28"/>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964" w:firstLineChars="200"/>
      <w:outlineLvl w:val="0"/>
    </w:pPr>
    <w:rPr>
      <w:rFonts w:ascii="Times New Roman" w:hAnsi="Times New Roman" w:eastAsia="黑体"/>
      <w:kern w:val="44"/>
      <w:sz w:val="32"/>
      <w:szCs w:val="22"/>
    </w:rPr>
  </w:style>
  <w:style w:type="paragraph" w:styleId="4">
    <w:name w:val="heading 2"/>
    <w:basedOn w:val="1"/>
    <w:next w:val="1"/>
    <w:link w:val="19"/>
    <w:unhideWhenUsed/>
    <w:qFormat/>
    <w:uiPriority w:val="0"/>
    <w:pPr>
      <w:keepNext/>
      <w:keepLines/>
      <w:spacing w:beforeLines="0" w:beforeAutospacing="0" w:afterLines="0" w:afterAutospacing="0" w:line="560" w:lineRule="exact"/>
      <w:ind w:firstLine="964" w:firstLineChars="200"/>
      <w:outlineLvl w:val="1"/>
    </w:pPr>
    <w:rPr>
      <w:rFonts w:ascii="Arial" w:hAnsi="Arial" w:eastAsia="楷体"/>
      <w:b/>
      <w:sz w:val="32"/>
    </w:rPr>
  </w:style>
  <w:style w:type="paragraph" w:styleId="5">
    <w:name w:val="heading 3"/>
    <w:basedOn w:val="1"/>
    <w:next w:val="1"/>
    <w:qFormat/>
    <w:uiPriority w:val="99"/>
    <w:pPr>
      <w:keepNext/>
      <w:keepLines/>
      <w:spacing w:line="560" w:lineRule="exact"/>
      <w:ind w:firstLine="883" w:firstLineChars="200"/>
      <w:outlineLvl w:val="2"/>
    </w:pPr>
    <w:rPr>
      <w:rFonts w:ascii="仿宋_GB2312" w:hAnsi="仿宋_GB2312" w:eastAsia="仿宋_GB2312"/>
      <w:b/>
      <w:bCs/>
      <w:kern w:val="0"/>
      <w:sz w:val="28"/>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240" w:after="240" w:line="360" w:lineRule="auto"/>
      <w:jc w:val="center"/>
    </w:pPr>
    <w:rPr>
      <w:b/>
      <w:sz w:val="44"/>
    </w:rPr>
  </w:style>
  <w:style w:type="paragraph" w:styleId="6">
    <w:name w:val="annotation text"/>
    <w:basedOn w:val="1"/>
    <w:qFormat/>
    <w:uiPriority w:val="0"/>
    <w:pPr>
      <w:jc w:val="left"/>
    </w:p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qFormat/>
    <w:uiPriority w:val="0"/>
    <w:pPr>
      <w:spacing w:after="120" w:line="480" w:lineRule="auto"/>
    </w:pPr>
    <w:rPr>
      <w:rFonts w:ascii="Times New Roman" w:hAnsi="Times New Roman" w:eastAsia="宋体" w:cs="Times New Roman"/>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qFormat/>
    <w:uiPriority w:val="0"/>
    <w:pPr>
      <w:spacing w:before="240" w:beforeLines="0" w:after="60" w:afterLines="0"/>
      <w:jc w:val="left"/>
      <w:outlineLvl w:val="0"/>
    </w:pPr>
    <w:rPr>
      <w:rFonts w:ascii="MS Sans Serif" w:hAnsi="MS Sans Serif" w:eastAsia="宋体" w:cs="MS Sans Serif"/>
      <w:b/>
      <w:bCs/>
      <w:sz w:val="24"/>
      <w:szCs w:val="32"/>
    </w:rPr>
  </w:style>
  <w:style w:type="paragraph" w:styleId="15">
    <w:name w:val="Body Text First Indent"/>
    <w:basedOn w:val="2"/>
    <w:qFormat/>
    <w:uiPriority w:val="0"/>
    <w:pPr>
      <w:spacing w:after="0"/>
      <w:ind w:firstLine="200" w:firstLineChars="200"/>
    </w:pPr>
  </w:style>
  <w:style w:type="paragraph" w:customStyle="1" w:styleId="18">
    <w:name w:val="正文 A"/>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character" w:customStyle="1" w:styleId="19">
    <w:name w:val="标题 2 Char"/>
    <w:link w:val="4"/>
    <w:qFormat/>
    <w:uiPriority w:val="0"/>
    <w:rPr>
      <w:rFonts w:ascii="Arial" w:hAnsi="Arial" w:eastAsia="楷体"/>
      <w:b/>
      <w:sz w:val="32"/>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WPSOffice手动目录 2"/>
    <w:qFormat/>
    <w:uiPriority w:val="0"/>
    <w:pPr>
      <w:ind w:leftChars="200"/>
    </w:pPr>
    <w:rPr>
      <w:rFonts w:ascii="Times New Roman" w:hAnsi="Times New Roman" w:eastAsia="宋体" w:cs="Times New Roman"/>
      <w:sz w:val="20"/>
      <w:szCs w:val="20"/>
    </w:rPr>
  </w:style>
  <w:style w:type="paragraph" w:customStyle="1" w:styleId="22">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11312</Words>
  <Characters>12139</Characters>
  <Lines>0</Lines>
  <Paragraphs>0</Paragraphs>
  <TotalTime>2</TotalTime>
  <ScaleCrop>false</ScaleCrop>
  <LinksUpToDate>false</LinksUpToDate>
  <CharactersWithSpaces>12209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2020-04-02T03:28:00Z</dcterms:created>
  <dc:creator>驰远天合-柴万顺-18690160103</dc:creator>
  <cp:lastModifiedBy>苞米</cp:lastModifiedBy>
  <dcterms:modified xsi:type="dcterms:W3CDTF">2025-10-23T03:37:58Z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1D17C581B7B649E79D2BCA767FA9A472_13</vt:lpwstr>
  </property>
  <property fmtid="{D5CDD505-2E9C-101B-9397-08002B2CF9AE}" pid="4" name="KSOTemplateDocerSaveRecord">
    <vt:lpwstr>eyJoZGlkIjoiNTY3MmI4ODZmMjljZWZhNGFkN2U2N2Y4ODgwYjM5ZGIiLCJ1c2VySWQiOiIzNjI1MzY3NzcifQ==</vt:lpwstr>
  </property>
</Properties>
</file>