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cs="Times New Roman"/>
          <w:color w:val="auto"/>
          <w:sz w:val="32"/>
          <w:szCs w:val="32"/>
          <w:highlight w:val="none"/>
        </w:rPr>
      </w:pPr>
      <w:r>
        <w:rPr>
          <w:rFonts w:hint="default" w:ascii="Times New Roman" w:hAnsi="Times New Roman" w:eastAsia="SimHei" w:cs="Times New Roman"/>
          <w:color w:val="auto"/>
          <w:sz w:val="32"/>
          <w:szCs w:val="32"/>
          <w:highlight w:val="none"/>
        </w:rPr>
        <w:t>附件3：</w:t>
      </w:r>
    </w:p>
    <w:p>
      <w:pPr>
        <w:widowControl/>
        <w:spacing w:before="100" w:beforeAutospacing="1" w:after="100" w:afterAutospacing="1"/>
        <w:jc w:val="center"/>
        <w:outlineLvl w:val="1"/>
        <w:rPr>
          <w:rFonts w:hint="default" w:ascii="Times New Roman" w:hAnsi="Times New Roman" w:eastAsia="方正小标宋_GBK" w:cs="Times New Roman"/>
          <w:color w:val="auto"/>
          <w:kern w:val="0"/>
          <w:sz w:val="44"/>
          <w:szCs w:val="44"/>
          <w:highlight w:val="none"/>
        </w:rPr>
      </w:pPr>
    </w:p>
    <w:p>
      <w:pPr>
        <w:widowControl/>
        <w:spacing w:before="100" w:beforeAutospacing="1" w:after="100" w:afterAutospacing="1"/>
        <w:jc w:val="center"/>
        <w:outlineLvl w:val="1"/>
        <w:rPr>
          <w:rFonts w:hint="default" w:ascii="Times New Roman" w:hAnsi="Times New Roman" w:eastAsia="方正小标宋_GBK" w:cs="Times New Roman"/>
          <w:color w:val="auto"/>
          <w:kern w:val="0"/>
          <w:sz w:val="44"/>
          <w:szCs w:val="44"/>
          <w:highlight w:val="none"/>
        </w:rPr>
      </w:pPr>
    </w:p>
    <w:p>
      <w:pPr>
        <w:widowControl/>
        <w:spacing w:before="100" w:beforeAutospacing="1" w:after="100" w:afterAutospacing="1"/>
        <w:jc w:val="center"/>
        <w:outlineLvl w:val="1"/>
        <w:rPr>
          <w:rFonts w:hint="default" w:ascii="Times New Roman" w:hAnsi="Times New Roman" w:eastAsia="方正小标宋_GBK" w:cs="Times New Roman"/>
          <w:color w:val="auto"/>
          <w:kern w:val="0"/>
          <w:sz w:val="44"/>
          <w:szCs w:val="44"/>
          <w:highlight w:val="none"/>
        </w:rPr>
      </w:pPr>
      <w:r>
        <w:rPr>
          <w:rFonts w:hint="default" w:ascii="Times New Roman" w:hAnsi="Times New Roman" w:eastAsia="方正小标宋_GBK" w:cs="Times New Roman"/>
          <w:color w:val="auto"/>
          <w:kern w:val="0"/>
          <w:sz w:val="44"/>
          <w:szCs w:val="44"/>
          <w:highlight w:val="none"/>
        </w:rPr>
        <w:t>2026年阜康市发展和改革委员会</w:t>
      </w:r>
      <w:r>
        <w:rPr>
          <w:rFonts w:hint="eastAsia" w:eastAsia="方正小标宋_GBK" w:cs="Times New Roman"/>
          <w:color w:val="auto"/>
          <w:kern w:val="0"/>
          <w:sz w:val="44"/>
          <w:szCs w:val="44"/>
          <w:highlight w:val="none"/>
          <w:lang w:val="en-US" w:eastAsia="zh-CN"/>
        </w:rPr>
        <w:t>单位</w:t>
      </w:r>
      <w:r>
        <w:rPr>
          <w:rFonts w:hint="default" w:ascii="Times New Roman" w:hAnsi="Times New Roman" w:eastAsia="方正小标宋_GBK" w:cs="Times New Roman"/>
          <w:color w:val="auto"/>
          <w:kern w:val="0"/>
          <w:sz w:val="44"/>
          <w:szCs w:val="44"/>
          <w:highlight w:val="none"/>
        </w:rPr>
        <w:t>预算公开</w:t>
      </w:r>
    </w:p>
    <w:p>
      <w:pPr>
        <w:widowControl/>
        <w:spacing w:line="440" w:lineRule="exact"/>
        <w:jc w:val="both"/>
        <w:outlineLvl w:val="1"/>
        <w:rPr>
          <w:rFonts w:hint="default" w:ascii="Times New Roman" w:hAnsi="Times New Roman" w:eastAsia="SimHei" w:cs="Times New Roman"/>
          <w:color w:val="auto"/>
          <w:kern w:val="0"/>
          <w:sz w:val="36"/>
          <w:szCs w:val="32"/>
          <w:highlight w:val="none"/>
        </w:rPr>
      </w:pPr>
    </w:p>
    <w:p>
      <w:pPr>
        <w:widowControl/>
        <w:spacing w:line="440" w:lineRule="exact"/>
        <w:jc w:val="both"/>
        <w:outlineLvl w:val="1"/>
        <w:rPr>
          <w:rFonts w:hint="default" w:ascii="Times New Roman" w:hAnsi="Times New Roman" w:eastAsia="SimHei" w:cs="Times New Roman"/>
          <w:color w:val="auto"/>
          <w:kern w:val="0"/>
          <w:sz w:val="36"/>
          <w:szCs w:val="32"/>
          <w:highlight w:val="none"/>
        </w:rPr>
        <w:sectPr>
          <w:footerReference r:id="rId3" w:type="default"/>
          <w:pgSz w:w="11906" w:h="16838"/>
          <w:pgMar w:top="2098" w:right="1418" w:bottom="1928" w:left="1588" w:header="907" w:footer="992" w:gutter="0"/>
          <w:pgBorders>
            <w:top w:val="none" w:sz="0" w:space="0"/>
            <w:left w:val="none" w:sz="0" w:space="0"/>
            <w:bottom w:val="none" w:sz="0" w:space="0"/>
            <w:right w:val="none" w:sz="0" w:space="0"/>
          </w:pgBorders>
          <w:pgNumType w:fmt="numberInDash" w:start="1"/>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SimHei" w:cs="Times New Roman"/>
          <w:color w:val="auto"/>
          <w:kern w:val="0"/>
          <w:sz w:val="32"/>
          <w:szCs w:val="32"/>
          <w:highlight w:val="none"/>
        </w:rPr>
      </w:pPr>
      <w:r>
        <w:rPr>
          <w:rFonts w:hint="default" w:ascii="Times New Roman" w:hAnsi="Times New Roman" w:eastAsia="SimHei" w:cs="Times New Roman"/>
          <w:color w:val="auto"/>
          <w:kern w:val="0"/>
          <w:sz w:val="32"/>
          <w:szCs w:val="32"/>
          <w:highlight w:val="none"/>
        </w:rPr>
        <w:t>目 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b/>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第一部分  2026年单位概况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一、主要职能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二、机构设置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第二部分  2026年单位预算公开表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一、单位收支总体情况表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二、单位收入总体情况表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三、单位支出总体情况表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四、财政拨款收支</w:t>
      </w:r>
      <w:r>
        <w:rPr>
          <w:rFonts w:hint="default" w:ascii="Times New Roman" w:hAnsi="Times New Roman" w:eastAsia="仿宋_GB2312" w:cs="Times New Roman"/>
          <w:color w:val="auto"/>
          <w:kern w:val="0"/>
          <w:sz w:val="32"/>
          <w:szCs w:val="32"/>
          <w:highlight w:val="none"/>
          <w:lang w:val="en-US" w:eastAsia="zh-CN"/>
        </w:rPr>
        <w:t>预算</w:t>
      </w:r>
      <w:r>
        <w:rPr>
          <w:rFonts w:hint="default" w:ascii="Times New Roman" w:hAnsi="Times New Roman" w:eastAsia="仿宋_GB2312" w:cs="Times New Roman"/>
          <w:color w:val="auto"/>
          <w:kern w:val="0"/>
          <w:sz w:val="32"/>
          <w:szCs w:val="32"/>
          <w:highlight w:val="none"/>
        </w:rPr>
        <w:t>总体情况表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五、一般公共预算支出情况表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六、一般公共预算基本支出情况表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七、一般公共预算</w:t>
      </w:r>
      <w:r>
        <w:rPr>
          <w:rFonts w:hint="default" w:ascii="Times New Roman" w:hAnsi="Times New Roman" w:eastAsia="仿宋_GB2312" w:cs="Times New Roman"/>
          <w:bCs/>
          <w:color w:val="auto"/>
          <w:kern w:val="0"/>
          <w:sz w:val="32"/>
          <w:szCs w:val="32"/>
          <w:highlight w:val="none"/>
        </w:rPr>
        <w:t>项目支出情况表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Hans"/>
        </w:rPr>
        <w:t>八</w:t>
      </w:r>
      <w:r>
        <w:rPr>
          <w:rFonts w:hint="default" w:ascii="Times New Roman" w:hAnsi="Times New Roman" w:eastAsia="仿宋_GB2312" w:cs="Times New Roman"/>
          <w:color w:val="auto"/>
          <w:kern w:val="0"/>
          <w:sz w:val="32"/>
          <w:szCs w:val="32"/>
          <w:highlight w:val="none"/>
        </w:rPr>
        <w:t>、政府性基金预算支出情况表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Hans"/>
        </w:rPr>
        <w:t>九、</w:t>
      </w:r>
      <w:r>
        <w:rPr>
          <w:rFonts w:hint="default" w:ascii="Times New Roman" w:hAnsi="Times New Roman" w:eastAsia="仿宋_GB2312" w:cs="Times New Roman"/>
          <w:color w:val="auto"/>
          <w:kern w:val="0"/>
          <w:sz w:val="32"/>
          <w:szCs w:val="32"/>
          <w:highlight w:val="none"/>
        </w:rPr>
        <w:t>国有资本经营预算支出情况表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Hans"/>
        </w:rPr>
      </w:pPr>
      <w:r>
        <w:rPr>
          <w:rFonts w:hint="default" w:ascii="Times New Roman" w:hAnsi="Times New Roman" w:eastAsia="仿宋_GB2312" w:cs="Times New Roman"/>
          <w:color w:val="auto"/>
          <w:kern w:val="0"/>
          <w:sz w:val="32"/>
          <w:szCs w:val="32"/>
          <w:highlight w:val="none"/>
          <w:lang w:val="en-US" w:eastAsia="zh-Hans"/>
        </w:rPr>
        <w:t>十、财政拨款“三公”经费支出情况表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十一、财政拨款委托业务费支出</w:t>
      </w:r>
      <w:r>
        <w:rPr>
          <w:rFonts w:hint="default" w:ascii="Times New Roman" w:hAnsi="Times New Roman" w:eastAsia="仿宋_GB2312" w:cs="Times New Roman"/>
          <w:color w:val="auto"/>
          <w:kern w:val="0"/>
          <w:sz w:val="32"/>
          <w:szCs w:val="32"/>
          <w:highlight w:val="none"/>
          <w:lang w:val="en-US" w:eastAsia="zh-Hans"/>
        </w:rPr>
        <w:t>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Hans"/>
        </w:rPr>
      </w:pPr>
      <w:r>
        <w:rPr>
          <w:rFonts w:hint="default" w:ascii="Times New Roman" w:hAnsi="Times New Roman" w:eastAsia="仿宋_GB2312" w:cs="Times New Roman"/>
          <w:color w:val="auto"/>
          <w:kern w:val="0"/>
          <w:sz w:val="32"/>
          <w:szCs w:val="32"/>
          <w:highlight w:val="none"/>
          <w:lang w:val="en-US" w:eastAsia="zh-CN"/>
        </w:rPr>
        <w:t>十二、</w:t>
      </w:r>
      <w:r>
        <w:rPr>
          <w:rFonts w:hint="default" w:ascii="Times New Roman" w:hAnsi="Times New Roman" w:eastAsia="仿宋_GB2312" w:cs="Times New Roman"/>
          <w:color w:val="auto"/>
          <w:kern w:val="0"/>
          <w:sz w:val="32"/>
          <w:szCs w:val="32"/>
          <w:highlight w:val="none"/>
          <w:lang w:val="en-US" w:eastAsia="zh-Hans"/>
        </w:rPr>
        <w:t>上年结转</w:t>
      </w:r>
      <w:r>
        <w:rPr>
          <w:rFonts w:hint="default" w:ascii="Times New Roman" w:hAnsi="Times New Roman" w:eastAsia="仿宋_GB2312" w:cs="Times New Roman"/>
          <w:color w:val="auto"/>
          <w:kern w:val="0"/>
          <w:sz w:val="32"/>
          <w:szCs w:val="32"/>
          <w:highlight w:val="none"/>
          <w:lang w:val="en-US" w:eastAsia="zh-CN"/>
        </w:rPr>
        <w:t>结余</w:t>
      </w:r>
      <w:r>
        <w:rPr>
          <w:rFonts w:hint="default" w:ascii="Times New Roman" w:hAnsi="Times New Roman" w:eastAsia="仿宋_GB2312" w:cs="Times New Roman"/>
          <w:color w:val="auto"/>
          <w:kern w:val="0"/>
          <w:sz w:val="32"/>
          <w:szCs w:val="32"/>
          <w:highlight w:val="none"/>
          <w:lang w:val="en-US" w:eastAsia="zh-Hans"/>
        </w:rPr>
        <w:t>情况表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第三部分  2026年单位预算情况说明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一、关于阜康市发展和改革委员会</w:t>
      </w:r>
      <w:r>
        <w:rPr>
          <w:rFonts w:hint="eastAsia" w:eastAsia="仿宋_GB2312" w:cs="Times New Roman"/>
          <w:color w:val="auto"/>
          <w:kern w:val="0"/>
          <w:sz w:val="32"/>
          <w:szCs w:val="32"/>
          <w:highlight w:val="none"/>
          <w:lang w:val="en-US" w:eastAsia="zh-CN"/>
        </w:rPr>
        <w:t>单位</w:t>
      </w:r>
      <w:r>
        <w:rPr>
          <w:rFonts w:hint="default" w:ascii="Times New Roman" w:hAnsi="Times New Roman" w:eastAsia="仿宋_GB2312" w:cs="Times New Roman"/>
          <w:color w:val="auto"/>
          <w:kern w:val="0"/>
          <w:sz w:val="32"/>
          <w:szCs w:val="32"/>
          <w:highlight w:val="none"/>
        </w:rPr>
        <w:t>2026年收支预算情况的总体说明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二、关于阜康市发展和改革委员会</w:t>
      </w:r>
      <w:r>
        <w:rPr>
          <w:rFonts w:hint="eastAsia" w:eastAsia="仿宋_GB2312" w:cs="Times New Roman"/>
          <w:color w:val="auto"/>
          <w:kern w:val="0"/>
          <w:sz w:val="32"/>
          <w:szCs w:val="32"/>
          <w:highlight w:val="none"/>
          <w:lang w:val="en-US" w:eastAsia="zh-CN"/>
        </w:rPr>
        <w:t>单位</w:t>
      </w:r>
      <w:r>
        <w:rPr>
          <w:rFonts w:hint="default" w:ascii="Times New Roman" w:hAnsi="Times New Roman" w:eastAsia="仿宋_GB2312" w:cs="Times New Roman"/>
          <w:color w:val="auto"/>
          <w:kern w:val="0"/>
          <w:sz w:val="32"/>
          <w:szCs w:val="32"/>
          <w:highlight w:val="none"/>
        </w:rPr>
        <w:t>2026年收入预算情况说明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三、关于阜康市发展和改革委员会</w:t>
      </w:r>
      <w:r>
        <w:rPr>
          <w:rFonts w:hint="eastAsia" w:eastAsia="仿宋_GB2312" w:cs="Times New Roman"/>
          <w:color w:val="auto"/>
          <w:kern w:val="0"/>
          <w:sz w:val="32"/>
          <w:szCs w:val="32"/>
          <w:highlight w:val="none"/>
          <w:lang w:val="en-US" w:eastAsia="zh-CN"/>
        </w:rPr>
        <w:t>单位</w:t>
      </w:r>
      <w:r>
        <w:rPr>
          <w:rFonts w:hint="default" w:ascii="Times New Roman" w:hAnsi="Times New Roman" w:eastAsia="仿宋_GB2312" w:cs="Times New Roman"/>
          <w:color w:val="auto"/>
          <w:kern w:val="0"/>
          <w:sz w:val="32"/>
          <w:szCs w:val="32"/>
          <w:highlight w:val="none"/>
        </w:rPr>
        <w:t>2026年支出预算情况说明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四、关于阜康市发展和改革委员会</w:t>
      </w:r>
      <w:r>
        <w:rPr>
          <w:rFonts w:hint="eastAsia" w:eastAsia="仿宋_GB2312" w:cs="Times New Roman"/>
          <w:color w:val="auto"/>
          <w:kern w:val="0"/>
          <w:sz w:val="32"/>
          <w:szCs w:val="32"/>
          <w:highlight w:val="none"/>
          <w:lang w:val="en-US" w:eastAsia="zh-CN"/>
        </w:rPr>
        <w:t>单位</w:t>
      </w:r>
      <w:r>
        <w:rPr>
          <w:rFonts w:hint="default" w:ascii="Times New Roman" w:hAnsi="Times New Roman" w:eastAsia="仿宋_GB2312" w:cs="Times New Roman"/>
          <w:bCs/>
          <w:color w:val="auto"/>
          <w:kern w:val="0"/>
          <w:sz w:val="32"/>
          <w:szCs w:val="32"/>
          <w:highlight w:val="none"/>
        </w:rPr>
        <w:t>2026年财政拨款收支预算情况的总体说明</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jc w:val="both"/>
        <w:textAlignment w:val="auto"/>
        <w:outlineLvl w:val="9"/>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五、关于阜康市发展和改革委员会</w:t>
      </w:r>
      <w:r>
        <w:rPr>
          <w:rFonts w:hint="eastAsia" w:eastAsia="仿宋_GB2312" w:cs="Times New Roman"/>
          <w:color w:val="auto"/>
          <w:kern w:val="0"/>
          <w:sz w:val="32"/>
          <w:szCs w:val="32"/>
          <w:highlight w:val="none"/>
          <w:lang w:val="en-US" w:eastAsia="zh-CN"/>
        </w:rPr>
        <w:t>单位</w:t>
      </w:r>
      <w:r>
        <w:rPr>
          <w:rFonts w:hint="default" w:ascii="Times New Roman" w:hAnsi="Times New Roman" w:eastAsia="仿宋_GB2312" w:cs="Times New Roman"/>
          <w:color w:val="auto"/>
          <w:spacing w:val="-6"/>
          <w:kern w:val="0"/>
          <w:sz w:val="32"/>
          <w:szCs w:val="32"/>
          <w:highlight w:val="none"/>
        </w:rPr>
        <w:t>2026年一般公共预算当年拨款情况说明</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jc w:val="both"/>
        <w:textAlignment w:val="auto"/>
        <w:outlineLvl w:val="9"/>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六、关于阜康市发展和改革委员会</w:t>
      </w:r>
      <w:r>
        <w:rPr>
          <w:rFonts w:hint="eastAsia" w:eastAsia="仿宋_GB2312" w:cs="Times New Roman"/>
          <w:color w:val="auto"/>
          <w:kern w:val="0"/>
          <w:sz w:val="32"/>
          <w:szCs w:val="32"/>
          <w:highlight w:val="none"/>
          <w:lang w:val="en-US" w:eastAsia="zh-CN"/>
        </w:rPr>
        <w:t>单位</w:t>
      </w:r>
      <w:r>
        <w:rPr>
          <w:rFonts w:hint="default" w:ascii="Times New Roman" w:hAnsi="Times New Roman" w:eastAsia="仿宋_GB2312" w:cs="Times New Roman"/>
          <w:color w:val="auto"/>
          <w:spacing w:val="-6"/>
          <w:kern w:val="0"/>
          <w:sz w:val="32"/>
          <w:szCs w:val="32"/>
          <w:highlight w:val="none"/>
        </w:rPr>
        <w:t>2026年一般公共预算基本支出情况说明</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jc w:val="both"/>
        <w:textAlignment w:val="auto"/>
        <w:outlineLvl w:val="9"/>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七、关于阜康市发展和改革委员会</w:t>
      </w:r>
      <w:r>
        <w:rPr>
          <w:rFonts w:hint="eastAsia" w:eastAsia="仿宋_GB2312" w:cs="Times New Roman"/>
          <w:color w:val="auto"/>
          <w:kern w:val="0"/>
          <w:sz w:val="32"/>
          <w:szCs w:val="32"/>
          <w:highlight w:val="none"/>
          <w:lang w:val="en-US" w:eastAsia="zh-CN"/>
        </w:rPr>
        <w:t>单位</w:t>
      </w:r>
      <w:r>
        <w:rPr>
          <w:rFonts w:hint="default" w:ascii="Times New Roman" w:hAnsi="Times New Roman" w:eastAsia="仿宋_GB2312" w:cs="Times New Roman"/>
          <w:color w:val="auto"/>
          <w:spacing w:val="-6"/>
          <w:kern w:val="0"/>
          <w:sz w:val="32"/>
          <w:szCs w:val="32"/>
          <w:highlight w:val="none"/>
        </w:rPr>
        <w:t>2026年一般公共预算项目支出情况说明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八、关于阜康市发展和改革委员会</w:t>
      </w:r>
      <w:r>
        <w:rPr>
          <w:rFonts w:hint="eastAsia" w:eastAsia="仿宋_GB2312" w:cs="Times New Roman"/>
          <w:color w:val="auto"/>
          <w:kern w:val="0"/>
          <w:sz w:val="32"/>
          <w:szCs w:val="32"/>
          <w:highlight w:val="none"/>
          <w:lang w:val="en-US" w:eastAsia="zh-CN"/>
        </w:rPr>
        <w:t>单位</w:t>
      </w:r>
      <w:r>
        <w:rPr>
          <w:rFonts w:hint="default" w:ascii="Times New Roman" w:hAnsi="Times New Roman" w:eastAsia="仿宋_GB2312" w:cs="Times New Roman"/>
          <w:color w:val="auto"/>
          <w:kern w:val="0"/>
          <w:sz w:val="32"/>
          <w:szCs w:val="32"/>
          <w:highlight w:val="none"/>
        </w:rPr>
        <w:t>2026年政府性基金预算拨款情况说明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九、关于阜康市发展和改革委员会</w:t>
      </w:r>
      <w:r>
        <w:rPr>
          <w:rFonts w:hint="eastAsia" w:eastAsia="仿宋_GB2312" w:cs="Times New Roman"/>
          <w:color w:val="auto"/>
          <w:kern w:val="0"/>
          <w:sz w:val="32"/>
          <w:szCs w:val="32"/>
          <w:highlight w:val="none"/>
          <w:lang w:val="en-US" w:eastAsia="zh-CN"/>
        </w:rPr>
        <w:t>单位</w:t>
      </w:r>
      <w:r>
        <w:rPr>
          <w:rFonts w:hint="default" w:ascii="Times New Roman" w:hAnsi="Times New Roman" w:eastAsia="仿宋_GB2312" w:cs="Times New Roman"/>
          <w:color w:val="auto"/>
          <w:kern w:val="0"/>
          <w:sz w:val="32"/>
          <w:szCs w:val="32"/>
          <w:highlight w:val="none"/>
        </w:rPr>
        <w:t>2026年国有资本经营预算拨款情况说明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Hans"/>
        </w:rPr>
      </w:pPr>
      <w:r>
        <w:rPr>
          <w:rFonts w:hint="default" w:ascii="Times New Roman" w:hAnsi="Times New Roman" w:eastAsia="仿宋_GB2312" w:cs="Times New Roman"/>
          <w:color w:val="auto"/>
          <w:kern w:val="0"/>
          <w:sz w:val="32"/>
          <w:szCs w:val="32"/>
          <w:highlight w:val="none"/>
          <w:lang w:val="en-US" w:eastAsia="zh-Hans"/>
        </w:rPr>
        <w:t>十、关于阜康市发展和改革委员会</w:t>
      </w:r>
      <w:r>
        <w:rPr>
          <w:rFonts w:hint="eastAsia" w:eastAsia="仿宋_GB2312" w:cs="Times New Roman"/>
          <w:color w:val="auto"/>
          <w:kern w:val="0"/>
          <w:sz w:val="32"/>
          <w:szCs w:val="32"/>
          <w:highlight w:val="none"/>
          <w:lang w:val="en-US" w:eastAsia="zh-CN"/>
        </w:rPr>
        <w:t>单位</w:t>
      </w:r>
      <w:r>
        <w:rPr>
          <w:rFonts w:hint="default" w:ascii="Times New Roman" w:hAnsi="Times New Roman" w:eastAsia="仿宋_GB2312" w:cs="Times New Roman"/>
          <w:color w:val="auto"/>
          <w:kern w:val="0"/>
          <w:sz w:val="32"/>
          <w:szCs w:val="32"/>
          <w:highlight w:val="none"/>
          <w:lang w:val="en-US" w:eastAsia="zh-Hans"/>
        </w:rPr>
        <w:t>2026年财政拨款“三公”经费预算情况说明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十一、关于阜康市发展和改革委员会</w:t>
      </w:r>
      <w:r>
        <w:rPr>
          <w:rFonts w:hint="eastAsia" w:eastAsia="仿宋_GB2312" w:cs="Times New Roman"/>
          <w:color w:val="auto"/>
          <w:kern w:val="0"/>
          <w:sz w:val="32"/>
          <w:szCs w:val="32"/>
          <w:highlight w:val="none"/>
          <w:lang w:val="en-US" w:eastAsia="zh-CN"/>
        </w:rPr>
        <w:t>单位</w:t>
      </w:r>
      <w:r>
        <w:rPr>
          <w:rFonts w:hint="default" w:ascii="Times New Roman" w:hAnsi="Times New Roman" w:eastAsia="仿宋_GB2312" w:cs="Times New Roman"/>
          <w:color w:val="auto"/>
          <w:kern w:val="0"/>
          <w:sz w:val="32"/>
          <w:szCs w:val="32"/>
          <w:highlight w:val="none"/>
          <w:lang w:val="en-US" w:eastAsia="zh-CN"/>
        </w:rPr>
        <w:t>2026年财政拨款委托业务费支出情况说明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十二、关于阜康市发展和改革委员会</w:t>
      </w:r>
      <w:r>
        <w:rPr>
          <w:rFonts w:hint="eastAsia" w:eastAsia="仿宋_GB2312" w:cs="Times New Roman"/>
          <w:color w:val="auto"/>
          <w:kern w:val="0"/>
          <w:sz w:val="32"/>
          <w:szCs w:val="32"/>
          <w:highlight w:val="none"/>
          <w:lang w:val="en-US" w:eastAsia="zh-CN"/>
        </w:rPr>
        <w:t>单位</w:t>
      </w:r>
      <w:r>
        <w:rPr>
          <w:rFonts w:hint="default" w:ascii="Times New Roman" w:hAnsi="Times New Roman" w:eastAsia="仿宋_GB2312" w:cs="Times New Roman"/>
          <w:color w:val="auto"/>
          <w:kern w:val="0"/>
          <w:sz w:val="32"/>
          <w:szCs w:val="32"/>
          <w:highlight w:val="none"/>
        </w:rPr>
        <w:t>2026年上年结转结余预算情况说明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十三、</w:t>
      </w:r>
      <w:r>
        <w:rPr>
          <w:rFonts w:hint="default" w:ascii="Times New Roman" w:hAnsi="Times New Roman" w:eastAsia="仿宋_GB2312" w:cs="Times New Roman"/>
          <w:color w:val="auto"/>
          <w:kern w:val="0"/>
          <w:sz w:val="32"/>
          <w:szCs w:val="32"/>
          <w:highlight w:val="none"/>
        </w:rPr>
        <w:t>其他重要事项的情况说明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第四部分  名词解释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sectPr>
          <w:footerReference r:id="rId4" w:type="default"/>
          <w:pgSz w:w="11906" w:h="16838"/>
          <w:pgMar w:top="2098" w:right="1418" w:bottom="1928" w:left="1588" w:header="851" w:footer="992" w:gutter="0"/>
          <w:pgBorders>
            <w:top w:val="none" w:sz="0" w:space="0"/>
            <w:left w:val="none" w:sz="0" w:space="0"/>
            <w:bottom w:val="none" w:sz="0" w:space="0"/>
            <w:right w:val="none" w:sz="0" w:space="0"/>
          </w:pgBorders>
          <w:pgNumType w:fmt="numberInDash"/>
          <w:cols w:space="720" w:num="1"/>
          <w:docGrid w:linePitch="312" w:charSpace="0"/>
        </w:sectPr>
      </w:pPr>
    </w:p>
    <w:p>
      <w:pPr>
        <w:keepNext w:val="0"/>
        <w:keepLines w:val="0"/>
        <w:pageBreakBefore w:val="0"/>
        <w:widowControl/>
        <w:kinsoku/>
        <w:wordWrap/>
        <w:overflowPunct/>
        <w:topLinePunct w:val="0"/>
        <w:autoSpaceDE/>
        <w:autoSpaceDN/>
        <w:bidi w:val="0"/>
        <w:adjustRightInd/>
        <w:snapToGrid/>
        <w:spacing w:beforeLines="0" w:line="540" w:lineRule="exact"/>
        <w:jc w:val="center"/>
        <w:textAlignment w:val="auto"/>
        <w:outlineLvl w:val="1"/>
        <w:rPr>
          <w:rFonts w:hint="default" w:ascii="Times New Roman" w:hAnsi="Times New Roman" w:eastAsia="SimHei" w:cs="Times New Roman"/>
          <w:color w:val="auto"/>
          <w:kern w:val="0"/>
          <w:sz w:val="32"/>
          <w:szCs w:val="32"/>
          <w:highlight w:val="none"/>
        </w:rPr>
      </w:pPr>
      <w:r>
        <w:rPr>
          <w:rFonts w:hint="default" w:ascii="Times New Roman" w:hAnsi="Times New Roman" w:eastAsia="SimHei" w:cs="Times New Roman"/>
          <w:color w:val="auto"/>
          <w:kern w:val="0"/>
          <w:sz w:val="32"/>
          <w:szCs w:val="32"/>
          <w:highlight w:val="none"/>
        </w:rPr>
        <w:t>第一部分   2026年单位概况</w:t>
      </w:r>
    </w:p>
    <w:p>
      <w:pPr>
        <w:keepNext w:val="0"/>
        <w:keepLines w:val="0"/>
        <w:pageBreakBefore w:val="0"/>
        <w:widowControl/>
        <w:kinsoku/>
        <w:wordWrap/>
        <w:overflowPunct/>
        <w:topLinePunct w:val="0"/>
        <w:autoSpaceDE/>
        <w:autoSpaceDN/>
        <w:bidi w:val="0"/>
        <w:adjustRightInd/>
        <w:snapToGrid/>
        <w:spacing w:beforeLines="0" w:line="540" w:lineRule="exact"/>
        <w:jc w:val="center"/>
        <w:textAlignment w:val="auto"/>
        <w:outlineLvl w:val="1"/>
        <w:rPr>
          <w:rFonts w:hint="default" w:ascii="Times New Roman" w:hAnsi="Times New Roman" w:cs="Times New Roman"/>
          <w:b/>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beforeLines="0" w:line="540" w:lineRule="exact"/>
        <w:ind w:firstLine="643" w:firstLineChars="200"/>
        <w:jc w:val="left"/>
        <w:textAlignment w:val="auto"/>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一、主要职能</w:t>
      </w:r>
    </w:p>
    <w:p>
      <w:pPr>
        <w:keepNext w:val="0"/>
        <w:keepLines w:val="0"/>
        <w:pageBreakBefore w:val="0"/>
        <w:widowControl/>
        <w:kinsoku/>
        <w:wordWrap/>
        <w:overflowPunct/>
        <w:topLinePunct w:val="0"/>
        <w:autoSpaceDE/>
        <w:autoSpaceDN/>
        <w:bidi w:val="0"/>
        <w:adjustRightInd/>
        <w:snapToGrid/>
        <w:spacing w:beforeLines="0" w:line="540" w:lineRule="exact"/>
        <w:ind w:firstLine="640" w:firstLineChars="200"/>
        <w:jc w:val="left"/>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 xml:space="preserve">（一）贯彻执行国家和自治区国民经济和社会发展方针、政策。 </w:t>
      </w:r>
      <w:r>
        <w:br w:type="textWrapping"/>
      </w:r>
      <w:r>
        <w:rPr>
          <w:rFonts w:hint="default" w:ascii="Times New Roman" w:hAnsi="Times New Roman" w:eastAsia="仿宋_GB2312" w:cs="Times New Roman"/>
          <w:bCs/>
          <w:color w:val="auto"/>
          <w:kern w:val="0"/>
          <w:sz w:val="32"/>
          <w:szCs w:val="32"/>
          <w:highlight w:val="none"/>
        </w:rPr>
        <w:t xml:space="preserve">（二）负责监测宏观经济和社会发展态势，承担预测预警和信息引导的责任。 </w:t>
      </w:r>
      <w:r>
        <w:br w:type="textWrapping"/>
      </w:r>
      <w:r>
        <w:rPr>
          <w:rFonts w:hint="default" w:ascii="Times New Roman" w:hAnsi="Times New Roman" w:eastAsia="仿宋_GB2312" w:cs="Times New Roman"/>
          <w:bCs/>
          <w:color w:val="auto"/>
          <w:kern w:val="0"/>
          <w:sz w:val="32"/>
          <w:szCs w:val="32"/>
          <w:highlight w:val="none"/>
        </w:rPr>
        <w:t xml:space="preserve">（三）汇总分析阜康市财政、金融、产业、价格政策等方面的情况和执行效果，提出建议。 </w:t>
      </w:r>
      <w:r>
        <w:br w:type="textWrapping"/>
      </w:r>
      <w:r>
        <w:rPr>
          <w:rFonts w:hint="default" w:ascii="Times New Roman" w:hAnsi="Times New Roman" w:eastAsia="仿宋_GB2312" w:cs="Times New Roman"/>
          <w:bCs/>
          <w:color w:val="auto"/>
          <w:kern w:val="0"/>
          <w:sz w:val="32"/>
          <w:szCs w:val="32"/>
          <w:highlight w:val="none"/>
        </w:rPr>
        <w:t xml:space="preserve">（四）承担综合协调经济体制改革的责任。 </w:t>
      </w:r>
      <w:r>
        <w:br w:type="textWrapping"/>
      </w:r>
      <w:r>
        <w:rPr>
          <w:rFonts w:hint="default" w:ascii="Times New Roman" w:hAnsi="Times New Roman" w:eastAsia="仿宋_GB2312" w:cs="Times New Roman"/>
          <w:bCs/>
          <w:color w:val="auto"/>
          <w:kern w:val="0"/>
          <w:sz w:val="32"/>
          <w:szCs w:val="32"/>
          <w:highlight w:val="none"/>
        </w:rPr>
        <w:t xml:space="preserve">（五）承担规划重大建设项目和生产力布局的责任。 </w:t>
      </w:r>
      <w:r>
        <w:br w:type="textWrapping"/>
      </w:r>
      <w:r>
        <w:rPr>
          <w:rFonts w:hint="default" w:ascii="Times New Roman" w:hAnsi="Times New Roman" w:eastAsia="仿宋_GB2312" w:cs="Times New Roman"/>
          <w:bCs/>
          <w:color w:val="auto"/>
          <w:kern w:val="0"/>
          <w:sz w:val="32"/>
          <w:szCs w:val="32"/>
          <w:highlight w:val="none"/>
        </w:rPr>
        <w:t xml:space="preserve">（六）推进产业结构调整和升级。 </w:t>
      </w:r>
      <w:r>
        <w:br w:type="textWrapping"/>
      </w:r>
      <w:r>
        <w:rPr>
          <w:rFonts w:hint="default" w:ascii="Times New Roman" w:hAnsi="Times New Roman" w:eastAsia="仿宋_GB2312" w:cs="Times New Roman"/>
          <w:bCs/>
          <w:color w:val="auto"/>
          <w:kern w:val="0"/>
          <w:sz w:val="32"/>
          <w:szCs w:val="32"/>
          <w:highlight w:val="none"/>
        </w:rPr>
        <w:t xml:space="preserve">（七）研究提出阜康市利用外资的发展战略、总量平衡和结构优化的目标和政策并监测运行情况。 </w:t>
      </w:r>
      <w:r>
        <w:br w:type="textWrapping"/>
      </w:r>
      <w:r>
        <w:rPr>
          <w:rFonts w:hint="default" w:ascii="Times New Roman" w:hAnsi="Times New Roman" w:eastAsia="仿宋_GB2312" w:cs="Times New Roman"/>
          <w:bCs/>
          <w:color w:val="auto"/>
          <w:kern w:val="0"/>
          <w:sz w:val="32"/>
          <w:szCs w:val="32"/>
          <w:highlight w:val="none"/>
        </w:rPr>
        <w:t xml:space="preserve">（八）承担阜康市重要商品的总量平衡和宏观调控的责任。 （九）负责阜康市社会发展与国民经济发展的政策衔接，组织拟订社会发展战略，总体规划和年度计划。 </w:t>
      </w:r>
      <w:r>
        <w:br w:type="textWrapping"/>
      </w:r>
      <w:r>
        <w:rPr>
          <w:rFonts w:hint="default" w:ascii="Times New Roman" w:hAnsi="Times New Roman" w:eastAsia="仿宋_GB2312" w:cs="Times New Roman"/>
          <w:bCs/>
          <w:color w:val="auto"/>
          <w:kern w:val="0"/>
          <w:sz w:val="32"/>
          <w:szCs w:val="32"/>
          <w:highlight w:val="none"/>
        </w:rPr>
        <w:t xml:space="preserve">（十）推进可持续发展战略，负责阜康市全社会节能综合协调工作。 </w:t>
      </w:r>
      <w:r>
        <w:br w:type="textWrapping"/>
      </w:r>
      <w:r>
        <w:rPr>
          <w:rFonts w:hint="default" w:ascii="Times New Roman" w:hAnsi="Times New Roman" w:eastAsia="仿宋_GB2312" w:cs="Times New Roman"/>
          <w:bCs/>
          <w:color w:val="auto"/>
          <w:kern w:val="0"/>
          <w:sz w:val="32"/>
          <w:szCs w:val="32"/>
          <w:highlight w:val="none"/>
        </w:rPr>
        <w:t>（十一）完成市党委、市人民政府交办的其他任务。 详细介绍本单位工作职能。</w:t>
      </w:r>
    </w:p>
    <w:p>
      <w:pPr>
        <w:keepNext w:val="0"/>
        <w:keepLines w:val="0"/>
        <w:pageBreakBefore w:val="0"/>
        <w:widowControl/>
        <w:kinsoku/>
        <w:wordWrap/>
        <w:overflowPunct/>
        <w:topLinePunct w:val="0"/>
        <w:autoSpaceDE/>
        <w:autoSpaceDN/>
        <w:bidi w:val="0"/>
        <w:adjustRightInd/>
        <w:snapToGrid/>
        <w:spacing w:beforeLines="0" w:line="540" w:lineRule="exact"/>
        <w:ind w:firstLine="643" w:firstLineChars="200"/>
        <w:jc w:val="left"/>
        <w:textAlignment w:val="auto"/>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二、机构设置</w:t>
      </w:r>
    </w:p>
    <w:p>
      <w:pPr>
        <w:keepNext w:val="0"/>
        <w:keepLines w:val="0"/>
        <w:pageBreakBefore w:val="0"/>
        <w:widowControl/>
        <w:kinsoku/>
        <w:wordWrap/>
        <w:overflowPunct/>
        <w:topLinePunct w:val="0"/>
        <w:autoSpaceDE/>
        <w:autoSpaceDN/>
        <w:bidi w:val="0"/>
        <w:adjustRightInd/>
        <w:snapToGrid/>
        <w:spacing w:beforeLines="0" w:line="540" w:lineRule="exact"/>
        <w:ind w:firstLine="64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从预算单位构成看，阜康市发展和改革委员会单位的预算包括：阜康市发展和改革委员会单位本级预算及下属共1家预算单位在内的汇总预算。</w:t>
      </w:r>
      <w:r>
        <w:br w:type="textWrapping"/>
      </w:r>
      <w:r>
        <w:rPr>
          <w:rFonts w:hint="default" w:ascii="Times New Roman" w:hAnsi="Times New Roman" w:eastAsia="仿宋_GB2312" w:cs="Times New Roman"/>
          <w:color w:val="auto"/>
          <w:kern w:val="0"/>
          <w:sz w:val="32"/>
          <w:szCs w:val="32"/>
          <w:highlight w:val="none"/>
        </w:rPr>
        <w:t>纳入阜康市发展和改革委员会单位2026年预算编制范围的预算单位包括：</w:t>
      </w:r>
      <w:r>
        <w:br w:type="textWrapping"/>
      </w:r>
      <w:r>
        <w:rPr>
          <w:rFonts w:hint="default" w:ascii="Times New Roman" w:hAnsi="Times New Roman" w:eastAsia="仿宋_GB2312" w:cs="Times New Roman"/>
          <w:color w:val="auto"/>
          <w:kern w:val="0"/>
          <w:sz w:val="32"/>
          <w:szCs w:val="32"/>
          <w:highlight w:val="none"/>
        </w:rPr>
        <w:t>阜康市政府投资建设项目代建管理中心</w:t>
      </w:r>
    </w:p>
    <w:p>
      <w:pPr>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br w:type="page"/>
      </w:r>
    </w:p>
    <w:p>
      <w:pPr>
        <w:pStyle w:val="2"/>
        <w:rPr>
          <w:rFonts w:hint="default" w:ascii="Times New Roman" w:hAnsi="Times New Roman" w:cs="Times New Roman"/>
          <w:highlight w:val="none"/>
          <w:lang w:eastAsia="zh-Hans"/>
        </w:rPr>
      </w:pPr>
    </w:p>
    <w:p>
      <w:pPr>
        <w:keepNext w:val="0"/>
        <w:keepLines w:val="0"/>
        <w:pageBreakBefore w:val="0"/>
        <w:widowControl/>
        <w:kinsoku/>
        <w:wordWrap/>
        <w:overflowPunct/>
        <w:topLinePunct w:val="0"/>
        <w:autoSpaceDE/>
        <w:autoSpaceDN/>
        <w:bidi w:val="0"/>
        <w:adjustRightInd/>
        <w:snapToGrid/>
        <w:spacing w:before="0" w:beforeLines="0" w:line="440" w:lineRule="exact"/>
        <w:jc w:val="center"/>
        <w:textAlignment w:val="auto"/>
        <w:outlineLvl w:val="1"/>
        <w:rPr>
          <w:rFonts w:hint="default" w:ascii="Times New Roman" w:hAnsi="Times New Roman" w:eastAsia="SimHei" w:cs="Times New Roman"/>
          <w:color w:val="auto"/>
          <w:kern w:val="0"/>
          <w:sz w:val="32"/>
          <w:szCs w:val="32"/>
          <w:highlight w:val="none"/>
        </w:rPr>
      </w:pPr>
      <w:r>
        <w:rPr>
          <w:rFonts w:hint="default" w:ascii="Times New Roman" w:hAnsi="Times New Roman" w:eastAsia="SimHei" w:cs="Times New Roman"/>
          <w:color w:val="auto"/>
          <w:kern w:val="0"/>
          <w:sz w:val="32"/>
          <w:szCs w:val="32"/>
          <w:highlight w:val="none"/>
        </w:rPr>
        <w:t>第二部分  2026年单位预算公开表</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r>
        <w:rPr>
          <w:rFonts w:hint="default" w:ascii="Times New Roman" w:hAnsi="Times New Roman" w:eastAsia="宋体" w:cs="Times New Roman"/>
          <w:i w:val="0"/>
          <w:color w:val="auto"/>
          <w:kern w:val="0"/>
          <w:sz w:val="20"/>
          <w:szCs w:val="20"/>
          <w:highlight w:val="none"/>
          <w:u w:val="none"/>
          <w:lang w:val="en-US" w:eastAsia="zh-CN" w:bidi="ar"/>
        </w:rPr>
        <w:t>表1</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1"/>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单位收支总体情况表</w:t>
      </w:r>
    </w:p>
    <w:p>
      <w:pPr>
        <w:widowControl/>
        <w:spacing w:line="280" w:lineRule="exact"/>
        <w:jc w:val="center"/>
        <w:outlineLvl w:val="1"/>
        <w:rPr>
          <w:rFonts w:hint="default" w:ascii="Times New Roman" w:hAnsi="Times New Roman" w:eastAsia="仿宋_GB2312" w:cs="Times New Roman"/>
          <w:b/>
          <w:color w:val="auto"/>
          <w:kern w:val="0"/>
          <w:sz w:val="32"/>
          <w:szCs w:val="32"/>
          <w:highlight w:val="none"/>
        </w:rPr>
      </w:pPr>
    </w:p>
    <w:p>
      <w:pPr>
        <w:tabs>
          <w:tab w:val="right" w:leader="middleDot" w:pos="8500"/>
        </w:tabs>
        <w:spacing w:after="60"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编制部门（单位）：阜康市发展和改革委员会</w:t>
      </w:r>
      <w:r>
        <w:tab/>
      </w:r>
      <w:r>
        <w:rPr>
          <w:rFonts w:ascii="Times New Roman" w:hAnsi="Times New Roman" w:eastAsia="仿宋_GB2312" w:cs="Times New Roman"/>
          <w:sz w:val="24"/>
          <w:szCs w:val="24"/>
        </w:rPr>
        <w:t>单位：万元</w:t>
      </w:r>
    </w:p>
    <w:tbl>
      <w:tblPr>
        <w:tblStyle w:val="7"/>
        <w:tblW w:w="86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65"/>
        <w:gridCol w:w="1103"/>
        <w:gridCol w:w="2693"/>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blHeader/>
        </w:trPr>
        <w:tc>
          <w:tcPr>
            <w:tcW w:w="4268"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4"/>
                <w:szCs w:val="24"/>
              </w:rPr>
              <w:t>收 入</w:t>
            </w:r>
          </w:p>
        </w:tc>
        <w:tc>
          <w:tcPr>
            <w:tcW w:w="4394"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4"/>
                <w:szCs w:val="24"/>
              </w:rPr>
              <w:t>支 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blHeader/>
        </w:trPr>
        <w:tc>
          <w:tcPr>
            <w:tcW w:w="3165"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项 目</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预算数</w:t>
            </w:r>
          </w:p>
        </w:tc>
        <w:tc>
          <w:tcPr>
            <w:tcW w:w="2693"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科目名称</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165"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一、本年收入</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4791.99</w:t>
            </w:r>
          </w:p>
        </w:tc>
        <w:tc>
          <w:tcPr>
            <w:tcW w:w="269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201 一般公共服务支出</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495.22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165"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1.一般公共预算拨款</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4791.99</w:t>
            </w:r>
          </w:p>
        </w:tc>
        <w:tc>
          <w:tcPr>
            <w:tcW w:w="269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202 外交支出</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165"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其中：一般财力</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712.99</w:t>
            </w:r>
          </w:p>
        </w:tc>
        <w:tc>
          <w:tcPr>
            <w:tcW w:w="269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203 国防支出</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165"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上级一般公共预算安排转移支付</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4079.00</w:t>
            </w:r>
          </w:p>
        </w:tc>
        <w:tc>
          <w:tcPr>
            <w:tcW w:w="269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204 公共安全支出</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165"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2.政府性基金预算拨款</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269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205 教育支出</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165"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其中：政府性基金收入</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269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206 科学技术支出</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165"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上级政府性基金安排转移支付</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269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207 文化旅游体育与传媒支出</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165"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3.国有资本经营预算拨款</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269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208 社会保障和就业支出</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102.75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165"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其中：国有资本经营收入</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269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209 社会保险基金支出</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165"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上级国有资本经营预算安排转移支付</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269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210 卫生健康支出</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57.79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165"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4.财政专户核拨</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269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211 节能环保支出</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4079.00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165"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5.单位资金</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269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212 城乡社区支出</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165"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其中：事业收入</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269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213 农林水支出</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165"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上级补助收入</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269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214 交通运输支出</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165"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附属单位上缴收入</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269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215 资源勘探工业信息等支出</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165"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事业单位经营收入</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269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216 商业服务业等支出</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165"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其他收入</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269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217 金融支出</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165"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二、上年结转结余</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269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219 援助其他地区支出</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165"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1.财政拨款结转</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269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220 自然资源海洋气象等支出</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165"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其中：一般公共预算拨款</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269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221 住房保障支出</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57.23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165"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政府性基金预算拨款</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269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222 粮油物资储备支出</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165"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国有资本经营预算拨款</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269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223 国有资本经营预算支出</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165"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2.非财政拨款结余</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269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224 灾害防治及应急管理支出</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165"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其中：财政专户核拨</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269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227 预备费</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165"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单位资金</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269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229 其他支出</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16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110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269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230 转移性支出</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16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110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269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231 债务还本支出</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16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110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269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232 债务付息支出</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16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110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269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233 债务发行费用支出</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16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110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2693"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234 抗疫特别国债安排的支出</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3165"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18"/>
                <w:szCs w:val="18"/>
              </w:rPr>
              <w:t>收 入 总 计</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18"/>
                <w:szCs w:val="18"/>
              </w:rPr>
              <w:t>4791.99</w:t>
            </w:r>
          </w:p>
        </w:tc>
        <w:tc>
          <w:tcPr>
            <w:tcW w:w="2693"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18"/>
                <w:szCs w:val="18"/>
              </w:rPr>
              <w:t>支 出 总 计</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18"/>
                <w:szCs w:val="18"/>
              </w:rPr>
              <w:t>4791.99</w:t>
            </w:r>
          </w:p>
        </w:tc>
      </w:tr>
    </w:tbl>
    <w:p>
      <w:r>
        <w:br w:type="page"/>
      </w:r>
    </w:p>
    <w:p>
      <w:pPr>
        <w:widowControl/>
        <w:spacing w:line="280" w:lineRule="exact"/>
        <w:outlineLvl w:val="1"/>
        <w:rPr>
          <w:rFonts w:hint="default" w:ascii="Times New Roman" w:hAnsi="Times New Roman" w:eastAsia="仿宋_GB2312" w:cs="Times New Roman"/>
          <w:b/>
          <w:color w:val="auto"/>
          <w:kern w:val="0"/>
          <w:sz w:val="28"/>
          <w:szCs w:val="32"/>
          <w:highlight w:val="none"/>
          <w:lang w:val="en-US" w:eastAsia="zh-CN"/>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r>
        <w:rPr>
          <w:rFonts w:hint="default" w:ascii="Times New Roman" w:hAnsi="Times New Roman" w:eastAsia="宋体" w:cs="Times New Roman"/>
          <w:i w:val="0"/>
          <w:color w:val="auto"/>
          <w:kern w:val="0"/>
          <w:sz w:val="20"/>
          <w:szCs w:val="20"/>
          <w:highlight w:val="none"/>
          <w:u w:val="none"/>
          <w:lang w:val="en-US" w:eastAsia="zh-CN" w:bidi="ar"/>
        </w:rPr>
        <w:t>表2</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1"/>
        <w:rPr>
          <w:rFonts w:hint="default" w:ascii="Times New Roman" w:hAnsi="Times New Roman" w:eastAsia="仿宋_GB2312" w:cs="Times New Roman"/>
          <w:b/>
          <w:color w:val="auto"/>
          <w:kern w:val="0"/>
          <w:sz w:val="32"/>
          <w:szCs w:val="32"/>
          <w:highlight w:val="none"/>
          <w:lang w:eastAsia="zh-CN"/>
        </w:rPr>
      </w:pPr>
      <w:r>
        <w:rPr>
          <w:rFonts w:hint="default" w:ascii="Times New Roman" w:hAnsi="Times New Roman" w:eastAsia="仿宋_GB2312" w:cs="Times New Roman"/>
          <w:b/>
          <w:bCs w:val="0"/>
          <w:color w:val="auto"/>
          <w:kern w:val="0"/>
          <w:sz w:val="32"/>
          <w:szCs w:val="32"/>
          <w:highlight w:val="none"/>
        </w:rPr>
        <w:t>单位收入总体情况表</w:t>
      </w:r>
    </w:p>
    <w:p>
      <w:pPr>
        <w:tabs>
          <w:tab w:val="right" w:leader="middleDot" w:pos="8500"/>
        </w:tabs>
        <w:spacing w:after="60"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编制部门（单位）：阜康市发展和改革委员会</w:t>
      </w:r>
      <w:r>
        <w:tab/>
      </w:r>
      <w:r>
        <w:rPr>
          <w:rFonts w:ascii="Times New Roman" w:hAnsi="Times New Roman" w:eastAsia="仿宋_GB2312" w:cs="Times New Roman"/>
          <w:sz w:val="24"/>
          <w:szCs w:val="24"/>
        </w:rPr>
        <w:t>单位：万元</w:t>
      </w:r>
    </w:p>
    <w:tbl>
      <w:tblPr>
        <w:tblStyle w:val="7"/>
        <w:tblW w:w="96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7"/>
        <w:gridCol w:w="417"/>
        <w:gridCol w:w="417"/>
        <w:gridCol w:w="564"/>
        <w:gridCol w:w="714"/>
        <w:gridCol w:w="762"/>
        <w:gridCol w:w="726"/>
        <w:gridCol w:w="655"/>
        <w:gridCol w:w="714"/>
        <w:gridCol w:w="643"/>
        <w:gridCol w:w="631"/>
        <w:gridCol w:w="779"/>
        <w:gridCol w:w="583"/>
        <w:gridCol w:w="536"/>
        <w:gridCol w:w="595"/>
        <w:gridCol w:w="5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7" w:hRule="atLeast"/>
          <w:tblHeader/>
        </w:trPr>
        <w:tc>
          <w:tcPr>
            <w:tcW w:w="1251" w:type="dxa"/>
            <w:gridSpan w:val="3"/>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4"/>
                <w:szCs w:val="24"/>
              </w:rPr>
              <w:t>科目代码</w:t>
            </w:r>
          </w:p>
        </w:tc>
        <w:tc>
          <w:tcPr>
            <w:tcW w:w="56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科目名称</w:t>
            </w:r>
          </w:p>
        </w:tc>
        <w:tc>
          <w:tcPr>
            <w:tcW w:w="71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总计</w:t>
            </w:r>
          </w:p>
        </w:tc>
        <w:tc>
          <w:tcPr>
            <w:tcW w:w="4910" w:type="dxa"/>
            <w:gridSpan w:val="7"/>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4"/>
                <w:szCs w:val="24"/>
              </w:rPr>
              <w:t>财 政 拨 款 ( 补 助 )</w:t>
            </w:r>
          </w:p>
        </w:tc>
        <w:tc>
          <w:tcPr>
            <w:tcW w:w="583"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财政专户（教育收费）</w:t>
            </w:r>
          </w:p>
        </w:tc>
        <w:tc>
          <w:tcPr>
            <w:tcW w:w="536"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单位资金</w:t>
            </w:r>
          </w:p>
        </w:tc>
        <w:tc>
          <w:tcPr>
            <w:tcW w:w="59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财政拨款结转</w:t>
            </w:r>
          </w:p>
        </w:tc>
        <w:tc>
          <w:tcPr>
            <w:tcW w:w="50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非财政拨款结转结余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94" w:hRule="atLeast"/>
          <w:tblHeader/>
        </w:trPr>
        <w:tc>
          <w:tcPr>
            <w:tcW w:w="417"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类</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款</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项</w:t>
            </w:r>
          </w:p>
        </w:tc>
        <w:tc>
          <w:tcPr>
            <w:tcW w:w="564"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714"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财政拨款(补助)小计</w:t>
            </w:r>
          </w:p>
        </w:tc>
        <w:tc>
          <w:tcPr>
            <w:tcW w:w="726"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一般公共预算</w:t>
            </w:r>
          </w:p>
        </w:tc>
        <w:tc>
          <w:tcPr>
            <w:tcW w:w="655"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上级一般公共预算安排的转移支付</w:t>
            </w:r>
          </w:p>
        </w:tc>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政府性基金预算</w:t>
            </w:r>
          </w:p>
        </w:tc>
        <w:tc>
          <w:tcPr>
            <w:tcW w:w="643"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上级政府性基金安排的转移支付</w:t>
            </w:r>
          </w:p>
        </w:tc>
        <w:tc>
          <w:tcPr>
            <w:tcW w:w="631"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国有资本经营预算</w:t>
            </w:r>
          </w:p>
        </w:tc>
        <w:tc>
          <w:tcPr>
            <w:tcW w:w="779"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上级国有资本经营预算安排的转移支付</w:t>
            </w:r>
          </w:p>
        </w:tc>
        <w:tc>
          <w:tcPr>
            <w:tcW w:w="583"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53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595"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507"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201</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6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一般公共服务支出</w:t>
            </w: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495.22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495.22</w:t>
            </w:r>
          </w:p>
        </w:tc>
        <w:tc>
          <w:tcPr>
            <w:tcW w:w="726"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495.22</w:t>
            </w:r>
          </w:p>
        </w:tc>
        <w:tc>
          <w:tcPr>
            <w:tcW w:w="65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4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79"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9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07"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201</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04</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6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发展与改革事务</w:t>
            </w: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495.22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495.22</w:t>
            </w:r>
          </w:p>
        </w:tc>
        <w:tc>
          <w:tcPr>
            <w:tcW w:w="726"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495.22</w:t>
            </w:r>
          </w:p>
        </w:tc>
        <w:tc>
          <w:tcPr>
            <w:tcW w:w="65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4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79"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9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07"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201</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04</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01</w:t>
            </w:r>
          </w:p>
        </w:tc>
        <w:tc>
          <w:tcPr>
            <w:tcW w:w="56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行政运行</w:t>
            </w: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269.57</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269.57</w:t>
            </w:r>
          </w:p>
        </w:tc>
        <w:tc>
          <w:tcPr>
            <w:tcW w:w="726"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269.57</w:t>
            </w:r>
          </w:p>
        </w:tc>
        <w:tc>
          <w:tcPr>
            <w:tcW w:w="65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4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79"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9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07"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201</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04</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50</w:t>
            </w:r>
          </w:p>
        </w:tc>
        <w:tc>
          <w:tcPr>
            <w:tcW w:w="56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事业运行</w:t>
            </w: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225.35</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225.35</w:t>
            </w:r>
          </w:p>
        </w:tc>
        <w:tc>
          <w:tcPr>
            <w:tcW w:w="726"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225.35</w:t>
            </w:r>
          </w:p>
        </w:tc>
        <w:tc>
          <w:tcPr>
            <w:tcW w:w="65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4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79"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9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07"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201</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04</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99</w:t>
            </w:r>
          </w:p>
        </w:tc>
        <w:tc>
          <w:tcPr>
            <w:tcW w:w="56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其他发展与改革事务支出</w:t>
            </w: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0.30</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0.30</w:t>
            </w:r>
          </w:p>
        </w:tc>
        <w:tc>
          <w:tcPr>
            <w:tcW w:w="726"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0.30</w:t>
            </w:r>
          </w:p>
        </w:tc>
        <w:tc>
          <w:tcPr>
            <w:tcW w:w="65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4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79"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9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07"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208</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6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社会保障和就业支出</w:t>
            </w: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102.75</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102.75</w:t>
            </w:r>
          </w:p>
        </w:tc>
        <w:tc>
          <w:tcPr>
            <w:tcW w:w="726"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102.75</w:t>
            </w:r>
          </w:p>
        </w:tc>
        <w:tc>
          <w:tcPr>
            <w:tcW w:w="65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4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79"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9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07"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208</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05</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6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行政事业单位养老支出</w:t>
            </w: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102.75</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102.75</w:t>
            </w:r>
          </w:p>
        </w:tc>
        <w:tc>
          <w:tcPr>
            <w:tcW w:w="726"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102.75</w:t>
            </w:r>
          </w:p>
        </w:tc>
        <w:tc>
          <w:tcPr>
            <w:tcW w:w="65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4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79"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9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07"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208</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05</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05</w:t>
            </w:r>
          </w:p>
        </w:tc>
        <w:tc>
          <w:tcPr>
            <w:tcW w:w="56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机关事业单位基本养老保险缴费支出</w:t>
            </w: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68.50</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68.50</w:t>
            </w:r>
          </w:p>
        </w:tc>
        <w:tc>
          <w:tcPr>
            <w:tcW w:w="726"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68.50</w:t>
            </w:r>
          </w:p>
        </w:tc>
        <w:tc>
          <w:tcPr>
            <w:tcW w:w="65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4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79"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9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07"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208</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05</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06</w:t>
            </w:r>
          </w:p>
        </w:tc>
        <w:tc>
          <w:tcPr>
            <w:tcW w:w="56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机关事业单位职业年金缴费支出</w:t>
            </w: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34.25</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34.25</w:t>
            </w:r>
          </w:p>
        </w:tc>
        <w:tc>
          <w:tcPr>
            <w:tcW w:w="726"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34.25</w:t>
            </w:r>
          </w:p>
        </w:tc>
        <w:tc>
          <w:tcPr>
            <w:tcW w:w="65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4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79"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9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07"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210</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6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卫生健康支出</w:t>
            </w: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57.79</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57.79</w:t>
            </w:r>
          </w:p>
        </w:tc>
        <w:tc>
          <w:tcPr>
            <w:tcW w:w="726"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57.79</w:t>
            </w:r>
          </w:p>
        </w:tc>
        <w:tc>
          <w:tcPr>
            <w:tcW w:w="65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4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79"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9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07"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210</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11</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6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行政事业单位医疗</w:t>
            </w: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57.79</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57.79</w:t>
            </w:r>
          </w:p>
        </w:tc>
        <w:tc>
          <w:tcPr>
            <w:tcW w:w="726"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57.79</w:t>
            </w:r>
          </w:p>
        </w:tc>
        <w:tc>
          <w:tcPr>
            <w:tcW w:w="65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4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79"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9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07"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210</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11</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01</w:t>
            </w:r>
          </w:p>
        </w:tc>
        <w:tc>
          <w:tcPr>
            <w:tcW w:w="56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行政单位医疗</w:t>
            </w: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19.72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19.72</w:t>
            </w:r>
          </w:p>
        </w:tc>
        <w:tc>
          <w:tcPr>
            <w:tcW w:w="726"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19.72</w:t>
            </w:r>
          </w:p>
        </w:tc>
        <w:tc>
          <w:tcPr>
            <w:tcW w:w="65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4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79"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9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07"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210</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11</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02</w:t>
            </w:r>
          </w:p>
        </w:tc>
        <w:tc>
          <w:tcPr>
            <w:tcW w:w="56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事业单位医疗</w:t>
            </w: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20.95</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20.95</w:t>
            </w:r>
          </w:p>
        </w:tc>
        <w:tc>
          <w:tcPr>
            <w:tcW w:w="726"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20.95</w:t>
            </w:r>
          </w:p>
        </w:tc>
        <w:tc>
          <w:tcPr>
            <w:tcW w:w="65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4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79"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9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07"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210</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11</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03</w:t>
            </w:r>
          </w:p>
        </w:tc>
        <w:tc>
          <w:tcPr>
            <w:tcW w:w="56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公务员医疗补助</w:t>
            </w: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17.12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17.12</w:t>
            </w:r>
          </w:p>
        </w:tc>
        <w:tc>
          <w:tcPr>
            <w:tcW w:w="726"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17.12</w:t>
            </w:r>
          </w:p>
        </w:tc>
        <w:tc>
          <w:tcPr>
            <w:tcW w:w="65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4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79"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9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07"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211</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6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节能环保支出</w:t>
            </w: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4079.00</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4079.00</w:t>
            </w:r>
          </w:p>
        </w:tc>
        <w:tc>
          <w:tcPr>
            <w:tcW w:w="72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55"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4079.00</w:t>
            </w: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4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79"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9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07"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211</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12</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6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清洁能源</w:t>
            </w: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4079.00</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4079.00</w:t>
            </w:r>
          </w:p>
        </w:tc>
        <w:tc>
          <w:tcPr>
            <w:tcW w:w="72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55"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4079.00</w:t>
            </w: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4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79"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9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07"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211</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12</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01</w:t>
            </w:r>
          </w:p>
        </w:tc>
        <w:tc>
          <w:tcPr>
            <w:tcW w:w="56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可再生能源</w:t>
            </w: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4079.00</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4079.00</w:t>
            </w:r>
          </w:p>
        </w:tc>
        <w:tc>
          <w:tcPr>
            <w:tcW w:w="72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55"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4079.00</w:t>
            </w: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4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79"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9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07"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221</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6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住房保障支出</w:t>
            </w: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57.23</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57.23</w:t>
            </w:r>
          </w:p>
        </w:tc>
        <w:tc>
          <w:tcPr>
            <w:tcW w:w="726"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57.23</w:t>
            </w:r>
          </w:p>
        </w:tc>
        <w:tc>
          <w:tcPr>
            <w:tcW w:w="65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4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79"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9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07"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221</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02</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6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住房改革支出</w:t>
            </w: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57.23</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57.23</w:t>
            </w:r>
          </w:p>
        </w:tc>
        <w:tc>
          <w:tcPr>
            <w:tcW w:w="726"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57.23</w:t>
            </w:r>
          </w:p>
        </w:tc>
        <w:tc>
          <w:tcPr>
            <w:tcW w:w="65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4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79"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9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07"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221</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02</w:t>
            </w: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01</w:t>
            </w:r>
          </w:p>
        </w:tc>
        <w:tc>
          <w:tcPr>
            <w:tcW w:w="56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住房公积金</w:t>
            </w: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57.23</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57.23</w:t>
            </w:r>
          </w:p>
        </w:tc>
        <w:tc>
          <w:tcPr>
            <w:tcW w:w="726"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57.23</w:t>
            </w:r>
          </w:p>
        </w:tc>
        <w:tc>
          <w:tcPr>
            <w:tcW w:w="65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4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79"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9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07"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17"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17"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64"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18"/>
                <w:szCs w:val="18"/>
              </w:rPr>
              <w:t>总  计</w:t>
            </w: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4791.99</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4791.99</w:t>
            </w:r>
          </w:p>
        </w:tc>
        <w:tc>
          <w:tcPr>
            <w:tcW w:w="726"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712.99</w:t>
            </w:r>
          </w:p>
        </w:tc>
        <w:tc>
          <w:tcPr>
            <w:tcW w:w="655"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4079.00</w:t>
            </w:r>
          </w:p>
        </w:tc>
        <w:tc>
          <w:tcPr>
            <w:tcW w:w="714"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4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779"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95"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07" w:type="dxa"/>
            <w:tcBorders>
              <w:top w:val="single" w:color="000000" w:sz="4" w:space="0"/>
              <w:left w:val="single" w:color="000000" w:sz="4" w:space="0"/>
              <w:bottom w:val="single" w:color="000000" w:sz="4" w:space="0"/>
              <w:right w:val="single" w:color="000000" w:sz="4" w:space="0"/>
            </w:tcBorders>
            <w:vAlign w:val="center"/>
          </w:tcPr>
          <w:p>
            <w:pPr>
              <w:jc w:val="left"/>
            </w:pPr>
          </w:p>
        </w:tc>
      </w:tr>
    </w:tbl>
    <w:p>
      <w:r>
        <w:br w:type="page"/>
      </w: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r>
        <w:rPr>
          <w:rFonts w:hint="default" w:ascii="Times New Roman" w:hAnsi="Times New Roman" w:eastAsia="宋体" w:cs="Times New Roman"/>
          <w:i w:val="0"/>
          <w:color w:val="auto"/>
          <w:kern w:val="0"/>
          <w:sz w:val="20"/>
          <w:szCs w:val="20"/>
          <w:highlight w:val="none"/>
          <w:u w:val="none"/>
          <w:lang w:val="en-US" w:eastAsia="zh-CN" w:bidi="ar"/>
        </w:rPr>
        <w:t>表3</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1"/>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单位支出总体情况表</w:t>
      </w:r>
    </w:p>
    <w:p>
      <w:pPr>
        <w:widowControl/>
        <w:spacing w:line="280" w:lineRule="exact"/>
        <w:jc w:val="center"/>
        <w:outlineLvl w:val="1"/>
        <w:rPr>
          <w:rFonts w:hint="default" w:ascii="Times New Roman" w:hAnsi="Times New Roman" w:eastAsia="仿宋_GB2312" w:cs="Times New Roman"/>
          <w:b/>
          <w:color w:val="auto"/>
          <w:kern w:val="0"/>
          <w:sz w:val="32"/>
          <w:szCs w:val="32"/>
          <w:highlight w:val="none"/>
        </w:rPr>
      </w:pPr>
    </w:p>
    <w:p>
      <w:pPr>
        <w:tabs>
          <w:tab w:val="right" w:leader="middleDot" w:pos="8500"/>
        </w:tabs>
        <w:spacing w:after="60"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编制部门（单位）：阜康市发展和改革委员会</w:t>
      </w:r>
      <w:r>
        <w:tab/>
      </w:r>
      <w:r>
        <w:rPr>
          <w:rFonts w:ascii="Times New Roman" w:hAnsi="Times New Roman" w:eastAsia="仿宋_GB2312" w:cs="Times New Roman"/>
          <w:sz w:val="24"/>
          <w:szCs w:val="24"/>
        </w:rPr>
        <w:t>单位：万元</w:t>
      </w:r>
    </w:p>
    <w:tbl>
      <w:tblPr>
        <w:tblStyle w:val="7"/>
        <w:tblW w:w="54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0"/>
        <w:gridCol w:w="500"/>
        <w:gridCol w:w="500"/>
        <w:gridCol w:w="1500"/>
        <w:gridCol w:w="800"/>
        <w:gridCol w:w="800"/>
        <w:gridCol w:w="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tblHeader/>
        </w:trPr>
        <w:tc>
          <w:tcPr>
            <w:tcW w:w="3000" w:type="dxa"/>
            <w:gridSpan w:val="4"/>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4"/>
                <w:szCs w:val="24"/>
              </w:rPr>
              <w:t>科    目</w:t>
            </w:r>
          </w:p>
        </w:tc>
        <w:tc>
          <w:tcPr>
            <w:tcW w:w="2400" w:type="dxa"/>
            <w:gridSpan w:val="3"/>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4"/>
                <w:szCs w:val="24"/>
              </w:rPr>
              <w:t>支出预算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tblHeader/>
        </w:trPr>
        <w:tc>
          <w:tcPr>
            <w:tcW w:w="1500" w:type="dxa"/>
            <w:gridSpan w:val="3"/>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科目代码</w:t>
            </w:r>
          </w:p>
        </w:tc>
        <w:tc>
          <w:tcPr>
            <w:tcW w:w="15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科目名称</w:t>
            </w: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合  计</w:t>
            </w: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基本支出</w:t>
            </w: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tblHeader/>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类</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款</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项</w:t>
            </w:r>
          </w:p>
        </w:tc>
        <w:tc>
          <w:tcPr>
            <w:tcW w:w="15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18"/>
                <w:szCs w:val="18"/>
              </w:rPr>
              <w:t>201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一般公共服务支出</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495.22</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494.92</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201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04</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发展与改革事务</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495.22</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494.92</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201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04</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01</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行政运行</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269.57</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269.57</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201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04</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50</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事业运行</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225.35</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225.35</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201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04</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99</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其他发展与改革事务支出</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0.30</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18"/>
                <w:szCs w:val="18"/>
              </w:rPr>
              <w:t>208</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社会保障和就业支出</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102.75</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102.75</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208</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05</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行政事业单位养老支出</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102.75</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102.75</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208</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05</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05</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机关事业单位基本养老保险缴费支出</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68.50</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68.50</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208</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05</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06</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机关事业单位职业年金缴费支出</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34.25</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34.25</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18"/>
                <w:szCs w:val="18"/>
              </w:rPr>
              <w:t>210</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卫生健康支出</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57.79</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57.79</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210</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11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行政事业单位医疗</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57.79</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57.79</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210</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11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01</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行政单位医疗</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19.72</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19.72</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210</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11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02</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事业单位医疗</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20.95</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20.95</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210</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11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03</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公务员医疗补助</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17.12</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17.12</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18"/>
                <w:szCs w:val="18"/>
              </w:rPr>
              <w:t>211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节能环保支出</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4079.00</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4079.00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211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12</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清洁能源</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4079.00</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4079.00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211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12</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01</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可再生能源</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4079.00</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4079.00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18"/>
                <w:szCs w:val="18"/>
              </w:rPr>
              <w:t>221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住房保障支出</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57.23</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57.23</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221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02</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住房改革支出</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57.23</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57.23</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221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02</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01</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住房公积金</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57.23</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57.23</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18"/>
                <w:szCs w:val="18"/>
              </w:rPr>
              <w:t>总  计</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4791.99</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712.69</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4079.30</w:t>
            </w:r>
          </w:p>
        </w:tc>
      </w:tr>
    </w:tbl>
    <w:p>
      <w:r>
        <w:br w:type="page"/>
      </w: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r>
        <w:rPr>
          <w:rFonts w:hint="default" w:ascii="Times New Roman" w:hAnsi="Times New Roman" w:eastAsia="宋体" w:cs="Times New Roman"/>
          <w:i w:val="0"/>
          <w:color w:val="auto"/>
          <w:kern w:val="0"/>
          <w:sz w:val="20"/>
          <w:szCs w:val="20"/>
          <w:highlight w:val="none"/>
          <w:u w:val="none"/>
          <w:lang w:val="en-US" w:eastAsia="zh-CN" w:bidi="ar"/>
        </w:rPr>
        <w:t>表4</w:t>
      </w:r>
    </w:p>
    <w:p>
      <w:pPr>
        <w:widowControl/>
        <w:spacing w:before="120" w:beforeLines="50" w:line="280" w:lineRule="exact"/>
        <w:jc w:val="center"/>
        <w:outlineLvl w:val="1"/>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财政拨款收支预算总体情况表</w:t>
      </w:r>
    </w:p>
    <w:p>
      <w:pPr>
        <w:tabs>
          <w:tab w:val="right" w:leader="middleDot" w:pos="8500"/>
        </w:tabs>
        <w:spacing w:after="60"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编制部门（单位）：阜康市发展和改革委员会</w:t>
      </w:r>
      <w:r>
        <w:tab/>
      </w:r>
      <w:r>
        <w:rPr>
          <w:rFonts w:ascii="Times New Roman" w:hAnsi="Times New Roman" w:eastAsia="仿宋_GB2312" w:cs="Times New Roman"/>
          <w:sz w:val="24"/>
          <w:szCs w:val="24"/>
        </w:rPr>
        <w:t>单位：万元</w:t>
      </w:r>
    </w:p>
    <w:tbl>
      <w:tblPr>
        <w:tblStyle w:val="7"/>
        <w:tblW w:w="94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6"/>
        <w:gridCol w:w="914"/>
        <w:gridCol w:w="2580"/>
        <w:gridCol w:w="900"/>
        <w:gridCol w:w="851"/>
        <w:gridCol w:w="1134"/>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blHeader/>
        </w:trPr>
        <w:tc>
          <w:tcPr>
            <w:tcW w:w="2850"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4"/>
                <w:szCs w:val="24"/>
              </w:rPr>
              <w:t>财政拨款收入</w:t>
            </w:r>
          </w:p>
        </w:tc>
        <w:tc>
          <w:tcPr>
            <w:tcW w:w="6599" w:type="dxa"/>
            <w:gridSpan w:val="5"/>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4"/>
                <w:szCs w:val="24"/>
              </w:rPr>
              <w:t>财政拨款支出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tblHeader/>
        </w:trPr>
        <w:tc>
          <w:tcPr>
            <w:tcW w:w="1936"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项 目</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合 计</w:t>
            </w:r>
          </w:p>
        </w:tc>
        <w:tc>
          <w:tcPr>
            <w:tcW w:w="258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科目名称</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合 计</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一般公共预算</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政府性基金预算</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国有资本经营预算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936"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一、财政拨款（补助）</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right"/>
            </w:pPr>
            <w:r>
              <w:rPr>
                <w:rFonts w:ascii="Times New Roman" w:hAnsi="Times New Roman" w:eastAsia="仿宋_GB2312" w:cs="Times New Roman"/>
                <w:sz w:val="18"/>
                <w:szCs w:val="18"/>
              </w:rPr>
              <w:t>4791.99</w:t>
            </w: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201 一般公共服务支出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936"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一般公共预算</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right"/>
            </w:pPr>
            <w:r>
              <w:rPr>
                <w:rFonts w:ascii="Times New Roman" w:hAnsi="Times New Roman" w:eastAsia="仿宋_GB2312" w:cs="Times New Roman"/>
                <w:sz w:val="18"/>
                <w:szCs w:val="18"/>
              </w:rPr>
              <w:t>4791.99</w:t>
            </w: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202 外交支出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936"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政府性基金预算</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203 国防支出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936"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国有资本经营预算</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204 公共安全支出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9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91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205 教育支出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9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91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206 科学技术支出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9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91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207 文化旅游体育与传媒支出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9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91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208 社会保障和就业支出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9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91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209 社会保险基金支出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9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91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210 卫生健康支出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9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91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211 节能环保支出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9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91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212 城乡社区支出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9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91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213 农林水支出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9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91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214 交通运输支出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9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91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215 资源勘探工业信息等支出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9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91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216 商业服务业等支出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9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91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217 金融支出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9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91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219 援助其他地区支出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9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91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220 自然资源海洋气象等支出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9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91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221 住房保障支出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9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91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222 粮油物资储备支出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9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91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223 国有资本经营预算支出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9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91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224 灾害防治及应急管理支出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9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91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227 预备费</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9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91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229 其他支出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9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91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230 转移性支出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9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91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231 债务还本支出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9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91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232 债务付息支出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9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91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233 债务发行费用支出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936"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91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234 抗疫特别国债安排的支出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936"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18"/>
                <w:szCs w:val="18"/>
              </w:rPr>
              <w:t>收 入 总 计</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right"/>
            </w:pPr>
            <w:r>
              <w:rPr>
                <w:rFonts w:ascii="Times New Roman" w:hAnsi="Times New Roman" w:eastAsia="仿宋_GB2312" w:cs="Times New Roman"/>
                <w:b/>
                <w:sz w:val="18"/>
                <w:szCs w:val="18"/>
              </w:rPr>
              <w:t>4791.99</w:t>
            </w:r>
          </w:p>
        </w:tc>
        <w:tc>
          <w:tcPr>
            <w:tcW w:w="258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18"/>
                <w:szCs w:val="18"/>
              </w:rPr>
              <w:t>支 出 总 计</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pPr>
          </w:p>
        </w:tc>
      </w:tr>
    </w:tbl>
    <w:p>
      <w:r>
        <w:br w:type="page"/>
      </w: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r>
        <w:rPr>
          <w:rFonts w:hint="default" w:ascii="Times New Roman" w:hAnsi="Times New Roman" w:eastAsia="宋体" w:cs="Times New Roman"/>
          <w:i w:val="0"/>
          <w:color w:val="auto"/>
          <w:kern w:val="0"/>
          <w:sz w:val="20"/>
          <w:szCs w:val="20"/>
          <w:highlight w:val="none"/>
          <w:u w:val="none"/>
          <w:lang w:val="en-US" w:eastAsia="zh-CN" w:bidi="ar"/>
        </w:rPr>
        <w:t>表5</w:t>
      </w:r>
    </w:p>
    <w:p>
      <w:pPr>
        <w:pStyle w:val="2"/>
        <w:jc w:val="center"/>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一般公共预算支出情况表</w:t>
      </w:r>
    </w:p>
    <w:p>
      <w:pPr>
        <w:tabs>
          <w:tab w:val="right" w:leader="middleDot" w:pos="8500"/>
        </w:tabs>
        <w:spacing w:after="60"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编制部门（单位）：阜康市发展和改革委员会</w:t>
      </w:r>
      <w:r>
        <w:tab/>
      </w:r>
      <w:r>
        <w:rPr>
          <w:rFonts w:ascii="Times New Roman" w:hAnsi="Times New Roman" w:eastAsia="仿宋_GB2312" w:cs="Times New Roman"/>
          <w:sz w:val="24"/>
          <w:szCs w:val="24"/>
        </w:rPr>
        <w:t>单位：万元</w:t>
      </w:r>
    </w:p>
    <w:tbl>
      <w:tblPr>
        <w:tblStyle w:val="7"/>
        <w:tblW w:w="54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0"/>
        <w:gridCol w:w="500"/>
        <w:gridCol w:w="500"/>
        <w:gridCol w:w="1500"/>
        <w:gridCol w:w="800"/>
        <w:gridCol w:w="800"/>
        <w:gridCol w:w="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tblHeader/>
        </w:trPr>
        <w:tc>
          <w:tcPr>
            <w:tcW w:w="3000" w:type="dxa"/>
            <w:gridSpan w:val="4"/>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4"/>
                <w:szCs w:val="24"/>
              </w:rPr>
              <w:t>科  目</w:t>
            </w:r>
          </w:p>
        </w:tc>
        <w:tc>
          <w:tcPr>
            <w:tcW w:w="2400" w:type="dxa"/>
            <w:gridSpan w:val="3"/>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4"/>
                <w:szCs w:val="24"/>
              </w:rPr>
              <w:t>一般公共预算支出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tblHeader/>
        </w:trPr>
        <w:tc>
          <w:tcPr>
            <w:tcW w:w="1500" w:type="dxa"/>
            <w:gridSpan w:val="3"/>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科目代码</w:t>
            </w:r>
          </w:p>
        </w:tc>
        <w:tc>
          <w:tcPr>
            <w:tcW w:w="15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科目名称</w:t>
            </w: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合  计</w:t>
            </w: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基本支出</w:t>
            </w: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tblHeader/>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类</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款</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项</w:t>
            </w:r>
          </w:p>
        </w:tc>
        <w:tc>
          <w:tcPr>
            <w:tcW w:w="15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18"/>
                <w:szCs w:val="18"/>
              </w:rPr>
              <w:t>201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一般公共服务支出</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495.22</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494.92</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201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04</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发展与改革事务</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495.22</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494.92</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201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04</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01</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行政运行</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269.57</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269.57</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201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04</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50</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事业运行</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225.35</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225.35</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201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04</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99</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其他发展与改革事务支出</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0.30</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18"/>
                <w:szCs w:val="18"/>
              </w:rPr>
              <w:t>208</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社会保障和就业支出</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102.75</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102.75</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208</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05</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行政事业单位养老支出</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102.75</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102.75</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208</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05</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05</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机关事业单位基本养老保险缴费支出</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68.50</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68.50</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208</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05</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06</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机关事业单位职业年金缴费支出</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34.25</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34.25</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18"/>
                <w:szCs w:val="18"/>
              </w:rPr>
              <w:t>210</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卫生健康支出</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57.79</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57.79</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210</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11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行政事业单位医疗</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57.79</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57.79</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210</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11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01</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行政单位医疗</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19.72</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19.72</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210</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11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02</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事业单位医疗</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20.95</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20.95</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210</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11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03</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公务员医疗补助</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17.12</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17.12</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18"/>
                <w:szCs w:val="18"/>
              </w:rPr>
              <w:t>211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节能环保支出</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4079.00</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4079.00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211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12</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清洁能源</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4079.00</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4079.00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211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12</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01</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可再生能源</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4079.00</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4079.00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18"/>
                <w:szCs w:val="18"/>
              </w:rPr>
              <w:t>221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住房保障支出</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57.23</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57.23</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221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02</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住房改革支出</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57.23</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57.23</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221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02</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01</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住房公积金</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57.23</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57.23</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18"/>
                <w:szCs w:val="18"/>
              </w:rPr>
              <w:t>总  计</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4791.99</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712.69</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4079.30</w:t>
            </w:r>
          </w:p>
        </w:tc>
      </w:tr>
    </w:tbl>
    <w:p>
      <w:r>
        <w:br w:type="page"/>
      </w: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r>
        <w:rPr>
          <w:rFonts w:hint="default" w:ascii="Times New Roman" w:hAnsi="Times New Roman" w:eastAsia="宋体" w:cs="Times New Roman"/>
          <w:i w:val="0"/>
          <w:color w:val="auto"/>
          <w:kern w:val="0"/>
          <w:sz w:val="20"/>
          <w:szCs w:val="20"/>
          <w:highlight w:val="none"/>
          <w:u w:val="none"/>
          <w:lang w:val="en-US" w:eastAsia="zh-CN" w:bidi="ar"/>
        </w:rPr>
        <w:t>表6</w:t>
      </w:r>
    </w:p>
    <w:p>
      <w:pPr>
        <w:pStyle w:val="2"/>
        <w:jc w:val="center"/>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一般公共预算基本支出情况表</w:t>
      </w:r>
    </w:p>
    <w:p>
      <w:pPr>
        <w:tabs>
          <w:tab w:val="right" w:leader="middleDot" w:pos="8500"/>
        </w:tabs>
        <w:spacing w:after="60"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编制部门（单位）：阜康市发展和改革委员会</w:t>
      </w:r>
      <w:r>
        <w:tab/>
      </w:r>
      <w:r>
        <w:rPr>
          <w:rFonts w:ascii="Times New Roman" w:hAnsi="Times New Roman" w:eastAsia="仿宋_GB2312" w:cs="Times New Roman"/>
          <w:sz w:val="24"/>
          <w:szCs w:val="24"/>
        </w:rPr>
        <w:t>单位：万元</w:t>
      </w:r>
    </w:p>
    <w:tbl>
      <w:tblPr>
        <w:tblStyle w:val="7"/>
        <w:tblW w:w="49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0"/>
        <w:gridCol w:w="500"/>
        <w:gridCol w:w="1500"/>
        <w:gridCol w:w="800"/>
        <w:gridCol w:w="800"/>
        <w:gridCol w:w="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tblHeader/>
        </w:trPr>
        <w:tc>
          <w:tcPr>
            <w:tcW w:w="2500" w:type="dxa"/>
            <w:gridSpan w:val="3"/>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4"/>
                <w:szCs w:val="24"/>
              </w:rPr>
              <w:t>科  目</w:t>
            </w:r>
          </w:p>
        </w:tc>
        <w:tc>
          <w:tcPr>
            <w:tcW w:w="2400" w:type="dxa"/>
            <w:gridSpan w:val="3"/>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4"/>
                <w:szCs w:val="24"/>
              </w:rPr>
              <w:t>一般公共预算基本支出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tblHeader/>
        </w:trPr>
        <w:tc>
          <w:tcPr>
            <w:tcW w:w="1000"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科目代码</w:t>
            </w:r>
          </w:p>
        </w:tc>
        <w:tc>
          <w:tcPr>
            <w:tcW w:w="15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科目名称</w:t>
            </w: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合  计</w:t>
            </w: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人员经费</w:t>
            </w: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公用经费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tblHeader/>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类</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款</w:t>
            </w:r>
          </w:p>
        </w:tc>
        <w:tc>
          <w:tcPr>
            <w:tcW w:w="15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18"/>
                <w:szCs w:val="18"/>
              </w:rPr>
              <w:t>301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工资福利支出</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666.85</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666.85</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301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01</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基本工资</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192.55</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192.55</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301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02</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津贴补贴</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92.34</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92.34</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301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03</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奖金</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93.69</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93.69</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301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07</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绩效工资</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54.17</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54.17</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301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08</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机关事业单位基本养老保险缴费</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68.50</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68.50</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301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09</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职业年金缴费</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34.25</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34.25</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301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10</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职工基本医疗保险缴费</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40.67</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40.67</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301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11</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公务员医疗补助缴费</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17.12</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17.12</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301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12</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其他社会保障缴费</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4.53</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4.53</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301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13</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住房公积金</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57.23</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57.23</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301</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99</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其他工资福利支出</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11.80</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11.80</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18"/>
                <w:szCs w:val="18"/>
              </w:rPr>
              <w:t>302</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商品和服务支出</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38.68</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38.68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302</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01</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办公费</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6.37</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6.37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302</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05</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水费</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0.53</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0.53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302</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06</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电费</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3.00</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302</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07</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邮电费</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2.40</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302</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08</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取暖费</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7.88</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7.88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302</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11</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差旅费</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3.00</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302</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17</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公务接待费</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4.50</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302</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28</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工会经费</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4.94</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302</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31</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公务用车运行维护费</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5.04</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5.04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302</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99</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其他商品和服务支出</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1.02</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18"/>
                <w:szCs w:val="18"/>
              </w:rPr>
              <w:t>303</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对个人和家庭的补助</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7.16</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7.16</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303</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02</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退休费</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3.06</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3.06</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303</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05</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生活补助</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4.10</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4.10</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18"/>
                <w:szCs w:val="18"/>
              </w:rPr>
              <w:t>总  计</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712.69</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674.01</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38.68</w:t>
            </w:r>
          </w:p>
        </w:tc>
      </w:tr>
    </w:tbl>
    <w:p>
      <w:r>
        <w:br w:type="page"/>
      </w: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r>
        <w:rPr>
          <w:rFonts w:hint="default" w:ascii="Times New Roman" w:hAnsi="Times New Roman" w:eastAsia="宋体" w:cs="Times New Roman"/>
          <w:i w:val="0"/>
          <w:color w:val="auto"/>
          <w:kern w:val="0"/>
          <w:sz w:val="20"/>
          <w:szCs w:val="20"/>
          <w:highlight w:val="none"/>
          <w:u w:val="none"/>
          <w:lang w:val="en-US" w:eastAsia="zh-CN" w:bidi="ar"/>
        </w:rPr>
        <w:t>表7</w:t>
      </w:r>
    </w:p>
    <w:p>
      <w:pPr>
        <w:pStyle w:val="2"/>
        <w:jc w:val="center"/>
        <w:rPr>
          <w:rFonts w:hint="default"/>
          <w:lang w:val="en-US" w:eastAsia="zh-CN"/>
        </w:rPr>
      </w:pPr>
      <w:r>
        <w:rPr>
          <w:rFonts w:hint="default" w:ascii="Times New Roman" w:hAnsi="Times New Roman" w:eastAsia="仿宋_GB2312" w:cs="Times New Roman"/>
          <w:b/>
          <w:color w:val="auto"/>
          <w:kern w:val="0"/>
          <w:sz w:val="32"/>
          <w:szCs w:val="32"/>
          <w:highlight w:val="none"/>
        </w:rPr>
        <w:t>一般公共预算项目支出情况表</w:t>
      </w:r>
    </w:p>
    <w:p>
      <w:pPr>
        <w:tabs>
          <w:tab w:val="right" w:leader="middleDot" w:pos="8500"/>
        </w:tabs>
        <w:spacing w:after="60"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编制部门（单位）：阜康市发展和改革委员会</w:t>
      </w:r>
      <w:r>
        <w:tab/>
      </w:r>
      <w:r>
        <w:rPr>
          <w:rFonts w:ascii="Times New Roman" w:hAnsi="Times New Roman" w:eastAsia="仿宋_GB2312" w:cs="Times New Roman"/>
          <w:sz w:val="24"/>
          <w:szCs w:val="24"/>
        </w:rPr>
        <w:t>单位：万元</w:t>
      </w:r>
    </w:p>
    <w:tbl>
      <w:tblPr>
        <w:tblStyle w:val="7"/>
        <w:tblW w:w="67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0"/>
        <w:gridCol w:w="300"/>
        <w:gridCol w:w="300"/>
        <w:gridCol w:w="800"/>
        <w:gridCol w:w="600"/>
        <w:gridCol w:w="400"/>
        <w:gridCol w:w="400"/>
        <w:gridCol w:w="400"/>
        <w:gridCol w:w="400"/>
        <w:gridCol w:w="400"/>
        <w:gridCol w:w="400"/>
        <w:gridCol w:w="400"/>
        <w:gridCol w:w="400"/>
        <w:gridCol w:w="400"/>
        <w:gridCol w:w="400"/>
        <w:gridCol w:w="4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tblHeader/>
        </w:trPr>
        <w:tc>
          <w:tcPr>
            <w:tcW w:w="900" w:type="dxa"/>
            <w:gridSpan w:val="3"/>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科 目 代 码</w:t>
            </w: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科目名称</w:t>
            </w: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项目名称</w:t>
            </w:r>
          </w:p>
        </w:tc>
        <w:tc>
          <w:tcPr>
            <w:tcW w:w="4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项目支出合计</w:t>
            </w:r>
          </w:p>
        </w:tc>
        <w:tc>
          <w:tcPr>
            <w:tcW w:w="4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工资福利支出</w:t>
            </w:r>
          </w:p>
        </w:tc>
        <w:tc>
          <w:tcPr>
            <w:tcW w:w="4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商品和服务支出</w:t>
            </w:r>
          </w:p>
        </w:tc>
        <w:tc>
          <w:tcPr>
            <w:tcW w:w="4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对个人和家庭的补助</w:t>
            </w:r>
          </w:p>
        </w:tc>
        <w:tc>
          <w:tcPr>
            <w:tcW w:w="4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债务利息及费用支出</w:t>
            </w:r>
          </w:p>
        </w:tc>
        <w:tc>
          <w:tcPr>
            <w:tcW w:w="4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资本性支出(基建)</w:t>
            </w:r>
          </w:p>
        </w:tc>
        <w:tc>
          <w:tcPr>
            <w:tcW w:w="4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资本性支出</w:t>
            </w:r>
          </w:p>
        </w:tc>
        <w:tc>
          <w:tcPr>
            <w:tcW w:w="4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对企业补助(基建)</w:t>
            </w:r>
          </w:p>
        </w:tc>
        <w:tc>
          <w:tcPr>
            <w:tcW w:w="4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对企业补助</w:t>
            </w:r>
          </w:p>
        </w:tc>
        <w:tc>
          <w:tcPr>
            <w:tcW w:w="4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对社会保障基金补助</w:t>
            </w:r>
          </w:p>
        </w:tc>
        <w:tc>
          <w:tcPr>
            <w:tcW w:w="4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其他支出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tblHeader/>
        </w:trPr>
        <w:tc>
          <w:tcPr>
            <w:tcW w:w="3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类</w:t>
            </w:r>
          </w:p>
        </w:tc>
        <w:tc>
          <w:tcPr>
            <w:tcW w:w="3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款</w:t>
            </w:r>
          </w:p>
        </w:tc>
        <w:tc>
          <w:tcPr>
            <w:tcW w:w="3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项</w:t>
            </w: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3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18"/>
                <w:szCs w:val="18"/>
              </w:rPr>
              <w:t>201</w:t>
            </w:r>
          </w:p>
        </w:tc>
        <w:tc>
          <w:tcPr>
            <w:tcW w:w="3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3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一般公共服务支出</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0.30</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0.30</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3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201</w:t>
            </w:r>
          </w:p>
        </w:tc>
        <w:tc>
          <w:tcPr>
            <w:tcW w:w="3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04</w:t>
            </w:r>
          </w:p>
        </w:tc>
        <w:tc>
          <w:tcPr>
            <w:tcW w:w="3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发展与改革事务</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0.30</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0.30</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3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201</w:t>
            </w:r>
          </w:p>
        </w:tc>
        <w:tc>
          <w:tcPr>
            <w:tcW w:w="3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04</w:t>
            </w:r>
          </w:p>
        </w:tc>
        <w:tc>
          <w:tcPr>
            <w:tcW w:w="3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99</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其他发展与改革事务支出</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2026年办公设备购置</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0.30</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0.30</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3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18"/>
                <w:szCs w:val="18"/>
              </w:rPr>
              <w:t>211</w:t>
            </w:r>
          </w:p>
        </w:tc>
        <w:tc>
          <w:tcPr>
            <w:tcW w:w="3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3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节能环保支出</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4079.00</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4079.00</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3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211</w:t>
            </w:r>
          </w:p>
        </w:tc>
        <w:tc>
          <w:tcPr>
            <w:tcW w:w="3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12</w:t>
            </w:r>
          </w:p>
        </w:tc>
        <w:tc>
          <w:tcPr>
            <w:tcW w:w="3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清洁能源</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4079.00</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4079.00</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3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211</w:t>
            </w:r>
          </w:p>
        </w:tc>
        <w:tc>
          <w:tcPr>
            <w:tcW w:w="3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12</w:t>
            </w:r>
          </w:p>
        </w:tc>
        <w:tc>
          <w:tcPr>
            <w:tcW w:w="3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 w:val="18"/>
                <w:szCs w:val="18"/>
              </w:rPr>
              <w:t>01</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 xml:space="preserve">    可再生能源</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昌州财建[2025]114号关于提前下达2026年清洁能源发展专项资金预算的通知</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4079.00</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18"/>
                <w:szCs w:val="18"/>
              </w:rPr>
              <w:t>4079.00</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3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3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3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18"/>
                <w:szCs w:val="18"/>
              </w:rPr>
              <w:t>总  计</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4079.30</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0.30</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b/>
                <w:sz w:val="18"/>
                <w:szCs w:val="18"/>
              </w:rPr>
              <w:t>4079.00</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r>
    </w:tbl>
    <w:p>
      <w:r>
        <w:br w:type="page"/>
      </w: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eastAsia="zh-CN" w:bidi="ar"/>
        </w:rPr>
      </w:pPr>
      <w:r>
        <w:rPr>
          <w:rFonts w:hint="default" w:ascii="Times New Roman" w:hAnsi="Times New Roman" w:eastAsia="宋体" w:cs="Times New Roman"/>
          <w:i w:val="0"/>
          <w:color w:val="auto"/>
          <w:kern w:val="0"/>
          <w:sz w:val="20"/>
          <w:szCs w:val="20"/>
          <w:highlight w:val="none"/>
          <w:u w:val="none"/>
          <w:lang w:val="en-US" w:eastAsia="zh-CN" w:bidi="ar"/>
        </w:rPr>
        <w:t>表</w:t>
      </w:r>
      <w:r>
        <w:rPr>
          <w:rFonts w:hint="default" w:ascii="Times New Roman" w:hAnsi="Times New Roman" w:eastAsia="宋体" w:cs="Times New Roman"/>
          <w:i w:val="0"/>
          <w:color w:val="auto"/>
          <w:kern w:val="0"/>
          <w:sz w:val="20"/>
          <w:szCs w:val="20"/>
          <w:highlight w:val="none"/>
          <w:u w:val="none"/>
          <w:lang w:eastAsia="zh-CN" w:bidi="ar"/>
        </w:rPr>
        <w:t>8</w:t>
      </w:r>
    </w:p>
    <w:p>
      <w:pPr>
        <w:widowControl/>
        <w:jc w:val="center"/>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lang w:val="en-US" w:eastAsia="zh-CN"/>
        </w:rPr>
        <w:t>政府性基金预算支出</w:t>
      </w:r>
      <w:r>
        <w:rPr>
          <w:rFonts w:hint="default" w:ascii="Times New Roman" w:hAnsi="Times New Roman" w:eastAsia="仿宋_GB2312" w:cs="Times New Roman"/>
          <w:b/>
          <w:color w:val="auto"/>
          <w:kern w:val="0"/>
          <w:sz w:val="32"/>
          <w:szCs w:val="32"/>
          <w:highlight w:val="none"/>
        </w:rPr>
        <w:t>情况表</w:t>
      </w:r>
    </w:p>
    <w:p>
      <w:pPr>
        <w:tabs>
          <w:tab w:val="right" w:leader="middleDot" w:pos="8500"/>
        </w:tabs>
        <w:spacing w:after="60"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编制部门（单位）：阜康市发展和改革委员会</w:t>
      </w:r>
      <w:r>
        <w:tab/>
      </w:r>
      <w:r>
        <w:rPr>
          <w:rFonts w:ascii="Times New Roman" w:hAnsi="Times New Roman" w:eastAsia="仿宋_GB2312" w:cs="Times New Roman"/>
          <w:sz w:val="24"/>
          <w:szCs w:val="24"/>
        </w:rPr>
        <w:t>单位：万元</w:t>
      </w:r>
    </w:p>
    <w:tbl>
      <w:tblPr>
        <w:tblStyle w:val="7"/>
        <w:tblW w:w="48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0"/>
        <w:gridCol w:w="400"/>
        <w:gridCol w:w="400"/>
        <w:gridCol w:w="1200"/>
        <w:gridCol w:w="600"/>
        <w:gridCol w:w="600"/>
        <w:gridCol w:w="600"/>
        <w:gridCol w:w="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tblHeader/>
        </w:trPr>
        <w:tc>
          <w:tcPr>
            <w:tcW w:w="2400" w:type="dxa"/>
            <w:gridSpan w:val="4"/>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4"/>
                <w:szCs w:val="24"/>
              </w:rPr>
              <w:t>科  目</w:t>
            </w:r>
          </w:p>
        </w:tc>
        <w:tc>
          <w:tcPr>
            <w:tcW w:w="2400" w:type="dxa"/>
            <w:gridSpan w:val="4"/>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4"/>
                <w:szCs w:val="24"/>
              </w:rPr>
              <w:t>政府性基金预算支出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tblHeader/>
        </w:trPr>
        <w:tc>
          <w:tcPr>
            <w:tcW w:w="1200" w:type="dxa"/>
            <w:gridSpan w:val="3"/>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科目代码</w:t>
            </w:r>
          </w:p>
        </w:tc>
        <w:tc>
          <w:tcPr>
            <w:tcW w:w="12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科目名称</w:t>
            </w: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合计</w:t>
            </w:r>
          </w:p>
        </w:tc>
        <w:tc>
          <w:tcPr>
            <w:tcW w:w="1200"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基本支出</w:t>
            </w: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tblHeader/>
        </w:trPr>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类</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款</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项</w:t>
            </w: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人员经费</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公用经费</w:t>
            </w: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18"/>
                <w:szCs w:val="18"/>
              </w:rPr>
              <w:t>总  计</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left"/>
            </w:pPr>
          </w:p>
        </w:tc>
      </w:tr>
    </w:tbl>
    <w:p>
      <w:r>
        <w:rPr>
          <w:rFonts w:ascii="仿宋_GB2312" w:hAnsi="仿宋_GB2312" w:eastAsia="仿宋_GB2312"/>
          <w:sz w:val="28"/>
          <w:szCs w:val="28"/>
        </w:rPr>
        <w:t>备注：阜康市发展和改革委员会单位2026年无政府性基金预算安排的支出，政府性基金预算支出情况表为空表。</w:t>
      </w:r>
    </w:p>
    <w:p>
      <w:r>
        <w:br w:type="page"/>
      </w:r>
    </w:p>
    <w:p>
      <w:pPr>
        <w:keepNext w:val="0"/>
        <w:keepLines w:val="0"/>
        <w:widowControl/>
        <w:suppressLineNumbers w:val="0"/>
        <w:jc w:val="left"/>
        <w:textAlignment w:val="bottom"/>
        <w:rPr>
          <w:rFonts w:hint="default" w:ascii="Times New Roman" w:hAnsi="Times New Roman" w:eastAsia="仿宋_GB2312" w:cs="Times New Roman"/>
          <w:b/>
          <w:color w:val="auto"/>
          <w:kern w:val="0"/>
          <w:sz w:val="28"/>
          <w:szCs w:val="32"/>
          <w:highlight w:val="none"/>
          <w:lang w:val="en-US"/>
        </w:rPr>
      </w:pPr>
      <w:r>
        <w:rPr>
          <w:rFonts w:hint="default" w:ascii="Times New Roman" w:hAnsi="Times New Roman" w:eastAsia="宋体" w:cs="Times New Roman"/>
          <w:i w:val="0"/>
          <w:color w:val="auto"/>
          <w:kern w:val="0"/>
          <w:sz w:val="20"/>
          <w:szCs w:val="20"/>
          <w:highlight w:val="none"/>
          <w:u w:val="none"/>
          <w:lang w:val="en-US" w:eastAsia="zh-CN" w:bidi="ar"/>
        </w:rPr>
        <w:t>表</w:t>
      </w:r>
      <w:r>
        <w:rPr>
          <w:rFonts w:hint="default" w:ascii="Times New Roman" w:hAnsi="Times New Roman" w:cs="Times New Roman"/>
          <w:i w:val="0"/>
          <w:color w:val="auto"/>
          <w:kern w:val="0"/>
          <w:sz w:val="20"/>
          <w:szCs w:val="20"/>
          <w:highlight w:val="none"/>
          <w:u w:val="none"/>
          <w:lang w:val="en-US" w:eastAsia="zh-CN" w:bidi="ar"/>
        </w:rPr>
        <w:t>9</w:t>
      </w:r>
    </w:p>
    <w:p>
      <w:pPr>
        <w:widowControl/>
        <w:jc w:val="center"/>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lang w:val="en-US" w:eastAsia="zh-CN"/>
        </w:rPr>
        <w:t>国有资本经营预算支出</w:t>
      </w:r>
      <w:r>
        <w:rPr>
          <w:rFonts w:hint="default" w:ascii="Times New Roman" w:hAnsi="Times New Roman" w:eastAsia="仿宋_GB2312" w:cs="Times New Roman"/>
          <w:b/>
          <w:color w:val="auto"/>
          <w:kern w:val="0"/>
          <w:sz w:val="32"/>
          <w:szCs w:val="32"/>
          <w:highlight w:val="none"/>
        </w:rPr>
        <w:t>情况表</w:t>
      </w:r>
    </w:p>
    <w:p>
      <w:pPr>
        <w:tabs>
          <w:tab w:val="right" w:leader="middleDot" w:pos="8500"/>
        </w:tabs>
        <w:spacing w:after="60"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编制部门（单位）：阜康市发展和改革委员会</w:t>
      </w:r>
      <w:r>
        <w:tab/>
      </w:r>
      <w:r>
        <w:rPr>
          <w:rFonts w:ascii="Times New Roman" w:hAnsi="Times New Roman" w:eastAsia="仿宋_GB2312" w:cs="Times New Roman"/>
          <w:sz w:val="24"/>
          <w:szCs w:val="24"/>
        </w:rPr>
        <w:t>单位：万元</w:t>
      </w:r>
    </w:p>
    <w:tbl>
      <w:tblPr>
        <w:tblStyle w:val="7"/>
        <w:tblW w:w="48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0"/>
        <w:gridCol w:w="400"/>
        <w:gridCol w:w="400"/>
        <w:gridCol w:w="1200"/>
        <w:gridCol w:w="600"/>
        <w:gridCol w:w="600"/>
        <w:gridCol w:w="600"/>
        <w:gridCol w:w="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tblHeader/>
        </w:trPr>
        <w:tc>
          <w:tcPr>
            <w:tcW w:w="2400" w:type="dxa"/>
            <w:gridSpan w:val="4"/>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4"/>
                <w:szCs w:val="24"/>
              </w:rPr>
              <w:t>科  目</w:t>
            </w:r>
          </w:p>
        </w:tc>
        <w:tc>
          <w:tcPr>
            <w:tcW w:w="2400" w:type="dxa"/>
            <w:gridSpan w:val="4"/>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4"/>
                <w:szCs w:val="24"/>
              </w:rPr>
              <w:t>国有资本经营预算支出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tblHeader/>
        </w:trPr>
        <w:tc>
          <w:tcPr>
            <w:tcW w:w="1200" w:type="dxa"/>
            <w:gridSpan w:val="3"/>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科目代码</w:t>
            </w:r>
          </w:p>
        </w:tc>
        <w:tc>
          <w:tcPr>
            <w:tcW w:w="12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科目名称</w:t>
            </w: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合计</w:t>
            </w:r>
          </w:p>
        </w:tc>
        <w:tc>
          <w:tcPr>
            <w:tcW w:w="1200"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基本支出</w:t>
            </w: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tblHeader/>
        </w:trPr>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类</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款</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项</w:t>
            </w: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人员经费</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公用经费</w:t>
            </w: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18"/>
                <w:szCs w:val="18"/>
              </w:rPr>
              <w:t>总  计</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r>
    </w:tbl>
    <w:p>
      <w:r>
        <w:rPr>
          <w:rFonts w:ascii="仿宋_GB2312" w:hAnsi="仿宋_GB2312" w:eastAsia="仿宋_GB2312"/>
          <w:sz w:val="28"/>
          <w:szCs w:val="28"/>
        </w:rPr>
        <w:t>备注：阜康市发展和改革委员会单位2026年无国有资本经营预算安排的支出，国有资本经营预算支出情况表为空表。</w:t>
      </w:r>
    </w:p>
    <w:p>
      <w:r>
        <w:br w:type="page"/>
      </w: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eastAsia="zh-CN" w:bidi="ar"/>
        </w:rPr>
      </w:pPr>
      <w:r>
        <w:rPr>
          <w:rFonts w:hint="default" w:ascii="Times New Roman" w:hAnsi="Times New Roman" w:eastAsia="宋体" w:cs="Times New Roman"/>
          <w:i w:val="0"/>
          <w:color w:val="auto"/>
          <w:kern w:val="0"/>
          <w:sz w:val="20"/>
          <w:szCs w:val="20"/>
          <w:highlight w:val="none"/>
          <w:u w:val="none"/>
          <w:lang w:val="en-US" w:eastAsia="zh-CN" w:bidi="ar"/>
        </w:rPr>
        <w:t>表</w:t>
      </w:r>
      <w:r>
        <w:rPr>
          <w:rFonts w:hint="default" w:ascii="Times New Roman" w:hAnsi="Times New Roman" w:eastAsia="宋体" w:cs="Times New Roman"/>
          <w:i w:val="0"/>
          <w:color w:val="auto"/>
          <w:kern w:val="0"/>
          <w:sz w:val="20"/>
          <w:szCs w:val="20"/>
          <w:highlight w:val="none"/>
          <w:u w:val="none"/>
          <w:lang w:eastAsia="zh-CN" w:bidi="ar"/>
        </w:rPr>
        <w:t>10</w:t>
      </w:r>
    </w:p>
    <w:p>
      <w:pPr>
        <w:widowControl/>
        <w:jc w:val="center"/>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lang w:val="en-US" w:eastAsia="zh-Hans"/>
        </w:rPr>
        <w:t>财政拨款</w:t>
      </w:r>
      <w:r>
        <w:rPr>
          <w:rFonts w:hint="default" w:ascii="Times New Roman" w:hAnsi="Times New Roman" w:eastAsia="仿宋_GB2312" w:cs="Times New Roman"/>
          <w:b/>
          <w:color w:val="auto"/>
          <w:kern w:val="0"/>
          <w:sz w:val="32"/>
          <w:szCs w:val="32"/>
          <w:highlight w:val="none"/>
        </w:rPr>
        <w:t>“三公”经费支出情况表</w:t>
      </w:r>
    </w:p>
    <w:p>
      <w:pPr>
        <w:tabs>
          <w:tab w:val="right" w:leader="middleDot" w:pos="8500"/>
        </w:tabs>
        <w:spacing w:after="60"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编制部门（单位）：阜康市发展和改革委员会</w:t>
      </w:r>
      <w:r>
        <w:tab/>
      </w:r>
      <w:r>
        <w:rPr>
          <w:rFonts w:ascii="Times New Roman" w:hAnsi="Times New Roman" w:eastAsia="仿宋_GB2312" w:cs="Times New Roman"/>
          <w:sz w:val="24"/>
          <w:szCs w:val="24"/>
        </w:rPr>
        <w:t>单位：万元</w:t>
      </w:r>
    </w:p>
    <w:tbl>
      <w:tblPr>
        <w:tblStyle w:val="7"/>
        <w:tblW w:w="40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0"/>
        <w:gridCol w:w="600"/>
        <w:gridCol w:w="600"/>
        <w:gridCol w:w="600"/>
        <w:gridCol w:w="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tblHeader/>
        </w:trPr>
        <w:tc>
          <w:tcPr>
            <w:tcW w:w="16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"三公"经费支出内容</w:t>
            </w: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合计</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资金来源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tblHeader/>
        </w:trPr>
        <w:tc>
          <w:tcPr>
            <w:tcW w:w="16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一般公共预算</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政府性基金</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国有资本经营预算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16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24"/>
                <w:szCs w:val="24"/>
              </w:rPr>
              <w:t>因公出国（境）费用</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16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24"/>
                <w:szCs w:val="24"/>
              </w:rPr>
              <w:t>公务接待费</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r>
              <w:rPr>
                <w:rFonts w:ascii="Times New Roman" w:hAnsi="Times New Roman" w:eastAsia="仿宋_GB2312" w:cs="Times New Roman"/>
                <w:sz w:val="24"/>
                <w:szCs w:val="24"/>
              </w:rPr>
              <w:t>4.50</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r>
              <w:rPr>
                <w:rFonts w:ascii="Times New Roman" w:hAnsi="Times New Roman" w:eastAsia="仿宋_GB2312" w:cs="Times New Roman"/>
                <w:sz w:val="24"/>
                <w:szCs w:val="24"/>
              </w:rPr>
              <w:t>4.50</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16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24"/>
                <w:szCs w:val="24"/>
              </w:rPr>
              <w:t>公务用车购置及运行维护费（小计）</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r>
              <w:rPr>
                <w:rFonts w:ascii="Times New Roman" w:hAnsi="Times New Roman" w:eastAsia="仿宋_GB2312" w:cs="Times New Roman"/>
                <w:sz w:val="24"/>
                <w:szCs w:val="24"/>
              </w:rPr>
              <w:t>5.04</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r>
              <w:rPr>
                <w:rFonts w:ascii="Times New Roman" w:hAnsi="Times New Roman" w:eastAsia="仿宋_GB2312" w:cs="Times New Roman"/>
                <w:sz w:val="24"/>
                <w:szCs w:val="24"/>
              </w:rPr>
              <w:t>5.04</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16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24"/>
                <w:szCs w:val="24"/>
              </w:rPr>
              <w:t xml:space="preserve">  其中：公务用车购置费</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1600" w:type="dxa"/>
            <w:tcBorders>
              <w:top w:val="single" w:color="000000" w:sz="4" w:space="0"/>
              <w:left w:val="single" w:color="000000" w:sz="4" w:space="0"/>
              <w:bottom w:val="single" w:color="000000" w:sz="4" w:space="0"/>
              <w:right w:val="single" w:color="000000" w:sz="4" w:space="0"/>
            </w:tcBorders>
            <w:vAlign w:val="center"/>
          </w:tcPr>
          <w:p>
            <w:pPr>
              <w:jc w:val="left"/>
            </w:pPr>
            <w:r>
              <w:rPr>
                <w:rFonts w:ascii="Times New Roman" w:hAnsi="Times New Roman" w:eastAsia="仿宋_GB2312" w:cs="Times New Roman"/>
                <w:sz w:val="24"/>
                <w:szCs w:val="24"/>
              </w:rPr>
              <w:t xml:space="preserve">  公务用车运行维护费</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r>
              <w:rPr>
                <w:rFonts w:ascii="Times New Roman" w:hAnsi="Times New Roman" w:eastAsia="仿宋_GB2312" w:cs="Times New Roman"/>
                <w:sz w:val="24"/>
                <w:szCs w:val="24"/>
              </w:rPr>
              <w:t>5.04</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r>
              <w:rPr>
                <w:rFonts w:ascii="Times New Roman" w:hAnsi="Times New Roman" w:eastAsia="仿宋_GB2312" w:cs="Times New Roman"/>
                <w:sz w:val="24"/>
                <w:szCs w:val="24"/>
              </w:rPr>
              <w:t>5.04</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16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4"/>
                <w:szCs w:val="24"/>
              </w:rPr>
              <w:t>总  计</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r>
              <w:rPr>
                <w:rFonts w:ascii="Times New Roman" w:hAnsi="Times New Roman" w:eastAsia="仿宋_GB2312" w:cs="Times New Roman"/>
                <w:b/>
                <w:sz w:val="24"/>
                <w:szCs w:val="24"/>
              </w:rPr>
              <w:t>9.54</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r>
              <w:rPr>
                <w:rFonts w:ascii="Times New Roman" w:hAnsi="Times New Roman" w:eastAsia="仿宋_GB2312" w:cs="Times New Roman"/>
                <w:b/>
                <w:sz w:val="24"/>
                <w:szCs w:val="24"/>
              </w:rPr>
              <w:t>9.54</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r>
    </w:tbl>
    <w:p>
      <w:r>
        <w:br w:type="page"/>
      </w:r>
    </w:p>
    <w:p>
      <w:pPr>
        <w:keepNext w:val="0"/>
        <w:keepLines w:val="0"/>
        <w:widowControl/>
        <w:suppressLineNumbers w:val="0"/>
        <w:jc w:val="left"/>
        <w:textAlignment w:val="bottom"/>
        <w:rPr>
          <w:rFonts w:hint="default" w:ascii="Times New Roman" w:hAnsi="Times New Roman" w:eastAsia="仿宋" w:cs="Times New Roman"/>
          <w:bCs/>
          <w:color w:val="auto"/>
          <w:kern w:val="0"/>
          <w:sz w:val="28"/>
          <w:szCs w:val="28"/>
          <w:highlight w:val="none"/>
        </w:rPr>
      </w:pPr>
      <w:r>
        <w:rPr>
          <w:rFonts w:hint="default" w:ascii="Times New Roman" w:hAnsi="Times New Roman" w:eastAsia="宋体" w:cs="Times New Roman"/>
          <w:i w:val="0"/>
          <w:color w:val="auto"/>
          <w:kern w:val="0"/>
          <w:sz w:val="20"/>
          <w:szCs w:val="20"/>
          <w:highlight w:val="none"/>
          <w:u w:val="none"/>
          <w:lang w:val="en-US" w:eastAsia="zh-CN" w:bidi="ar"/>
        </w:rPr>
        <w:t>表</w:t>
      </w:r>
      <w:r>
        <w:rPr>
          <w:rFonts w:hint="default" w:ascii="Times New Roman" w:hAnsi="Times New Roman" w:eastAsia="宋体" w:cs="Times New Roman"/>
          <w:i w:val="0"/>
          <w:color w:val="auto"/>
          <w:kern w:val="0"/>
          <w:sz w:val="20"/>
          <w:szCs w:val="20"/>
          <w:highlight w:val="none"/>
          <w:u w:val="none"/>
          <w:lang w:eastAsia="zh-CN" w:bidi="ar"/>
        </w:rPr>
        <w:t>1</w:t>
      </w:r>
      <w:r>
        <w:rPr>
          <w:rFonts w:hint="default" w:ascii="Times New Roman" w:hAnsi="Times New Roman" w:cs="Times New Roman"/>
          <w:i w:val="0"/>
          <w:color w:val="auto"/>
          <w:kern w:val="0"/>
          <w:sz w:val="20"/>
          <w:szCs w:val="20"/>
          <w:highlight w:val="none"/>
          <w:u w:val="none"/>
          <w:lang w:val="en-US" w:eastAsia="zh-CN" w:bidi="ar"/>
        </w:rPr>
        <w:t>1</w:t>
      </w:r>
    </w:p>
    <w:p>
      <w:pPr>
        <w:spacing w:line="600" w:lineRule="exact"/>
        <w:jc w:val="center"/>
        <w:rPr>
          <w:rFonts w:hint="default" w:ascii="Times New Roman" w:hAnsi="Times New Roman" w:eastAsia="仿宋_GB2312" w:cs="Times New Roman"/>
          <w:b/>
          <w:color w:val="auto"/>
          <w:kern w:val="0"/>
          <w:sz w:val="32"/>
          <w:szCs w:val="32"/>
          <w:highlight w:val="none"/>
          <w:lang w:val="en-US" w:eastAsia="zh-Hans"/>
        </w:rPr>
      </w:pPr>
      <w:r>
        <w:rPr>
          <w:rFonts w:hint="default" w:ascii="Times New Roman" w:hAnsi="Times New Roman" w:eastAsia="仿宋_GB2312" w:cs="Times New Roman"/>
          <w:b/>
          <w:color w:val="auto"/>
          <w:kern w:val="0"/>
          <w:sz w:val="32"/>
          <w:szCs w:val="32"/>
          <w:highlight w:val="none"/>
          <w:lang w:val="en-US" w:eastAsia="zh-Hans"/>
        </w:rPr>
        <w:t>财政拨款委托业务费支出情况表</w:t>
      </w:r>
    </w:p>
    <w:p>
      <w:pPr>
        <w:tabs>
          <w:tab w:val="right" w:leader="middleDot" w:pos="8500"/>
        </w:tabs>
        <w:spacing w:after="60"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编制部门（单位）：阜康市发展和改革委员会</w:t>
      </w:r>
      <w:r>
        <w:tab/>
      </w:r>
      <w:r>
        <w:rPr>
          <w:rFonts w:ascii="Times New Roman" w:hAnsi="Times New Roman" w:eastAsia="仿宋_GB2312" w:cs="Times New Roman"/>
          <w:sz w:val="24"/>
          <w:szCs w:val="24"/>
        </w:rPr>
        <w:t>单位：万元</w:t>
      </w:r>
    </w:p>
    <w:tbl>
      <w:tblPr>
        <w:tblStyle w:val="7"/>
        <w:tblW w:w="39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0"/>
        <w:gridCol w:w="600"/>
        <w:gridCol w:w="600"/>
        <w:gridCol w:w="600"/>
        <w:gridCol w:w="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tblHeader/>
        </w:trPr>
        <w:tc>
          <w:tcPr>
            <w:tcW w:w="15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项目名称</w:t>
            </w: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合计</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资金来源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tblHeader/>
        </w:trPr>
        <w:tc>
          <w:tcPr>
            <w:tcW w:w="15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一般公共预算</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政府性基金</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国有资本经营预算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15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15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18"/>
                <w:szCs w:val="18"/>
              </w:rPr>
              <w:t>总  计</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pPr>
          </w:p>
        </w:tc>
      </w:tr>
    </w:tbl>
    <w:p>
      <w:r>
        <w:rPr>
          <w:rFonts w:ascii="仿宋_GB2312" w:hAnsi="仿宋_GB2312" w:eastAsia="仿宋_GB2312"/>
          <w:sz w:val="28"/>
          <w:szCs w:val="28"/>
        </w:rPr>
        <w:t>备注：阜康市发展和改革委员会单位2026年无财政拨款委托业务费预算安排，财政拨款委托业务费支出情况表为空表。</w:t>
      </w:r>
    </w:p>
    <w:p>
      <w:r>
        <w:br w:type="page"/>
      </w:r>
    </w:p>
    <w:p>
      <w:pPr>
        <w:widowControl/>
        <w:outlineLvl w:val="1"/>
        <w:rPr>
          <w:rFonts w:hint="default" w:ascii="Times New Roman" w:hAnsi="Times New Roman" w:eastAsia="仿宋_GB2312" w:cs="Times New Roman"/>
          <w:color w:val="auto"/>
          <w:kern w:val="0"/>
          <w:sz w:val="32"/>
          <w:szCs w:val="32"/>
          <w:highlight w:val="none"/>
        </w:rPr>
      </w:pPr>
      <w:r>
        <w:rPr>
          <w:rFonts w:hint="default" w:ascii="Times New Roman" w:hAnsi="Times New Roman" w:eastAsia="宋体" w:cs="Times New Roman"/>
          <w:i w:val="0"/>
          <w:color w:val="auto"/>
          <w:kern w:val="0"/>
          <w:sz w:val="20"/>
          <w:szCs w:val="20"/>
          <w:highlight w:val="none"/>
          <w:u w:val="none"/>
          <w:lang w:val="en-US" w:eastAsia="zh-CN" w:bidi="ar"/>
        </w:rPr>
        <w:t>表</w:t>
      </w:r>
      <w:r>
        <w:rPr>
          <w:rFonts w:hint="default" w:ascii="Times New Roman" w:hAnsi="Times New Roman" w:eastAsia="宋体" w:cs="Times New Roman"/>
          <w:i w:val="0"/>
          <w:color w:val="auto"/>
          <w:kern w:val="0"/>
          <w:sz w:val="20"/>
          <w:szCs w:val="20"/>
          <w:highlight w:val="none"/>
          <w:u w:val="none"/>
          <w:lang w:eastAsia="zh-CN" w:bidi="ar"/>
        </w:rPr>
        <w:t>1</w:t>
      </w:r>
      <w:r>
        <w:rPr>
          <w:rFonts w:hint="default" w:ascii="Times New Roman" w:hAnsi="Times New Roman" w:cs="Times New Roman"/>
          <w:i w:val="0"/>
          <w:color w:val="auto"/>
          <w:kern w:val="0"/>
          <w:sz w:val="20"/>
          <w:szCs w:val="20"/>
          <w:highlight w:val="none"/>
          <w:u w:val="none"/>
          <w:lang w:val="en-US" w:eastAsia="zh-CN" w:bidi="ar"/>
        </w:rPr>
        <w:t>2</w:t>
      </w:r>
    </w:p>
    <w:p>
      <w:pPr>
        <w:spacing w:line="600" w:lineRule="exact"/>
        <w:ind w:firstLine="2891" w:firstLineChars="900"/>
        <w:jc w:val="both"/>
        <w:rPr>
          <w:rFonts w:hint="default" w:ascii="Times New Roman" w:hAnsi="Times New Roman" w:eastAsia="仿宋_GB2312" w:cs="Times New Roman"/>
          <w:b/>
          <w:color w:val="auto"/>
          <w:kern w:val="0"/>
          <w:sz w:val="32"/>
          <w:szCs w:val="32"/>
          <w:highlight w:val="none"/>
          <w:lang w:val="en-US" w:eastAsia="zh-Hans"/>
        </w:rPr>
      </w:pPr>
      <w:r>
        <w:rPr>
          <w:rFonts w:hint="default" w:ascii="Times New Roman" w:hAnsi="Times New Roman" w:eastAsia="仿宋_GB2312" w:cs="Times New Roman"/>
          <w:b/>
          <w:color w:val="auto"/>
          <w:kern w:val="0"/>
          <w:sz w:val="32"/>
          <w:szCs w:val="32"/>
          <w:highlight w:val="none"/>
          <w:lang w:val="en-US" w:eastAsia="zh-Hans"/>
        </w:rPr>
        <w:t>上年结转</w:t>
      </w:r>
      <w:r>
        <w:rPr>
          <w:rFonts w:hint="default" w:ascii="Times New Roman" w:hAnsi="Times New Roman" w:eastAsia="仿宋_GB2312" w:cs="Times New Roman"/>
          <w:b/>
          <w:color w:val="auto"/>
          <w:kern w:val="0"/>
          <w:sz w:val="32"/>
          <w:szCs w:val="32"/>
          <w:highlight w:val="none"/>
          <w:lang w:val="en-US" w:eastAsia="zh-CN"/>
        </w:rPr>
        <w:t>结余</w:t>
      </w:r>
      <w:r>
        <w:rPr>
          <w:rFonts w:hint="default" w:ascii="Times New Roman" w:hAnsi="Times New Roman" w:eastAsia="仿宋_GB2312" w:cs="Times New Roman"/>
          <w:b/>
          <w:color w:val="auto"/>
          <w:kern w:val="0"/>
          <w:sz w:val="32"/>
          <w:szCs w:val="32"/>
          <w:highlight w:val="none"/>
          <w:lang w:val="en-US" w:eastAsia="zh-Hans"/>
        </w:rPr>
        <w:t>情况表</w:t>
      </w:r>
    </w:p>
    <w:p>
      <w:pPr>
        <w:tabs>
          <w:tab w:val="right" w:leader="middleDot" w:pos="8500"/>
        </w:tabs>
        <w:spacing w:after="60"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编制部门（单位）：阜康市发展和改革委员会</w:t>
      </w:r>
      <w:r>
        <w:tab/>
      </w:r>
      <w:r>
        <w:rPr>
          <w:rFonts w:ascii="Times New Roman" w:hAnsi="Times New Roman" w:eastAsia="仿宋_GB2312" w:cs="Times New Roman"/>
          <w:sz w:val="24"/>
          <w:szCs w:val="24"/>
        </w:rPr>
        <w:t>单位：万元</w:t>
      </w:r>
    </w:p>
    <w:tbl>
      <w:tblPr>
        <w:tblStyle w:val="7"/>
        <w:tblW w:w="53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0"/>
        <w:gridCol w:w="500"/>
        <w:gridCol w:w="500"/>
        <w:gridCol w:w="400"/>
        <w:gridCol w:w="400"/>
        <w:gridCol w:w="500"/>
        <w:gridCol w:w="500"/>
        <w:gridCol w:w="400"/>
        <w:gridCol w:w="400"/>
        <w:gridCol w:w="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tblHeader/>
        </w:trPr>
        <w:tc>
          <w:tcPr>
            <w:tcW w:w="12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项目</w:t>
            </w:r>
          </w:p>
        </w:tc>
        <w:tc>
          <w:tcPr>
            <w:tcW w:w="5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合计</w:t>
            </w:r>
          </w:p>
        </w:tc>
        <w:tc>
          <w:tcPr>
            <w:tcW w:w="1800" w:type="dxa"/>
            <w:gridSpan w:val="4"/>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财政拨款</w:t>
            </w:r>
          </w:p>
        </w:tc>
        <w:tc>
          <w:tcPr>
            <w:tcW w:w="1800" w:type="dxa"/>
            <w:gridSpan w:val="4"/>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非财政拨款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tblHeader/>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5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小计</w:t>
            </w:r>
          </w:p>
        </w:tc>
        <w:tc>
          <w:tcPr>
            <w:tcW w:w="800"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基本支出</w:t>
            </w:r>
          </w:p>
        </w:tc>
        <w:tc>
          <w:tcPr>
            <w:tcW w:w="5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项目支出</w:t>
            </w:r>
          </w:p>
        </w:tc>
        <w:tc>
          <w:tcPr>
            <w:tcW w:w="5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小计</w:t>
            </w:r>
          </w:p>
        </w:tc>
        <w:tc>
          <w:tcPr>
            <w:tcW w:w="800"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基本支出</w:t>
            </w:r>
          </w:p>
        </w:tc>
        <w:tc>
          <w:tcPr>
            <w:tcW w:w="50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tblHeader/>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人员经费</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公用经费</w:t>
            </w: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人员经费</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20"/>
                <w:szCs w:val="20"/>
              </w:rPr>
              <w:t>公用经费</w:t>
            </w: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12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12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1200" w:type="dxa"/>
            <w:tcBorders>
              <w:top w:val="single" w:color="000000" w:sz="4" w:space="0"/>
              <w:left w:val="single" w:color="000000" w:sz="4" w:space="0"/>
              <w:bottom w:val="single" w:color="000000" w:sz="4" w:space="0"/>
              <w:right w:val="single" w:color="000000" w:sz="4" w:space="0"/>
            </w:tcBorders>
            <w:vAlign w:val="center"/>
          </w:tcPr>
          <w:p>
            <w:pPr>
              <w:jc w:val="left"/>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120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b/>
                <w:sz w:val="18"/>
                <w:szCs w:val="18"/>
              </w:rPr>
              <w:t>总  计</w:t>
            </w:r>
          </w:p>
        </w:tc>
        <w:tc>
          <w:tcPr>
            <w:tcW w:w="5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400" w:type="dxa"/>
            <w:tcBorders>
              <w:top w:val="single" w:color="000000" w:sz="4" w:space="0"/>
              <w:left w:val="single" w:color="000000" w:sz="4" w:space="0"/>
              <w:bottom w:val="single" w:color="000000" w:sz="4" w:space="0"/>
              <w:right w:val="single" w:color="000000" w:sz="4" w:space="0"/>
            </w:tcBorders>
            <w:vAlign w:val="center"/>
          </w:tcPr>
          <w:p>
            <w:pPr>
              <w:jc w:val="right"/>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right"/>
            </w:pPr>
          </w:p>
        </w:tc>
      </w:tr>
    </w:tbl>
    <w:p>
      <w:r>
        <w:rPr>
          <w:rFonts w:ascii="仿宋_GB2312" w:hAnsi="仿宋_GB2312" w:eastAsia="仿宋_GB2312"/>
          <w:sz w:val="28"/>
          <w:szCs w:val="28"/>
        </w:rPr>
        <w:t>备注：阜康市发展和改革委员会单位2026年无上年结转结余预算安排的支出，上年结转结余情况表为空表。</w:t>
      </w:r>
    </w:p>
    <w:p>
      <w: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SimHei" w:cs="Times New Roman"/>
          <w:color w:val="auto"/>
          <w:kern w:val="0"/>
          <w:sz w:val="32"/>
          <w:szCs w:val="32"/>
          <w:highlight w:val="none"/>
        </w:rPr>
      </w:pPr>
      <w:r>
        <w:rPr>
          <w:rFonts w:hint="default" w:ascii="Times New Roman" w:hAnsi="Times New Roman" w:eastAsia="SimHei" w:cs="Times New Roman"/>
          <w:color w:val="auto"/>
          <w:kern w:val="0"/>
          <w:sz w:val="32"/>
          <w:szCs w:val="32"/>
          <w:highlight w:val="none"/>
        </w:rPr>
        <w:t>第三部分  2026年单位预算情况说明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SimHei" w:cs="Times New Roman"/>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bCs w:val="0"/>
          <w:color w:val="auto"/>
          <w:kern w:val="0"/>
          <w:sz w:val="32"/>
          <w:szCs w:val="32"/>
          <w:highlight w:val="none"/>
        </w:rPr>
      </w:pPr>
      <w:r>
        <w:rPr>
          <w:rFonts w:hint="default" w:ascii="Times New Roman" w:hAnsi="Times New Roman" w:eastAsia="楷体_GB2312" w:cs="Times New Roman"/>
          <w:b/>
          <w:bCs w:val="0"/>
          <w:color w:val="auto"/>
          <w:kern w:val="0"/>
          <w:sz w:val="32"/>
          <w:szCs w:val="32"/>
          <w:highlight w:val="none"/>
        </w:rPr>
        <w:t>一、关于阜康市发展和改革委员会</w:t>
      </w:r>
      <w:r>
        <w:rPr>
          <w:rFonts w:hint="eastAsia" w:eastAsia="楷体_GB2312" w:cs="Times New Roman"/>
          <w:b/>
          <w:bCs w:val="0"/>
          <w:color w:val="auto"/>
          <w:kern w:val="0"/>
          <w:sz w:val="32"/>
          <w:szCs w:val="32"/>
          <w:highlight w:val="none"/>
          <w:lang w:val="en-US" w:eastAsia="zh-CN"/>
        </w:rPr>
        <w:t>单位</w:t>
      </w:r>
      <w:r>
        <w:rPr>
          <w:rFonts w:hint="default" w:ascii="Times New Roman" w:hAnsi="Times New Roman" w:eastAsia="楷体_GB2312" w:cs="Times New Roman"/>
          <w:b/>
          <w:bCs w:val="0"/>
          <w:color w:val="auto"/>
          <w:kern w:val="0"/>
          <w:sz w:val="32"/>
          <w:szCs w:val="32"/>
          <w:highlight w:val="none"/>
        </w:rPr>
        <w:t>2026年收支预算情况的总体说明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0"/>
          <w:sz w:val="32"/>
          <w:szCs w:val="32"/>
          <w:highlight w:val="none"/>
        </w:rPr>
      </w:pPr>
      <w:r>
        <w:rPr>
          <w:rFonts w:hint="default" w:ascii="Times New Roman" w:hAnsi="Times New Roman" w:eastAsia="仿宋_GB2312" w:cs="Times New Roman"/>
          <w:b w:val="0"/>
          <w:bCs/>
          <w:color w:val="auto"/>
          <w:kern w:val="0"/>
          <w:sz w:val="32"/>
          <w:szCs w:val="32"/>
          <w:highlight w:val="none"/>
        </w:rPr>
        <w:t>按照全口径预算的原则，阜康市发展和改革委员会单位2026年所有收入和支出均纳入单位预算管理。收支总预算4,791.99万元。</w:t>
      </w:r>
      <w:r>
        <w:br w:type="textWrapping"/>
      </w:r>
      <w:r>
        <w:rPr>
          <w:rFonts w:hint="default" w:ascii="Times New Roman" w:hAnsi="Times New Roman" w:eastAsia="仿宋_GB2312" w:cs="Times New Roman"/>
          <w:b w:val="0"/>
          <w:bCs/>
          <w:color w:val="auto"/>
          <w:kern w:val="0"/>
          <w:sz w:val="32"/>
          <w:szCs w:val="32"/>
          <w:highlight w:val="none"/>
        </w:rPr>
        <w:t>　　收入预算包括：一般公共预算。</w:t>
      </w:r>
      <w:r>
        <w:br w:type="textWrapping"/>
      </w:r>
      <w:r>
        <w:rPr>
          <w:rFonts w:hint="default" w:ascii="Times New Roman" w:hAnsi="Times New Roman" w:eastAsia="仿宋_GB2312" w:cs="Times New Roman"/>
          <w:b w:val="0"/>
          <w:bCs/>
          <w:color w:val="auto"/>
          <w:kern w:val="0"/>
          <w:sz w:val="32"/>
          <w:szCs w:val="32"/>
          <w:highlight w:val="none"/>
        </w:rPr>
        <w:t>　　支出预算包括：一般公共服务支出、社会保障和就业支出、卫生健康支出、节能环保支出、住房保障支出。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二、关于阜康市发展和改革委员会</w:t>
      </w:r>
      <w:r>
        <w:rPr>
          <w:rFonts w:hint="eastAsia" w:eastAsia="楷体_GB2312" w:cs="Times New Roman"/>
          <w:b/>
          <w:bCs w:val="0"/>
          <w:color w:val="auto"/>
          <w:kern w:val="0"/>
          <w:sz w:val="32"/>
          <w:szCs w:val="32"/>
          <w:highlight w:val="none"/>
          <w:lang w:val="en-US" w:eastAsia="zh-CN"/>
        </w:rPr>
        <w:t>单位</w:t>
      </w:r>
      <w:r>
        <w:rPr>
          <w:rFonts w:hint="default" w:ascii="Times New Roman" w:hAnsi="Times New Roman" w:eastAsia="楷体_GB2312" w:cs="Times New Roman"/>
          <w:b/>
          <w:bCs/>
          <w:color w:val="auto"/>
          <w:kern w:val="0"/>
          <w:sz w:val="32"/>
          <w:szCs w:val="32"/>
          <w:highlight w:val="none"/>
        </w:rPr>
        <w:t>2026年收入预算情况说明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0"/>
          <w:sz w:val="32"/>
          <w:szCs w:val="32"/>
          <w:highlight w:val="none"/>
        </w:rPr>
      </w:pPr>
      <w:r>
        <w:rPr>
          <w:rFonts w:hint="default" w:ascii="Times New Roman" w:hAnsi="Times New Roman" w:eastAsia="仿宋_GB2312" w:cs="Times New Roman"/>
          <w:b w:val="0"/>
          <w:bCs/>
          <w:color w:val="auto"/>
          <w:kern w:val="0"/>
          <w:sz w:val="32"/>
          <w:szCs w:val="32"/>
          <w:highlight w:val="none"/>
        </w:rPr>
        <w:t>阜康市发展和改革委员会单位收入预算4,791.99万元，其中：</w:t>
      </w:r>
      <w:r>
        <w:br w:type="textWrapping"/>
      </w:r>
      <w:r>
        <w:rPr>
          <w:rFonts w:hint="default" w:ascii="Times New Roman" w:hAnsi="Times New Roman" w:eastAsia="仿宋_GB2312" w:cs="Times New Roman"/>
          <w:b w:val="0"/>
          <w:bCs/>
          <w:color w:val="auto"/>
          <w:kern w:val="0"/>
          <w:sz w:val="32"/>
          <w:szCs w:val="32"/>
          <w:highlight w:val="none"/>
        </w:rPr>
        <w:t>　　一般公共预算712.99万元，占14.88%，比上年预算增加215.05万元，增长43.19%，主要原因是2026年将下属的二级单位阜康市军粮供应站合并至阜康市发改委，人员增加造成收入预算增加了。</w:t>
      </w:r>
      <w:r>
        <w:br w:type="textWrapping"/>
      </w:r>
      <w:r>
        <w:rPr>
          <w:rFonts w:hint="default" w:ascii="Times New Roman" w:hAnsi="Times New Roman" w:eastAsia="仿宋_GB2312" w:cs="Times New Roman"/>
          <w:b w:val="0"/>
          <w:bCs/>
          <w:color w:val="auto"/>
          <w:kern w:val="0"/>
          <w:sz w:val="32"/>
          <w:szCs w:val="32"/>
          <w:highlight w:val="none"/>
        </w:rPr>
        <w:t>　　上级一般公共预算安排的转移支付资金4,079.00万元，占85.12%，比上年预算增加4,079.00万元，增长100.00%，主要原因是2026年增加了清洁能源专项资金4079万元，造成上级一般公共预算安排的转移支付资金预算增加了。</w:t>
      </w:r>
      <w:r>
        <w:br w:type="textWrapping"/>
      </w:r>
      <w:r>
        <w:rPr>
          <w:rFonts w:hint="default" w:ascii="Times New Roman" w:hAnsi="Times New Roman" w:eastAsia="仿宋_GB2312" w:cs="Times New Roman"/>
          <w:b w:val="0"/>
          <w:bCs/>
          <w:color w:val="auto"/>
          <w:kern w:val="0"/>
          <w:sz w:val="32"/>
          <w:szCs w:val="32"/>
          <w:highlight w:val="none"/>
        </w:rPr>
        <w:t>　　政府性基金预算未安排。</w:t>
      </w:r>
      <w:r>
        <w:br w:type="textWrapping"/>
      </w:r>
      <w:r>
        <w:rPr>
          <w:rFonts w:hint="default" w:ascii="Times New Roman" w:hAnsi="Times New Roman" w:eastAsia="仿宋_GB2312" w:cs="Times New Roman"/>
          <w:b w:val="0"/>
          <w:bCs/>
          <w:color w:val="auto"/>
          <w:kern w:val="0"/>
          <w:sz w:val="32"/>
          <w:szCs w:val="32"/>
          <w:highlight w:val="none"/>
        </w:rPr>
        <w:t>　　上级政府性基金安排的转移支付资金未安排。</w:t>
      </w:r>
      <w:r>
        <w:br w:type="textWrapping"/>
      </w:r>
      <w:r>
        <w:rPr>
          <w:rFonts w:hint="default" w:ascii="Times New Roman" w:hAnsi="Times New Roman" w:eastAsia="仿宋_GB2312" w:cs="Times New Roman"/>
          <w:b w:val="0"/>
          <w:bCs/>
          <w:color w:val="auto"/>
          <w:kern w:val="0"/>
          <w:sz w:val="32"/>
          <w:szCs w:val="32"/>
          <w:highlight w:val="none"/>
        </w:rPr>
        <w:t>　　国有资本经营预算未安排。</w:t>
      </w:r>
      <w:r>
        <w:br w:type="textWrapping"/>
      </w:r>
      <w:r>
        <w:rPr>
          <w:rFonts w:hint="default" w:ascii="Times New Roman" w:hAnsi="Times New Roman" w:eastAsia="仿宋_GB2312" w:cs="Times New Roman"/>
          <w:b w:val="0"/>
          <w:bCs/>
          <w:color w:val="auto"/>
          <w:kern w:val="0"/>
          <w:sz w:val="32"/>
          <w:szCs w:val="32"/>
          <w:highlight w:val="none"/>
        </w:rPr>
        <w:t>　　上级国有资本经营预算安排的转移支付资金未安排。</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三、关于阜康市发展和改革委员会</w:t>
      </w:r>
      <w:r>
        <w:rPr>
          <w:rFonts w:hint="eastAsia" w:eastAsia="楷体_GB2312" w:cs="Times New Roman"/>
          <w:b/>
          <w:bCs w:val="0"/>
          <w:color w:val="auto"/>
          <w:kern w:val="0"/>
          <w:sz w:val="32"/>
          <w:szCs w:val="32"/>
          <w:highlight w:val="none"/>
          <w:lang w:val="en-US" w:eastAsia="zh-CN"/>
        </w:rPr>
        <w:t>单位</w:t>
      </w:r>
      <w:r>
        <w:rPr>
          <w:rFonts w:hint="default" w:ascii="Times New Roman" w:hAnsi="Times New Roman" w:eastAsia="楷体_GB2312" w:cs="Times New Roman"/>
          <w:b/>
          <w:bCs/>
          <w:color w:val="auto"/>
          <w:kern w:val="0"/>
          <w:sz w:val="32"/>
          <w:szCs w:val="32"/>
          <w:highlight w:val="none"/>
        </w:rPr>
        <w:t>2026年支出预算情况说明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0"/>
          <w:sz w:val="32"/>
          <w:szCs w:val="32"/>
          <w:highlight w:val="none"/>
        </w:rPr>
      </w:pPr>
      <w:r>
        <w:rPr>
          <w:rFonts w:hint="default" w:ascii="Times New Roman" w:hAnsi="Times New Roman" w:eastAsia="仿宋_GB2312" w:cs="Times New Roman"/>
          <w:b w:val="0"/>
          <w:bCs/>
          <w:color w:val="auto"/>
          <w:kern w:val="0"/>
          <w:sz w:val="32"/>
          <w:szCs w:val="32"/>
          <w:highlight w:val="none"/>
        </w:rPr>
        <w:t>阜康市发展和改革委员会单位2026年支出预算4,791.99万元，其中：</w:t>
      </w:r>
      <w:r>
        <w:br w:type="textWrapping"/>
      </w:r>
      <w:r>
        <w:rPr>
          <w:rFonts w:hint="default" w:ascii="Times New Roman" w:hAnsi="Times New Roman" w:eastAsia="仿宋_GB2312" w:cs="Times New Roman"/>
          <w:b w:val="0"/>
          <w:bCs/>
          <w:color w:val="auto"/>
          <w:kern w:val="0"/>
          <w:sz w:val="32"/>
          <w:szCs w:val="32"/>
          <w:highlight w:val="none"/>
        </w:rPr>
        <w:t>　　基本支出712.69万元，占14.87%，比上年预算增加214.75万元，增长43.13%，主要原因是2026年将下属的二级单位阜康市军粮供应站合并至阜康市发改委，人员增加造成基本支出预算增加了。</w:t>
      </w:r>
      <w:r>
        <w:br w:type="textWrapping"/>
      </w:r>
      <w:r>
        <w:rPr>
          <w:rFonts w:hint="default" w:ascii="Times New Roman" w:hAnsi="Times New Roman" w:eastAsia="仿宋_GB2312" w:cs="Times New Roman"/>
          <w:b w:val="0"/>
          <w:bCs/>
          <w:color w:val="auto"/>
          <w:kern w:val="0"/>
          <w:sz w:val="32"/>
          <w:szCs w:val="32"/>
          <w:highlight w:val="none"/>
        </w:rPr>
        <w:t>　　项目支出4,079.30万元，占85.13%，比上年预算增加4,079.30万元，增长100.00%，主要原因是2026年增加了清洁能源专项资金和购置多功能一体机的资金，造成项目支出预算增加了。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四、关于阜康市发展和改革委员会</w:t>
      </w:r>
      <w:r>
        <w:rPr>
          <w:rFonts w:hint="eastAsia" w:eastAsia="楷体_GB2312" w:cs="Times New Roman"/>
          <w:b/>
          <w:bCs w:val="0"/>
          <w:color w:val="auto"/>
          <w:kern w:val="0"/>
          <w:sz w:val="32"/>
          <w:szCs w:val="32"/>
          <w:highlight w:val="none"/>
          <w:lang w:val="en-US" w:eastAsia="zh-CN"/>
        </w:rPr>
        <w:t>单位</w:t>
      </w:r>
      <w:r>
        <w:rPr>
          <w:rFonts w:hint="default" w:ascii="Times New Roman" w:hAnsi="Times New Roman" w:eastAsia="楷体_GB2312" w:cs="Times New Roman"/>
          <w:b/>
          <w:bCs/>
          <w:color w:val="auto"/>
          <w:kern w:val="0"/>
          <w:sz w:val="32"/>
          <w:szCs w:val="32"/>
          <w:highlight w:val="none"/>
        </w:rPr>
        <w:t>2026年财政拨款收支预算情况的总体说明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eastAsia="zh-Hans"/>
        </w:rPr>
      </w:pPr>
      <w:r>
        <w:rPr>
          <w:rFonts w:hint="default" w:ascii="Times New Roman" w:hAnsi="Times New Roman" w:eastAsia="仿宋_GB2312" w:cs="Times New Roman"/>
          <w:color w:val="auto"/>
          <w:kern w:val="0"/>
          <w:sz w:val="32"/>
          <w:szCs w:val="32"/>
          <w:highlight w:val="none"/>
          <w:lang w:eastAsia="zh-Hans"/>
        </w:rPr>
        <w:t>2026年财政拨款收支总预算4,791.99万元。</w:t>
      </w:r>
      <w:r>
        <w:br w:type="textWrapping"/>
      </w:r>
      <w:r>
        <w:rPr>
          <w:rFonts w:hint="default" w:ascii="Times New Roman" w:hAnsi="Times New Roman" w:eastAsia="仿宋_GB2312" w:cs="Times New Roman"/>
          <w:color w:val="auto"/>
          <w:kern w:val="0"/>
          <w:sz w:val="32"/>
          <w:szCs w:val="32"/>
          <w:highlight w:val="none"/>
          <w:lang w:eastAsia="zh-Hans"/>
        </w:rPr>
        <w:t>　　收入全部为一般公共预算拨款，无政府性基金预算拨款和国有资本经营预算。</w:t>
      </w:r>
      <w:r>
        <w:br w:type="textWrapping"/>
      </w:r>
      <w:r>
        <w:rPr>
          <w:rFonts w:hint="default" w:ascii="Times New Roman" w:hAnsi="Times New Roman" w:eastAsia="仿宋_GB2312" w:cs="Times New Roman"/>
          <w:color w:val="auto"/>
          <w:kern w:val="0"/>
          <w:sz w:val="32"/>
          <w:szCs w:val="32"/>
          <w:highlight w:val="none"/>
          <w:lang w:eastAsia="zh-Hans"/>
        </w:rPr>
        <w:t>　　收入预算包括：一般公共预算拨款4,791.99万元。</w:t>
      </w:r>
      <w:r>
        <w:br w:type="textWrapping"/>
      </w:r>
      <w:r>
        <w:rPr>
          <w:rFonts w:hint="default" w:ascii="Times New Roman" w:hAnsi="Times New Roman" w:eastAsia="仿宋_GB2312" w:cs="Times New Roman"/>
          <w:color w:val="auto"/>
          <w:kern w:val="0"/>
          <w:sz w:val="32"/>
          <w:szCs w:val="32"/>
          <w:highlight w:val="none"/>
          <w:lang w:eastAsia="zh-Hans"/>
        </w:rPr>
        <w:t>　　一般公共预算支出包括：一般公共服务支出495.22万元，主要用于保障单位正常运行的人员经费、公用经费支出；社会保障和就业支出102.75万元，主要用于单位人员社保缴费支出；卫生健康支出57.79万元，主要用于单位人员医疗保险缴费支出；节能环保支出4,079.00万元，主要用于保障单位正常运行的人员经费、公用经费支出；住房保障支出57.23万元，主要用于单位人员住房公积金缴费支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19" w:firstLineChars="200"/>
        <w:jc w:val="both"/>
        <w:textAlignment w:val="auto"/>
        <w:rPr>
          <w:rFonts w:hint="default" w:ascii="Times New Roman" w:hAnsi="Times New Roman" w:eastAsia="楷体_GB2312" w:cs="Times New Roman"/>
          <w:b/>
          <w:bCs/>
          <w:color w:val="auto"/>
          <w:spacing w:val="-6"/>
          <w:kern w:val="0"/>
          <w:sz w:val="32"/>
          <w:szCs w:val="32"/>
          <w:highlight w:val="none"/>
        </w:rPr>
      </w:pPr>
      <w:r>
        <w:rPr>
          <w:rFonts w:hint="default" w:ascii="Times New Roman" w:hAnsi="Times New Roman" w:eastAsia="楷体_GB2312" w:cs="Times New Roman"/>
          <w:b/>
          <w:bCs/>
          <w:color w:val="auto"/>
          <w:spacing w:val="-6"/>
          <w:kern w:val="0"/>
          <w:sz w:val="32"/>
          <w:szCs w:val="32"/>
          <w:highlight w:val="none"/>
        </w:rPr>
        <w:t>五、关于阜康市发展和改革委员会</w:t>
      </w:r>
      <w:r>
        <w:rPr>
          <w:rFonts w:hint="eastAsia" w:eastAsia="楷体_GB2312" w:cs="Times New Roman"/>
          <w:b/>
          <w:bCs w:val="0"/>
          <w:color w:val="auto"/>
          <w:kern w:val="0"/>
          <w:sz w:val="32"/>
          <w:szCs w:val="32"/>
          <w:highlight w:val="none"/>
          <w:lang w:val="en-US" w:eastAsia="zh-CN"/>
        </w:rPr>
        <w:t>单位</w:t>
      </w:r>
      <w:r>
        <w:rPr>
          <w:rFonts w:hint="default" w:ascii="Times New Roman" w:hAnsi="Times New Roman" w:eastAsia="楷体_GB2312" w:cs="Times New Roman"/>
          <w:b/>
          <w:bCs/>
          <w:color w:val="auto"/>
          <w:spacing w:val="-6"/>
          <w:kern w:val="0"/>
          <w:sz w:val="32"/>
          <w:szCs w:val="32"/>
          <w:highlight w:val="none"/>
        </w:rPr>
        <w:t>2026年一般公共预算当年拨款情况说明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阜康市发展和改革委员会单位2026年一般公共预算拨款合计4,791.99万元，其中：</w:t>
      </w:r>
      <w:r>
        <w:br w:type="textWrapping"/>
      </w:r>
      <w:r>
        <w:rPr>
          <w:rFonts w:hint="default" w:ascii="Times New Roman" w:hAnsi="Times New Roman" w:eastAsia="仿宋_GB2312" w:cs="Times New Roman"/>
          <w:color w:val="auto"/>
          <w:kern w:val="0"/>
          <w:sz w:val="32"/>
          <w:szCs w:val="32"/>
          <w:highlight w:val="none"/>
        </w:rPr>
        <w:t>　　基本支出712.69万元，比上年预算增加214.75万元，增长43.13%。主要原因是：2026年将下属的二级单位阜康市军粮供应站合并至阜康市发改委，人员增加造成一般公共预算增加了。</w:t>
      </w:r>
      <w:r>
        <w:br w:type="textWrapping"/>
      </w:r>
      <w:r>
        <w:rPr>
          <w:rFonts w:hint="default" w:ascii="Times New Roman" w:hAnsi="Times New Roman" w:eastAsia="仿宋_GB2312" w:cs="Times New Roman"/>
          <w:color w:val="auto"/>
          <w:kern w:val="0"/>
          <w:sz w:val="32"/>
          <w:szCs w:val="32"/>
          <w:highlight w:val="none"/>
        </w:rPr>
        <w:t>　　项目支出4,079.30万元，比上年预算增加4,079.30万元，增长100.00%。主要原因是：2026年增加了清洁能源专项资金和购置多功能一体机的资金，造成项目支出预算增加了。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b/>
          <w:color w:val="auto"/>
          <w:kern w:val="0"/>
          <w:sz w:val="32"/>
          <w:szCs w:val="32"/>
          <w:highlight w:val="none"/>
          <w:lang w:val="en-US" w:eastAsia="zh-CN"/>
        </w:rPr>
      </w:pPr>
      <w:r>
        <w:rPr>
          <w:rFonts w:hint="default" w:ascii="Times New Roman" w:hAnsi="Times New Roman" w:eastAsia="仿宋_GB2312" w:cs="Times New Roman"/>
          <w:b/>
          <w:color w:val="auto"/>
          <w:kern w:val="0"/>
          <w:sz w:val="32"/>
          <w:szCs w:val="32"/>
          <w:highlight w:val="none"/>
        </w:rPr>
        <w:t>（二）一般公共预算当年拨款结构情况</w:t>
      </w:r>
      <w:r>
        <w:rPr>
          <w:rFonts w:hint="default" w:ascii="Times New Roman" w:hAnsi="Times New Roman" w:eastAsia="仿宋_GB2312" w:cs="Times New Roman"/>
          <w:b/>
          <w:color w:val="auto"/>
          <w:kern w:val="0"/>
          <w:sz w:val="32"/>
          <w:szCs w:val="32"/>
          <w:highlight w:val="none"/>
          <w:lang w:eastAsia="zh-CN"/>
        </w:rPr>
        <w:t>，</w:t>
      </w:r>
      <w:r>
        <w:rPr>
          <w:rFonts w:hint="default" w:ascii="Times New Roman" w:hAnsi="Times New Roman" w:eastAsia="仿宋_GB2312" w:cs="Times New Roman"/>
          <w:b/>
          <w:color w:val="auto"/>
          <w:kern w:val="0"/>
          <w:sz w:val="32"/>
          <w:szCs w:val="32"/>
          <w:highlight w:val="none"/>
          <w:lang w:val="en-US" w:eastAsia="zh-CN"/>
        </w:rPr>
        <w:t>其中：</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1.一般公共服务支出（类）495.22万元，占10.33%。</w:t>
      </w:r>
      <w:r>
        <w:br w:type="textWrapping"/>
      </w:r>
      <w:r>
        <w:rPr>
          <w:rFonts w:hint="default" w:ascii="Times New Roman" w:hAnsi="Times New Roman" w:eastAsia="仿宋_GB2312" w:cs="Times New Roman"/>
          <w:color w:val="auto"/>
          <w:kern w:val="0"/>
          <w:sz w:val="32"/>
          <w:szCs w:val="32"/>
          <w:highlight w:val="none"/>
        </w:rPr>
        <w:t>　　2.社会保障和就业支出（类）102.75万元，占2.14%。</w:t>
      </w:r>
      <w:r>
        <w:br w:type="textWrapping"/>
      </w:r>
      <w:r>
        <w:rPr>
          <w:rFonts w:hint="default" w:ascii="Times New Roman" w:hAnsi="Times New Roman" w:eastAsia="仿宋_GB2312" w:cs="Times New Roman"/>
          <w:color w:val="auto"/>
          <w:kern w:val="0"/>
          <w:sz w:val="32"/>
          <w:szCs w:val="32"/>
          <w:highlight w:val="none"/>
        </w:rPr>
        <w:t>　　3.卫生健康支出（类）57.79万元，占1.21%。</w:t>
      </w:r>
      <w:r>
        <w:br w:type="textWrapping"/>
      </w:r>
      <w:r>
        <w:rPr>
          <w:rFonts w:hint="default" w:ascii="Times New Roman" w:hAnsi="Times New Roman" w:eastAsia="仿宋_GB2312" w:cs="Times New Roman"/>
          <w:color w:val="auto"/>
          <w:kern w:val="0"/>
          <w:sz w:val="32"/>
          <w:szCs w:val="32"/>
          <w:highlight w:val="none"/>
        </w:rPr>
        <w:t>　　4.节能环保支出（类）4,079.00万元，占85.12%。</w:t>
      </w:r>
      <w:r>
        <w:br w:type="textWrapping"/>
      </w:r>
      <w:r>
        <w:rPr>
          <w:rFonts w:hint="default" w:ascii="Times New Roman" w:hAnsi="Times New Roman" w:eastAsia="仿宋_GB2312" w:cs="Times New Roman"/>
          <w:color w:val="auto"/>
          <w:kern w:val="0"/>
          <w:sz w:val="32"/>
          <w:szCs w:val="32"/>
          <w:highlight w:val="none"/>
        </w:rPr>
        <w:t>　　5.住房保障支出（类）57.23万元，占1.19%。</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eastAsia="zh-CN"/>
        </w:rPr>
        <w:t>1.一般公共服务支出（类）发展与改革事务（款）行政运行（项）：2026年预算数为269.57万元，比上年预算增加75.47万元，增长38.88%，主要原因是：2025年新增公务员5人，造成2026年行政运行预算增加了。</w:t>
      </w:r>
      <w:r>
        <w:br w:type="textWrapping"/>
      </w:r>
      <w:r>
        <w:rPr>
          <w:rFonts w:hint="default" w:ascii="Times New Roman" w:hAnsi="Times New Roman" w:eastAsia="仿宋_GB2312" w:cs="Times New Roman"/>
          <w:color w:val="auto"/>
          <w:kern w:val="0"/>
          <w:sz w:val="32"/>
          <w:szCs w:val="32"/>
          <w:highlight w:val="none"/>
          <w:lang w:eastAsia="zh-CN"/>
        </w:rPr>
        <w:t>　　2.一般公共服务支出（类）发展与改革事务（款）事业运行（项）：2026年预算数为225.35万元，比上年预算增加51.22万元，增长29.41%，主要原因是：2026年将下属的二级单位阜康市军粮供应站合并至阜康市发改委，造成事业运行预算增加了。</w:t>
      </w:r>
      <w:r>
        <w:br w:type="textWrapping"/>
      </w:r>
      <w:r>
        <w:rPr>
          <w:rFonts w:hint="default" w:ascii="Times New Roman" w:hAnsi="Times New Roman" w:eastAsia="仿宋_GB2312" w:cs="Times New Roman"/>
          <w:color w:val="auto"/>
          <w:kern w:val="0"/>
          <w:sz w:val="32"/>
          <w:szCs w:val="32"/>
          <w:highlight w:val="none"/>
          <w:lang w:eastAsia="zh-CN"/>
        </w:rPr>
        <w:t>　　3.一般公共服务支出（类）发展与改革事务（款）其他发展与改革事务支出（项）：2026年预算数为0.30万元，比上年预算增加0.30万元，增长100.00%，主要原因是：2026年增加了购置多功能一体机的资金，造成其他发展与改革事务支出预算增加了。</w:t>
      </w:r>
      <w:r>
        <w:br w:type="textWrapping"/>
      </w:r>
      <w:r>
        <w:rPr>
          <w:rFonts w:hint="default" w:ascii="Times New Roman" w:hAnsi="Times New Roman" w:eastAsia="仿宋_GB2312" w:cs="Times New Roman"/>
          <w:color w:val="auto"/>
          <w:kern w:val="0"/>
          <w:sz w:val="32"/>
          <w:szCs w:val="32"/>
          <w:highlight w:val="none"/>
          <w:lang w:eastAsia="zh-CN"/>
        </w:rPr>
        <w:t>　　4.社会保障和就业支出（类）行政事业单位养老支出（款）机关事业单位基本养老保险缴费支出（项）：2026年预算数为68.50万元，比上年预算增加19.87万元，增长40.86%，主要原因是：2026年将下属的二级单位阜康市军粮供应站合并至阜康市发改委，造成机关事业单位基本养老保险缴费支出预算增加了。</w:t>
      </w:r>
      <w:r>
        <w:br w:type="textWrapping"/>
      </w:r>
      <w:r>
        <w:rPr>
          <w:rFonts w:hint="default" w:ascii="Times New Roman" w:hAnsi="Times New Roman" w:eastAsia="仿宋_GB2312" w:cs="Times New Roman"/>
          <w:color w:val="auto"/>
          <w:kern w:val="0"/>
          <w:sz w:val="32"/>
          <w:szCs w:val="32"/>
          <w:highlight w:val="none"/>
          <w:lang w:eastAsia="zh-CN"/>
        </w:rPr>
        <w:t>　　5.社会保障和就业支出（类）行政事业单位养老支出（款）机关事业单位职业年金缴费支出（项）：2026年预算数为34.25万元，比上年预算增加34.25万元，增长100.00%，主要原因是：2026年将下属的二级单位阜康市军粮供应站合并至阜康市发改委，造成机关事业单位职业年金缴费支出预算增加了。</w:t>
      </w:r>
      <w:r>
        <w:br w:type="textWrapping"/>
      </w:r>
      <w:r>
        <w:rPr>
          <w:rFonts w:hint="default" w:ascii="Times New Roman" w:hAnsi="Times New Roman" w:eastAsia="仿宋_GB2312" w:cs="Times New Roman"/>
          <w:color w:val="auto"/>
          <w:kern w:val="0"/>
          <w:sz w:val="32"/>
          <w:szCs w:val="32"/>
          <w:highlight w:val="none"/>
          <w:lang w:eastAsia="zh-CN"/>
        </w:rPr>
        <w:t>　　6.卫生健康支出（类）行政事业单位医疗（款）行政单位医疗（项）：2026年预算数为19.72万元，比上年预算增加7.04万元，增长55.52%，主要原因是：2026年将下属的二级单位阜康市军粮供应站合并至阜康市发改委，造成机关事业单位职业年金缴费支出预算增加了。</w:t>
      </w:r>
      <w:r>
        <w:br w:type="textWrapping"/>
      </w:r>
      <w:r>
        <w:rPr>
          <w:rFonts w:hint="default" w:ascii="Times New Roman" w:hAnsi="Times New Roman" w:eastAsia="仿宋_GB2312" w:cs="Times New Roman"/>
          <w:color w:val="auto"/>
          <w:kern w:val="0"/>
          <w:sz w:val="32"/>
          <w:szCs w:val="32"/>
          <w:highlight w:val="none"/>
          <w:lang w:eastAsia="zh-CN"/>
        </w:rPr>
        <w:t>　　7.卫生健康支出（类）行政事业单位医疗（款）事业单位医疗（项）：2026年预算数为20.95万元，比上年预算增加4.76万元，增长29.40%，主要原因是：2026年将下属的二级单位阜康市军粮供应站合并至阜康市发改委，造成事业单位医疗预算增加了。</w:t>
      </w:r>
      <w:r>
        <w:br w:type="textWrapping"/>
      </w:r>
      <w:r>
        <w:rPr>
          <w:rFonts w:hint="default" w:ascii="Times New Roman" w:hAnsi="Times New Roman" w:eastAsia="仿宋_GB2312" w:cs="Times New Roman"/>
          <w:color w:val="auto"/>
          <w:kern w:val="0"/>
          <w:sz w:val="32"/>
          <w:szCs w:val="32"/>
          <w:highlight w:val="none"/>
          <w:lang w:eastAsia="zh-CN"/>
        </w:rPr>
        <w:t>　　8.卫生健康支出（类）行政事业单位医疗（款）公务员医疗补助（项）：2026年预算数为17.12万元，比上年预算增加4.96万元，增长40.79%，主要原因是：2026年将下属的二级单位阜康市军粮供应站合并至阜康市发改委，造成公务员医疗补助预算增加了。</w:t>
      </w:r>
      <w:r>
        <w:br w:type="textWrapping"/>
      </w:r>
      <w:r>
        <w:rPr>
          <w:rFonts w:hint="default" w:ascii="Times New Roman" w:hAnsi="Times New Roman" w:eastAsia="仿宋_GB2312" w:cs="Times New Roman"/>
          <w:color w:val="auto"/>
          <w:kern w:val="0"/>
          <w:sz w:val="32"/>
          <w:szCs w:val="32"/>
          <w:highlight w:val="none"/>
          <w:lang w:eastAsia="zh-CN"/>
        </w:rPr>
        <w:t>　　9.节能环保支出（类）清洁能源（款）可再生能源（项）：2026年预算数为4,079.00万元，比上年预算增加4,079.00万元，增长100.00%，主要原因是：2026年增加了清洁能源专项资金4079万元，造成可再生能源项目支出预算增加了。</w:t>
      </w:r>
      <w:r>
        <w:br w:type="textWrapping"/>
      </w:r>
      <w:r>
        <w:rPr>
          <w:rFonts w:hint="default" w:ascii="Times New Roman" w:hAnsi="Times New Roman" w:eastAsia="仿宋_GB2312" w:cs="Times New Roman"/>
          <w:color w:val="auto"/>
          <w:kern w:val="0"/>
          <w:sz w:val="32"/>
          <w:szCs w:val="32"/>
          <w:highlight w:val="none"/>
          <w:lang w:eastAsia="zh-CN"/>
        </w:rPr>
        <w:t>　　10.住房保障支出（类）住房改革支出（款）住房公积金（项）：2026年预算数为57.23万元，比上年预算增加17.18万元，增长42.90%，主要原因是：2026年将下属的二级单位阜康市军粮供应站合并至阜康市发改委，造成住房公积金预算增加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19" w:firstLineChars="200"/>
        <w:jc w:val="both"/>
        <w:textAlignment w:val="auto"/>
        <w:rPr>
          <w:rFonts w:hint="default" w:ascii="Times New Roman" w:hAnsi="Times New Roman" w:eastAsia="楷体_GB2312" w:cs="Times New Roman"/>
          <w:b/>
          <w:bCs/>
          <w:color w:val="auto"/>
          <w:spacing w:val="-6"/>
          <w:kern w:val="0"/>
          <w:sz w:val="32"/>
          <w:szCs w:val="32"/>
          <w:highlight w:val="none"/>
        </w:rPr>
      </w:pPr>
      <w:r>
        <w:rPr>
          <w:rFonts w:hint="default" w:ascii="Times New Roman" w:hAnsi="Times New Roman" w:eastAsia="楷体_GB2312" w:cs="Times New Roman"/>
          <w:b/>
          <w:bCs/>
          <w:color w:val="auto"/>
          <w:spacing w:val="-6"/>
          <w:kern w:val="0"/>
          <w:sz w:val="32"/>
          <w:szCs w:val="32"/>
          <w:highlight w:val="none"/>
        </w:rPr>
        <w:t>六、关于阜康市发展和改革委员会</w:t>
      </w:r>
      <w:r>
        <w:rPr>
          <w:rFonts w:hint="eastAsia" w:eastAsia="楷体_GB2312" w:cs="Times New Roman"/>
          <w:b/>
          <w:bCs w:val="0"/>
          <w:color w:val="auto"/>
          <w:kern w:val="0"/>
          <w:sz w:val="32"/>
          <w:szCs w:val="32"/>
          <w:highlight w:val="none"/>
          <w:lang w:val="en-US" w:eastAsia="zh-CN"/>
        </w:rPr>
        <w:t>单位</w:t>
      </w:r>
      <w:r>
        <w:rPr>
          <w:rFonts w:hint="default" w:ascii="Times New Roman" w:hAnsi="Times New Roman" w:eastAsia="楷体_GB2312" w:cs="Times New Roman"/>
          <w:b/>
          <w:bCs/>
          <w:color w:val="auto"/>
          <w:spacing w:val="-6"/>
          <w:kern w:val="0"/>
          <w:sz w:val="32"/>
          <w:szCs w:val="32"/>
          <w:highlight w:val="none"/>
        </w:rPr>
        <w:t>2026年一般公共预算基本支出情况说明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阜康市发展和改革委员会单位2026年一般公共预算基本支出712.69万元，其中：</w:t>
      </w:r>
      <w:r>
        <w:br w:type="textWrapping"/>
      </w:r>
      <w:r>
        <w:rPr>
          <w:rFonts w:hint="default" w:ascii="Times New Roman" w:hAnsi="Times New Roman" w:eastAsia="仿宋_GB2312" w:cs="Times New Roman"/>
          <w:color w:val="auto"/>
          <w:kern w:val="0"/>
          <w:sz w:val="32"/>
          <w:szCs w:val="32"/>
          <w:highlight w:val="none"/>
        </w:rPr>
        <w:t>　　人员经费674.01万元，主要包括：基本工资、津贴补贴、奖金、绩效工资、机关事业单位基本养老保险缴费、职业年金缴费、职工基本医疗保险缴费、公务员医疗补助缴费、其他社会保障缴费、住房公积金、其他工资福利支出、退休费、生活补助。</w:t>
      </w:r>
      <w:r>
        <w:br w:type="textWrapping"/>
      </w:r>
      <w:r>
        <w:rPr>
          <w:rFonts w:hint="default" w:ascii="Times New Roman" w:hAnsi="Times New Roman" w:eastAsia="仿宋_GB2312" w:cs="Times New Roman"/>
          <w:color w:val="auto"/>
          <w:kern w:val="0"/>
          <w:sz w:val="32"/>
          <w:szCs w:val="32"/>
          <w:highlight w:val="none"/>
        </w:rPr>
        <w:t>　　公用经费38.68万元，主要包括：办公费、水费、电费、邮电费、取暖费、差旅费、公务接待费、工会经费、公务用车运行维护费、其他商品和服务支出。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19" w:firstLineChars="200"/>
        <w:jc w:val="both"/>
        <w:textAlignment w:val="auto"/>
        <w:rPr>
          <w:rFonts w:hint="default" w:ascii="Times New Roman" w:hAnsi="Times New Roman" w:eastAsia="楷体_GB2312" w:cs="Times New Roman"/>
          <w:b/>
          <w:bCs/>
          <w:color w:val="auto"/>
          <w:spacing w:val="-6"/>
          <w:kern w:val="0"/>
          <w:sz w:val="32"/>
          <w:szCs w:val="32"/>
          <w:highlight w:val="none"/>
        </w:rPr>
      </w:pPr>
      <w:r>
        <w:rPr>
          <w:rFonts w:hint="default" w:ascii="Times New Roman" w:hAnsi="Times New Roman" w:eastAsia="楷体_GB2312" w:cs="Times New Roman"/>
          <w:b/>
          <w:bCs/>
          <w:color w:val="auto"/>
          <w:spacing w:val="-6"/>
          <w:kern w:val="0"/>
          <w:sz w:val="32"/>
          <w:szCs w:val="32"/>
          <w:highlight w:val="none"/>
        </w:rPr>
        <w:t>七、关于阜康市发展和改革委员会</w:t>
      </w:r>
      <w:r>
        <w:rPr>
          <w:rFonts w:hint="eastAsia" w:eastAsia="楷体_GB2312" w:cs="Times New Roman"/>
          <w:b/>
          <w:bCs w:val="0"/>
          <w:color w:val="auto"/>
          <w:kern w:val="0"/>
          <w:sz w:val="32"/>
          <w:szCs w:val="32"/>
          <w:highlight w:val="none"/>
          <w:lang w:val="en-US" w:eastAsia="zh-CN"/>
        </w:rPr>
        <w:t>单位</w:t>
      </w:r>
      <w:r>
        <w:rPr>
          <w:rFonts w:hint="default" w:ascii="Times New Roman" w:hAnsi="Times New Roman" w:eastAsia="楷体_GB2312" w:cs="Times New Roman"/>
          <w:b/>
          <w:bCs/>
          <w:color w:val="auto"/>
          <w:spacing w:val="-6"/>
          <w:kern w:val="0"/>
          <w:sz w:val="32"/>
          <w:szCs w:val="32"/>
          <w:highlight w:val="none"/>
        </w:rPr>
        <w:t>2026年一般公共预算项目支出情况说明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（一）项目名称：2026年办公设备购置</w:t>
      </w:r>
      <w:r>
        <w:br w:type="textWrapping"/>
      </w:r>
      <w:r>
        <w:rPr>
          <w:rFonts w:hint="default" w:ascii="Times New Roman" w:hAnsi="Times New Roman" w:eastAsia="仿宋_GB2312" w:cs="Times New Roman"/>
          <w:color w:val="auto"/>
          <w:kern w:val="0"/>
          <w:sz w:val="32"/>
          <w:szCs w:val="32"/>
          <w:highlight w:val="none"/>
        </w:rPr>
        <w:t>　　设立的政策依据：依据阜财预[2026]001号，关于下达2026年部门预算批复的通知</w:t>
      </w:r>
      <w:r>
        <w:br w:type="textWrapping"/>
      </w:r>
      <w:r>
        <w:rPr>
          <w:rFonts w:hint="default" w:ascii="Times New Roman" w:hAnsi="Times New Roman" w:eastAsia="仿宋_GB2312" w:cs="Times New Roman"/>
          <w:color w:val="auto"/>
          <w:kern w:val="0"/>
          <w:sz w:val="32"/>
          <w:szCs w:val="32"/>
          <w:highlight w:val="none"/>
        </w:rPr>
        <w:t>　　预算安排规模：0.30万元</w:t>
      </w:r>
      <w:r>
        <w:br w:type="textWrapping"/>
      </w:r>
      <w:r>
        <w:rPr>
          <w:rFonts w:hint="default" w:ascii="Times New Roman" w:hAnsi="Times New Roman" w:eastAsia="仿宋_GB2312" w:cs="Times New Roman"/>
          <w:color w:val="auto"/>
          <w:kern w:val="0"/>
          <w:sz w:val="32"/>
          <w:szCs w:val="32"/>
          <w:highlight w:val="none"/>
        </w:rPr>
        <w:t>　　项目承担单位：阜康市发展和改革委员会</w:t>
      </w:r>
      <w:r>
        <w:br w:type="textWrapping"/>
      </w:r>
      <w:r>
        <w:rPr>
          <w:rFonts w:hint="default" w:ascii="Times New Roman" w:hAnsi="Times New Roman" w:eastAsia="仿宋_GB2312" w:cs="Times New Roman"/>
          <w:color w:val="auto"/>
          <w:kern w:val="0"/>
          <w:sz w:val="32"/>
          <w:szCs w:val="32"/>
          <w:highlight w:val="none"/>
        </w:rPr>
        <w:t>　　资金分配情况：购买一台多功能一体机</w:t>
      </w:r>
      <w:r>
        <w:br w:type="textWrapping"/>
      </w:r>
      <w:r>
        <w:rPr>
          <w:rFonts w:hint="default" w:ascii="Times New Roman" w:hAnsi="Times New Roman" w:eastAsia="仿宋_GB2312" w:cs="Times New Roman"/>
          <w:color w:val="auto"/>
          <w:kern w:val="0"/>
          <w:sz w:val="32"/>
          <w:szCs w:val="32"/>
          <w:highlight w:val="none"/>
        </w:rPr>
        <w:t>　　资金执行时间：2026年1月1日至2026年12月31日</w:t>
      </w:r>
      <w:r>
        <w:br w:type="textWrapping"/>
      </w:r>
      <w:r>
        <w:rPr>
          <w:rFonts w:hint="default" w:ascii="Times New Roman" w:hAnsi="Times New Roman" w:eastAsia="仿宋_GB2312" w:cs="Times New Roman"/>
          <w:color w:val="auto"/>
          <w:kern w:val="0"/>
          <w:sz w:val="32"/>
          <w:szCs w:val="32"/>
          <w:highlight w:val="none"/>
        </w:rPr>
        <w:t>　　（二）项目名称：昌州财建[2025]114号关于提前下达2026年清洁能源发展专项资金预算的通知</w:t>
      </w:r>
      <w:r>
        <w:br w:type="textWrapping"/>
      </w:r>
      <w:r>
        <w:rPr>
          <w:rFonts w:hint="default" w:ascii="Times New Roman" w:hAnsi="Times New Roman" w:eastAsia="仿宋_GB2312" w:cs="Times New Roman"/>
          <w:color w:val="auto"/>
          <w:kern w:val="0"/>
          <w:sz w:val="32"/>
          <w:szCs w:val="32"/>
          <w:highlight w:val="none"/>
        </w:rPr>
        <w:t>　　设立的政策依据：依据昌州财建[2025]114号，关于提前下达2026年清洁能源发展专项资金预算的通知</w:t>
      </w:r>
      <w:r>
        <w:br w:type="textWrapping"/>
      </w:r>
      <w:r>
        <w:rPr>
          <w:rFonts w:hint="default" w:ascii="Times New Roman" w:hAnsi="Times New Roman" w:eastAsia="仿宋_GB2312" w:cs="Times New Roman"/>
          <w:color w:val="auto"/>
          <w:kern w:val="0"/>
          <w:sz w:val="32"/>
          <w:szCs w:val="32"/>
          <w:highlight w:val="none"/>
        </w:rPr>
        <w:t>　　预算安排规模：4,079.00万元</w:t>
      </w:r>
      <w:r>
        <w:br w:type="textWrapping"/>
      </w:r>
      <w:r>
        <w:rPr>
          <w:rFonts w:hint="default" w:ascii="Times New Roman" w:hAnsi="Times New Roman" w:eastAsia="仿宋_GB2312" w:cs="Times New Roman"/>
          <w:color w:val="auto"/>
          <w:kern w:val="0"/>
          <w:sz w:val="32"/>
          <w:szCs w:val="32"/>
          <w:highlight w:val="none"/>
        </w:rPr>
        <w:t>　　项目承担单位：阜康市发展和改革委员会</w:t>
      </w:r>
      <w:r>
        <w:br w:type="textWrapping"/>
      </w:r>
      <w:r>
        <w:rPr>
          <w:rFonts w:hint="default" w:ascii="Times New Roman" w:hAnsi="Times New Roman" w:eastAsia="仿宋_GB2312" w:cs="Times New Roman"/>
          <w:color w:val="auto"/>
          <w:kern w:val="0"/>
          <w:sz w:val="32"/>
          <w:szCs w:val="32"/>
          <w:highlight w:val="none"/>
        </w:rPr>
        <w:t>　　资金分配情况：亚新油气有限公司的清洁能源专项资金，对企业的补助。</w:t>
      </w:r>
      <w:r>
        <w:br w:type="textWrapping"/>
      </w:r>
      <w:r>
        <w:rPr>
          <w:rFonts w:hint="default" w:ascii="Times New Roman" w:hAnsi="Times New Roman" w:eastAsia="仿宋_GB2312" w:cs="Times New Roman"/>
          <w:color w:val="auto"/>
          <w:kern w:val="0"/>
          <w:sz w:val="32"/>
          <w:szCs w:val="32"/>
          <w:highlight w:val="none"/>
        </w:rPr>
        <w:t>　　资金执行时间：2026年1月1日至2026年12月31日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八、关于阜康市发展和改革委员会</w:t>
      </w:r>
      <w:r>
        <w:rPr>
          <w:rFonts w:hint="eastAsia" w:eastAsia="楷体_GB2312" w:cs="Times New Roman"/>
          <w:b/>
          <w:bCs w:val="0"/>
          <w:color w:val="auto"/>
          <w:kern w:val="0"/>
          <w:sz w:val="32"/>
          <w:szCs w:val="32"/>
          <w:highlight w:val="none"/>
          <w:lang w:val="en-US" w:eastAsia="zh-CN"/>
        </w:rPr>
        <w:t>单位</w:t>
      </w:r>
      <w:r>
        <w:rPr>
          <w:rFonts w:hint="default" w:ascii="Times New Roman" w:hAnsi="Times New Roman" w:eastAsia="楷体_GB2312" w:cs="Times New Roman"/>
          <w:b/>
          <w:bCs/>
          <w:color w:val="auto"/>
          <w:kern w:val="0"/>
          <w:sz w:val="32"/>
          <w:szCs w:val="32"/>
          <w:highlight w:val="none"/>
        </w:rPr>
        <w:t>2026年政府性基金预算拨款情况说明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0"/>
          <w:sz w:val="32"/>
          <w:szCs w:val="32"/>
          <w:highlight w:val="none"/>
        </w:rPr>
      </w:pPr>
      <w:r>
        <w:rPr>
          <w:rFonts w:hint="default" w:ascii="Times New Roman" w:hAnsi="Times New Roman" w:eastAsia="仿宋_GB2312" w:cs="Times New Roman"/>
          <w:b w:val="0"/>
          <w:bCs/>
          <w:color w:val="auto"/>
          <w:kern w:val="0"/>
          <w:sz w:val="32"/>
          <w:szCs w:val="32"/>
          <w:highlight w:val="none"/>
        </w:rPr>
        <w:t>阜康市发展和改革委员会单位2026年没有使用政府性基金预算拨款安排的支出，政府性基金预算支出情况表为空表。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九、关于阜康市发展和改革委员会</w:t>
      </w:r>
      <w:r>
        <w:rPr>
          <w:rFonts w:hint="eastAsia" w:eastAsia="楷体_GB2312" w:cs="Times New Roman"/>
          <w:b/>
          <w:bCs w:val="0"/>
          <w:color w:val="auto"/>
          <w:kern w:val="0"/>
          <w:sz w:val="32"/>
          <w:szCs w:val="32"/>
          <w:highlight w:val="none"/>
          <w:lang w:val="en-US" w:eastAsia="zh-CN"/>
        </w:rPr>
        <w:t>单位</w:t>
      </w:r>
      <w:r>
        <w:rPr>
          <w:rFonts w:hint="default" w:ascii="Times New Roman" w:hAnsi="Times New Roman" w:eastAsia="楷体_GB2312" w:cs="Times New Roman"/>
          <w:b/>
          <w:bCs/>
          <w:color w:val="auto"/>
          <w:kern w:val="0"/>
          <w:sz w:val="32"/>
          <w:szCs w:val="32"/>
          <w:highlight w:val="none"/>
        </w:rPr>
        <w:t>2026年国有资本经营预算拨款情况说明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阜康市发展和改革委员会单位2026年没有使用国有资本经营预算拨款安排的支出，国有资本经营预算支出情况表为空表。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十、关于阜康市发展和改革委员会</w:t>
      </w:r>
      <w:r>
        <w:rPr>
          <w:rFonts w:hint="eastAsia" w:eastAsia="楷体_GB2312" w:cs="Times New Roman"/>
          <w:b/>
          <w:bCs w:val="0"/>
          <w:color w:val="auto"/>
          <w:kern w:val="0"/>
          <w:sz w:val="32"/>
          <w:szCs w:val="32"/>
          <w:highlight w:val="none"/>
          <w:lang w:val="en-US" w:eastAsia="zh-CN"/>
        </w:rPr>
        <w:t>单位</w:t>
      </w:r>
      <w:r>
        <w:rPr>
          <w:rFonts w:hint="default" w:ascii="Times New Roman" w:hAnsi="Times New Roman" w:eastAsia="楷体_GB2312" w:cs="Times New Roman"/>
          <w:b/>
          <w:bCs/>
          <w:color w:val="auto"/>
          <w:kern w:val="0"/>
          <w:sz w:val="32"/>
          <w:szCs w:val="32"/>
          <w:highlight w:val="none"/>
        </w:rPr>
        <w:t>2026年财政拨款“三公”经费预算情况说明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阜康市发展和改革委员会单位2026年财政拨款"三公"经费数为9.54万元，其中：因公出国（境）费用0万元，公务用车购置费0万元，公务用车运行费5.04万元，公务接待费4.50万元。</w:t>
      </w:r>
      <w:r>
        <w:br w:type="textWrapping"/>
      </w:r>
      <w:r>
        <w:rPr>
          <w:rFonts w:hint="default" w:ascii="Times New Roman" w:hAnsi="Times New Roman" w:eastAsia="仿宋_GB2312" w:cs="Times New Roman"/>
          <w:color w:val="auto"/>
          <w:kern w:val="0"/>
          <w:sz w:val="32"/>
          <w:szCs w:val="32"/>
          <w:highlight w:val="none"/>
        </w:rPr>
        <w:t>　　2026年财政拨款"三公"经费比上年预算增加0万元，增长0.00%，其中：因公出国（境）费用增加0万元，增长0.00%，主要原因是本年及上年均未安排因公出国（境）费用，因此预算安排较上年无变化；公务用车购置费增加0万元，增长0.00%，主要原因是本年及上年均未安排公务用车购置费，因此预算安排较上年无变化；公务用车运行费增加0万元，增长0.00%，主要原因是本年严格控制公务用车燃油费、维修维护费等预算安排，因此预算安排较上年无变化；公务接待费增加0万元，增长0.00%，主要原因是本年严格控制公务接待任务安排，因此预算安排较上年无变化。</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十一、关于阜康市发展和改革委员会</w:t>
      </w:r>
      <w:r>
        <w:rPr>
          <w:rFonts w:hint="eastAsia" w:eastAsia="楷体_GB2312" w:cs="Times New Roman"/>
          <w:b/>
          <w:bCs w:val="0"/>
          <w:color w:val="auto"/>
          <w:kern w:val="0"/>
          <w:sz w:val="32"/>
          <w:szCs w:val="32"/>
          <w:highlight w:val="none"/>
          <w:lang w:val="en-US" w:eastAsia="zh-CN"/>
        </w:rPr>
        <w:t>单位</w:t>
      </w:r>
      <w:r>
        <w:rPr>
          <w:rFonts w:hint="default" w:ascii="Times New Roman" w:hAnsi="Times New Roman" w:eastAsia="仿宋_GB2312" w:cs="Times New Roman"/>
          <w:b/>
          <w:color w:val="auto"/>
          <w:kern w:val="0"/>
          <w:sz w:val="32"/>
          <w:szCs w:val="32"/>
          <w:highlight w:val="none"/>
        </w:rPr>
        <w:t>2026年财政拨款委托业务费支出情况说明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阜康市发展和改革委员会单位2026年没有委托业务费预算的支出，财政拨款委托业务费支出情况表为空表。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十二、关于阜康市发展和改革委员会</w:t>
      </w:r>
      <w:r>
        <w:rPr>
          <w:rFonts w:hint="eastAsia" w:eastAsia="楷体_GB2312" w:cs="Times New Roman"/>
          <w:b/>
          <w:bCs w:val="0"/>
          <w:color w:val="auto"/>
          <w:kern w:val="0"/>
          <w:sz w:val="32"/>
          <w:szCs w:val="32"/>
          <w:highlight w:val="none"/>
          <w:lang w:val="en-US" w:eastAsia="zh-CN"/>
        </w:rPr>
        <w:t>单位</w:t>
      </w:r>
      <w:r>
        <w:rPr>
          <w:rFonts w:hint="default" w:ascii="Times New Roman" w:hAnsi="Times New Roman" w:eastAsia="仿宋_GB2312" w:cs="Times New Roman"/>
          <w:b/>
          <w:color w:val="auto"/>
          <w:kern w:val="0"/>
          <w:sz w:val="32"/>
          <w:szCs w:val="32"/>
          <w:highlight w:val="none"/>
        </w:rPr>
        <w:t>2026年上年结转结余预算情况说明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阜康市发展和改革委员会单位2026年没有上年结转结余预算的支出，上年结转结余情况表为空表。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lang w:val="en-US" w:eastAsia="zh-Hans"/>
        </w:rPr>
        <w:t>十</w:t>
      </w:r>
      <w:r>
        <w:rPr>
          <w:rFonts w:hint="default" w:ascii="Times New Roman" w:hAnsi="Times New Roman" w:eastAsia="楷体_GB2312" w:cs="Times New Roman"/>
          <w:b/>
          <w:bCs/>
          <w:color w:val="auto"/>
          <w:kern w:val="0"/>
          <w:sz w:val="32"/>
          <w:szCs w:val="32"/>
          <w:highlight w:val="none"/>
          <w:lang w:val="en-US" w:eastAsia="zh-CN"/>
        </w:rPr>
        <w:t>三</w:t>
      </w:r>
      <w:r>
        <w:rPr>
          <w:rFonts w:hint="default" w:ascii="Times New Roman" w:hAnsi="Times New Roman" w:eastAsia="楷体_GB2312" w:cs="Times New Roman"/>
          <w:b/>
          <w:bCs/>
          <w:color w:val="auto"/>
          <w:kern w:val="0"/>
          <w:sz w:val="32"/>
          <w:szCs w:val="32"/>
          <w:highlight w:val="none"/>
        </w:rPr>
        <w:t>、其他重要事项的情况说明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b/>
          <w:color w:val="auto"/>
          <w:kern w:val="0"/>
          <w:sz w:val="32"/>
          <w:szCs w:val="32"/>
          <w:highlight w:val="none"/>
        </w:rPr>
        <w:t>（一）</w:t>
      </w:r>
      <w:r>
        <w:rPr>
          <w:rFonts w:hint="default" w:ascii="Times New Roman" w:hAnsi="Times New Roman" w:eastAsia="仿宋_GB2312" w:cs="Times New Roman"/>
          <w:b/>
          <w:color w:val="auto"/>
          <w:kern w:val="0"/>
          <w:sz w:val="32"/>
          <w:szCs w:val="32"/>
          <w:highlight w:val="none"/>
          <w:lang w:val="en-US" w:eastAsia="zh-CN"/>
        </w:rPr>
        <w:t>单位</w:t>
      </w:r>
      <w:r>
        <w:rPr>
          <w:rFonts w:hint="default" w:ascii="Times New Roman" w:hAnsi="Times New Roman" w:eastAsia="仿宋_GB2312" w:cs="Times New Roman"/>
          <w:b/>
          <w:color w:val="auto"/>
          <w:kern w:val="0"/>
          <w:sz w:val="32"/>
          <w:szCs w:val="32"/>
          <w:highlight w:val="none"/>
        </w:rPr>
        <w:t>运行经费情况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阜康市发展和改革委员会单位2026年的机关运行经费财政拨款预算38.68万元，比上年预算减少1.01万元，下降2.54%。主要原因是坚持厉行节约、精打细算，优化经费支出结构，机关运行经费相应压减。</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（二）政府采购情况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2026年，阜康市发展和改革委员会单位政府采购预算9.61万元，其中：政府采购货物预算4.57万元，政府采购工程预算0万元，政府采购服务预算5.04万元。</w:t>
      </w:r>
      <w:r>
        <w:br w:type="textWrapping"/>
      </w:r>
      <w:r>
        <w:rPr>
          <w:rFonts w:hint="default" w:ascii="Times New Roman" w:hAnsi="Times New Roman" w:eastAsia="仿宋_GB2312" w:cs="Times New Roman"/>
          <w:color w:val="auto"/>
          <w:kern w:val="0"/>
          <w:sz w:val="32"/>
          <w:szCs w:val="32"/>
          <w:highlight w:val="none"/>
        </w:rPr>
        <w:t>　　2026年，阜康市发展和改革委员会单位面向中小企业预留政府采购项目预算金额4.57万元，其中：小微企业预留政府采购项目预算金额4.57万元。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（三）国有资产占用使用情况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截至2025年底，阜康市发展和改革委员会占用使用国有资产总体情况为：</w:t>
      </w:r>
      <w:r>
        <w:br w:type="textWrapping"/>
      </w:r>
      <w:r>
        <w:rPr>
          <w:rFonts w:hint="default" w:ascii="Times New Roman" w:hAnsi="Times New Roman" w:eastAsia="仿宋_GB2312" w:cs="Times New Roman"/>
          <w:color w:val="auto"/>
          <w:kern w:val="0"/>
          <w:sz w:val="32"/>
          <w:szCs w:val="32"/>
          <w:highlight w:val="none"/>
        </w:rPr>
        <w:t>　　1.房屋1,212.55平方米，价值94.46万元。</w:t>
      </w:r>
      <w:r>
        <w:br w:type="textWrapping"/>
      </w:r>
      <w:r>
        <w:rPr>
          <w:rFonts w:hint="default" w:ascii="Times New Roman" w:hAnsi="Times New Roman" w:eastAsia="仿宋_GB2312" w:cs="Times New Roman"/>
          <w:color w:val="auto"/>
          <w:kern w:val="0"/>
          <w:sz w:val="32"/>
          <w:szCs w:val="32"/>
          <w:highlight w:val="none"/>
        </w:rPr>
        <w:t>　　2.车辆4辆，价值105.65万元；其中：一般公务用车0辆，价值0万元；执法执勤用车0辆，价值0万元；其他车辆4辆，价值105.65万元。</w:t>
      </w:r>
      <w:r>
        <w:br w:type="textWrapping"/>
      </w:r>
      <w:r>
        <w:rPr>
          <w:rFonts w:hint="default" w:ascii="Times New Roman" w:hAnsi="Times New Roman" w:eastAsia="仿宋_GB2312" w:cs="Times New Roman"/>
          <w:color w:val="auto"/>
          <w:kern w:val="0"/>
          <w:sz w:val="32"/>
          <w:szCs w:val="32"/>
          <w:highlight w:val="none"/>
        </w:rPr>
        <w:t>　　3.办公家具价值43.24万元。</w:t>
      </w:r>
      <w:r>
        <w:br w:type="textWrapping"/>
      </w:r>
      <w:r>
        <w:rPr>
          <w:rFonts w:hint="default" w:ascii="Times New Roman" w:hAnsi="Times New Roman" w:eastAsia="仿宋_GB2312" w:cs="Times New Roman"/>
          <w:color w:val="auto"/>
          <w:kern w:val="0"/>
          <w:sz w:val="32"/>
          <w:szCs w:val="32"/>
          <w:highlight w:val="none"/>
        </w:rPr>
        <w:t>　　4.其他资产价值500.84万元。</w:t>
      </w:r>
      <w:r>
        <w:br w:type="textWrapping"/>
      </w:r>
      <w:r>
        <w:rPr>
          <w:rFonts w:hint="default" w:ascii="Times New Roman" w:hAnsi="Times New Roman" w:eastAsia="仿宋_GB2312" w:cs="Times New Roman"/>
          <w:color w:val="auto"/>
          <w:kern w:val="0"/>
          <w:sz w:val="32"/>
          <w:szCs w:val="32"/>
          <w:highlight w:val="none"/>
        </w:rPr>
        <w:t>　　部门（单位）价值单价50万元以上大型设备1台（套），部门（单位）价值单价100万元以上大型设备1台（套）。</w:t>
      </w:r>
      <w:r>
        <w:br w:type="textWrapping"/>
      </w:r>
      <w:r>
        <w:rPr>
          <w:rFonts w:hint="default" w:ascii="Times New Roman" w:hAnsi="Times New Roman" w:eastAsia="仿宋_GB2312" w:cs="Times New Roman"/>
          <w:color w:val="auto"/>
          <w:kern w:val="0"/>
          <w:sz w:val="32"/>
          <w:szCs w:val="32"/>
          <w:highlight w:val="none"/>
        </w:rPr>
        <w:t>　　2026年部门（单位）预算未安排购置车辆经费，安排购置单价50万元以上大型设备0台（套），部门（单位）单价100万元以上大型设备0台（套）。</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b/>
          <w:color w:val="auto"/>
          <w:kern w:val="0"/>
          <w:sz w:val="32"/>
          <w:szCs w:val="32"/>
          <w:highlight w:val="none"/>
          <w:lang w:val="en-US" w:eastAsia="zh-Hans"/>
        </w:rPr>
        <w:t>（四）</w:t>
      </w:r>
      <w:r>
        <w:rPr>
          <w:rFonts w:hint="default" w:ascii="Times New Roman" w:hAnsi="Times New Roman" w:eastAsia="仿宋_GB2312" w:cs="Times New Roman"/>
          <w:b/>
          <w:color w:val="auto"/>
          <w:kern w:val="0"/>
          <w:sz w:val="32"/>
          <w:szCs w:val="32"/>
          <w:highlight w:val="none"/>
        </w:rPr>
        <w:t>预算绩效情况</w:t>
      </w:r>
    </w:p>
    <w:p>
      <w:pPr>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2026年，本部门预算绩效管理整体预算绩效目标1个，涉及预算金额4,791.99万元；当年预算安排项目共0个，其中：财政拨款项目涉及预算金额4,079.30万元；非财政拨款项目涉及预算金额0万元。具体情况见下表（按项目分别填报）：</w:t>
      </w:r>
    </w:p>
    <w:p>
      <w:pPr>
        <w:rPr>
          <w:rFonts w:hint="default" w:ascii="Times New Roman" w:hAnsi="Times New Roman" w:eastAsia="仿宋_GB2312" w:cs="Times New Roman"/>
          <w:b/>
          <w:color w:val="auto"/>
          <w:kern w:val="0"/>
          <w:sz w:val="28"/>
          <w:szCs w:val="32"/>
          <w:highlight w:val="none"/>
        </w:rPr>
      </w:pPr>
      <w:r>
        <w:rPr>
          <w:rFonts w:hint="default" w:ascii="Times New Roman" w:hAnsi="Times New Roman" w:eastAsia="仿宋_GB2312" w:cs="Times New Roman"/>
          <w:b/>
          <w:color w:val="auto"/>
          <w:kern w:val="0"/>
          <w:sz w:val="28"/>
          <w:szCs w:val="32"/>
          <w:highlight w:val="none"/>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before="0" w:beforeLines="0" w:line="600" w:lineRule="exact"/>
        <w:jc w:val="both"/>
        <w:textAlignment w:val="auto"/>
        <w:outlineLvl w:val="9"/>
        <w:rPr>
          <w:rFonts w:hint="default" w:ascii="Times New Roman" w:hAnsi="Times New Roman" w:eastAsia="楷体_GB2312" w:cs="Times New Roman"/>
          <w:b/>
          <w:kern w:val="0"/>
          <w:sz w:val="32"/>
          <w:szCs w:val="32"/>
          <w:highlight w:val="none"/>
        </w:rPr>
      </w:pPr>
      <w:r>
        <w:rPr>
          <w:rFonts w:hint="default" w:ascii="Times New Roman" w:hAnsi="Times New Roman" w:eastAsia="楷体_GB2312" w:cs="Times New Roman"/>
          <w:b/>
          <w:kern w:val="0"/>
          <w:sz w:val="32"/>
          <w:szCs w:val="32"/>
          <w:highlight w:val="none"/>
        </w:rPr>
        <w:t>（五）其他需说明的事项</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both"/>
        <w:textAlignment w:val="auto"/>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本单位无其他需说明事项。</w:t>
      </w:r>
    </w:p>
    <w:p>
      <w:pPr>
        <w:rPr>
          <w:rFonts w:hint="default" w:ascii="Times New Roman" w:hAnsi="Times New Roman" w:eastAsia="SimHei" w:cs="Times New Roman"/>
          <w:kern w:val="0"/>
          <w:sz w:val="32"/>
          <w:szCs w:val="32"/>
          <w:highlight w:val="none"/>
        </w:rPr>
      </w:pPr>
      <w:r>
        <w:rPr>
          <w:rFonts w:hint="default" w:ascii="Times New Roman" w:hAnsi="Times New Roman" w:eastAsia="SimHei" w:cs="Times New Roman"/>
          <w:kern w:val="0"/>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0" w:beforeLines="0" w:line="600" w:lineRule="exact"/>
        <w:jc w:val="center"/>
        <w:textAlignment w:val="auto"/>
        <w:outlineLvl w:val="9"/>
        <w:rPr>
          <w:rFonts w:hint="default" w:ascii="Times New Roman" w:hAnsi="Times New Roman" w:eastAsia="SimHei" w:cs="Times New Roman"/>
          <w:kern w:val="0"/>
          <w:sz w:val="32"/>
          <w:szCs w:val="32"/>
          <w:highlight w:val="none"/>
        </w:rPr>
      </w:pPr>
      <w:r>
        <w:rPr>
          <w:rFonts w:hint="default" w:ascii="Times New Roman" w:hAnsi="Times New Roman" w:eastAsia="SimHei" w:cs="Times New Roman"/>
          <w:kern w:val="0"/>
          <w:sz w:val="32"/>
          <w:szCs w:val="32"/>
          <w:highlight w:val="none"/>
        </w:rPr>
        <w:t>第四部分  名词解释</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both"/>
        <w:textAlignment w:val="auto"/>
        <w:outlineLvl w:val="9"/>
        <w:rPr>
          <w:rFonts w:hint="default" w:ascii="Times New Roman" w:hAnsi="Times New Roman" w:eastAsia="SimHei"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一、财政拨款：</w:t>
      </w:r>
      <w:r>
        <w:rPr>
          <w:rFonts w:hint="default" w:ascii="Times New Roman" w:hAnsi="Times New Roman" w:eastAsia="仿宋_GB2312" w:cs="Times New Roman"/>
          <w:sz w:val="32"/>
          <w:szCs w:val="32"/>
          <w:highlight w:val="none"/>
        </w:rPr>
        <w:t>指由一般公共预算、政府性基金预算、国有资本经营预算安排的财政拨款数。</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sz w:val="32"/>
          <w:szCs w:val="32"/>
          <w:highlight w:val="none"/>
        </w:rPr>
        <w:t>二、一般公共预算：</w:t>
      </w:r>
      <w:r>
        <w:rPr>
          <w:rFonts w:hint="default" w:ascii="Times New Roman" w:hAnsi="Times New Roman" w:eastAsia="仿宋_GB2312" w:cs="Times New Roman"/>
          <w:color w:val="auto"/>
          <w:spacing w:val="-6"/>
          <w:sz w:val="32"/>
          <w:szCs w:val="32"/>
          <w:highlight w:val="none"/>
        </w:rPr>
        <w:t>包括公共财政拨款（补助）资金、专项收入。</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sz w:val="32"/>
          <w:szCs w:val="32"/>
          <w:highlight w:val="none"/>
        </w:rPr>
        <w:t>三、财政专户管理资金：</w:t>
      </w:r>
      <w:r>
        <w:rPr>
          <w:rFonts w:hint="default" w:ascii="Times New Roman" w:hAnsi="Times New Roman" w:eastAsia="仿宋_GB2312" w:cs="Times New Roman"/>
          <w:color w:val="auto"/>
          <w:sz w:val="32"/>
          <w:szCs w:val="32"/>
          <w:highlight w:val="none"/>
        </w:rPr>
        <w:t>包括专户管理行政事业性收费（主要是教育收费）、其他非税收入。</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jc w:val="both"/>
        <w:textAlignment w:val="auto"/>
        <w:outlineLvl w:val="9"/>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楷体_GB2312" w:cs="Times New Roman"/>
          <w:b/>
          <w:bCs/>
          <w:color w:val="auto"/>
          <w:sz w:val="32"/>
          <w:szCs w:val="32"/>
          <w:highlight w:val="none"/>
        </w:rPr>
        <w:t>四、其他资金：</w:t>
      </w:r>
      <w:r>
        <w:rPr>
          <w:rFonts w:hint="default" w:ascii="Times New Roman" w:hAnsi="Times New Roman" w:eastAsia="仿宋_GB2312" w:cs="Times New Roman"/>
          <w:color w:val="auto"/>
          <w:spacing w:val="-17"/>
          <w:sz w:val="32"/>
          <w:szCs w:val="32"/>
          <w:highlight w:val="none"/>
        </w:rPr>
        <w:t>包括事业收入、事业经营收入、其他收入等。</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sz w:val="32"/>
          <w:szCs w:val="32"/>
          <w:highlight w:val="none"/>
        </w:rPr>
        <w:t>五、基本支出：</w:t>
      </w:r>
      <w:r>
        <w:rPr>
          <w:rFonts w:hint="default" w:ascii="Times New Roman" w:hAnsi="Times New Roman" w:eastAsia="仿宋_GB2312" w:cs="Times New Roman"/>
          <w:color w:val="auto"/>
          <w:sz w:val="32"/>
          <w:szCs w:val="32"/>
          <w:highlight w:val="none"/>
        </w:rPr>
        <w:t>包括人员经费、公用经费（定额）。其中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人员经费包括工资福利支出、对个人和家庭的补助。</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sz w:val="32"/>
          <w:szCs w:val="32"/>
          <w:highlight w:val="none"/>
        </w:rPr>
        <w:t>六、项目支出：</w:t>
      </w:r>
      <w:r>
        <w:rPr>
          <w:rFonts w:hint="default" w:ascii="Times New Roman" w:hAnsi="Times New Roman" w:eastAsia="仿宋_GB2312" w:cs="Times New Roman"/>
          <w:color w:val="auto"/>
          <w:sz w:val="32"/>
          <w:szCs w:val="32"/>
          <w:highlight w:val="none"/>
        </w:rPr>
        <w:t>部门（单位）支出预算的组成部分，是</w:t>
      </w:r>
      <w:r>
        <w:rPr>
          <w:rFonts w:hint="default" w:ascii="Times New Roman" w:hAnsi="Times New Roman" w:eastAsia="仿宋_GB2312" w:cs="Times New Roman"/>
          <w:color w:val="auto"/>
          <w:sz w:val="32"/>
          <w:szCs w:val="32"/>
          <w:highlight w:val="none"/>
          <w:lang w:val="en-US" w:eastAsia="zh-Hans"/>
        </w:rPr>
        <w:t>各</w:t>
      </w:r>
      <w:r>
        <w:rPr>
          <w:rFonts w:hint="default" w:ascii="Times New Roman" w:hAnsi="Times New Roman" w:eastAsia="仿宋_GB2312" w:cs="Times New Roman"/>
          <w:color w:val="auto"/>
          <w:sz w:val="32"/>
          <w:szCs w:val="32"/>
          <w:highlight w:val="none"/>
        </w:rPr>
        <w:t>部门（单位）为完成其特定的行政任务或事业发展目标，在基本支出预算之外编制的年度项目支出计划。</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sz w:val="32"/>
          <w:szCs w:val="32"/>
          <w:highlight w:val="none"/>
        </w:rPr>
        <w:t>七、“三公”经费：</w:t>
      </w:r>
      <w:r>
        <w:rPr>
          <w:rFonts w:hint="default" w:ascii="Times New Roman" w:hAnsi="Times New Roman" w:eastAsia="仿宋_GB2312" w:cs="Times New Roman"/>
          <w:sz w:val="32"/>
          <w:szCs w:val="32"/>
          <w:highlight w:val="none"/>
        </w:rPr>
        <w:t>指</w:t>
      </w:r>
      <w:r>
        <w:rPr>
          <w:rFonts w:hint="default" w:ascii="Times New Roman" w:hAnsi="Times New Roman" w:eastAsia="仿宋_GB2312" w:cs="Times New Roman"/>
          <w:sz w:val="32"/>
          <w:szCs w:val="32"/>
          <w:highlight w:val="none"/>
          <w:lang w:val="en-US" w:eastAsia="zh-CN"/>
        </w:rPr>
        <w:t>部门（单位）</w:t>
      </w:r>
      <w:r>
        <w:rPr>
          <w:rFonts w:hint="default" w:ascii="Times New Roman" w:hAnsi="Times New Roman" w:eastAsia="仿宋_GB2312" w:cs="Times New Roman"/>
          <w:sz w:val="32"/>
          <w:szCs w:val="32"/>
          <w:highlight w:val="none"/>
          <w:lang w:eastAsia="zh-CN"/>
        </w:rPr>
        <w:t>因公出国（境）费用</w:t>
      </w:r>
      <w:r>
        <w:rPr>
          <w:rFonts w:hint="default" w:ascii="Times New Roman" w:hAnsi="Times New Roman" w:eastAsia="仿宋_GB2312" w:cs="Times New Roman"/>
          <w:sz w:val="32"/>
          <w:szCs w:val="32"/>
          <w:highlight w:val="none"/>
        </w:rPr>
        <w:t>、公务用车购置及运行维护费和公务接待费</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其中</w:t>
      </w:r>
      <w:r>
        <w:rPr>
          <w:rFonts w:hint="default" w:ascii="Times New Roman" w:hAnsi="Times New Roman" w:eastAsia="仿宋_GB2312" w:cs="Times New Roman"/>
          <w:sz w:val="32"/>
          <w:szCs w:val="32"/>
          <w:highlight w:val="none"/>
          <w:lang w:eastAsia="zh-CN"/>
        </w:rPr>
        <w:t>：因公出国（境）费用</w:t>
      </w:r>
      <w:r>
        <w:rPr>
          <w:rFonts w:hint="default" w:ascii="Times New Roman" w:hAnsi="Times New Roman" w:eastAsia="仿宋_GB2312" w:cs="Times New Roman"/>
          <w:sz w:val="32"/>
          <w:szCs w:val="32"/>
          <w:highlight w:val="none"/>
        </w:rPr>
        <w:t>反映</w:t>
      </w:r>
      <w:r>
        <w:rPr>
          <w:rFonts w:hint="default" w:ascii="Times New Roman" w:hAnsi="Times New Roman" w:eastAsia="仿宋_GB2312" w:cs="Times New Roman"/>
          <w:sz w:val="32"/>
          <w:szCs w:val="32"/>
          <w:highlight w:val="none"/>
          <w:lang w:val="en-US" w:eastAsia="zh-CN"/>
        </w:rPr>
        <w:t>单位公务出国（境）的国际旅费、国外城市间交通费、住宿费、伙食费、培训费、公杂费等支出</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公务用车购置反映公务用车购置支出（含车辆购置税、牌照费）；</w:t>
      </w:r>
      <w:r>
        <w:rPr>
          <w:rFonts w:hint="default" w:ascii="Times New Roman" w:hAnsi="Times New Roman" w:eastAsia="仿宋_GB2312" w:cs="Times New Roman"/>
          <w:sz w:val="32"/>
          <w:szCs w:val="32"/>
          <w:highlight w:val="none"/>
        </w:rPr>
        <w:t>公务用车运行维护费反映</w:t>
      </w:r>
      <w:r>
        <w:rPr>
          <w:rFonts w:hint="default" w:ascii="Times New Roman" w:hAnsi="Times New Roman" w:eastAsia="仿宋_GB2312" w:cs="Times New Roman"/>
          <w:sz w:val="32"/>
          <w:szCs w:val="32"/>
          <w:highlight w:val="none"/>
          <w:lang w:val="en-US" w:eastAsia="zh-CN"/>
        </w:rPr>
        <w:t>单位按规定保留的公务用车燃料费、新能源汽车充电费、维修费、过桥过路费、保险费、安全奖励费用等支出</w:t>
      </w:r>
      <w:r>
        <w:rPr>
          <w:rFonts w:hint="default" w:ascii="Times New Roman" w:hAnsi="Times New Roman" w:eastAsia="仿宋_GB2312" w:cs="Times New Roman"/>
          <w:sz w:val="32"/>
          <w:szCs w:val="32"/>
          <w:highlight w:val="none"/>
        </w:rPr>
        <w:t>；公务接待费反映</w:t>
      </w:r>
      <w:r>
        <w:rPr>
          <w:rFonts w:hint="default"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rPr>
        <w:t>按规定开支的各类公务接待（含外宾接待）</w:t>
      </w:r>
      <w:r>
        <w:rPr>
          <w:rFonts w:hint="default" w:ascii="Times New Roman" w:hAnsi="Times New Roman" w:eastAsia="仿宋_GB2312" w:cs="Times New Roman"/>
          <w:sz w:val="32"/>
          <w:szCs w:val="32"/>
          <w:highlight w:val="none"/>
          <w:lang w:val="en-US" w:eastAsia="zh-CN"/>
        </w:rPr>
        <w:t>费用</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jc w:val="both"/>
        <w:textAlignment w:val="auto"/>
        <w:outlineLvl w:val="9"/>
        <w:rPr>
          <w:rFonts w:hint="default" w:ascii="Times New Roman" w:hAnsi="Times New Roman" w:eastAsia="仿宋_GB2312" w:cs="Times New Roman"/>
          <w:color w:val="auto"/>
          <w:spacing w:val="-11"/>
          <w:sz w:val="32"/>
          <w:szCs w:val="32"/>
          <w:highlight w:val="none"/>
        </w:rPr>
      </w:pPr>
      <w:r>
        <w:rPr>
          <w:rFonts w:hint="default" w:ascii="Times New Roman" w:hAnsi="Times New Roman" w:eastAsia="楷体_GB2312" w:cs="Times New Roman"/>
          <w:b/>
          <w:bCs/>
          <w:color w:val="auto"/>
          <w:sz w:val="32"/>
          <w:szCs w:val="32"/>
          <w:highlight w:val="none"/>
        </w:rPr>
        <w:t>八、机关运行经费</w:t>
      </w:r>
      <w:r>
        <w:rPr>
          <w:rFonts w:hint="default" w:ascii="Times New Roman" w:hAnsi="Times New Roman" w:eastAsia="仿宋_GB2312" w:cs="Times New Roman"/>
          <w:color w:val="auto"/>
          <w:sz w:val="32"/>
          <w:szCs w:val="32"/>
          <w:highlight w:val="none"/>
        </w:rPr>
        <w:t>：指行政单位（含参照公务员法管理事业单位）的公用经费，包括办公及印刷费、邮电费、差旅费、会议费、日常维修费、专用材料及一般设备购置费、办公用房水电费、办公用房</w:t>
      </w:r>
      <w:r>
        <w:rPr>
          <w:rFonts w:hint="default" w:ascii="Times New Roman" w:hAnsi="Times New Roman" w:eastAsia="仿宋_GB2312" w:cs="Times New Roman"/>
          <w:color w:val="auto"/>
          <w:spacing w:val="-11"/>
          <w:sz w:val="32"/>
          <w:szCs w:val="32"/>
          <w:highlight w:val="none"/>
        </w:rPr>
        <w:t>取暖费、办公用房物业管理费、公务用车运行维护费及其他费用。</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jc w:val="both"/>
        <w:textAlignment w:val="auto"/>
        <w:outlineLvl w:val="9"/>
        <w:rPr>
          <w:rFonts w:hint="default" w:ascii="Times New Roman" w:hAnsi="Times New Roman" w:eastAsia="仿宋_GB2312" w:cs="Times New Roman"/>
          <w:color w:val="auto"/>
          <w:spacing w:val="-11"/>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九</w:t>
      </w:r>
      <w:r>
        <w:rPr>
          <w:rFonts w:hint="default" w:ascii="Times New Roman" w:hAnsi="Times New Roman" w:eastAsia="楷体_GB2312" w:cs="Times New Roman"/>
          <w:b/>
          <w:bCs/>
          <w:color w:val="auto"/>
          <w:sz w:val="32"/>
          <w:szCs w:val="32"/>
          <w:highlight w:val="none"/>
        </w:rPr>
        <w:t>、</w:t>
      </w:r>
      <w:r>
        <w:rPr>
          <w:rFonts w:hint="default" w:ascii="Times New Roman" w:hAnsi="Times New Roman" w:eastAsia="楷体_GB2312" w:cs="Times New Roman"/>
          <w:b/>
          <w:bCs/>
          <w:color w:val="auto"/>
          <w:sz w:val="32"/>
          <w:szCs w:val="32"/>
          <w:highlight w:val="none"/>
          <w:lang w:val="en-US" w:eastAsia="zh-CN"/>
        </w:rPr>
        <w:t>委托业务费</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反映因委托外单位办理业务而支付的委托业务费。</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964" w:firstLineChars="300"/>
        <w:jc w:val="both"/>
        <w:textAlignment w:val="auto"/>
        <w:outlineLvl w:val="9"/>
        <w:rPr>
          <w:rFonts w:hint="default" w:ascii="Times New Roman" w:hAnsi="Times New Roman" w:eastAsia="仿宋_GB2312" w:cs="Times New Roman"/>
          <w:b/>
          <w:color w:val="auto"/>
          <w:sz w:val="32"/>
          <w:szCs w:val="32"/>
          <w:highlight w:val="none"/>
          <w:lang w:eastAsia="zh-Hans"/>
        </w:rPr>
      </w:pPr>
      <w:r>
        <w:rPr>
          <w:rFonts w:hint="default" w:ascii="Times New Roman" w:hAnsi="Times New Roman" w:eastAsia="仿宋_GB2312" w:cs="Times New Roman"/>
          <w:b/>
          <w:color w:val="auto"/>
          <w:sz w:val="32"/>
          <w:szCs w:val="32"/>
          <w:highlight w:val="none"/>
          <w:lang w:val="en-US" w:eastAsia="zh-Hans"/>
        </w:rPr>
        <w:t>（将</w:t>
      </w:r>
      <w:r>
        <w:rPr>
          <w:rFonts w:hint="default" w:ascii="Times New Roman" w:hAnsi="Times New Roman" w:eastAsia="仿宋_GB2312" w:cs="Times New Roman"/>
          <w:b/>
          <w:color w:val="auto"/>
          <w:sz w:val="32"/>
          <w:szCs w:val="32"/>
          <w:highlight w:val="none"/>
        </w:rPr>
        <w:t>名词解释</w:t>
      </w:r>
      <w:r>
        <w:rPr>
          <w:rFonts w:hint="default" w:ascii="Times New Roman" w:hAnsi="Times New Roman" w:eastAsia="仿宋_GB2312" w:cs="Times New Roman"/>
          <w:b/>
          <w:color w:val="auto"/>
          <w:sz w:val="32"/>
          <w:szCs w:val="32"/>
          <w:highlight w:val="none"/>
          <w:lang w:val="en-US" w:eastAsia="zh-Hans"/>
        </w:rPr>
        <w:t>全部保留。）</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both"/>
        <w:textAlignment w:val="auto"/>
        <w:outlineLvl w:val="9"/>
        <w:rPr>
          <w:rFonts w:hint="default" w:ascii="Times New Roman" w:hAnsi="Times New Roman" w:eastAsia="仿宋_GB2312" w:cs="Times New Roman"/>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both"/>
        <w:textAlignment w:val="auto"/>
        <w:outlineLvl w:val="9"/>
        <w:rPr>
          <w:rFonts w:hint="default" w:ascii="Times New Roman" w:hAnsi="Times New Roman" w:eastAsia="仿宋_GB2312" w:cs="Times New Roman"/>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both"/>
        <w:textAlignment w:val="auto"/>
        <w:outlineLvl w:val="9"/>
        <w:rPr>
          <w:rFonts w:hint="default" w:ascii="Times New Roman" w:hAnsi="Times New Roman" w:eastAsia="仿宋_GB2312" w:cs="Times New Roman"/>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right"/>
        <w:textAlignment w:val="auto"/>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 xml:space="preserve">                         阜康市发展和改革委员会2026年2月14日</w:t>
      </w:r>
    </w:p>
    <w:p>
      <w:pPr>
        <w:rPr>
          <w:rFonts w:hint="default" w:ascii="Times New Roman" w:hAnsi="Times New Roman" w:cs="Times New Roman"/>
          <w:highlight w:val="none"/>
        </w:rPr>
      </w:pPr>
      <w:bookmarkStart w:id="0" w:name="_GoBack"/>
      <w:bookmarkEnd w:id="0"/>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Hei">
    <w:altName w:val="宋体"/>
    <w:panose1 w:val="02010609060101010101"/>
    <w:charset w:val="86"/>
    <w:family w:val="auto"/>
    <w:pitch w:val="default"/>
    <w:sig w:usb0="00000000" w:usb1="00000000"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LPiFrRAQAAhwMAAA4AAAAAAAAAAQAgAAAAHgEAAGRy&#10;cy9lMm9Eb2MueG1sUEsFBgAAAAAGAAYAWQEAAGEFAAAAAA==&#10;">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BNziGg0gEAAIcDAAAOAAAAAAAAAAEAIAAAAB4BAABk&#10;cnMvZTJvRG9jLnhtbFBLBQYAAAAABgAGAFkBAABiBQAAAAA=&#10;">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yfqwy0QEAAIcDAAAOAAAAAAAAAAEAIAAAAB8BAABk&#10;cnMvZTJvRG9jLnhtbFBLBQYAAAAABgAGAFkBAABiBQAAAAA=&#10;">
              <v:fill on="f" focussize="0,0"/>
              <v:stroke on="f" weight="0.5pt"/>
              <v:imagedata o:title=""/>
              <o:lock v:ext="edit" aspectratio="f"/>
              <v:textbox inset="0mm,0mm,0mm,0mm" style="mso-fit-shape-to-text:t;">
                <w:txbxContent>
                  <w:p>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WZmNmEwZDkxMGNiYjJmNmQzY2NjYWE2ZGZhYWUifQ=="/>
  </w:docVars>
  <w:rsids>
    <w:rsidRoot w:val="10587512"/>
    <w:rsid w:val="00351550"/>
    <w:rsid w:val="00E41A1F"/>
    <w:rsid w:val="01473393"/>
    <w:rsid w:val="016A0439"/>
    <w:rsid w:val="01763BCE"/>
    <w:rsid w:val="017B2F92"/>
    <w:rsid w:val="01A050EF"/>
    <w:rsid w:val="01CE57B8"/>
    <w:rsid w:val="01DF79C5"/>
    <w:rsid w:val="020E507E"/>
    <w:rsid w:val="02560E5D"/>
    <w:rsid w:val="02732F8E"/>
    <w:rsid w:val="027A76EE"/>
    <w:rsid w:val="02AD361F"/>
    <w:rsid w:val="02CB7F49"/>
    <w:rsid w:val="02F2197A"/>
    <w:rsid w:val="02F32899"/>
    <w:rsid w:val="03082F4B"/>
    <w:rsid w:val="0329177F"/>
    <w:rsid w:val="037800D1"/>
    <w:rsid w:val="03914CEF"/>
    <w:rsid w:val="03B96EA9"/>
    <w:rsid w:val="04267B2D"/>
    <w:rsid w:val="044C330C"/>
    <w:rsid w:val="0462668B"/>
    <w:rsid w:val="04891E6A"/>
    <w:rsid w:val="052851DF"/>
    <w:rsid w:val="05397FD9"/>
    <w:rsid w:val="057A5F58"/>
    <w:rsid w:val="05CA273A"/>
    <w:rsid w:val="070E6657"/>
    <w:rsid w:val="07632E46"/>
    <w:rsid w:val="07BB67DE"/>
    <w:rsid w:val="07F23064"/>
    <w:rsid w:val="07F423F4"/>
    <w:rsid w:val="080E3E4F"/>
    <w:rsid w:val="08230FE7"/>
    <w:rsid w:val="08450B28"/>
    <w:rsid w:val="08762705"/>
    <w:rsid w:val="088F5575"/>
    <w:rsid w:val="08E123B8"/>
    <w:rsid w:val="08E81855"/>
    <w:rsid w:val="08F37758"/>
    <w:rsid w:val="096B7D90"/>
    <w:rsid w:val="09774987"/>
    <w:rsid w:val="0A4168EC"/>
    <w:rsid w:val="0A8235E3"/>
    <w:rsid w:val="0AD672A7"/>
    <w:rsid w:val="0AE84FF2"/>
    <w:rsid w:val="0B247F12"/>
    <w:rsid w:val="0B7C3034"/>
    <w:rsid w:val="0BF24799"/>
    <w:rsid w:val="0BF52487"/>
    <w:rsid w:val="0C0A3890"/>
    <w:rsid w:val="0CD20198"/>
    <w:rsid w:val="0CEC568C"/>
    <w:rsid w:val="0D350DE1"/>
    <w:rsid w:val="0D6E5FD0"/>
    <w:rsid w:val="0D841421"/>
    <w:rsid w:val="0DF90060"/>
    <w:rsid w:val="0E320E7D"/>
    <w:rsid w:val="0E4D10C9"/>
    <w:rsid w:val="0E7E40C2"/>
    <w:rsid w:val="0E9208E7"/>
    <w:rsid w:val="0EA9043C"/>
    <w:rsid w:val="0EDC703A"/>
    <w:rsid w:val="0FDA4211"/>
    <w:rsid w:val="10036F54"/>
    <w:rsid w:val="10587512"/>
    <w:rsid w:val="105D0E37"/>
    <w:rsid w:val="10916BDA"/>
    <w:rsid w:val="10B961C8"/>
    <w:rsid w:val="10E84758"/>
    <w:rsid w:val="11036B00"/>
    <w:rsid w:val="11301FEB"/>
    <w:rsid w:val="121E62E8"/>
    <w:rsid w:val="12CD5618"/>
    <w:rsid w:val="12D544CC"/>
    <w:rsid w:val="12DB5F87"/>
    <w:rsid w:val="13B14447"/>
    <w:rsid w:val="13EC5F71"/>
    <w:rsid w:val="14890F64"/>
    <w:rsid w:val="14C1152C"/>
    <w:rsid w:val="14DC1B42"/>
    <w:rsid w:val="15F15AC1"/>
    <w:rsid w:val="16571DC8"/>
    <w:rsid w:val="166D15EC"/>
    <w:rsid w:val="1697741D"/>
    <w:rsid w:val="16A82624"/>
    <w:rsid w:val="16D01B7A"/>
    <w:rsid w:val="16D90A2F"/>
    <w:rsid w:val="16DC22CD"/>
    <w:rsid w:val="17B73663"/>
    <w:rsid w:val="17CF3BE0"/>
    <w:rsid w:val="18243F2C"/>
    <w:rsid w:val="18D3325C"/>
    <w:rsid w:val="194128BC"/>
    <w:rsid w:val="19736EC8"/>
    <w:rsid w:val="19A215AC"/>
    <w:rsid w:val="19B2362A"/>
    <w:rsid w:val="1A1B16B8"/>
    <w:rsid w:val="1AC437A4"/>
    <w:rsid w:val="1AFF658A"/>
    <w:rsid w:val="1B153D26"/>
    <w:rsid w:val="1B304996"/>
    <w:rsid w:val="1B530684"/>
    <w:rsid w:val="1B9A6CA3"/>
    <w:rsid w:val="1BEB54C3"/>
    <w:rsid w:val="1C3C6084"/>
    <w:rsid w:val="1C6A4A00"/>
    <w:rsid w:val="1C8C02F2"/>
    <w:rsid w:val="1CDA105D"/>
    <w:rsid w:val="1CEF5CB0"/>
    <w:rsid w:val="1D1722B1"/>
    <w:rsid w:val="1D3E1AFE"/>
    <w:rsid w:val="1E2A6014"/>
    <w:rsid w:val="1E4D27F9"/>
    <w:rsid w:val="1E6432D4"/>
    <w:rsid w:val="1E89232D"/>
    <w:rsid w:val="1EB61656"/>
    <w:rsid w:val="1F8D1F3F"/>
    <w:rsid w:val="1F8D7C8B"/>
    <w:rsid w:val="20376B90"/>
    <w:rsid w:val="20407429"/>
    <w:rsid w:val="20457135"/>
    <w:rsid w:val="20CF3CE4"/>
    <w:rsid w:val="20DD55C0"/>
    <w:rsid w:val="21863561"/>
    <w:rsid w:val="219263AA"/>
    <w:rsid w:val="21D864E4"/>
    <w:rsid w:val="21F93D33"/>
    <w:rsid w:val="22995516"/>
    <w:rsid w:val="22DB78DD"/>
    <w:rsid w:val="23111551"/>
    <w:rsid w:val="2318643B"/>
    <w:rsid w:val="234C2589"/>
    <w:rsid w:val="23955CDE"/>
    <w:rsid w:val="23A83C63"/>
    <w:rsid w:val="244D65B8"/>
    <w:rsid w:val="24651B54"/>
    <w:rsid w:val="2492221D"/>
    <w:rsid w:val="24B42D8E"/>
    <w:rsid w:val="24B60ABD"/>
    <w:rsid w:val="250855AF"/>
    <w:rsid w:val="250D3DE0"/>
    <w:rsid w:val="25277888"/>
    <w:rsid w:val="256C6F12"/>
    <w:rsid w:val="258B383C"/>
    <w:rsid w:val="263B7010"/>
    <w:rsid w:val="26637192"/>
    <w:rsid w:val="268C786C"/>
    <w:rsid w:val="26B4291F"/>
    <w:rsid w:val="26BD282A"/>
    <w:rsid w:val="26D7660D"/>
    <w:rsid w:val="26E769FA"/>
    <w:rsid w:val="27642550"/>
    <w:rsid w:val="281573ED"/>
    <w:rsid w:val="28333D17"/>
    <w:rsid w:val="284101E2"/>
    <w:rsid w:val="287F6F5C"/>
    <w:rsid w:val="28810F26"/>
    <w:rsid w:val="28D9041B"/>
    <w:rsid w:val="29336F60"/>
    <w:rsid w:val="293B2E83"/>
    <w:rsid w:val="29852351"/>
    <w:rsid w:val="29C96CBD"/>
    <w:rsid w:val="29E654E5"/>
    <w:rsid w:val="2A506E02"/>
    <w:rsid w:val="2AFC4894"/>
    <w:rsid w:val="2C445BA9"/>
    <w:rsid w:val="2CA23219"/>
    <w:rsid w:val="2CC338BC"/>
    <w:rsid w:val="2CCE420F"/>
    <w:rsid w:val="2D480265"/>
    <w:rsid w:val="2D6005C3"/>
    <w:rsid w:val="2D8C50D6"/>
    <w:rsid w:val="2D977453"/>
    <w:rsid w:val="2E801514"/>
    <w:rsid w:val="2E870919"/>
    <w:rsid w:val="2EA87786"/>
    <w:rsid w:val="2EF22236"/>
    <w:rsid w:val="2F01153B"/>
    <w:rsid w:val="2F7D2448"/>
    <w:rsid w:val="2FA572A9"/>
    <w:rsid w:val="2FED29FE"/>
    <w:rsid w:val="300E1D4A"/>
    <w:rsid w:val="30731155"/>
    <w:rsid w:val="30B05F05"/>
    <w:rsid w:val="30CF21A1"/>
    <w:rsid w:val="310F3573"/>
    <w:rsid w:val="31224929"/>
    <w:rsid w:val="31592A40"/>
    <w:rsid w:val="316F5DC0"/>
    <w:rsid w:val="325D3E6B"/>
    <w:rsid w:val="32667955"/>
    <w:rsid w:val="32B1065A"/>
    <w:rsid w:val="32CE7231"/>
    <w:rsid w:val="32D22AAA"/>
    <w:rsid w:val="32D560F7"/>
    <w:rsid w:val="33373C40"/>
    <w:rsid w:val="33706B83"/>
    <w:rsid w:val="338D5923"/>
    <w:rsid w:val="338F1BFA"/>
    <w:rsid w:val="33A76F60"/>
    <w:rsid w:val="341E7629"/>
    <w:rsid w:val="35682F56"/>
    <w:rsid w:val="35B8223A"/>
    <w:rsid w:val="35F117C8"/>
    <w:rsid w:val="35FF544B"/>
    <w:rsid w:val="36070CBD"/>
    <w:rsid w:val="378A7154"/>
    <w:rsid w:val="37C4573F"/>
    <w:rsid w:val="37CE3417"/>
    <w:rsid w:val="380B4369"/>
    <w:rsid w:val="38284F1B"/>
    <w:rsid w:val="38AC7189"/>
    <w:rsid w:val="396C5949"/>
    <w:rsid w:val="39B0409D"/>
    <w:rsid w:val="3A35391F"/>
    <w:rsid w:val="3AC70A1B"/>
    <w:rsid w:val="3AD73BAB"/>
    <w:rsid w:val="3BF21AC7"/>
    <w:rsid w:val="3BF34868"/>
    <w:rsid w:val="3C013037"/>
    <w:rsid w:val="3C156240"/>
    <w:rsid w:val="3C4E2A76"/>
    <w:rsid w:val="3C566C8A"/>
    <w:rsid w:val="3CFC3366"/>
    <w:rsid w:val="3D9D5A63"/>
    <w:rsid w:val="3DDF42CD"/>
    <w:rsid w:val="3E0C4997"/>
    <w:rsid w:val="3E7A3FF6"/>
    <w:rsid w:val="3EAD617A"/>
    <w:rsid w:val="3EDE5082"/>
    <w:rsid w:val="3F171845"/>
    <w:rsid w:val="3F3B5533"/>
    <w:rsid w:val="3F6B5F18"/>
    <w:rsid w:val="3FDF4D23"/>
    <w:rsid w:val="3FF403FA"/>
    <w:rsid w:val="4024246B"/>
    <w:rsid w:val="402C1320"/>
    <w:rsid w:val="41083B3B"/>
    <w:rsid w:val="41151DB4"/>
    <w:rsid w:val="41270465"/>
    <w:rsid w:val="41DB2FFE"/>
    <w:rsid w:val="42D068DB"/>
    <w:rsid w:val="42E43CE2"/>
    <w:rsid w:val="42F779C3"/>
    <w:rsid w:val="43502DA9"/>
    <w:rsid w:val="43855569"/>
    <w:rsid w:val="43A35D9D"/>
    <w:rsid w:val="43C26223"/>
    <w:rsid w:val="43D8307E"/>
    <w:rsid w:val="43F01F04"/>
    <w:rsid w:val="44030128"/>
    <w:rsid w:val="44507CD3"/>
    <w:rsid w:val="44AF5181"/>
    <w:rsid w:val="44DA6D82"/>
    <w:rsid w:val="455A018C"/>
    <w:rsid w:val="46786473"/>
    <w:rsid w:val="46B02CAB"/>
    <w:rsid w:val="46CE3131"/>
    <w:rsid w:val="47505544"/>
    <w:rsid w:val="48422E23"/>
    <w:rsid w:val="48C06AA9"/>
    <w:rsid w:val="493059DD"/>
    <w:rsid w:val="494F7907"/>
    <w:rsid w:val="49543DC1"/>
    <w:rsid w:val="49A81A17"/>
    <w:rsid w:val="4A82670C"/>
    <w:rsid w:val="4A895CED"/>
    <w:rsid w:val="4AA942A7"/>
    <w:rsid w:val="4ADF73DC"/>
    <w:rsid w:val="4AF3760A"/>
    <w:rsid w:val="4B1B26BD"/>
    <w:rsid w:val="4B315A3D"/>
    <w:rsid w:val="4BE156B5"/>
    <w:rsid w:val="4BE8259F"/>
    <w:rsid w:val="4C0055E5"/>
    <w:rsid w:val="4C261319"/>
    <w:rsid w:val="4C3677AE"/>
    <w:rsid w:val="4C3A3BF5"/>
    <w:rsid w:val="4C5D3E19"/>
    <w:rsid w:val="4C602A7D"/>
    <w:rsid w:val="4C706B3A"/>
    <w:rsid w:val="4CF5766A"/>
    <w:rsid w:val="4E9766FA"/>
    <w:rsid w:val="4EE7471F"/>
    <w:rsid w:val="4F3B332E"/>
    <w:rsid w:val="4F756840"/>
    <w:rsid w:val="4F8E7901"/>
    <w:rsid w:val="4F90367A"/>
    <w:rsid w:val="50297EE6"/>
    <w:rsid w:val="510D2AA8"/>
    <w:rsid w:val="518C05C8"/>
    <w:rsid w:val="51C15CED"/>
    <w:rsid w:val="51C26390"/>
    <w:rsid w:val="52070EBE"/>
    <w:rsid w:val="52285DEB"/>
    <w:rsid w:val="52AD62F0"/>
    <w:rsid w:val="52F201A7"/>
    <w:rsid w:val="53052442"/>
    <w:rsid w:val="5326246C"/>
    <w:rsid w:val="53A94D0A"/>
    <w:rsid w:val="53BD07B5"/>
    <w:rsid w:val="53E775E0"/>
    <w:rsid w:val="53EE6BC1"/>
    <w:rsid w:val="546308FE"/>
    <w:rsid w:val="54D751B7"/>
    <w:rsid w:val="54F75F49"/>
    <w:rsid w:val="55757FC6"/>
    <w:rsid w:val="559D7934"/>
    <w:rsid w:val="5627058B"/>
    <w:rsid w:val="570D735E"/>
    <w:rsid w:val="571B2674"/>
    <w:rsid w:val="57CF589D"/>
    <w:rsid w:val="586D09FC"/>
    <w:rsid w:val="58880C5A"/>
    <w:rsid w:val="589917F1"/>
    <w:rsid w:val="5960230F"/>
    <w:rsid w:val="59B241EC"/>
    <w:rsid w:val="59E940B2"/>
    <w:rsid w:val="5A5E27F6"/>
    <w:rsid w:val="5A704801"/>
    <w:rsid w:val="5A8C5E4D"/>
    <w:rsid w:val="5AE64A95"/>
    <w:rsid w:val="5AED2A9A"/>
    <w:rsid w:val="5AF1270C"/>
    <w:rsid w:val="5BC85F49"/>
    <w:rsid w:val="5CD064A5"/>
    <w:rsid w:val="5D50269A"/>
    <w:rsid w:val="5D6B3425"/>
    <w:rsid w:val="5D9E1657"/>
    <w:rsid w:val="5DDB01B6"/>
    <w:rsid w:val="5DDC52C4"/>
    <w:rsid w:val="5E225DE5"/>
    <w:rsid w:val="5E257683"/>
    <w:rsid w:val="5E8545C5"/>
    <w:rsid w:val="5F0D5523"/>
    <w:rsid w:val="5F2346ED"/>
    <w:rsid w:val="5F546472"/>
    <w:rsid w:val="607448F1"/>
    <w:rsid w:val="60DF228E"/>
    <w:rsid w:val="61086613"/>
    <w:rsid w:val="6118527D"/>
    <w:rsid w:val="615E35D8"/>
    <w:rsid w:val="61686204"/>
    <w:rsid w:val="61DA69D6"/>
    <w:rsid w:val="61DE64C6"/>
    <w:rsid w:val="6283706E"/>
    <w:rsid w:val="62917095"/>
    <w:rsid w:val="62B64D4D"/>
    <w:rsid w:val="62F43847"/>
    <w:rsid w:val="630E06E5"/>
    <w:rsid w:val="64032214"/>
    <w:rsid w:val="6408782B"/>
    <w:rsid w:val="64CF20F6"/>
    <w:rsid w:val="65322CBF"/>
    <w:rsid w:val="653C06CC"/>
    <w:rsid w:val="653C6277"/>
    <w:rsid w:val="65B35574"/>
    <w:rsid w:val="65B37C6A"/>
    <w:rsid w:val="65F91B21"/>
    <w:rsid w:val="661835C7"/>
    <w:rsid w:val="663A0E45"/>
    <w:rsid w:val="66D93700"/>
    <w:rsid w:val="67B376A9"/>
    <w:rsid w:val="67BC5EBB"/>
    <w:rsid w:val="687436E1"/>
    <w:rsid w:val="68CC52CB"/>
    <w:rsid w:val="68DE4FFE"/>
    <w:rsid w:val="691B0000"/>
    <w:rsid w:val="694B58D7"/>
    <w:rsid w:val="696061C4"/>
    <w:rsid w:val="69AA3132"/>
    <w:rsid w:val="69B61AD7"/>
    <w:rsid w:val="69CE4E15"/>
    <w:rsid w:val="69DD52B6"/>
    <w:rsid w:val="6A6B5ED6"/>
    <w:rsid w:val="6AAE3488"/>
    <w:rsid w:val="6B3E7E06"/>
    <w:rsid w:val="6B7F3246"/>
    <w:rsid w:val="6BCF6E80"/>
    <w:rsid w:val="6BF904A6"/>
    <w:rsid w:val="6C117498"/>
    <w:rsid w:val="6C9D571F"/>
    <w:rsid w:val="6CB5251A"/>
    <w:rsid w:val="6CD429A0"/>
    <w:rsid w:val="6D3A7527"/>
    <w:rsid w:val="6DFD5F26"/>
    <w:rsid w:val="6E11379E"/>
    <w:rsid w:val="6E83027E"/>
    <w:rsid w:val="6EF07839"/>
    <w:rsid w:val="6F3C65DA"/>
    <w:rsid w:val="6F63000B"/>
    <w:rsid w:val="6FF40C87"/>
    <w:rsid w:val="707121FD"/>
    <w:rsid w:val="70756248"/>
    <w:rsid w:val="70C65946"/>
    <w:rsid w:val="70FD0AC1"/>
    <w:rsid w:val="710B11E3"/>
    <w:rsid w:val="71500A63"/>
    <w:rsid w:val="717C1858"/>
    <w:rsid w:val="71C54FAD"/>
    <w:rsid w:val="71ED761D"/>
    <w:rsid w:val="720A0C12"/>
    <w:rsid w:val="72B56DCF"/>
    <w:rsid w:val="72DB435C"/>
    <w:rsid w:val="72E964BC"/>
    <w:rsid w:val="72F0605A"/>
    <w:rsid w:val="73004C6D"/>
    <w:rsid w:val="73351602"/>
    <w:rsid w:val="735C7C42"/>
    <w:rsid w:val="73852869"/>
    <w:rsid w:val="74477EFB"/>
    <w:rsid w:val="74B0411D"/>
    <w:rsid w:val="74D07EF1"/>
    <w:rsid w:val="756B19C7"/>
    <w:rsid w:val="75B570E6"/>
    <w:rsid w:val="75BC2223"/>
    <w:rsid w:val="75BF3AC1"/>
    <w:rsid w:val="75CD54D4"/>
    <w:rsid w:val="75F96FD3"/>
    <w:rsid w:val="762E0170"/>
    <w:rsid w:val="764C3ED4"/>
    <w:rsid w:val="767C19B2"/>
    <w:rsid w:val="768636C5"/>
    <w:rsid w:val="76995C6B"/>
    <w:rsid w:val="76D773C6"/>
    <w:rsid w:val="7706409E"/>
    <w:rsid w:val="771147F0"/>
    <w:rsid w:val="77427994"/>
    <w:rsid w:val="77585F7B"/>
    <w:rsid w:val="775C5BE0"/>
    <w:rsid w:val="777F79AC"/>
    <w:rsid w:val="7797777E"/>
    <w:rsid w:val="780A1873"/>
    <w:rsid w:val="781A1483"/>
    <w:rsid w:val="782E39BA"/>
    <w:rsid w:val="78380B3E"/>
    <w:rsid w:val="78482494"/>
    <w:rsid w:val="787D11B8"/>
    <w:rsid w:val="78A771BA"/>
    <w:rsid w:val="78AC6820"/>
    <w:rsid w:val="78C53AE4"/>
    <w:rsid w:val="78F87A16"/>
    <w:rsid w:val="79127BE5"/>
    <w:rsid w:val="792C5912"/>
    <w:rsid w:val="79817A0B"/>
    <w:rsid w:val="79B7167F"/>
    <w:rsid w:val="79C23DD0"/>
    <w:rsid w:val="79EF706B"/>
    <w:rsid w:val="7B7C15C7"/>
    <w:rsid w:val="7C667989"/>
    <w:rsid w:val="7C907F65"/>
    <w:rsid w:val="7CBA4FE2"/>
    <w:rsid w:val="7D1619A9"/>
    <w:rsid w:val="7E2A628E"/>
    <w:rsid w:val="7E4E1E86"/>
    <w:rsid w:val="7E880152"/>
    <w:rsid w:val="7E8B30DA"/>
    <w:rsid w:val="7ECF1219"/>
    <w:rsid w:val="7F8E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rFonts w:eastAsia="SimHei"/>
      <w:snapToGrid w:val="0"/>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HTML Code"/>
    <w:basedOn w:val="9"/>
    <w:qFormat/>
    <w:uiPriority w:val="0"/>
    <w:rPr>
      <w:rFonts w:ascii="Courier New" w:hAnsi="Courier New"/>
      <w:sz w:val="20"/>
    </w:rPr>
  </w:style>
  <w:style w:type="character" w:customStyle="1" w:styleId="11">
    <w:name w:val="font11"/>
    <w:basedOn w:val="9"/>
    <w:qFormat/>
    <w:uiPriority w:val="0"/>
    <w:rPr>
      <w:rFonts w:hint="eastAsia" w:ascii="宋体" w:hAnsi="宋体" w:eastAsia="宋体" w:cs="宋体"/>
      <w:color w:val="000000"/>
      <w:sz w:val="24"/>
      <w:szCs w:val="24"/>
      <w:u w:val="none"/>
    </w:rPr>
  </w:style>
  <w:style w:type="character" w:customStyle="1" w:styleId="12">
    <w:name w:val="font51"/>
    <w:basedOn w:val="9"/>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1165</Words>
  <Characters>2310</Characters>
  <Lines>0</Lines>
  <Paragraphs>0</Paragraphs>
  <TotalTime>2</TotalTime>
  <ScaleCrop>false</ScaleCrop>
  <LinksUpToDate>false</LinksUpToDate>
  <CharactersWithSpaces>2330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2024-01-09T05:20:00Z</dcterms:created>
  <dc:creator>审核人</dc:creator>
  <cp:lastModifiedBy>Administrator</cp:lastModifiedBy>
  <dcterms:modified xsi:type="dcterms:W3CDTF">2026-03-06T10:07:12Z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4FB74A7E8E7A4935ADECDE6C63FDB5AB_13</vt:lpwstr>
  </property>
  <property fmtid="{D5CDD505-2E9C-101B-9397-08002B2CF9AE}" pid="4" name="KSOTemplateDocerSaveRecord">
    <vt:lpwstr>eyJoZGlkIjoiZTQ4ODQwNThiYTg4YTBlNDhkZDRmNGNiNWM5NWE1YzAiLCJ1c2VySWQiOiIxNjk4NDk2NDE5In0=</vt:lpwstr>
  </property>
</Properties>
</file>