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昌吉回族自治州生态环境局阜康市分局2024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BEA6CEF">
      <w:r>
        <w:br w:type="page"/>
      </w:r>
    </w:p>
    <w:p w14:paraId="1879ED1F">
      <w:pPr>
        <w:spacing w:line="640" w:lineRule="exact"/>
        <w:jc w:val="center"/>
        <w:outlineLvl w:val="1"/>
      </w:pPr>
      <w:r>
        <w:rPr>
          <w:rFonts w:ascii="黑体" w:hAnsi="黑体" w:eastAsia="黑体"/>
          <w:sz w:val="32"/>
        </w:rPr>
        <w:t>第一部分 单位概况</w:t>
      </w:r>
    </w:p>
    <w:p w14:paraId="5D220AE6">
      <w:pPr>
        <w:spacing w:line="640" w:lineRule="exact"/>
        <w:ind w:firstLine="640"/>
        <w:jc w:val="both"/>
        <w:outlineLvl w:val="2"/>
      </w:pPr>
      <w:r>
        <w:rPr>
          <w:rFonts w:ascii="黑体" w:hAnsi="黑体" w:eastAsia="黑体"/>
          <w:sz w:val="32"/>
        </w:rPr>
        <w:t>一、主要职能</w:t>
      </w:r>
    </w:p>
    <w:p w14:paraId="1239D6AB">
      <w:pPr>
        <w:spacing w:line="580" w:lineRule="exact"/>
        <w:ind w:firstLine="640"/>
        <w:jc w:val="both"/>
      </w:pPr>
      <w:r>
        <w:rPr>
          <w:rFonts w:ascii="仿宋_GB2312" w:hAnsi="仿宋_GB2312" w:eastAsia="仿宋_GB2312"/>
          <w:sz w:val="32"/>
        </w:rPr>
        <w:t>（一）贯彻执行环境保护方针政策和</w:t>
      </w:r>
      <w:r>
        <w:rPr>
          <w:rFonts w:hint="eastAsia" w:ascii="仿宋_GB2312" w:hAnsi="仿宋_GB2312" w:eastAsia="仿宋_GB2312"/>
          <w:sz w:val="32"/>
          <w:lang w:eastAsia="zh-CN"/>
        </w:rPr>
        <w:t>法律法规</w:t>
      </w:r>
      <w:r>
        <w:rPr>
          <w:rFonts w:ascii="仿宋_GB2312" w:hAnsi="仿宋_GB2312" w:eastAsia="仿宋_GB2312"/>
          <w:sz w:val="32"/>
        </w:rPr>
        <w:t>、规章、标准，开展环境保护政策研究，拟定有关环境保护规范性文件。</w:t>
      </w:r>
    </w:p>
    <w:p w14:paraId="2DA15437">
      <w:pPr>
        <w:spacing w:line="580" w:lineRule="exact"/>
        <w:ind w:firstLine="640"/>
        <w:jc w:val="both"/>
      </w:pPr>
      <w:r>
        <w:rPr>
          <w:rFonts w:ascii="仿宋_GB2312" w:hAnsi="仿宋_GB2312" w:eastAsia="仿宋_GB2312"/>
          <w:sz w:val="32"/>
        </w:rPr>
        <w:t>（二）对本行政区域环境保护工作实施统一监督管理。</w:t>
      </w:r>
    </w:p>
    <w:p w14:paraId="70ED9922">
      <w:pPr>
        <w:spacing w:line="580" w:lineRule="exact"/>
        <w:ind w:firstLine="640"/>
        <w:jc w:val="both"/>
      </w:pPr>
      <w:r>
        <w:rPr>
          <w:rFonts w:ascii="仿宋_GB2312" w:hAnsi="仿宋_GB2312" w:eastAsia="仿宋_GB2312"/>
          <w:sz w:val="32"/>
        </w:rPr>
        <w:t>（三）阜康市人民政府行政区域内的企业事业单位环境保护工作应当接受市环保局的监督管理。</w:t>
      </w:r>
    </w:p>
    <w:p w14:paraId="71049ABA">
      <w:pPr>
        <w:spacing w:line="580" w:lineRule="exact"/>
        <w:ind w:firstLine="640"/>
        <w:jc w:val="both"/>
      </w:pPr>
      <w:r>
        <w:rPr>
          <w:rFonts w:ascii="仿宋_GB2312" w:hAnsi="仿宋_GB2312" w:eastAsia="仿宋_GB2312"/>
          <w:sz w:val="32"/>
        </w:rPr>
        <w:t>（四）制定和实施环境保护目标责任制，将环境保护重点工作任务分解到政府各相关部门和各乡镇人民政府及相关企事业单位，对政府各相关部门和各乡镇人民政府、企事业单位履行生态环境保护责任情况进行监督管理和考核，定期向阜康市党委、市人民政府报告各乡镇人民政府和有关部门履行职责情况。</w:t>
      </w:r>
    </w:p>
    <w:p w14:paraId="3C929DEB">
      <w:pPr>
        <w:spacing w:line="580" w:lineRule="exact"/>
        <w:ind w:firstLine="640"/>
        <w:jc w:val="both"/>
      </w:pPr>
      <w:r>
        <w:rPr>
          <w:rFonts w:ascii="仿宋_GB2312" w:hAnsi="仿宋_GB2312" w:eastAsia="仿宋_GB2312"/>
          <w:sz w:val="32"/>
        </w:rPr>
        <w:t>（五）牵头编制并组织实施环境保护规划，拟订并监督实施相关环境保护专项规划。按权限拟订生态功能区划方案，参与编制主体功能区规划。拟订生态保护规划，指导监督各种类型自然保护区域的环境保护管理。负责召集有关部门代表和专家审查规划环境影响篇章（或说明、报告书）。组织起草生态保护红线划定方案及其管理制度。配合有关部门编制空间规划、推进“多规合一”。</w:t>
      </w:r>
    </w:p>
    <w:p w14:paraId="587C7353">
      <w:pPr>
        <w:spacing w:line="580" w:lineRule="exact"/>
        <w:ind w:firstLine="640"/>
        <w:jc w:val="both"/>
      </w:pPr>
      <w:r>
        <w:rPr>
          <w:rFonts w:ascii="仿宋_GB2312" w:hAnsi="仿宋_GB2312" w:eastAsia="仿宋_GB2312"/>
          <w:sz w:val="32"/>
        </w:rPr>
        <w:t>（六）负责环境污染防治的监督管理，制定水、大气、土壤、噪声、固体废物、核与辐射等污染防治管理制度并组织实施。加强污染源治理设施、自动监控设施的监督管理。</w:t>
      </w:r>
    </w:p>
    <w:p w14:paraId="74A4E4FA">
      <w:pPr>
        <w:spacing w:line="580" w:lineRule="exact"/>
        <w:ind w:firstLine="640"/>
        <w:jc w:val="both"/>
      </w:pPr>
      <w:r>
        <w:rPr>
          <w:rFonts w:ascii="仿宋_GB2312" w:hAnsi="仿宋_GB2312" w:eastAsia="仿宋_GB2312"/>
          <w:sz w:val="32"/>
        </w:rPr>
        <w:t>（七）会同有关部门做好饮用水水源地环境保护，组织指导农村环境综合整治。</w:t>
      </w:r>
    </w:p>
    <w:p w14:paraId="74857746">
      <w:pPr>
        <w:spacing w:line="580" w:lineRule="exact"/>
        <w:ind w:firstLine="640"/>
        <w:jc w:val="both"/>
      </w:pPr>
      <w:r>
        <w:rPr>
          <w:rFonts w:ascii="仿宋_GB2312" w:hAnsi="仿宋_GB2312" w:eastAsia="仿宋_GB2312"/>
          <w:sz w:val="32"/>
        </w:rPr>
        <w:t>（八）组织评估生态环境质量状况并提出政策建议。组织制定重点污染物排放总量控制制度并监督实施，制定污染物排放总量控制指标和分解方案。</w:t>
      </w:r>
    </w:p>
    <w:p w14:paraId="7C00F5D8">
      <w:pPr>
        <w:spacing w:line="580" w:lineRule="exact"/>
        <w:ind w:firstLine="640"/>
        <w:jc w:val="both"/>
      </w:pPr>
      <w:r>
        <w:rPr>
          <w:rFonts w:ascii="仿宋_GB2312" w:hAnsi="仿宋_GB2312" w:eastAsia="仿宋_GB2312"/>
          <w:sz w:val="32"/>
        </w:rPr>
        <w:t>（九）组织实施排污许可、环境影响评价、排污收费、污染减排、区域限批、挂牌督办、企业环境行为监管以及行政约谈等环境保护管理制度和措施。</w:t>
      </w:r>
    </w:p>
    <w:p w14:paraId="1B5884F7">
      <w:pPr>
        <w:spacing w:line="580" w:lineRule="exact"/>
        <w:ind w:firstLine="640"/>
        <w:jc w:val="both"/>
      </w:pPr>
      <w:r>
        <w:rPr>
          <w:rFonts w:ascii="仿宋_GB2312" w:hAnsi="仿宋_GB2312" w:eastAsia="仿宋_GB2312"/>
          <w:sz w:val="32"/>
        </w:rPr>
        <w:t>（十）负责本行政区域环境保护行政执法监管，依法查处各类违法行为。</w:t>
      </w:r>
    </w:p>
    <w:p w14:paraId="63479AF4">
      <w:pPr>
        <w:spacing w:line="580" w:lineRule="exact"/>
        <w:ind w:firstLine="640"/>
        <w:jc w:val="both"/>
      </w:pPr>
      <w:r>
        <w:rPr>
          <w:rFonts w:ascii="仿宋_GB2312" w:hAnsi="仿宋_GB2312" w:eastAsia="仿宋_GB2312"/>
          <w:sz w:val="32"/>
        </w:rPr>
        <w:t>（十一）负责生态环境监测网络建设，组织实施环境质量监测、重点污染监测、生态环境状况监测和突发事件应急环境监测。</w:t>
      </w:r>
    </w:p>
    <w:p w14:paraId="5785A3D4">
      <w:pPr>
        <w:spacing w:line="580" w:lineRule="exact"/>
        <w:ind w:firstLine="640"/>
        <w:jc w:val="both"/>
      </w:pPr>
      <w:r>
        <w:rPr>
          <w:rFonts w:ascii="仿宋_GB2312" w:hAnsi="仿宋_GB2312" w:eastAsia="仿宋_GB2312"/>
          <w:sz w:val="32"/>
        </w:rPr>
        <w:t>（十二）开展环境保护信息化建设工作。构建生态环境监测大数据平台，建立生态环境监测数据集成共享机制，统一发布环境监测信息。</w:t>
      </w:r>
    </w:p>
    <w:p w14:paraId="6A35DDD3">
      <w:pPr>
        <w:spacing w:line="580" w:lineRule="exact"/>
        <w:ind w:firstLine="640"/>
        <w:jc w:val="both"/>
      </w:pPr>
      <w:r>
        <w:rPr>
          <w:rFonts w:ascii="仿宋_GB2312" w:hAnsi="仿宋_GB2312" w:eastAsia="仿宋_GB2312"/>
          <w:sz w:val="32"/>
        </w:rPr>
        <w:t>（十三）协助阜康市人民政府开展突发环境事件应急处置工作，依法调查处理环境污染事件和环境污染纠纷。组织环境污染隐患排查负责对企事业单位环境风险防范和环境安全隐患排查</w:t>
      </w:r>
      <w:r>
        <w:rPr>
          <w:rFonts w:ascii="仿宋_GB2312" w:hAnsi="仿宋_GB2312" w:eastAsia="仿宋_GB2312"/>
          <w:spacing w:val="-6"/>
          <w:sz w:val="32"/>
        </w:rPr>
        <w:t>治理工作进行抽查或者突击检查。发布重大环境事件处置情况信息</w:t>
      </w:r>
      <w:r>
        <w:rPr>
          <w:rFonts w:ascii="仿宋_GB2312" w:hAnsi="仿宋_GB2312" w:eastAsia="仿宋_GB2312"/>
          <w:sz w:val="32"/>
        </w:rPr>
        <w:t>。</w:t>
      </w:r>
    </w:p>
    <w:p w14:paraId="5ED868E0">
      <w:pPr>
        <w:spacing w:line="580" w:lineRule="exact"/>
        <w:ind w:firstLine="640"/>
        <w:jc w:val="both"/>
      </w:pPr>
      <w:r>
        <w:rPr>
          <w:rFonts w:ascii="仿宋_GB2312" w:hAnsi="仿宋_GB2312" w:eastAsia="仿宋_GB2312"/>
          <w:sz w:val="32"/>
        </w:rPr>
        <w:t>（十四）负责本行政区域内自然保护区的综合管理和生态环境的监督管理。</w:t>
      </w:r>
    </w:p>
    <w:p w14:paraId="0963AA57">
      <w:pPr>
        <w:spacing w:line="580" w:lineRule="exact"/>
        <w:ind w:firstLine="640"/>
        <w:jc w:val="both"/>
      </w:pPr>
      <w:r>
        <w:rPr>
          <w:rFonts w:ascii="仿宋_GB2312" w:hAnsi="仿宋_GB2312" w:eastAsia="仿宋_GB2312"/>
          <w:sz w:val="32"/>
        </w:rPr>
        <w:t>（十五）开展环境保护等生态文明宣传教育工作。推动社会公众和社会组织参与环境保护。负责环境信息公开，督促重点排污单位依法公开环境信息。</w:t>
      </w:r>
    </w:p>
    <w:p w14:paraId="05849FC0">
      <w:pPr>
        <w:spacing w:line="580" w:lineRule="exact"/>
        <w:ind w:firstLine="640"/>
        <w:jc w:val="both"/>
      </w:pPr>
      <w:r>
        <w:rPr>
          <w:rFonts w:ascii="仿宋_GB2312" w:hAnsi="仿宋_GB2312" w:eastAsia="仿宋_GB2312"/>
          <w:sz w:val="32"/>
        </w:rPr>
        <w:t>（十六）参与制定与环境保护有关的经济政策、技术政策和产业政策。</w:t>
      </w:r>
    </w:p>
    <w:p w14:paraId="7CBF1278">
      <w:pPr>
        <w:spacing w:line="580" w:lineRule="exact"/>
        <w:ind w:firstLine="640"/>
        <w:jc w:val="both"/>
      </w:pPr>
      <w:r>
        <w:rPr>
          <w:rFonts w:ascii="仿宋_GB2312" w:hAnsi="仿宋_GB2312" w:eastAsia="仿宋_GB2312"/>
          <w:sz w:val="32"/>
        </w:rPr>
        <w:t>（十七）指导、协调和推动生态文明建设示范区创建工作。</w:t>
      </w:r>
    </w:p>
    <w:p w14:paraId="760369C1">
      <w:pPr>
        <w:spacing w:line="580" w:lineRule="exact"/>
        <w:ind w:firstLine="640"/>
        <w:jc w:val="both"/>
      </w:pPr>
      <w:r>
        <w:rPr>
          <w:rFonts w:ascii="仿宋_GB2312" w:hAnsi="仿宋_GB2312" w:eastAsia="仿宋_GB2312"/>
          <w:sz w:val="32"/>
        </w:rPr>
        <w:t>（十八）上级交办的其他生态环境保护职责。</w:t>
      </w:r>
    </w:p>
    <w:p w14:paraId="4DA0DEEE">
      <w:pPr>
        <w:spacing w:line="640" w:lineRule="exact"/>
        <w:ind w:firstLine="640"/>
        <w:jc w:val="both"/>
        <w:outlineLvl w:val="2"/>
      </w:pPr>
      <w:r>
        <w:rPr>
          <w:rFonts w:ascii="黑体" w:hAnsi="黑体" w:eastAsia="黑体"/>
          <w:sz w:val="32"/>
        </w:rPr>
        <w:t>二、机构设置及人员情况</w:t>
      </w:r>
    </w:p>
    <w:p w14:paraId="2A856A20">
      <w:pPr>
        <w:spacing w:line="580" w:lineRule="exact"/>
        <w:ind w:firstLine="640"/>
        <w:jc w:val="both"/>
      </w:pPr>
      <w:r>
        <w:rPr>
          <w:rFonts w:ascii="仿宋_GB2312" w:hAnsi="仿宋_GB2312" w:eastAsia="仿宋_GB2312"/>
          <w:sz w:val="32"/>
        </w:rPr>
        <w:t>昌吉回族自治州生态环境局阜康市分局2024年度，实有人数42人，其中：在职人员31人，增加16人；离休人员0人，增加0人；退休人员11人,增加10人。</w:t>
      </w:r>
    </w:p>
    <w:p w14:paraId="344198F9">
      <w:pPr>
        <w:spacing w:line="580" w:lineRule="exact"/>
        <w:ind w:firstLine="640"/>
        <w:jc w:val="both"/>
      </w:pPr>
      <w:r>
        <w:rPr>
          <w:rFonts w:ascii="仿宋_GB2312" w:hAnsi="仿宋_GB2312" w:eastAsia="仿宋_GB2312"/>
          <w:sz w:val="32"/>
        </w:rPr>
        <w:t>昌吉回族自治州生态环境局阜康市分局无下属预算单位，下设5个科室，分别是：行政办公室、执法大队、监测站、水土科、大气科。</w:t>
      </w:r>
    </w:p>
    <w:p w14:paraId="5A6EBE28">
      <w:r>
        <w:br w:type="page"/>
      </w:r>
    </w:p>
    <w:p w14:paraId="19EFB2F9">
      <w:pPr>
        <w:spacing w:line="240" w:lineRule="auto"/>
        <w:jc w:val="center"/>
        <w:outlineLvl w:val="1"/>
      </w:pPr>
      <w:r>
        <w:rPr>
          <w:rFonts w:ascii="黑体" w:hAnsi="黑体" w:eastAsia="黑体"/>
          <w:sz w:val="32"/>
        </w:rPr>
        <w:t>第二部分 部门决算情况说明</w:t>
      </w:r>
    </w:p>
    <w:p w14:paraId="7AD5D39F">
      <w:pPr>
        <w:spacing w:line="640" w:lineRule="exact"/>
        <w:ind w:firstLine="640"/>
        <w:jc w:val="both"/>
        <w:outlineLvl w:val="2"/>
      </w:pPr>
      <w:r>
        <w:rPr>
          <w:rFonts w:ascii="黑体" w:hAnsi="黑体" w:eastAsia="黑体"/>
          <w:sz w:val="32"/>
        </w:rPr>
        <w:t>一、收入支出决算总体情况说明</w:t>
      </w:r>
    </w:p>
    <w:p w14:paraId="39B1F34A">
      <w:pPr>
        <w:spacing w:line="580" w:lineRule="exact"/>
        <w:ind w:firstLine="640"/>
        <w:jc w:val="both"/>
      </w:pPr>
      <w:r>
        <w:rPr>
          <w:rFonts w:ascii="仿宋_GB2312" w:hAnsi="仿宋_GB2312" w:eastAsia="仿宋_GB2312"/>
          <w:b/>
          <w:sz w:val="32"/>
        </w:rPr>
        <w:t>2024年度收入总计1,285.99万元，</w:t>
      </w:r>
      <w:r>
        <w:rPr>
          <w:rFonts w:ascii="仿宋_GB2312" w:hAnsi="仿宋_GB2312" w:eastAsia="仿宋_GB2312"/>
          <w:b w:val="0"/>
          <w:sz w:val="32"/>
        </w:rPr>
        <w:t>其中：本年收入合计1,265.99万元，使用非财政拨款结余（含专用结余）0.00万元，年初结转和结余20.00万元。</w:t>
      </w:r>
    </w:p>
    <w:p w14:paraId="53812EF1">
      <w:pPr>
        <w:spacing w:line="580" w:lineRule="exact"/>
        <w:ind w:firstLine="640"/>
        <w:jc w:val="both"/>
      </w:pPr>
      <w:r>
        <w:rPr>
          <w:rFonts w:ascii="仿宋_GB2312" w:hAnsi="仿宋_GB2312" w:eastAsia="仿宋_GB2312"/>
          <w:b/>
          <w:sz w:val="32"/>
        </w:rPr>
        <w:t>2024年度支出总计1,285.99万元，</w:t>
      </w:r>
      <w:r>
        <w:rPr>
          <w:rFonts w:ascii="仿宋_GB2312" w:hAnsi="仿宋_GB2312" w:eastAsia="仿宋_GB2312"/>
          <w:b w:val="0"/>
          <w:sz w:val="32"/>
        </w:rPr>
        <w:t>其中：本年支出合计</w:t>
      </w:r>
      <w:r>
        <w:rPr>
          <w:rFonts w:ascii="仿宋_GB2312" w:hAnsi="仿宋_GB2312" w:eastAsia="仿宋_GB2312"/>
          <w:spacing w:val="-6"/>
          <w:sz w:val="32"/>
        </w:rPr>
        <w:t>1,285.99万元，结余分配0.00万元，年末结转和结余0.00万元。</w:t>
      </w:r>
    </w:p>
    <w:p w14:paraId="6D78CB41">
      <w:pPr>
        <w:spacing w:line="580" w:lineRule="exact"/>
        <w:ind w:firstLine="640"/>
        <w:jc w:val="both"/>
      </w:pPr>
      <w:r>
        <w:rPr>
          <w:rFonts w:ascii="仿宋_GB2312" w:hAnsi="仿宋_GB2312" w:eastAsia="仿宋_GB2312"/>
          <w:b w:val="0"/>
          <w:sz w:val="32"/>
        </w:rPr>
        <w:t>收入支出总体与上年相比，增加993.48万元，增长339.64%，主要原因是：因2024年机构改革，昌吉回族自治州生态环境局阜康市分局、阜康市生态环境监测站合并，本年在职人员增加，在职人员工资调增、社保、公积金基数调增，人员经费增加；本年增加阜康市生态环境质量农村千吨万人饮水委托监测项目及阜康市水污染防治执法监测、应急监测项目。</w:t>
      </w:r>
    </w:p>
    <w:p w14:paraId="4BC7160E">
      <w:pPr>
        <w:spacing w:line="640" w:lineRule="exact"/>
        <w:ind w:firstLine="640"/>
        <w:jc w:val="both"/>
        <w:outlineLvl w:val="2"/>
      </w:pPr>
      <w:r>
        <w:rPr>
          <w:rFonts w:ascii="黑体" w:hAnsi="黑体" w:eastAsia="黑体"/>
          <w:sz w:val="32"/>
        </w:rPr>
        <w:t>二、收入决算情况说明</w:t>
      </w:r>
    </w:p>
    <w:p w14:paraId="0DCFE217">
      <w:pPr>
        <w:spacing w:line="580" w:lineRule="exact"/>
        <w:ind w:firstLine="640"/>
        <w:jc w:val="both"/>
      </w:pPr>
      <w:r>
        <w:rPr>
          <w:rFonts w:ascii="仿宋_GB2312" w:hAnsi="仿宋_GB2312" w:eastAsia="仿宋_GB2312"/>
          <w:b/>
          <w:sz w:val="32"/>
        </w:rPr>
        <w:t>本年收入1,265.99万元，</w:t>
      </w:r>
      <w:r>
        <w:rPr>
          <w:rFonts w:ascii="仿宋_GB2312" w:hAnsi="仿宋_GB2312" w:eastAsia="仿宋_GB2312"/>
          <w:b w:val="0"/>
          <w:sz w:val="32"/>
        </w:rPr>
        <w:t>其中：财政拨款收入1,265.99万元，占100.00%；上级补助收入0.00万元，占0.00%；事业收入0.00万元，占0.00%；经营收入0.00万元，占0.00%；附属单位上缴收入0.00万元，占0.00%；其他收入0.00万元，占0.00%。</w:t>
      </w:r>
    </w:p>
    <w:p w14:paraId="4C6179A8">
      <w:pPr>
        <w:spacing w:line="640" w:lineRule="exact"/>
        <w:ind w:firstLine="640"/>
        <w:jc w:val="both"/>
        <w:outlineLvl w:val="2"/>
      </w:pPr>
      <w:r>
        <w:rPr>
          <w:rFonts w:ascii="黑体" w:hAnsi="黑体" w:eastAsia="黑体"/>
          <w:sz w:val="32"/>
        </w:rPr>
        <w:t>三、支出决算情况说明</w:t>
      </w:r>
    </w:p>
    <w:p w14:paraId="15B4C064">
      <w:pPr>
        <w:spacing w:line="580" w:lineRule="exact"/>
        <w:ind w:firstLine="640"/>
        <w:jc w:val="both"/>
      </w:pPr>
      <w:r>
        <w:rPr>
          <w:rFonts w:ascii="仿宋_GB2312" w:hAnsi="仿宋_GB2312" w:eastAsia="仿宋_GB2312"/>
          <w:b/>
          <w:sz w:val="32"/>
        </w:rPr>
        <w:t>本年支出1,285.99万元，</w:t>
      </w:r>
      <w:r>
        <w:rPr>
          <w:rFonts w:ascii="仿宋_GB2312" w:hAnsi="仿宋_GB2312" w:eastAsia="仿宋_GB2312"/>
          <w:b w:val="0"/>
          <w:sz w:val="32"/>
        </w:rPr>
        <w:t>其中：基本支出966.85万元，占75.18%；项目支出319.14万元，占24.82%；上缴上级支出0.00万元，占0.00%；经营支出0.00万元，占0.00%；对附属单位补助支出0.00万元，占0.00%。</w:t>
      </w:r>
    </w:p>
    <w:p w14:paraId="59445D2F">
      <w:pPr>
        <w:spacing w:line="640" w:lineRule="exact"/>
        <w:ind w:firstLine="640"/>
        <w:jc w:val="both"/>
        <w:outlineLvl w:val="2"/>
      </w:pPr>
      <w:r>
        <w:rPr>
          <w:rFonts w:ascii="黑体" w:hAnsi="黑体" w:eastAsia="黑体"/>
          <w:sz w:val="32"/>
        </w:rPr>
        <w:t>四、财政拨款收入支出决算总体情况说明</w:t>
      </w:r>
    </w:p>
    <w:p w14:paraId="503B5F4C">
      <w:pPr>
        <w:spacing w:line="580" w:lineRule="exact"/>
        <w:ind w:firstLine="640"/>
        <w:jc w:val="both"/>
      </w:pPr>
      <w:r>
        <w:rPr>
          <w:rFonts w:ascii="仿宋_GB2312" w:hAnsi="仿宋_GB2312" w:eastAsia="仿宋_GB2312"/>
          <w:b/>
          <w:sz w:val="32"/>
        </w:rPr>
        <w:t>2024年度财政拨款收入总计1,265.99万元，</w:t>
      </w:r>
      <w:r>
        <w:rPr>
          <w:rFonts w:ascii="仿宋_GB2312" w:hAnsi="仿宋_GB2312" w:eastAsia="仿宋_GB2312"/>
          <w:b w:val="0"/>
          <w:sz w:val="32"/>
        </w:rPr>
        <w:t>其中：年初财政拨款结转和结余0.00万元，本年财政拨款收入1,265.99万元。</w:t>
      </w:r>
      <w:r>
        <w:rPr>
          <w:rFonts w:ascii="仿宋_GB2312" w:hAnsi="仿宋_GB2312" w:eastAsia="仿宋_GB2312"/>
          <w:b/>
          <w:sz w:val="32"/>
        </w:rPr>
        <w:t>财政拨款支出总计1,265.99万元，</w:t>
      </w:r>
      <w:r>
        <w:rPr>
          <w:rFonts w:ascii="仿宋_GB2312" w:hAnsi="仿宋_GB2312" w:eastAsia="仿宋_GB2312"/>
          <w:b w:val="0"/>
          <w:sz w:val="32"/>
        </w:rPr>
        <w:t>其中：年末财政拨款结转和结余0.00万元，本年财政拨款支出1,265.99万元。</w:t>
      </w:r>
    </w:p>
    <w:p w14:paraId="13FD3CA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973.48万元，增长332.80%，主要原因是：因2024年机构改革，昌吉回族自治州生态环境局阜康市分局、阜康市生态环境监测站合并，本年在职人员增加，在职人员工资调增、社保、公积金基数调增，人员经费增加；本年增加阜康市生态环境质量农村千吨万人饮水委托监测项目及阜康市水污染防治执法监测、应急监测项目。</w:t>
      </w:r>
      <w:r>
        <w:rPr>
          <w:rFonts w:ascii="仿宋_GB2312" w:hAnsi="仿宋_GB2312" w:eastAsia="仿宋_GB2312"/>
          <w:b/>
          <w:sz w:val="32"/>
        </w:rPr>
        <w:t>与年初预算相比，</w:t>
      </w:r>
      <w:r>
        <w:rPr>
          <w:rFonts w:ascii="仿宋_GB2312" w:hAnsi="仿宋_GB2312" w:eastAsia="仿宋_GB2312"/>
          <w:b w:val="0"/>
          <w:sz w:val="32"/>
        </w:rPr>
        <w:t>年初预算数1,036.28万元，决算数1,265.99万元，预决算差异率22.17%，主要原因是：本年在职人员增加，年中追加人员经费及人员工资、社保、公积金基数调增部分资金；年中追加阜康市生态环境质量农村千吨万人饮水委托监测项目及</w:t>
      </w:r>
      <w:r>
        <w:rPr>
          <w:rFonts w:ascii="仿宋_GB2312" w:hAnsi="仿宋_GB2312" w:eastAsia="仿宋_GB2312"/>
          <w:spacing w:val="-6"/>
          <w:sz w:val="32"/>
        </w:rPr>
        <w:t>阜康市水污染防治执法监测、应急监测项目，导致预决算存在差异。</w:t>
      </w:r>
    </w:p>
    <w:p w14:paraId="4593E662">
      <w:pPr>
        <w:spacing w:line="640" w:lineRule="exact"/>
        <w:ind w:firstLine="640"/>
        <w:jc w:val="both"/>
        <w:outlineLvl w:val="2"/>
      </w:pPr>
      <w:r>
        <w:rPr>
          <w:rFonts w:ascii="黑体" w:hAnsi="黑体" w:eastAsia="黑体"/>
          <w:sz w:val="32"/>
        </w:rPr>
        <w:t>五、一般公共预算财政拨款支出决算情况说明</w:t>
      </w:r>
    </w:p>
    <w:p w14:paraId="33A26E80">
      <w:pPr>
        <w:spacing w:line="640" w:lineRule="exact"/>
        <w:ind w:firstLine="640"/>
        <w:jc w:val="both"/>
        <w:outlineLvl w:val="3"/>
      </w:pPr>
      <w:r>
        <w:rPr>
          <w:rFonts w:ascii="楷体_GB2312" w:hAnsi="楷体_GB2312" w:eastAsia="楷体_GB2312"/>
          <w:b/>
          <w:sz w:val="32"/>
        </w:rPr>
        <w:t>（一）一般公共预算财政拨款支出决算总体情况</w:t>
      </w:r>
    </w:p>
    <w:p w14:paraId="058AE8C4">
      <w:pPr>
        <w:spacing w:line="580" w:lineRule="exact"/>
        <w:ind w:firstLine="640"/>
        <w:jc w:val="both"/>
      </w:pPr>
      <w:r>
        <w:rPr>
          <w:rFonts w:ascii="仿宋_GB2312" w:hAnsi="仿宋_GB2312" w:eastAsia="仿宋_GB2312"/>
          <w:b/>
          <w:sz w:val="32"/>
        </w:rPr>
        <w:t>2024年度一般公共预算财政拨款支出1,265.99万元，</w:t>
      </w:r>
      <w:r>
        <w:rPr>
          <w:rFonts w:ascii="仿宋_GB2312" w:hAnsi="仿宋_GB2312" w:eastAsia="仿宋_GB2312"/>
          <w:b w:val="0"/>
          <w:sz w:val="32"/>
        </w:rPr>
        <w:t>占本年支出合计的98.44%。</w:t>
      </w:r>
      <w:r>
        <w:rPr>
          <w:rFonts w:ascii="仿宋_GB2312" w:hAnsi="仿宋_GB2312" w:eastAsia="仿宋_GB2312"/>
          <w:b/>
          <w:sz w:val="32"/>
        </w:rPr>
        <w:t>与上年相比，</w:t>
      </w:r>
      <w:r>
        <w:rPr>
          <w:rFonts w:ascii="仿宋_GB2312" w:hAnsi="仿宋_GB2312" w:eastAsia="仿宋_GB2312"/>
          <w:b w:val="0"/>
          <w:sz w:val="32"/>
        </w:rPr>
        <w:t>增加973.48万元，增长332.80%，主要原因是：因2024年机构改革，昌吉回族自治州生态环境局阜康市分局、阜康市生态环境监测站合并，本年在职人员增加，在职人员工资调增、社保、公积金基数调增，人员经费增加；本年增加阜康市生态环境质量农村千吨万人饮水委托监测项目及阜康市水污染防治执法监测、应急监测项目。</w:t>
      </w:r>
      <w:r>
        <w:rPr>
          <w:rFonts w:ascii="仿宋_GB2312" w:hAnsi="仿宋_GB2312" w:eastAsia="仿宋_GB2312"/>
          <w:b/>
          <w:sz w:val="32"/>
        </w:rPr>
        <w:t>与年初预算相比,</w:t>
      </w:r>
      <w:r>
        <w:rPr>
          <w:rFonts w:ascii="仿宋_GB2312" w:hAnsi="仿宋_GB2312" w:eastAsia="仿宋_GB2312"/>
          <w:b w:val="0"/>
          <w:sz w:val="32"/>
        </w:rPr>
        <w:t>年初预算数1,036.28万元，决算数1,265.99万元，预决算差异率22.17%，主要原因是：本年在职人员增加，年中追加人员经费及人员工资、社保、公积金基数调增部分资金；年中追加阜康市生态环境质量农村千吨万人饮水委托监测项目及阜康市水污染防治执法监测、应急监测项目，导致预决算存在差异。</w:t>
      </w:r>
    </w:p>
    <w:p w14:paraId="1BCA77C6">
      <w:pPr>
        <w:spacing w:line="640" w:lineRule="exact"/>
        <w:ind w:firstLine="640"/>
        <w:jc w:val="both"/>
        <w:outlineLvl w:val="3"/>
      </w:pPr>
      <w:r>
        <w:rPr>
          <w:rFonts w:ascii="楷体_GB2312" w:hAnsi="楷体_GB2312" w:eastAsia="楷体_GB2312"/>
          <w:b/>
          <w:sz w:val="32"/>
        </w:rPr>
        <w:t>（二）一般公共预算财政拨款支出决算结构情况</w:t>
      </w:r>
    </w:p>
    <w:p w14:paraId="75618910">
      <w:pPr>
        <w:spacing w:line="580" w:lineRule="exact"/>
        <w:ind w:firstLine="640"/>
        <w:jc w:val="both"/>
      </w:pPr>
      <w:r>
        <w:rPr>
          <w:rFonts w:ascii="仿宋_GB2312" w:hAnsi="仿宋_GB2312" w:eastAsia="仿宋_GB2312"/>
          <w:b w:val="0"/>
          <w:sz w:val="32"/>
        </w:rPr>
        <w:t>1.一般公共服务支出(类)3.00万元,占0.24%。</w:t>
      </w:r>
    </w:p>
    <w:p w14:paraId="5C5491EB">
      <w:pPr>
        <w:spacing w:line="580" w:lineRule="exact"/>
        <w:ind w:firstLine="640"/>
        <w:jc w:val="both"/>
      </w:pPr>
      <w:r>
        <w:rPr>
          <w:rFonts w:ascii="仿宋_GB2312" w:hAnsi="仿宋_GB2312" w:eastAsia="仿宋_GB2312"/>
          <w:b w:val="0"/>
          <w:sz w:val="32"/>
        </w:rPr>
        <w:t>2.社会保障和就业支出(类)185.62万元,占14.66%。</w:t>
      </w:r>
    </w:p>
    <w:p w14:paraId="271EDB25">
      <w:pPr>
        <w:spacing w:line="580" w:lineRule="exact"/>
        <w:ind w:firstLine="640"/>
        <w:jc w:val="both"/>
      </w:pPr>
      <w:r>
        <w:rPr>
          <w:rFonts w:ascii="仿宋_GB2312" w:hAnsi="仿宋_GB2312" w:eastAsia="仿宋_GB2312"/>
          <w:b w:val="0"/>
          <w:sz w:val="32"/>
        </w:rPr>
        <w:t>3.卫生健康支出(类)33.95万元,占2.68%。</w:t>
      </w:r>
    </w:p>
    <w:p w14:paraId="54F3A159">
      <w:pPr>
        <w:spacing w:line="580" w:lineRule="exact"/>
        <w:ind w:firstLine="640"/>
        <w:jc w:val="both"/>
      </w:pPr>
      <w:r>
        <w:rPr>
          <w:rFonts w:ascii="仿宋_GB2312" w:hAnsi="仿宋_GB2312" w:eastAsia="仿宋_GB2312"/>
          <w:b w:val="0"/>
          <w:sz w:val="32"/>
        </w:rPr>
        <w:t>4.节能环保支出(类)996.46万元,占78.71%。</w:t>
      </w:r>
    </w:p>
    <w:p w14:paraId="0D53D409">
      <w:pPr>
        <w:spacing w:line="580" w:lineRule="exact"/>
        <w:ind w:firstLine="640"/>
        <w:jc w:val="both"/>
      </w:pPr>
      <w:r>
        <w:rPr>
          <w:rFonts w:ascii="仿宋_GB2312" w:hAnsi="仿宋_GB2312" w:eastAsia="仿宋_GB2312"/>
          <w:b w:val="0"/>
          <w:sz w:val="32"/>
        </w:rPr>
        <w:t>5.住房保障支出(类)46.96万元,占3.71%。</w:t>
      </w:r>
    </w:p>
    <w:p w14:paraId="6E56F698">
      <w:pPr>
        <w:spacing w:line="640" w:lineRule="exact"/>
        <w:ind w:firstLine="640"/>
        <w:jc w:val="both"/>
        <w:outlineLvl w:val="3"/>
      </w:pPr>
      <w:r>
        <w:rPr>
          <w:rFonts w:ascii="楷体_GB2312" w:hAnsi="楷体_GB2312" w:eastAsia="楷体_GB2312"/>
          <w:b/>
          <w:sz w:val="32"/>
        </w:rPr>
        <w:t>（三）一般公共预算财政拨款支出决算具体情况</w:t>
      </w:r>
    </w:p>
    <w:p w14:paraId="12BE972E">
      <w:pPr>
        <w:spacing w:line="580" w:lineRule="exact"/>
        <w:ind w:firstLine="640"/>
        <w:jc w:val="both"/>
      </w:pPr>
      <w:r>
        <w:rPr>
          <w:rFonts w:ascii="仿宋_GB2312" w:hAnsi="仿宋_GB2312" w:eastAsia="仿宋_GB2312"/>
          <w:b w:val="0"/>
          <w:sz w:val="32"/>
        </w:rPr>
        <w:t>1.一般公共服务支出(类)组织事务(款)其他组织事务支出(项):支出决算数为3.00万元，比上年决算增加3.00万元，增长100.00%,主要原因是：本年增加单位租赁费。</w:t>
      </w:r>
    </w:p>
    <w:p w14:paraId="0DEDAFB7">
      <w:pPr>
        <w:spacing w:line="580" w:lineRule="exact"/>
        <w:ind w:firstLine="640"/>
        <w:jc w:val="both"/>
      </w:pPr>
      <w:r>
        <w:rPr>
          <w:rFonts w:ascii="仿宋_GB2312" w:hAnsi="仿宋_GB2312" w:eastAsia="仿宋_GB2312"/>
          <w:b w:val="0"/>
          <w:sz w:val="32"/>
        </w:rPr>
        <w:t>2.一般公共服务支出(类)其他一般公共服务支出(款)其他一般公共服务支出(项):支出决算数为0.00万元，比上年决算减少5.85万元，下降100.00%,主要原因是：本年减少环境监测运转费。</w:t>
      </w:r>
    </w:p>
    <w:p w14:paraId="0E9E2146">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0.36万元，比上年决算增加0.36万元，增长100.00%,主要原因是：因2024年机构改革，昌吉回族自治州生态环境局阜康市分局、阜康市生态环境监测站合并，本年退休人员增加，增加退休人员基础绩效奖，退休费支出增加。</w:t>
      </w:r>
    </w:p>
    <w:p w14:paraId="0DD69C8F">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56.65万元，比上年决算增加29.19万元，增长106.30%,主要原因是：因为2024年机构改革，昌吉回族自治州生态环境局阜康市分局、阜康市生态环境监测站合并，本年在职人员增加，养老保险缴费较上年增加。</w:t>
      </w:r>
    </w:p>
    <w:p w14:paraId="761F590E">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128.61万元，比上年决算增加115.52万元，增长882.51%,主要原因是：因为2024年机构改革，昌吉回族自治州生态环境局阜康市分局、阜康市生态环境监测站合并，本年新增退休人员，职业年金缴费支出增加。</w:t>
      </w:r>
    </w:p>
    <w:p w14:paraId="6929B0F5">
      <w:pPr>
        <w:spacing w:line="580" w:lineRule="exact"/>
        <w:ind w:firstLine="640"/>
        <w:jc w:val="both"/>
      </w:pPr>
      <w:r>
        <w:rPr>
          <w:rFonts w:ascii="仿宋_GB2312" w:hAnsi="仿宋_GB2312" w:eastAsia="仿宋_GB2312"/>
          <w:b w:val="0"/>
          <w:sz w:val="32"/>
        </w:rPr>
        <w:t>6.卫生健康支出(类)行政事业单位医疗(款)行政单位医疗(项):支出决算数为8.62万元，比上年决算增加8.62万元，增长100.00%,主要原因是：本年功能科目调整，行政单位医疗上年度在事业单位医疗科目列支，本年单独列支，导致经费较上年增加。</w:t>
      </w:r>
    </w:p>
    <w:p w14:paraId="58FCED32">
      <w:pPr>
        <w:spacing w:line="580" w:lineRule="exact"/>
        <w:ind w:firstLine="640"/>
        <w:jc w:val="both"/>
      </w:pPr>
      <w:r>
        <w:rPr>
          <w:rFonts w:ascii="仿宋_GB2312" w:hAnsi="仿宋_GB2312" w:eastAsia="仿宋_GB2312"/>
          <w:b w:val="0"/>
          <w:sz w:val="32"/>
        </w:rPr>
        <w:t>7.卫生健康支出(类)行政事业单位医疗(款)事业单位医疗(项):支出决算数为21.98万元，比上年决算增加7.68万元，增长53.71%,主要原因是：因为2024年机构改革，昌吉回族自治州生态环境局阜康市分局、阜康市生态环境监测站合并，本年在职人员增加，事业单位医疗较上年增加。</w:t>
      </w:r>
    </w:p>
    <w:p w14:paraId="57028E4F">
      <w:pPr>
        <w:spacing w:line="580" w:lineRule="exact"/>
        <w:ind w:firstLine="640"/>
        <w:jc w:val="both"/>
      </w:pPr>
      <w:r>
        <w:rPr>
          <w:rFonts w:ascii="仿宋_GB2312" w:hAnsi="仿宋_GB2312" w:eastAsia="仿宋_GB2312"/>
          <w:b w:val="0"/>
          <w:sz w:val="32"/>
        </w:rPr>
        <w:t>8.卫生健康支出(类)行政事业单位医疗(款)公务员医疗补助(项):支出决算数为3.25万元，比上年决算增加2.78万元，增长591.49%,主要原因是：因为2024年机构改革，昌吉回族自治州生态环境局阜康市分局、阜康市生态环境监测站合并，本年在职人员增加，公务员医疗补助较上年增加。</w:t>
      </w:r>
    </w:p>
    <w:p w14:paraId="05244B5B">
      <w:pPr>
        <w:spacing w:line="580" w:lineRule="exact"/>
        <w:ind w:firstLine="640"/>
        <w:jc w:val="both"/>
        <w:rPr>
          <w:rFonts w:ascii="仿宋_GB2312" w:hAnsi="仿宋_GB2312" w:eastAsia="仿宋_GB2312"/>
          <w:spacing w:val="-6"/>
          <w:sz w:val="32"/>
        </w:rPr>
      </w:pPr>
      <w:r>
        <w:rPr>
          <w:rFonts w:ascii="仿宋_GB2312" w:hAnsi="仿宋_GB2312" w:eastAsia="仿宋_GB2312"/>
          <w:b w:val="0"/>
          <w:sz w:val="32"/>
        </w:rPr>
        <w:t>9.卫生健康支出(类)行政事业单位医疗(款)其他行政事业单位医疗支出(项):支出决算数为0.10万元，比上年决算增加0.08万元，增长400.00%,主要原因是：因为2024年机构改革，昌吉回族自治州生态环境局阜康市分局、阜康市生态环境监测站</w:t>
      </w:r>
      <w:r>
        <w:rPr>
          <w:rFonts w:ascii="仿宋_GB2312" w:hAnsi="仿宋_GB2312" w:eastAsia="仿宋_GB2312"/>
          <w:spacing w:val="-6"/>
          <w:sz w:val="32"/>
        </w:rPr>
        <w:t>合并，本年在职人员增加，其他行政</w:t>
      </w:r>
      <w:r>
        <w:rPr>
          <w:rFonts w:ascii="仿宋_GB2312" w:hAnsi="仿宋_GB2312" w:eastAsia="仿宋_GB2312"/>
          <w:spacing w:val="-6"/>
          <w:sz w:val="32"/>
        </w:rPr>
        <w:t>事业单位医疗支出较上年增加。</w:t>
      </w:r>
    </w:p>
    <w:p w14:paraId="3C251793">
      <w:pPr>
        <w:spacing w:line="580" w:lineRule="exact"/>
        <w:ind w:firstLine="640"/>
        <w:jc w:val="both"/>
      </w:pPr>
      <w:r>
        <w:rPr>
          <w:rFonts w:ascii="仿宋_GB2312" w:hAnsi="仿宋_GB2312" w:eastAsia="仿宋_GB2312"/>
          <w:b w:val="0"/>
          <w:sz w:val="32"/>
        </w:rPr>
        <w:t>10.节能环保支出(类)环境保护管理事务(款)行政运行(项):支出决算数为314.90万元，比上年决算增加314.90万元，增长100.00%,主要原因是：因为2024年机构改革，昌吉回族自治州生态环境局阜康市分局与阜康市生态环境监测站合并，本年在职人员工资调增，导致相关人员经费较上年有所增加。</w:t>
      </w:r>
    </w:p>
    <w:p w14:paraId="6E522E17">
      <w:pPr>
        <w:spacing w:line="580" w:lineRule="exact"/>
        <w:ind w:firstLine="640"/>
        <w:jc w:val="both"/>
      </w:pPr>
      <w:r>
        <w:rPr>
          <w:rFonts w:ascii="仿宋_GB2312" w:hAnsi="仿宋_GB2312" w:eastAsia="仿宋_GB2312"/>
          <w:b w:val="0"/>
          <w:sz w:val="32"/>
        </w:rPr>
        <w:t>11.节能环保支出(类)环境保护管理事务(款)其他环境保护管理事务支出(项):支出决算数为255.67万元，比上年决算增加255.07万元，增长42,511.67%,主要原因是：本年增加阜康市空气质量自动监测数据购买服务项目、阜康市环境空气质量自动监测数据购买服务项目及经责审计四个化债项目。</w:t>
      </w:r>
    </w:p>
    <w:p w14:paraId="6ADE4321">
      <w:pPr>
        <w:spacing w:line="580" w:lineRule="exact"/>
        <w:ind w:firstLine="640"/>
        <w:jc w:val="both"/>
      </w:pPr>
      <w:r>
        <w:rPr>
          <w:rFonts w:ascii="仿宋_GB2312" w:hAnsi="仿宋_GB2312" w:eastAsia="仿宋_GB2312"/>
          <w:b w:val="0"/>
          <w:sz w:val="32"/>
        </w:rPr>
        <w:t>12.节能环保支出(类)环境监测与监察(款)其他环境监测与监察支出(项):支出决算数为16.25万元，比上年决算增加16.25万元，增长100.00%,主要原因是：本年增加机动车固定遥感检测设备项目。</w:t>
      </w:r>
    </w:p>
    <w:p w14:paraId="530001EF">
      <w:pPr>
        <w:spacing w:line="580" w:lineRule="exact"/>
        <w:ind w:firstLine="640"/>
        <w:jc w:val="both"/>
      </w:pPr>
      <w:r>
        <w:rPr>
          <w:rFonts w:ascii="仿宋_GB2312" w:hAnsi="仿宋_GB2312" w:eastAsia="仿宋_GB2312"/>
          <w:b w:val="0"/>
          <w:sz w:val="32"/>
        </w:rPr>
        <w:t>13.节能环保支出(类)污染防治(款)大气(项):支出决算数为67.05万元，比上年决算增加67.05万元，增长100.00%,主要原因是：本年增加拨付昌吉州2022年环保节能减排专项经费、昌州财建</w:t>
      </w:r>
      <w:r>
        <w:rPr>
          <w:rFonts w:hint="eastAsia" w:ascii="仿宋_GB2312" w:hAnsi="仿宋_GB2312" w:eastAsia="仿宋_GB2312"/>
          <w:b w:val="0"/>
          <w:sz w:val="32"/>
          <w:lang w:eastAsia="zh-CN"/>
        </w:rPr>
        <w:t>〔2023〕84号</w:t>
      </w:r>
      <w:r>
        <w:rPr>
          <w:rFonts w:ascii="仿宋_GB2312" w:hAnsi="仿宋_GB2312" w:eastAsia="仿宋_GB2312"/>
          <w:b w:val="0"/>
          <w:sz w:val="32"/>
        </w:rPr>
        <w:t>中央大气污染防治燃煤锅炉淘汰整治项目资金。</w:t>
      </w:r>
    </w:p>
    <w:p w14:paraId="7FBC60F5">
      <w:pPr>
        <w:spacing w:line="580" w:lineRule="exact"/>
        <w:ind w:firstLine="640"/>
        <w:jc w:val="both"/>
      </w:pPr>
      <w:r>
        <w:rPr>
          <w:rFonts w:ascii="仿宋_GB2312" w:hAnsi="仿宋_GB2312" w:eastAsia="仿宋_GB2312"/>
          <w:b w:val="0"/>
          <w:sz w:val="32"/>
        </w:rPr>
        <w:t>14.节能环保支出(类)污染防治(款)水体(项):支出决算数为7.65万元，比上年决算增加7.65万元，增长100.00%,主要原因是：本年增加阜康市生态环境质量农村千吨万人饮水委托监测项目支出。</w:t>
      </w:r>
    </w:p>
    <w:p w14:paraId="0B9C4233">
      <w:pPr>
        <w:spacing w:line="580" w:lineRule="exact"/>
        <w:ind w:firstLine="640"/>
        <w:jc w:val="both"/>
      </w:pPr>
      <w:r>
        <w:rPr>
          <w:rFonts w:ascii="仿宋_GB2312" w:hAnsi="仿宋_GB2312" w:eastAsia="仿宋_GB2312"/>
          <w:b w:val="0"/>
          <w:sz w:val="32"/>
        </w:rPr>
        <w:t>15.节能环保支出(类)污染防治(款)其他污染防治支出(项):支出决算数为25.10万元，比上年决算增加25.10万元，增长100.00%,主要原因是：本年增加阜康市水污染防治执法监测、应急监测项目支出。</w:t>
      </w:r>
    </w:p>
    <w:p w14:paraId="1217BDC3">
      <w:pPr>
        <w:spacing w:line="580" w:lineRule="exact"/>
        <w:ind w:firstLine="640"/>
        <w:jc w:val="both"/>
      </w:pPr>
      <w:r>
        <w:rPr>
          <w:rFonts w:ascii="仿宋_GB2312" w:hAnsi="仿宋_GB2312" w:eastAsia="仿宋_GB2312"/>
          <w:b w:val="0"/>
          <w:sz w:val="32"/>
        </w:rPr>
        <w:t>16.节能环保支出(类)污染减排(款)生态环境监测与信息(项):支出决算数为258.78万元，比上年决算增加49.74万元，增长23.79%,主要原因是：因为2024年机构改革，昌吉回族自治州生态环境局阜康市分局、阜康市生态环境监测站合并，本年在职人员工资调增，导致相关人员经费较上年有所增加。</w:t>
      </w:r>
    </w:p>
    <w:p w14:paraId="4041FA26">
      <w:pPr>
        <w:spacing w:line="580" w:lineRule="exact"/>
        <w:ind w:firstLine="640"/>
        <w:jc w:val="both"/>
      </w:pPr>
      <w:r>
        <w:rPr>
          <w:rFonts w:ascii="仿宋_GB2312" w:hAnsi="仿宋_GB2312" w:eastAsia="仿宋_GB2312"/>
          <w:b w:val="0"/>
          <w:sz w:val="32"/>
        </w:rPr>
        <w:t>17.节能环保支出(类)其他节能环保支出(款)其他节能环保支出(项):支出决算数为51.06万元，比上年决算增加51.06万元，增长100.00%,主要原因是：本年增加阜康市2021年水环境质量监测服务项目资金、阜康市县域农村生活污水治理专项规划项目、阜康市农村人居环境整治-污水处理设施建设规划、拨付昌吉州2022年环保节能减排专项经费。</w:t>
      </w:r>
    </w:p>
    <w:p w14:paraId="6EAF2AB1">
      <w:pPr>
        <w:spacing w:line="580" w:lineRule="exact"/>
        <w:ind w:firstLine="640"/>
        <w:jc w:val="both"/>
      </w:pPr>
      <w:r>
        <w:rPr>
          <w:rFonts w:ascii="仿宋_GB2312" w:hAnsi="仿宋_GB2312" w:eastAsia="仿宋_GB2312"/>
          <w:b w:val="0"/>
          <w:sz w:val="32"/>
        </w:rPr>
        <w:t>18.住房保障支出(类)住房改革支出(款)住房公积金(项):支出决算数为46.96万元，比上年决算增加25.28万元，增长116.61%,主要原因是：因为2024年机构改革，昌吉回族自治州生态环境局阜康市分局、阜康市生态环境监测站合并，本年在职人员增加，住房公积金支出较上年增加。</w:t>
      </w:r>
    </w:p>
    <w:p w14:paraId="152F8155">
      <w:pPr>
        <w:spacing w:line="640" w:lineRule="exact"/>
        <w:ind w:firstLine="640"/>
        <w:jc w:val="both"/>
        <w:outlineLvl w:val="2"/>
      </w:pPr>
      <w:r>
        <w:rPr>
          <w:rFonts w:ascii="黑体" w:hAnsi="黑体" w:eastAsia="黑体"/>
          <w:sz w:val="32"/>
        </w:rPr>
        <w:t>六、一般公共预算财政拨款基本支出决算情况说明</w:t>
      </w:r>
    </w:p>
    <w:p w14:paraId="57454FF3">
      <w:pPr>
        <w:spacing w:line="580" w:lineRule="exact"/>
        <w:ind w:firstLine="640"/>
        <w:jc w:val="both"/>
      </w:pPr>
      <w:r>
        <w:rPr>
          <w:rFonts w:ascii="仿宋_GB2312" w:hAnsi="仿宋_GB2312" w:eastAsia="仿宋_GB2312"/>
          <w:b w:val="0"/>
          <w:sz w:val="32"/>
        </w:rPr>
        <w:t>2024年度一般公共预算财政拨款基本支出946.85万元，其中：</w:t>
      </w:r>
      <w:r>
        <w:rPr>
          <w:rFonts w:ascii="仿宋_GB2312" w:hAnsi="仿宋_GB2312" w:eastAsia="仿宋_GB2312"/>
          <w:b/>
          <w:sz w:val="32"/>
        </w:rPr>
        <w:t>人员经费836.41万元，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19496C28">
      <w:pPr>
        <w:spacing w:line="580" w:lineRule="exact"/>
        <w:ind w:firstLine="640"/>
        <w:jc w:val="both"/>
      </w:pPr>
      <w:r>
        <w:rPr>
          <w:rFonts w:ascii="仿宋_GB2312" w:hAnsi="仿宋_GB2312" w:eastAsia="仿宋_GB2312"/>
          <w:b/>
          <w:sz w:val="32"/>
        </w:rPr>
        <w:t>公用经费110.45万元，</w:t>
      </w:r>
      <w:r>
        <w:rPr>
          <w:rFonts w:ascii="仿宋_GB2312" w:hAnsi="仿宋_GB2312" w:eastAsia="仿宋_GB2312"/>
          <w:b w:val="0"/>
          <w:sz w:val="32"/>
        </w:rPr>
        <w:t>包括：办公费、印刷费、手续费、水费、电费、邮电费、取暖费、差旅费、维修（护）费、租赁费、培训费、公务接待费、专用材料费、劳务费、委托业务费、工会经费、福利费、公务用车运行维护费、其他商品和服务支出。</w:t>
      </w:r>
    </w:p>
    <w:p w14:paraId="4341952E">
      <w:pPr>
        <w:spacing w:line="640" w:lineRule="exact"/>
        <w:ind w:firstLine="640"/>
        <w:jc w:val="both"/>
        <w:outlineLvl w:val="2"/>
      </w:pPr>
      <w:r>
        <w:rPr>
          <w:rFonts w:ascii="黑体" w:hAnsi="黑体" w:eastAsia="黑体"/>
          <w:sz w:val="32"/>
        </w:rPr>
        <w:t>七、政府性基金预算财政拨款收入支出决算情况说明</w:t>
      </w:r>
    </w:p>
    <w:p w14:paraId="53CF328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B4D2A93">
      <w:pPr>
        <w:spacing w:line="640" w:lineRule="exact"/>
        <w:ind w:firstLine="640"/>
        <w:jc w:val="both"/>
        <w:outlineLvl w:val="2"/>
      </w:pPr>
      <w:r>
        <w:rPr>
          <w:rFonts w:ascii="黑体" w:hAnsi="黑体" w:eastAsia="黑体"/>
          <w:sz w:val="32"/>
        </w:rPr>
        <w:t>八、国有资本经营预算财政拨款收入支出决算情况说明</w:t>
      </w:r>
    </w:p>
    <w:p w14:paraId="55FDAFF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7EA0EEC">
      <w:pPr>
        <w:spacing w:line="640" w:lineRule="exact"/>
        <w:ind w:firstLine="640"/>
        <w:jc w:val="both"/>
        <w:outlineLvl w:val="2"/>
      </w:pPr>
      <w:r>
        <w:rPr>
          <w:rFonts w:ascii="黑体" w:hAnsi="黑体" w:eastAsia="黑体"/>
          <w:sz w:val="32"/>
        </w:rPr>
        <w:t>九、财政拨款“三公”经费支出决算情况说明</w:t>
      </w:r>
    </w:p>
    <w:p w14:paraId="40FA7418">
      <w:pPr>
        <w:spacing w:line="580" w:lineRule="exact"/>
        <w:ind w:firstLine="640"/>
        <w:jc w:val="both"/>
      </w:pPr>
      <w:r>
        <w:rPr>
          <w:rFonts w:ascii="仿宋_GB2312" w:hAnsi="仿宋_GB2312" w:eastAsia="仿宋_GB2312"/>
          <w:b/>
          <w:sz w:val="32"/>
        </w:rPr>
        <w:t>2024年度财政拨款“三公”经费支出20.94万元，</w:t>
      </w:r>
      <w:r>
        <w:rPr>
          <w:rFonts w:ascii="仿宋_GB2312" w:hAnsi="仿宋_GB2312" w:eastAsia="仿宋_GB2312"/>
          <w:b w:val="0"/>
          <w:sz w:val="32"/>
        </w:rPr>
        <w:t>比上年增加17.13万元，增长449.61%，主要原因是：因为2024年机构改革，昌吉回族自治州生态环境局阜康市分局、阜康市生态环境监测站合并，车辆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17.49万元，占83.52%，比上年增加13.96万元，增长395.47%，主要原因是：因为2024年机构改革，昌吉回族自治州生态环境局阜康市分局、阜康市生态环境监测站合并，车辆增加，燃油费增加，导致公务用车运行维护费较上年增加。公务接待费支出3.45万元，占16.48%，比上年增加3.17万元，增长1,132.14%，主要原因是：本年因业务需求，增加公务接待工作，导致公务接待费较上年增加。</w:t>
      </w:r>
    </w:p>
    <w:p w14:paraId="1343476D">
      <w:pPr>
        <w:spacing w:line="580" w:lineRule="exact"/>
        <w:ind w:firstLine="640"/>
        <w:jc w:val="both"/>
      </w:pPr>
      <w:r>
        <w:rPr>
          <w:rFonts w:ascii="仿宋_GB2312" w:hAnsi="仿宋_GB2312" w:eastAsia="仿宋_GB2312"/>
          <w:b/>
          <w:sz w:val="32"/>
        </w:rPr>
        <w:t>具体情况如下：</w:t>
      </w:r>
    </w:p>
    <w:p w14:paraId="78D18E7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EF238F7">
      <w:pPr>
        <w:spacing w:line="580" w:lineRule="exact"/>
        <w:ind w:firstLine="640"/>
        <w:jc w:val="both"/>
      </w:pPr>
      <w:r>
        <w:rPr>
          <w:rFonts w:ascii="仿宋_GB2312" w:hAnsi="仿宋_GB2312" w:eastAsia="仿宋_GB2312"/>
          <w:b w:val="0"/>
          <w:sz w:val="32"/>
        </w:rPr>
        <w:t>公务用车购置及运行维护费17.49万元，其中：公务用车购置费0.00万元，公务用车运行维护费17.49万元。公务用车运行维护费开支内容包括公务用车燃料费、维修费、保险费等。公务用车购置数0辆，公务用车保有量6辆。国有资产占用情况中固定资产车辆6辆，与公务用车保有量差异原因是：本单位固定资产车辆与公务用车保有量一致无差异。</w:t>
      </w:r>
    </w:p>
    <w:p w14:paraId="1F66CC5C">
      <w:pPr>
        <w:spacing w:line="580" w:lineRule="exact"/>
        <w:ind w:firstLine="640"/>
        <w:jc w:val="both"/>
      </w:pPr>
      <w:r>
        <w:rPr>
          <w:rFonts w:ascii="仿宋_GB2312" w:hAnsi="仿宋_GB2312" w:eastAsia="仿宋_GB2312"/>
          <w:b w:val="0"/>
          <w:sz w:val="32"/>
        </w:rPr>
        <w:t>公务接待费3.45万元，开支内容包括上级督导检查产生的公务接待费、自治区帮扶执法指导，产生就餐费。单位全年安排的国内公务接待50批次，200人次。</w:t>
      </w:r>
    </w:p>
    <w:p w14:paraId="5E982D4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20.94万元，决算数20.94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17.49万元，决算数17.49万元，预决算差异率0.00%，主要原因是：严格按照预算执行，预决算无差异。公务接待费全年预算数3.45万元，决算数3.45万元，预决算差异率0.00%，主要原因是：严格按照预算执行，预决算无差异。</w:t>
      </w:r>
    </w:p>
    <w:p w14:paraId="0248EEC8">
      <w:pPr>
        <w:spacing w:line="640" w:lineRule="exact"/>
        <w:ind w:firstLine="640"/>
        <w:jc w:val="both"/>
        <w:outlineLvl w:val="2"/>
      </w:pPr>
      <w:r>
        <w:rPr>
          <w:rFonts w:ascii="黑体" w:hAnsi="黑体" w:eastAsia="黑体"/>
          <w:sz w:val="32"/>
        </w:rPr>
        <w:t>十、其他重要事项的情况说明</w:t>
      </w:r>
    </w:p>
    <w:p w14:paraId="0667526A">
      <w:pPr>
        <w:spacing w:line="640" w:lineRule="exact"/>
        <w:ind w:firstLine="640"/>
        <w:jc w:val="both"/>
        <w:outlineLvl w:val="3"/>
      </w:pPr>
      <w:r>
        <w:rPr>
          <w:rFonts w:ascii="楷体_GB2312" w:hAnsi="楷体_GB2312" w:eastAsia="楷体_GB2312"/>
          <w:b/>
          <w:sz w:val="32"/>
        </w:rPr>
        <w:t>（一）机关运行经费及公用经费支出情况</w:t>
      </w:r>
    </w:p>
    <w:p w14:paraId="27F2A1CA">
      <w:pPr>
        <w:spacing w:line="580" w:lineRule="exact"/>
        <w:ind w:firstLine="640"/>
        <w:jc w:val="both"/>
      </w:pPr>
      <w:r>
        <w:rPr>
          <w:rFonts w:ascii="仿宋_GB2312" w:hAnsi="仿宋_GB2312" w:eastAsia="仿宋_GB2312"/>
          <w:b w:val="0"/>
          <w:sz w:val="32"/>
        </w:rPr>
        <w:t>2024年度昌吉回族自治州生态环境局阜康市分局（行政单位和参照公务员法管理事业单位）机关运行经费支出110.45万元，比上年增加110.45万元，增长100.00%，主要原因是：因为2024年机构改革，昌吉回族自治州生态环境局阜康市分局、阜康市生态环境监测站合并，增加办公费、取暖费、差旅费、专用材料费等。</w:t>
      </w:r>
    </w:p>
    <w:p w14:paraId="38BF4BD0">
      <w:pPr>
        <w:spacing w:line="640" w:lineRule="exact"/>
        <w:ind w:firstLine="640"/>
        <w:jc w:val="both"/>
        <w:outlineLvl w:val="3"/>
      </w:pPr>
      <w:r>
        <w:rPr>
          <w:rFonts w:ascii="楷体_GB2312" w:hAnsi="楷体_GB2312" w:eastAsia="楷体_GB2312"/>
          <w:b/>
          <w:sz w:val="32"/>
        </w:rPr>
        <w:t>（二）政府采购情况</w:t>
      </w:r>
    </w:p>
    <w:p w14:paraId="3585A645">
      <w:pPr>
        <w:spacing w:line="580" w:lineRule="exact"/>
        <w:ind w:firstLine="640"/>
        <w:jc w:val="both"/>
      </w:pPr>
      <w:r>
        <w:rPr>
          <w:rFonts w:ascii="仿宋_GB2312" w:hAnsi="仿宋_GB2312" w:eastAsia="仿宋_GB2312"/>
          <w:b w:val="0"/>
          <w:sz w:val="32"/>
        </w:rPr>
        <w:t>2024年度政府采购支出总额78.13万元，其中：政府采购货物支出78.13万元、政府采购工程支出0.00万元、政府采购服务支出0.00万元。</w:t>
      </w:r>
    </w:p>
    <w:p w14:paraId="5E369044">
      <w:pPr>
        <w:spacing w:line="580" w:lineRule="exact"/>
        <w:ind w:firstLine="640"/>
        <w:jc w:val="both"/>
      </w:pPr>
      <w:r>
        <w:rPr>
          <w:rFonts w:ascii="仿宋_GB2312" w:hAnsi="仿宋_GB2312" w:eastAsia="仿宋_GB2312"/>
          <w:b w:val="0"/>
          <w:sz w:val="32"/>
        </w:rPr>
        <w:t>授予中小企业合同金额78.13万元，占政府采购支出总额的100.00%，其中：授予小微企业合同金额78.13万元，占政府采购支出总额的100.00%。</w:t>
      </w:r>
    </w:p>
    <w:p w14:paraId="54886711">
      <w:pPr>
        <w:spacing w:line="640" w:lineRule="exact"/>
        <w:ind w:firstLine="640"/>
        <w:jc w:val="both"/>
        <w:outlineLvl w:val="3"/>
      </w:pPr>
      <w:r>
        <w:rPr>
          <w:rFonts w:ascii="楷体_GB2312" w:hAnsi="楷体_GB2312" w:eastAsia="楷体_GB2312"/>
          <w:b/>
          <w:sz w:val="32"/>
        </w:rPr>
        <w:t>（三）国有资产占用情况说明</w:t>
      </w:r>
    </w:p>
    <w:p w14:paraId="7DAE3D27">
      <w:pPr>
        <w:spacing w:line="580" w:lineRule="exact"/>
        <w:ind w:firstLine="640"/>
        <w:jc w:val="both"/>
      </w:pPr>
      <w:r>
        <w:rPr>
          <w:rFonts w:ascii="仿宋_GB2312" w:hAnsi="仿宋_GB2312" w:eastAsia="仿宋_GB2312"/>
          <w:b w:val="0"/>
          <w:sz w:val="32"/>
        </w:rPr>
        <w:t>截至2024年12月31日，房屋1,410.58平方米，价值970.45万元。车辆6辆，价值298.93万元，其中：副部（省）级及以上领导用车0辆、主要负责人用车0辆、机要通信用车0辆、应急保障用车0辆、执法执勤用车3辆、特种专业技术用车1辆、离退休干部服务用车0辆、其他用车2辆，其他用车主要是：1辆环境检测用车，1辆收发文件、接送人员用车。单价100万元（含）以上设备（不含车辆）0台（套）。</w:t>
      </w:r>
    </w:p>
    <w:p w14:paraId="48F946B5">
      <w:pPr>
        <w:spacing w:line="640" w:lineRule="exact"/>
        <w:ind w:firstLine="640"/>
        <w:jc w:val="both"/>
        <w:outlineLvl w:val="2"/>
      </w:pPr>
      <w:r>
        <w:rPr>
          <w:rFonts w:ascii="黑体" w:hAnsi="黑体" w:eastAsia="黑体"/>
          <w:sz w:val="32"/>
        </w:rPr>
        <w:t>十一、预算绩效的情况说明</w:t>
      </w:r>
    </w:p>
    <w:p w14:paraId="79B7126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1,285.99万元，实际执行总额1,285.99万元；预算绩效评价项目3个，全年预算数46.00万元，全年执行数46.00万元。预算绩效管理取得的成效：一是做到合理安排各项资金，重点保障基本支出，按轻重缓急顺序原则；二是切实优化资源配置，提高了资金使用的效率和效果；三是深化绩效评价工作，坚持谁使用资金、谁进行绩效评价。发现的问题及原因：一是部门整体支出绩效管理意识有待提高部门整体支出绩效管理工作意识淡薄，主要体现在：一是部门年度预算编制当中绩效目标意识不够，二是预算执行过程当中存在有开支政策依据但无预算安排的支出；三是对部门整体支出绩效评价结果利用欠充分。二是预算控制工作有待加强。预算控制是实现预算收支任务的关键步骤，也是整个预算管理工作的中心环节。三是不可预计的专项资金需求不能及时安排预算。部分环保专项工作，在上年编制预算之前不能充分预计，因而没有列入预算，当环保专项工作开展急需使用资金时，因没有纳入预算难以获得专项拨款，致使项目实施受阻。下一步改进措施：一是完善绩效评价体系，加强监督检查和考核工作进一步探索完善项目绩效评价指标体系，研究、关注绩效管理理论与实践发展的新思路、新动向，进一步完善项目绩效评价指标体系，增强绩效评价结果的可比性、可信度。加强对绩效管理工作的跟踪督查，做到绩效管理有依据、按程序、有奖惩，实现绩效管理的规范化、常态化。二是推动相关制度建设，逐步建立以绩效为导向的预算编制模式从项目绩效评价制度入手，借鉴其他部门在绩效管理方面的经验和做法，制定统一的绩效考评制度，并将其贯彻到预算申请、预算分配、项目实施和绩效考评的全过程。把绩效考评的结果作为编制部门预算的重要依据，建立绩效预算激励机制。具体附整体支出绩效自评表，项目支出绩效自评表和评价报告。</w:t>
      </w:r>
    </w:p>
    <w:p w14:paraId="7EEA9AB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DF1E61D">
        <w:tblPrEx>
          <w:tblCellMar>
            <w:top w:w="0" w:type="dxa"/>
            <w:left w:w="108" w:type="dxa"/>
            <w:bottom w:w="0" w:type="dxa"/>
            <w:right w:w="108" w:type="dxa"/>
          </w:tblCellMar>
        </w:tblPrEx>
        <w:tc>
          <w:tcPr>
            <w:tcW w:w="8847" w:type="dxa"/>
            <w:gridSpan w:val="9"/>
            <w:vAlign w:val="center"/>
          </w:tcPr>
          <w:p w14:paraId="4ECE25C9">
            <w:pPr>
              <w:jc w:val="center"/>
            </w:pPr>
            <w:r>
              <w:rPr>
                <w:rFonts w:ascii="宋体" w:hAnsi="宋体" w:eastAsia="宋体"/>
                <w:sz w:val="24"/>
              </w:rPr>
              <w:t>单位整体支出绩效自评表</w:t>
            </w:r>
          </w:p>
        </w:tc>
      </w:tr>
      <w:tr w14:paraId="718ED57D">
        <w:tblPrEx>
          <w:tblCellMar>
            <w:top w:w="0" w:type="dxa"/>
            <w:left w:w="108" w:type="dxa"/>
            <w:bottom w:w="0" w:type="dxa"/>
            <w:right w:w="108" w:type="dxa"/>
          </w:tblCellMar>
        </w:tblPrEx>
        <w:tc>
          <w:tcPr>
            <w:tcW w:w="8847" w:type="dxa"/>
            <w:gridSpan w:val="9"/>
            <w:vAlign w:val="center"/>
          </w:tcPr>
          <w:p w14:paraId="15E5F921">
            <w:pPr>
              <w:jc w:val="center"/>
            </w:pPr>
            <w:r>
              <w:rPr>
                <w:rFonts w:ascii="宋体" w:hAnsi="宋体" w:eastAsia="宋体"/>
                <w:sz w:val="24"/>
              </w:rPr>
              <w:t>（2024年度）</w:t>
            </w:r>
          </w:p>
        </w:tc>
      </w:tr>
      <w:tr w14:paraId="737E91B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15DC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281322">
            <w:pPr>
              <w:jc w:val="center"/>
            </w:pPr>
            <w:r>
              <w:rPr>
                <w:rFonts w:ascii="宋体" w:hAnsi="宋体" w:eastAsia="宋体"/>
                <w:sz w:val="16"/>
              </w:rPr>
              <w:t>昌吉回族自治州生态环境局阜康市分局</w:t>
            </w:r>
          </w:p>
        </w:tc>
      </w:tr>
      <w:tr w14:paraId="70AFE8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FA80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D138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8EF3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9E9F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7BDC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6568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32B5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81E28">
            <w:pPr>
              <w:jc w:val="center"/>
            </w:pPr>
            <w:r>
              <w:rPr>
                <w:rFonts w:ascii="宋体" w:hAnsi="宋体" w:eastAsia="宋体"/>
                <w:sz w:val="16"/>
              </w:rPr>
              <w:t>得分</w:t>
            </w:r>
          </w:p>
        </w:tc>
      </w:tr>
      <w:tr w14:paraId="60AC0F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B48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BA45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6FC1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67446">
            <w:pPr>
              <w:jc w:val="center"/>
            </w:pPr>
            <w:r>
              <w:rPr>
                <w:rFonts w:ascii="宋体" w:hAnsi="宋体" w:eastAsia="宋体"/>
                <w:sz w:val="16"/>
              </w:rPr>
              <w:t>178.06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DDD1C">
            <w:pPr>
              <w:jc w:val="center"/>
            </w:pPr>
            <w:r>
              <w:rPr>
                <w:rFonts w:ascii="宋体" w:hAnsi="宋体" w:eastAsia="宋体"/>
                <w:sz w:val="16"/>
              </w:rPr>
              <w:t>178.06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9CA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C34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4FED7">
            <w:pPr>
              <w:jc w:val="center"/>
            </w:pPr>
            <w:r>
              <w:rPr>
                <w:rFonts w:ascii="宋体" w:hAnsi="宋体" w:eastAsia="宋体"/>
                <w:sz w:val="16"/>
              </w:rPr>
              <w:t>-</w:t>
            </w:r>
          </w:p>
        </w:tc>
      </w:tr>
      <w:tr w14:paraId="5F02F4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3A7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3FD3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93C0E">
            <w:pPr>
              <w:jc w:val="center"/>
            </w:pPr>
            <w:r>
              <w:rPr>
                <w:rFonts w:ascii="宋体" w:hAnsi="宋体" w:eastAsia="宋体"/>
                <w:sz w:val="16"/>
              </w:rPr>
              <w:t>297.65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28254">
            <w:pPr>
              <w:jc w:val="center"/>
            </w:pPr>
            <w:r>
              <w:rPr>
                <w:rFonts w:ascii="宋体" w:hAnsi="宋体" w:eastAsia="宋体"/>
                <w:sz w:val="16"/>
              </w:rPr>
              <w:t>1,107.93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09130">
            <w:pPr>
              <w:jc w:val="center"/>
            </w:pPr>
            <w:r>
              <w:rPr>
                <w:rFonts w:ascii="宋体" w:hAnsi="宋体" w:eastAsia="宋体"/>
                <w:sz w:val="16"/>
              </w:rPr>
              <w:t>1,107.93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61DE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FEE5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5CB5E">
            <w:pPr>
              <w:jc w:val="center"/>
            </w:pPr>
            <w:r>
              <w:rPr>
                <w:rFonts w:ascii="宋体" w:hAnsi="宋体" w:eastAsia="宋体"/>
                <w:sz w:val="16"/>
              </w:rPr>
              <w:t>-</w:t>
            </w:r>
          </w:p>
        </w:tc>
      </w:tr>
      <w:tr w14:paraId="6049C7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EDAF7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5475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B58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260F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978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66E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618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19E9E">
            <w:pPr>
              <w:jc w:val="center"/>
            </w:pPr>
            <w:r>
              <w:rPr>
                <w:rFonts w:ascii="宋体" w:hAnsi="宋体" w:eastAsia="宋体"/>
                <w:sz w:val="16"/>
              </w:rPr>
              <w:t>-</w:t>
            </w:r>
          </w:p>
        </w:tc>
      </w:tr>
      <w:tr w14:paraId="644DE6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64D5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D33F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429E5">
            <w:pPr>
              <w:jc w:val="center"/>
            </w:pPr>
            <w:r>
              <w:rPr>
                <w:rFonts w:ascii="宋体" w:hAnsi="宋体" w:eastAsia="宋体"/>
                <w:sz w:val="16"/>
              </w:rPr>
              <w:t>297.65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17EDC">
            <w:pPr>
              <w:jc w:val="center"/>
            </w:pPr>
            <w:r>
              <w:rPr>
                <w:rFonts w:ascii="宋体" w:hAnsi="宋体" w:eastAsia="宋体"/>
                <w:sz w:val="16"/>
              </w:rPr>
              <w:t>1,285.99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224A0">
            <w:pPr>
              <w:jc w:val="center"/>
            </w:pPr>
            <w:r>
              <w:rPr>
                <w:rFonts w:ascii="宋体" w:hAnsi="宋体" w:eastAsia="宋体"/>
                <w:sz w:val="16"/>
              </w:rPr>
              <w:t>1,285.99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0B1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B860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D84DF">
            <w:pPr>
              <w:jc w:val="center"/>
            </w:pPr>
            <w:r>
              <w:rPr>
                <w:rFonts w:ascii="宋体" w:hAnsi="宋体" w:eastAsia="宋体"/>
                <w:sz w:val="16"/>
              </w:rPr>
              <w:t>10</w:t>
            </w:r>
          </w:p>
        </w:tc>
      </w:tr>
      <w:tr w14:paraId="034032C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6BAA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402E5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8366E7">
            <w:pPr>
              <w:jc w:val="center"/>
            </w:pPr>
            <w:r>
              <w:rPr>
                <w:rFonts w:ascii="宋体" w:hAnsi="宋体" w:eastAsia="宋体"/>
                <w:sz w:val="16"/>
              </w:rPr>
              <w:t>实际完成情况</w:t>
            </w:r>
          </w:p>
        </w:tc>
      </w:tr>
      <w:tr w14:paraId="7BDED0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1F04B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372423">
            <w:pPr>
              <w:jc w:val="both"/>
            </w:pPr>
            <w:r>
              <w:rPr>
                <w:rFonts w:ascii="宋体" w:hAnsi="宋体" w:eastAsia="宋体"/>
                <w:sz w:val="16"/>
              </w:rPr>
              <w:t>为环境管理服务，开拓环境监测工作新局面，确保环境监测在环境管理中的技术支持和监督服务作用。同时按照《2023年昌吉州生态环境监测技术方案》要求，着重抓好监测站能力建设，强化环境监测管理，提高环境监测质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21691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全年预算数为1,285.99万元，全年执行数为1,285.99万元，执行率100.00%，2024年</w:t>
            </w:r>
            <w:r>
              <w:rPr>
                <w:rFonts w:hint="eastAsia" w:ascii="宋体" w:hAnsi="宋体"/>
                <w:sz w:val="16"/>
                <w:lang w:eastAsia="zh-CN"/>
              </w:rPr>
              <w:t>本单位</w:t>
            </w:r>
            <w:r>
              <w:rPr>
                <w:rFonts w:ascii="宋体" w:hAnsi="宋体" w:eastAsia="宋体"/>
                <w:sz w:val="16"/>
              </w:rPr>
              <w:t>完成了保障办公人员15人的人员数量，印刷费用完成了5次，购置专用材料6次，职业教育专项培训10人次，购置实验室及办公运转物品的合格率达到了95%，按照《工作方案》开展10项重金属项目的扩项工作，提升阜康市生态环境监测站监测能力水平，如期完成监测任务达到了100%</w:t>
            </w:r>
            <w:r>
              <w:rPr>
                <w:rFonts w:hint="eastAsia" w:ascii="宋体" w:hAnsi="宋体"/>
                <w:sz w:val="16"/>
                <w:lang w:eastAsia="zh-CN"/>
              </w:rPr>
              <w:t>；</w:t>
            </w:r>
            <w:r>
              <w:rPr>
                <w:rFonts w:ascii="宋体" w:hAnsi="宋体" w:eastAsia="宋体"/>
                <w:sz w:val="16"/>
              </w:rPr>
              <w:t>以上工作达到了单位基本运转及单位职能履职的保障作用，总结经验做法，找出资金使用和管理中的薄弱环节，进一步加强预算管理，提高财政资金使用效益，为部门科学决策、规范管理提供参考。</w:t>
            </w:r>
          </w:p>
        </w:tc>
      </w:tr>
      <w:tr w14:paraId="05F3425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19CC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7954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8493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F5D6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DC92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F043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4632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DA8BA">
            <w:pPr>
              <w:jc w:val="center"/>
            </w:pPr>
            <w:r>
              <w:rPr>
                <w:rFonts w:ascii="宋体" w:hAnsi="宋体" w:eastAsia="宋体"/>
                <w:sz w:val="16"/>
              </w:rPr>
              <w:t>得分</w:t>
            </w:r>
          </w:p>
        </w:tc>
      </w:tr>
      <w:tr w14:paraId="476FA50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9369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3C81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0DD53">
            <w:pPr>
              <w:jc w:val="center"/>
            </w:pPr>
            <w:r>
              <w:rPr>
                <w:rFonts w:ascii="宋体" w:hAnsi="宋体" w:eastAsia="宋体"/>
                <w:sz w:val="16"/>
              </w:rPr>
              <w:t>保障办公人员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E2A4A">
            <w:pPr>
              <w:jc w:val="center"/>
            </w:pPr>
            <w:r>
              <w:rPr>
                <w:rFonts w:ascii="宋体" w:hAnsi="宋体" w:eastAsia="宋体"/>
                <w:sz w:val="16"/>
              </w:rPr>
              <w:t>&gt;=15人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138CD">
            <w:pPr>
              <w:jc w:val="center"/>
            </w:pPr>
            <w:r>
              <w:rPr>
                <w:rFonts w:ascii="宋体" w:hAnsi="宋体" w:eastAsia="宋体"/>
                <w:sz w:val="16"/>
              </w:rPr>
              <w:t>自治州深化环境监测改革提升环境监测能力工作实施方案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692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C1E37">
            <w:pPr>
              <w:jc w:val="center"/>
            </w:pPr>
            <w:r>
              <w:rPr>
                <w:rFonts w:ascii="宋体" w:hAnsi="宋体" w:eastAsia="宋体"/>
                <w:sz w:val="16"/>
              </w:rPr>
              <w:t>15人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99285">
            <w:pPr>
              <w:jc w:val="center"/>
            </w:pPr>
            <w:r>
              <w:rPr>
                <w:rFonts w:ascii="宋体" w:hAnsi="宋体" w:eastAsia="宋体"/>
                <w:sz w:val="16"/>
              </w:rPr>
              <w:t>10</w:t>
            </w:r>
          </w:p>
        </w:tc>
      </w:tr>
      <w:tr w14:paraId="2B1F79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9F2D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0816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3C639">
            <w:pPr>
              <w:jc w:val="center"/>
            </w:pPr>
            <w:r>
              <w:rPr>
                <w:rFonts w:ascii="宋体" w:hAnsi="宋体" w:eastAsia="宋体"/>
                <w:sz w:val="16"/>
              </w:rPr>
              <w:t>印刷费用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F812F">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8626F">
            <w:pPr>
              <w:jc w:val="center"/>
            </w:pPr>
            <w:r>
              <w:rPr>
                <w:rFonts w:ascii="宋体" w:hAnsi="宋体" w:eastAsia="宋体"/>
                <w:sz w:val="16"/>
              </w:rPr>
              <w:t>自治州深化环境监测改革提升环境监测能力工作实施方案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A41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F2334">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14F8C">
            <w:pPr>
              <w:jc w:val="center"/>
            </w:pPr>
            <w:r>
              <w:rPr>
                <w:rFonts w:ascii="宋体" w:hAnsi="宋体" w:eastAsia="宋体"/>
                <w:sz w:val="16"/>
              </w:rPr>
              <w:t>10</w:t>
            </w:r>
          </w:p>
        </w:tc>
      </w:tr>
      <w:tr w14:paraId="0DE40A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2E6C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AC6D1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12EB1">
            <w:pPr>
              <w:jc w:val="center"/>
            </w:pPr>
            <w:r>
              <w:rPr>
                <w:rFonts w:ascii="宋体" w:hAnsi="宋体" w:eastAsia="宋体"/>
                <w:sz w:val="16"/>
              </w:rPr>
              <w:t>购置专用材料次数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50278">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C6FD1">
            <w:pPr>
              <w:jc w:val="center"/>
            </w:pPr>
            <w:r>
              <w:rPr>
                <w:rFonts w:ascii="宋体" w:hAnsi="宋体" w:eastAsia="宋体"/>
                <w:sz w:val="16"/>
              </w:rPr>
              <w:t>自治州深化环境监测改革提升环境监测能力工作实施方案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6D5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C1A50">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758CE">
            <w:pPr>
              <w:jc w:val="center"/>
            </w:pPr>
            <w:r>
              <w:rPr>
                <w:rFonts w:ascii="宋体" w:hAnsi="宋体" w:eastAsia="宋体"/>
                <w:sz w:val="16"/>
              </w:rPr>
              <w:t>10</w:t>
            </w:r>
          </w:p>
        </w:tc>
      </w:tr>
      <w:tr w14:paraId="67256B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3CC1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22215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062CB">
            <w:pPr>
              <w:jc w:val="center"/>
            </w:pPr>
            <w:r>
              <w:rPr>
                <w:rFonts w:ascii="宋体" w:hAnsi="宋体" w:eastAsia="宋体"/>
                <w:sz w:val="16"/>
              </w:rPr>
              <w:t>职业教育专项培训人数（人）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DC0E4">
            <w:pPr>
              <w:jc w:val="center"/>
            </w:pPr>
            <w:r>
              <w:rPr>
                <w:rFonts w:ascii="宋体" w:hAnsi="宋体" w:eastAsia="宋体"/>
                <w:sz w:val="16"/>
              </w:rPr>
              <w:t>&gt;=10人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85EE5">
            <w:pPr>
              <w:jc w:val="center"/>
            </w:pPr>
            <w:r>
              <w:rPr>
                <w:rFonts w:ascii="宋体" w:hAnsi="宋体" w:eastAsia="宋体"/>
                <w:sz w:val="16"/>
              </w:rPr>
              <w:t>自治州深化环境监测改革提升环境监测能力工作实施方案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BD3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CBB09">
            <w:pPr>
              <w:jc w:val="center"/>
            </w:pPr>
            <w:r>
              <w:rPr>
                <w:rFonts w:ascii="宋体" w:hAnsi="宋体" w:eastAsia="宋体"/>
                <w:sz w:val="16"/>
              </w:rPr>
              <w: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117A3">
            <w:pPr>
              <w:jc w:val="center"/>
            </w:pPr>
            <w:r>
              <w:rPr>
                <w:rFonts w:ascii="宋体" w:hAnsi="宋体" w:eastAsia="宋体"/>
                <w:sz w:val="16"/>
              </w:rPr>
              <w:t>9</w:t>
            </w:r>
          </w:p>
        </w:tc>
      </w:tr>
      <w:tr w14:paraId="10C96C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0C80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DFE81">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D25C7">
            <w:pPr>
              <w:jc w:val="center"/>
            </w:pPr>
            <w:r>
              <w:rPr>
                <w:rFonts w:ascii="宋体" w:hAnsi="宋体" w:eastAsia="宋体"/>
                <w:sz w:val="16"/>
              </w:rPr>
              <w:t>购置实验室及办公运转物品的合格率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FF50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A0329">
            <w:pPr>
              <w:jc w:val="center"/>
            </w:pPr>
            <w:r>
              <w:rPr>
                <w:rFonts w:ascii="宋体" w:hAnsi="宋体" w:eastAsia="宋体"/>
                <w:sz w:val="16"/>
              </w:rPr>
              <w:t>自治州深化环境监测改革提升环境监测能力工作实施方案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A89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CAD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BEA59">
            <w:pPr>
              <w:jc w:val="center"/>
            </w:pPr>
            <w:r>
              <w:rPr>
                <w:rFonts w:ascii="宋体" w:hAnsi="宋体" w:eastAsia="宋体"/>
                <w:sz w:val="16"/>
              </w:rPr>
              <w:t>10</w:t>
            </w:r>
          </w:p>
        </w:tc>
      </w:tr>
      <w:tr w14:paraId="2275731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96342">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4EA51">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C012A">
            <w:pPr>
              <w:jc w:val="center"/>
            </w:pPr>
            <w:r>
              <w:rPr>
                <w:rFonts w:ascii="宋体" w:hAnsi="宋体" w:eastAsia="宋体"/>
                <w:sz w:val="16"/>
              </w:rPr>
              <w:t>按照《工作方案》开展重金属项目的扩项工作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50A3D">
            <w:pPr>
              <w:jc w:val="center"/>
            </w:pPr>
            <w:r>
              <w:rPr>
                <w:rFonts w:ascii="宋体" w:hAnsi="宋体" w:eastAsia="宋体"/>
                <w:sz w:val="16"/>
              </w:rPr>
              <w:t>&gt;=10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5E32C">
            <w:pPr>
              <w:jc w:val="center"/>
            </w:pPr>
            <w:r>
              <w:rPr>
                <w:rFonts w:ascii="宋体" w:hAnsi="宋体" w:eastAsia="宋体"/>
                <w:sz w:val="16"/>
              </w:rPr>
              <w:t>自治州深化环境监测改革提升环境监测能力工作实施方案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3CC3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130AF">
            <w:pPr>
              <w:jc w:val="center"/>
            </w:pPr>
            <w:r>
              <w:rPr>
                <w:rFonts w:ascii="宋体" w:hAnsi="宋体" w:eastAsia="宋体"/>
                <w:sz w:val="16"/>
              </w:rPr>
              <w:t>10项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F1C99">
            <w:pPr>
              <w:jc w:val="center"/>
            </w:pPr>
            <w:r>
              <w:rPr>
                <w:rFonts w:ascii="宋体" w:hAnsi="宋体" w:eastAsia="宋体"/>
                <w:sz w:val="16"/>
              </w:rPr>
              <w:t>20</w:t>
            </w:r>
          </w:p>
        </w:tc>
      </w:tr>
      <w:tr w14:paraId="4624C4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C721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B0781">
            <w:pPr>
              <w:jc w:val="center"/>
            </w:pPr>
            <w:r>
              <w:rPr>
                <w:rFonts w:ascii="宋体" w:hAnsi="宋体" w:eastAsia="宋体"/>
                <w:sz w:val="16"/>
              </w:rPr>
              <w:t>生态效益指标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32513">
            <w:pPr>
              <w:jc w:val="center"/>
            </w:pPr>
            <w:r>
              <w:rPr>
                <w:rFonts w:ascii="宋体" w:hAnsi="宋体" w:eastAsia="宋体"/>
                <w:sz w:val="16"/>
              </w:rPr>
              <w:t>提升阜康市生态环境监测站监测能力水平，如期完成监测任务（%））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103D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9712B">
            <w:pPr>
              <w:jc w:val="center"/>
            </w:pPr>
            <w:r>
              <w:rPr>
                <w:rFonts w:ascii="宋体" w:hAnsi="宋体" w:eastAsia="宋体"/>
                <w:sz w:val="16"/>
              </w:rPr>
              <w:t>自治州深化环境监测改革提升环境监测能力工作实施方案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3303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8DCA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915AA">
            <w:pPr>
              <w:jc w:val="center"/>
            </w:pPr>
            <w:r>
              <w:rPr>
                <w:rFonts w:ascii="宋体" w:hAnsi="宋体" w:eastAsia="宋体"/>
                <w:sz w:val="16"/>
              </w:rPr>
              <w:t>20</w:t>
            </w:r>
          </w:p>
        </w:tc>
      </w:tr>
    </w:tbl>
    <w:p w14:paraId="63E324E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6A6C0F65">
        <w:tblPrEx>
          <w:tblCellMar>
            <w:top w:w="0" w:type="dxa"/>
            <w:left w:w="108" w:type="dxa"/>
            <w:bottom w:w="0" w:type="dxa"/>
            <w:right w:w="108" w:type="dxa"/>
          </w:tblCellMar>
        </w:tblPrEx>
        <w:tc>
          <w:tcPr>
            <w:tcW w:w="8848" w:type="dxa"/>
            <w:gridSpan w:val="14"/>
            <w:vAlign w:val="center"/>
          </w:tcPr>
          <w:p w14:paraId="06C740B7">
            <w:pPr>
              <w:jc w:val="center"/>
            </w:pPr>
            <w:r>
              <w:rPr>
                <w:rFonts w:ascii="宋体" w:hAnsi="宋体" w:eastAsia="宋体"/>
                <w:sz w:val="24"/>
              </w:rPr>
              <w:t>项目支出绩效自评表</w:t>
            </w:r>
          </w:p>
        </w:tc>
      </w:tr>
      <w:tr w14:paraId="354BAD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276BC4">
            <w:pPr>
              <w:jc w:val="center"/>
            </w:pPr>
            <w:r>
              <w:rPr>
                <w:rFonts w:ascii="宋体" w:hAnsi="宋体" w:eastAsia="宋体"/>
                <w:sz w:val="24"/>
              </w:rPr>
              <w:t>(2024年度)</w:t>
            </w:r>
          </w:p>
        </w:tc>
      </w:tr>
      <w:tr w14:paraId="4257A8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8A7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32785C">
            <w:pPr>
              <w:jc w:val="center"/>
            </w:pPr>
            <w:r>
              <w:rPr>
                <w:rFonts w:ascii="宋体" w:hAnsi="宋体" w:eastAsia="宋体"/>
                <w:sz w:val="16"/>
              </w:rPr>
              <w:t>环境监测运转费</w:t>
            </w:r>
          </w:p>
        </w:tc>
      </w:tr>
      <w:tr w14:paraId="1FFC98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8DA0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B42E19">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4D4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97ECA1">
            <w:pPr>
              <w:jc w:val="center"/>
            </w:pPr>
            <w:r>
              <w:rPr>
                <w:rFonts w:ascii="宋体" w:hAnsi="宋体" w:eastAsia="宋体"/>
                <w:sz w:val="16"/>
              </w:rPr>
              <w:t>阜康市生态环境监测站</w:t>
            </w:r>
          </w:p>
        </w:tc>
      </w:tr>
      <w:tr w14:paraId="4AA6FA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EB6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F317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A83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E32D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76EB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442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FCDA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9DF96">
            <w:pPr>
              <w:jc w:val="center"/>
            </w:pPr>
            <w:r>
              <w:rPr>
                <w:rFonts w:ascii="宋体" w:hAnsi="宋体" w:eastAsia="宋体"/>
                <w:sz w:val="16"/>
              </w:rPr>
              <w:t>得分</w:t>
            </w:r>
          </w:p>
        </w:tc>
      </w:tr>
      <w:tr w14:paraId="2A8B75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484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457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9949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F526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2BCE4">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81E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C336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A62D">
            <w:pPr>
              <w:jc w:val="center"/>
            </w:pPr>
            <w:r>
              <w:rPr>
                <w:rFonts w:ascii="宋体" w:hAnsi="宋体" w:eastAsia="宋体"/>
                <w:sz w:val="16"/>
              </w:rPr>
              <w:t>10.00</w:t>
            </w:r>
          </w:p>
        </w:tc>
      </w:tr>
      <w:tr w14:paraId="73D25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BD1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683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6D0E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FBE36">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DEB2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E28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9F2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32E8">
            <w:pPr>
              <w:jc w:val="center"/>
            </w:pPr>
            <w:r>
              <w:rPr>
                <w:rFonts w:ascii="宋体" w:hAnsi="宋体" w:eastAsia="宋体"/>
                <w:sz w:val="16"/>
              </w:rPr>
              <w:t>—</w:t>
            </w:r>
          </w:p>
        </w:tc>
      </w:tr>
      <w:tr w14:paraId="2814B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459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4EA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DCE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22D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4AE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5B9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EF3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0FEB">
            <w:pPr>
              <w:jc w:val="center"/>
            </w:pPr>
            <w:r>
              <w:rPr>
                <w:rFonts w:ascii="宋体" w:hAnsi="宋体" w:eastAsia="宋体"/>
                <w:sz w:val="16"/>
              </w:rPr>
              <w:t>—</w:t>
            </w:r>
          </w:p>
        </w:tc>
      </w:tr>
      <w:tr w14:paraId="449681E4">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FAD6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01608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3DA489">
            <w:pPr>
              <w:jc w:val="center"/>
            </w:pPr>
            <w:r>
              <w:rPr>
                <w:rFonts w:ascii="宋体" w:hAnsi="宋体" w:eastAsia="宋体"/>
                <w:sz w:val="16"/>
              </w:rPr>
              <w:t>实际完成情况</w:t>
            </w:r>
          </w:p>
        </w:tc>
      </w:tr>
      <w:tr w14:paraId="6BE8C5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05F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7E9890">
            <w:pPr>
              <w:jc w:val="both"/>
            </w:pPr>
            <w:r>
              <w:rPr>
                <w:rFonts w:ascii="宋体" w:hAnsi="宋体" w:eastAsia="宋体"/>
                <w:sz w:val="16"/>
              </w:rPr>
              <w:t>依据《自治州深化环境监测改革提升环境监测能力工作实施方案》（昌州环党组发〔2022〕32号）、《关于加强全州县（市）生态环境监测工作的实施意见》（昌州环党组发〔2023〕16号）、《昌吉州生态监测技术方案》等要求，按照时限要求完成能力提升计划，全面提升阜康市生态环境监测站的监测能力，顺利保障阜康市辖区内的执法及应急监测工作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701279">
            <w:pPr>
              <w:jc w:val="both"/>
            </w:pPr>
            <w:r>
              <w:rPr>
                <w:rFonts w:ascii="宋体" w:hAnsi="宋体" w:eastAsia="宋体"/>
                <w:sz w:val="16"/>
              </w:rPr>
              <w:t>截至2024年12月31日，该项目实际保障办公人员15人，印刷5次，购置材料6次，职业培训10人次，购置物品合格率均达到100%，资金拨付及时率达到100%，通过项目的实施保障了生态环境监测能力持续性，提升生态环境监测能力，有效完成了全年度空气环境质量、 水环境质量、土壤环境质量、声环境质量等监测任务。根据部门工作性质申报立项依据，做到立项依据充分</w:t>
            </w:r>
            <w:r>
              <w:rPr>
                <w:rFonts w:hint="eastAsia" w:ascii="宋体" w:hAnsi="宋体"/>
                <w:sz w:val="16"/>
                <w:lang w:eastAsia="zh-CN"/>
              </w:rPr>
              <w:t>，具</w:t>
            </w:r>
            <w:r>
              <w:rPr>
                <w:rFonts w:ascii="宋体" w:hAnsi="宋体" w:eastAsia="宋体"/>
                <w:sz w:val="16"/>
              </w:rPr>
              <w:t>有资金管理办法且符合规范等；根据部门工作性质合理分配项目资金，做到重点突出，公平公正，资金分配和使用方向与资金管理办法相符，无散小差现象。项目资金做到使用严格执行各项财经纪律，符合规范，无截留、挪用等现象，资金使用对经济社会产生积极效益。</w:t>
            </w:r>
          </w:p>
        </w:tc>
      </w:tr>
      <w:tr w14:paraId="76A76B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A5EB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72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DB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5166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82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60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C2B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FA3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F127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795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8E0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E19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B3FA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88CF">
            <w:pPr>
              <w:jc w:val="center"/>
            </w:pPr>
            <w:r>
              <w:rPr>
                <w:rFonts w:ascii="宋体" w:hAnsi="宋体" w:eastAsia="宋体"/>
                <w:sz w:val="16"/>
              </w:rPr>
              <w:t>偏差原因分析及改进措施</w:t>
            </w:r>
          </w:p>
        </w:tc>
      </w:tr>
      <w:tr w14:paraId="1E1996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31B9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D0F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9E45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0F9A">
            <w:pPr>
              <w:jc w:val="center"/>
            </w:pPr>
            <w:r>
              <w:rPr>
                <w:rFonts w:ascii="宋体" w:hAnsi="宋体" w:eastAsia="宋体"/>
                <w:sz w:val="16"/>
              </w:rPr>
              <w:t>保障办公</w:t>
            </w:r>
            <w:r>
              <w:rPr>
                <w:rFonts w:hint="eastAsia" w:ascii="宋体" w:hAnsi="宋体"/>
                <w:sz w:val="16"/>
                <w:lang w:eastAsia="zh-CN"/>
              </w:rPr>
              <w:t>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8F8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F54C">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E556">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595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75E4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6A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E15F">
            <w:pPr>
              <w:jc w:val="center"/>
            </w:pPr>
            <w:r>
              <w:rPr>
                <w:rFonts w:ascii="宋体" w:hAnsi="宋体" w:eastAsia="宋体"/>
                <w:sz w:val="16"/>
              </w:rPr>
              <w:t>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986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FBD3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5DB4E">
            <w:pPr>
              <w:jc w:val="center"/>
            </w:pPr>
          </w:p>
        </w:tc>
      </w:tr>
      <w:tr w14:paraId="327AF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C36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AA3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1CC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51B26">
            <w:pPr>
              <w:jc w:val="center"/>
            </w:pPr>
            <w:r>
              <w:rPr>
                <w:rFonts w:ascii="宋体" w:hAnsi="宋体" w:eastAsia="宋体"/>
                <w:sz w:val="16"/>
              </w:rPr>
              <w:t>印刷次数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4F1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6F49">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B848">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E9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A8B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650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5AF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346B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F05F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504D">
            <w:pPr>
              <w:jc w:val="center"/>
            </w:pPr>
          </w:p>
        </w:tc>
      </w:tr>
      <w:tr w14:paraId="5E88A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C92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43C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7C7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3D46">
            <w:pPr>
              <w:jc w:val="center"/>
            </w:pPr>
            <w:r>
              <w:rPr>
                <w:rFonts w:ascii="宋体" w:hAnsi="宋体" w:eastAsia="宋体"/>
                <w:sz w:val="16"/>
              </w:rPr>
              <w:t>购置专用材料次数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A52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00552">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0F4D">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FD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983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40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7E2E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75B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225B2">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3396">
            <w:pPr>
              <w:jc w:val="center"/>
            </w:pPr>
          </w:p>
        </w:tc>
      </w:tr>
      <w:tr w14:paraId="0A3E87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06F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47D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849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F380C">
            <w:pPr>
              <w:jc w:val="center"/>
            </w:pPr>
            <w:r>
              <w:rPr>
                <w:rFonts w:ascii="宋体" w:hAnsi="宋体" w:eastAsia="宋体"/>
                <w:sz w:val="16"/>
              </w:rPr>
              <w:t>职业教育专项培训人数（人）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F1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0A8B">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E693">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A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120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64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D6F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F6F2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571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A7907">
            <w:pPr>
              <w:jc w:val="center"/>
            </w:pPr>
          </w:p>
        </w:tc>
      </w:tr>
      <w:tr w14:paraId="4ED036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017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37E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392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FC88">
            <w:pPr>
              <w:jc w:val="center"/>
            </w:pPr>
            <w:r>
              <w:rPr>
                <w:rFonts w:ascii="宋体" w:hAnsi="宋体" w:eastAsia="宋体"/>
                <w:sz w:val="16"/>
              </w:rPr>
              <w:t>购置实验室及办公运转物品的合格率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AE25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57D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4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D9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EB9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6C4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736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4C2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731F4">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2CC8">
            <w:pPr>
              <w:jc w:val="center"/>
            </w:pPr>
          </w:p>
        </w:tc>
      </w:tr>
      <w:tr w14:paraId="6C0CF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50F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86B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37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3827">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B8C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74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078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3A0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740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CA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A9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56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B0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2874E">
            <w:pPr>
              <w:jc w:val="center"/>
            </w:pPr>
          </w:p>
        </w:tc>
      </w:tr>
      <w:tr w14:paraId="58076DE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E0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1AE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654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E183">
            <w:pPr>
              <w:jc w:val="center"/>
            </w:pPr>
            <w:r>
              <w:rPr>
                <w:rFonts w:ascii="宋体" w:hAnsi="宋体" w:eastAsia="宋体"/>
                <w:sz w:val="16"/>
              </w:rPr>
              <w:t>运转费单位成本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C2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ED87C">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43219">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80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83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87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5E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2F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1B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79FA">
            <w:pPr>
              <w:jc w:val="center"/>
            </w:pPr>
          </w:p>
        </w:tc>
      </w:tr>
      <w:tr w14:paraId="7EBA43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45B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98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25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F6ADC">
            <w:pPr>
              <w:jc w:val="center"/>
            </w:pPr>
            <w:r>
              <w:rPr>
                <w:rFonts w:ascii="宋体" w:hAnsi="宋体" w:eastAsia="宋体"/>
                <w:sz w:val="16"/>
              </w:rPr>
              <w:t>保障生态环境监测运转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0E0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8D3B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524A3">
            <w:pPr>
              <w:jc w:val="center"/>
            </w:pPr>
            <w:r>
              <w:rPr>
                <w:rFonts w:ascii="宋体" w:hAnsi="宋体" w:eastAsia="宋体"/>
                <w:sz w:val="16"/>
              </w:rPr>
              <w:t>达到预期指标值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82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9E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3E5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796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CA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ED8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B3D42">
            <w:pPr>
              <w:jc w:val="center"/>
            </w:pPr>
          </w:p>
        </w:tc>
      </w:tr>
      <w:tr w14:paraId="417EF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FDD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2E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87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F491">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E33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5B804">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409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97C3">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87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F9A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A2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E24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566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DA0E">
            <w:pPr>
              <w:jc w:val="center"/>
            </w:pPr>
            <w:r>
              <w:rPr>
                <w:rFonts w:ascii="宋体" w:hAnsi="宋体" w:eastAsia="宋体"/>
                <w:sz w:val="16"/>
              </w:rPr>
              <w:t>满意度调查预期值85%，实际完成值90%，因年初目标设置过低，项目实施后情况较好，群众比较满意，超过预期值，产生偏差。</w:t>
            </w:r>
          </w:p>
        </w:tc>
      </w:tr>
      <w:tr w14:paraId="3363C11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6B0D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FB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45B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13E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BC3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3E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BC2E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20A9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0A9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1B12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145FD"/>
        </w:tc>
      </w:tr>
    </w:tbl>
    <w:p w14:paraId="6C4E4A1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26AD557B">
        <w:tblPrEx>
          <w:tblCellMar>
            <w:top w:w="0" w:type="dxa"/>
            <w:left w:w="108" w:type="dxa"/>
            <w:bottom w:w="0" w:type="dxa"/>
            <w:right w:w="108" w:type="dxa"/>
          </w:tblCellMar>
        </w:tblPrEx>
        <w:tc>
          <w:tcPr>
            <w:tcW w:w="8848" w:type="dxa"/>
            <w:gridSpan w:val="14"/>
            <w:vAlign w:val="center"/>
          </w:tcPr>
          <w:p w14:paraId="183DF23F">
            <w:pPr>
              <w:jc w:val="center"/>
            </w:pPr>
            <w:r>
              <w:rPr>
                <w:rFonts w:ascii="宋体" w:hAnsi="宋体" w:eastAsia="宋体"/>
                <w:sz w:val="24"/>
              </w:rPr>
              <w:t>项目支出绩效自评表</w:t>
            </w:r>
          </w:p>
        </w:tc>
      </w:tr>
      <w:tr w14:paraId="7FD3414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95D823">
            <w:pPr>
              <w:jc w:val="center"/>
            </w:pPr>
            <w:r>
              <w:rPr>
                <w:rFonts w:ascii="宋体" w:hAnsi="宋体" w:eastAsia="宋体"/>
                <w:sz w:val="24"/>
              </w:rPr>
              <w:t>(2024年度)</w:t>
            </w:r>
          </w:p>
        </w:tc>
      </w:tr>
      <w:tr w14:paraId="187B56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AE9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446DEB">
            <w:pPr>
              <w:jc w:val="center"/>
            </w:pPr>
            <w:r>
              <w:rPr>
                <w:rFonts w:ascii="宋体" w:hAnsi="宋体" w:eastAsia="宋体"/>
                <w:sz w:val="16"/>
              </w:rPr>
              <w:t>阜康市水污染防治执法监测、应急监测项目</w:t>
            </w:r>
          </w:p>
        </w:tc>
      </w:tr>
      <w:tr w14:paraId="23BA08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017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156992">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E78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F1B30C">
            <w:pPr>
              <w:jc w:val="center"/>
            </w:pPr>
            <w:r>
              <w:rPr>
                <w:rFonts w:ascii="宋体" w:hAnsi="宋体" w:eastAsia="宋体"/>
                <w:sz w:val="16"/>
              </w:rPr>
              <w:t>阜康市生态环境监测站</w:t>
            </w:r>
          </w:p>
        </w:tc>
      </w:tr>
      <w:tr w14:paraId="4FD496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542A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138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9F9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15C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42AB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C5BA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CB7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D87B">
            <w:pPr>
              <w:jc w:val="center"/>
            </w:pPr>
            <w:r>
              <w:rPr>
                <w:rFonts w:ascii="宋体" w:hAnsi="宋体" w:eastAsia="宋体"/>
                <w:sz w:val="16"/>
              </w:rPr>
              <w:t>得分</w:t>
            </w:r>
          </w:p>
        </w:tc>
      </w:tr>
      <w:tr w14:paraId="427B35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487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6D52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7388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A679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DD81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CF22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3FF6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2EDD">
            <w:pPr>
              <w:jc w:val="center"/>
            </w:pPr>
            <w:r>
              <w:rPr>
                <w:rFonts w:ascii="宋体" w:hAnsi="宋体" w:eastAsia="宋体"/>
                <w:sz w:val="16"/>
              </w:rPr>
              <w:t>10.00</w:t>
            </w:r>
          </w:p>
        </w:tc>
      </w:tr>
      <w:tr w14:paraId="627ADB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764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271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CDE3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6C9F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E080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0F6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3B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A744">
            <w:pPr>
              <w:jc w:val="center"/>
            </w:pPr>
            <w:r>
              <w:rPr>
                <w:rFonts w:ascii="宋体" w:hAnsi="宋体" w:eastAsia="宋体"/>
                <w:sz w:val="16"/>
              </w:rPr>
              <w:t>—</w:t>
            </w:r>
          </w:p>
        </w:tc>
      </w:tr>
      <w:tr w14:paraId="59169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77F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DB0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A7A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2B8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21C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831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EEF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0A812">
            <w:pPr>
              <w:jc w:val="center"/>
            </w:pPr>
            <w:r>
              <w:rPr>
                <w:rFonts w:ascii="宋体" w:hAnsi="宋体" w:eastAsia="宋体"/>
                <w:sz w:val="16"/>
              </w:rPr>
              <w:t>—</w:t>
            </w:r>
          </w:p>
        </w:tc>
      </w:tr>
      <w:tr w14:paraId="602C5F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1FD7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3FFD5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70C1C5">
            <w:pPr>
              <w:jc w:val="center"/>
            </w:pPr>
            <w:r>
              <w:rPr>
                <w:rFonts w:ascii="宋体" w:hAnsi="宋体" w:eastAsia="宋体"/>
                <w:sz w:val="16"/>
              </w:rPr>
              <w:t>实际完成情况</w:t>
            </w:r>
          </w:p>
        </w:tc>
      </w:tr>
      <w:tr w14:paraId="119FB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7C81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C7949F">
            <w:pPr>
              <w:jc w:val="both"/>
            </w:pPr>
            <w:r>
              <w:rPr>
                <w:rFonts w:ascii="宋体" w:hAnsi="宋体" w:eastAsia="宋体"/>
                <w:sz w:val="16"/>
              </w:rPr>
              <w:t>该项目计划购置维修维护大型仪器1套（离子色谱仪），更换设备耗材6套。购置消解仪1台、购置玻璃及聚乙烯器皿100个、化学试剂100瓶、标准气体标准溶液100瓶、危险化学品易制爆平台</w:t>
            </w:r>
            <w:r>
              <w:rPr>
                <w:rFonts w:hint="eastAsia" w:ascii="宋体" w:hAnsi="宋体"/>
                <w:sz w:val="16"/>
                <w:lang w:eastAsia="zh-CN"/>
              </w:rPr>
              <w:t>密钥</w:t>
            </w:r>
            <w:r>
              <w:rPr>
                <w:rFonts w:ascii="宋体" w:hAnsi="宋体" w:eastAsia="宋体"/>
                <w:sz w:val="16"/>
              </w:rPr>
              <w:t>1套、应急监测防护设备（防护服、防护面具）2套，办公楼、实验室楼顶防渗、厕所改造、更换破损门窗、台面、下水管道等设施修缮维护营造五好党支部氛围；按照相关要求做好实验室废液处理工作；通过项目的实施，可为生态环境执法、应急监测提供真实、准确监测报告，为环境执法、环境管理提供数据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192926">
            <w:pPr>
              <w:jc w:val="both"/>
            </w:pPr>
            <w:r>
              <w:rPr>
                <w:rFonts w:hint="eastAsia" w:ascii="宋体" w:hAnsi="宋体"/>
                <w:sz w:val="16"/>
                <w:lang w:eastAsia="zh-CN"/>
              </w:rPr>
              <w:t>截至</w:t>
            </w:r>
            <w:r>
              <w:rPr>
                <w:rFonts w:ascii="宋体" w:hAnsi="宋体" w:eastAsia="宋体"/>
                <w:sz w:val="16"/>
              </w:rPr>
              <w:t>2024年12月31日，支出30万元，执行率为100%。已购置玻璃及聚乙烯器皿100个、化学试剂100瓶、标准气体标准溶液100瓶、危险化学品易制爆平台</w:t>
            </w:r>
            <w:r>
              <w:rPr>
                <w:rFonts w:hint="eastAsia" w:ascii="宋体" w:hAnsi="宋体"/>
                <w:sz w:val="16"/>
                <w:lang w:eastAsia="zh-CN"/>
              </w:rPr>
              <w:t>密钥</w:t>
            </w:r>
            <w:r>
              <w:rPr>
                <w:rFonts w:ascii="宋体" w:hAnsi="宋体" w:eastAsia="宋体"/>
                <w:sz w:val="16"/>
              </w:rPr>
              <w:t>1套；对办公楼、实验室楼顶防渗、厕所改造、更换破损门窗、台面、下水管道等设施修缮维护营造五好党支部氛围等维修维护8次，通过项目的实施，提升监测数据</w:t>
            </w:r>
            <w:bookmarkStart w:id="0" w:name="_GoBack"/>
            <w:r>
              <w:rPr>
                <w:rFonts w:hint="eastAsia" w:ascii="宋体" w:hAnsi="宋体"/>
                <w:sz w:val="16"/>
                <w:lang w:eastAsia="zh-CN"/>
              </w:rPr>
              <w:t>准确性</w:t>
            </w:r>
            <w:bookmarkEnd w:id="0"/>
            <w:r>
              <w:rPr>
                <w:rFonts w:ascii="宋体" w:hAnsi="宋体" w:eastAsia="宋体"/>
                <w:sz w:val="16"/>
              </w:rPr>
              <w:t>与监测水平</w:t>
            </w:r>
          </w:p>
        </w:tc>
      </w:tr>
      <w:tr w14:paraId="3F2C89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0A12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71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CD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DE9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E7D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79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8A6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BD7C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55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71B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01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1A2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19C1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B174">
            <w:pPr>
              <w:jc w:val="center"/>
            </w:pPr>
            <w:r>
              <w:rPr>
                <w:rFonts w:ascii="宋体" w:hAnsi="宋体" w:eastAsia="宋体"/>
                <w:sz w:val="16"/>
              </w:rPr>
              <w:t>偏差原因分析及改进措施</w:t>
            </w:r>
          </w:p>
        </w:tc>
      </w:tr>
      <w:tr w14:paraId="1AFEE8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C268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EDBC9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AFD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00B5">
            <w:pPr>
              <w:jc w:val="center"/>
            </w:pPr>
            <w:r>
              <w:rPr>
                <w:rFonts w:ascii="宋体" w:hAnsi="宋体" w:eastAsia="宋体"/>
                <w:sz w:val="16"/>
              </w:rPr>
              <w:t>办公楼及设备维修维护次数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61A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571E">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529B">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0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F96A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28B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0D1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4AD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07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0E07">
            <w:pPr>
              <w:jc w:val="center"/>
            </w:pPr>
          </w:p>
        </w:tc>
      </w:tr>
      <w:tr w14:paraId="45F20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379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B6F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3AA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50528">
            <w:pPr>
              <w:jc w:val="center"/>
            </w:pPr>
            <w:r>
              <w:rPr>
                <w:rFonts w:ascii="宋体" w:hAnsi="宋体" w:eastAsia="宋体"/>
                <w:sz w:val="16"/>
              </w:rPr>
              <w:t>购置化验设备及相关耗材数量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76A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4488">
            <w:pPr>
              <w:jc w:val="center"/>
            </w:pPr>
            <w:r>
              <w:rPr>
                <w:rFonts w:ascii="宋体" w:hAnsi="宋体" w:eastAsia="宋体"/>
                <w:sz w:val="16"/>
              </w:rPr>
              <w:t>&gt;=301个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7BD97">
            <w:pPr>
              <w:jc w:val="center"/>
            </w:pPr>
            <w:r>
              <w:rPr>
                <w:rFonts w:ascii="宋体" w:hAnsi="宋体" w:eastAsia="宋体"/>
                <w:sz w:val="16"/>
              </w:rPr>
              <w:t>=301个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FB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B367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A55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A93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48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180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3C95">
            <w:pPr>
              <w:jc w:val="center"/>
            </w:pPr>
          </w:p>
        </w:tc>
      </w:tr>
      <w:tr w14:paraId="11C4EC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B81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D94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734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0218">
            <w:pPr>
              <w:jc w:val="center"/>
            </w:pPr>
            <w:r>
              <w:rPr>
                <w:rFonts w:ascii="宋体" w:hAnsi="宋体" w:eastAsia="宋体"/>
                <w:sz w:val="16"/>
              </w:rPr>
              <w:t>实验室废液处理次数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2250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282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D329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443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331B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BC5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3B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E24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71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30BE">
            <w:pPr>
              <w:jc w:val="center"/>
            </w:pPr>
          </w:p>
        </w:tc>
      </w:tr>
      <w:tr w14:paraId="42825C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6A4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07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A88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F11D0">
            <w:pPr>
              <w:jc w:val="center"/>
            </w:pPr>
            <w:r>
              <w:rPr>
                <w:rFonts w:ascii="宋体" w:hAnsi="宋体" w:eastAsia="宋体"/>
                <w:sz w:val="16"/>
              </w:rPr>
              <w:t>开通使用危险化学品易制爆平台数量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6F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76E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0D1C">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A53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A4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C5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D8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2D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59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DBC3">
            <w:pPr>
              <w:jc w:val="center"/>
            </w:pPr>
          </w:p>
        </w:tc>
      </w:tr>
      <w:tr w14:paraId="7779A5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150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F94F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B860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7486">
            <w:pPr>
              <w:jc w:val="center"/>
            </w:pPr>
            <w:r>
              <w:rPr>
                <w:rFonts w:ascii="宋体" w:hAnsi="宋体" w:eastAsia="宋体"/>
                <w:sz w:val="16"/>
              </w:rPr>
              <w:t>维修维护验收合格率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F67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92A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4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33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3E0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1D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BA1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055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9A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0F51">
            <w:pPr>
              <w:jc w:val="center"/>
            </w:pPr>
          </w:p>
        </w:tc>
      </w:tr>
      <w:tr w14:paraId="48FC52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65E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0B9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F04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C02D5">
            <w:pPr>
              <w:jc w:val="center"/>
            </w:pPr>
            <w:r>
              <w:rPr>
                <w:rFonts w:ascii="宋体" w:hAnsi="宋体" w:eastAsia="宋体"/>
                <w:sz w:val="16"/>
              </w:rPr>
              <w:t>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0C3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CD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80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31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16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AD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B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40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7FA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0D4B5">
            <w:pPr>
              <w:jc w:val="center"/>
            </w:pPr>
          </w:p>
        </w:tc>
      </w:tr>
      <w:tr w14:paraId="4ADCCB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894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AED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98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3C6E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53CC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4E5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8F9E">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4EDC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0CC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F38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ED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F227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BBD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E66D">
            <w:pPr>
              <w:jc w:val="center"/>
            </w:pPr>
            <w:r>
              <w:rPr>
                <w:rFonts w:ascii="宋体" w:hAnsi="宋体" w:eastAsia="宋体"/>
                <w:sz w:val="16"/>
              </w:rPr>
              <w:t>本项目2024年未完成全部项目资金支付，延期至2025年，故该项指标未完成</w:t>
            </w:r>
          </w:p>
        </w:tc>
      </w:tr>
      <w:tr w14:paraId="476C8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931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7B9D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E0DC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DD41">
            <w:pPr>
              <w:jc w:val="center"/>
            </w:pPr>
            <w:r>
              <w:rPr>
                <w:rFonts w:ascii="宋体" w:hAnsi="宋体" w:eastAsia="宋体"/>
                <w:sz w:val="16"/>
              </w:rPr>
              <w:t>办公楼及设备维修维护费用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342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2665">
            <w:pPr>
              <w:jc w:val="center"/>
            </w:pPr>
            <w:r>
              <w:rPr>
                <w:rFonts w:ascii="宋体" w:hAnsi="宋体" w:eastAsia="宋体"/>
                <w:sz w:val="16"/>
              </w:rPr>
              <w:t>&lt;=19.35万元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20041">
            <w:pPr>
              <w:jc w:val="center"/>
            </w:pPr>
            <w:r>
              <w:rPr>
                <w:rFonts w:ascii="宋体" w:hAnsi="宋体" w:eastAsia="宋体"/>
                <w:sz w:val="16"/>
              </w:rPr>
              <w:t>=19.06万元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79E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E96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EA0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C4E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58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FD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F8E7">
            <w:pPr>
              <w:jc w:val="center"/>
            </w:pPr>
          </w:p>
        </w:tc>
      </w:tr>
      <w:tr w14:paraId="3B975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AC5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D68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552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77AD">
            <w:pPr>
              <w:jc w:val="center"/>
            </w:pPr>
            <w:r>
              <w:rPr>
                <w:rFonts w:ascii="宋体" w:hAnsi="宋体" w:eastAsia="宋体"/>
                <w:sz w:val="16"/>
              </w:rPr>
              <w:t>购置化验设备及相关耗材费用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A1E1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B2357">
            <w:pPr>
              <w:jc w:val="center"/>
            </w:pPr>
            <w:r>
              <w:rPr>
                <w:rFonts w:ascii="宋体" w:hAnsi="宋体" w:eastAsia="宋体"/>
                <w:sz w:val="16"/>
              </w:rPr>
              <w:t>&lt;=10.65万元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F287">
            <w:pPr>
              <w:jc w:val="center"/>
            </w:pPr>
            <w:r>
              <w:rPr>
                <w:rFonts w:ascii="宋体" w:hAnsi="宋体" w:eastAsia="宋体"/>
                <w:sz w:val="16"/>
              </w:rPr>
              <w:t>=10.94万元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B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4F33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987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DF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E0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244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5BBF">
            <w:pPr>
              <w:jc w:val="center"/>
            </w:pPr>
          </w:p>
        </w:tc>
      </w:tr>
      <w:tr w14:paraId="7903AE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9B6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1FFA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0CF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8C6F">
            <w:pPr>
              <w:jc w:val="center"/>
            </w:pPr>
            <w:r>
              <w:rPr>
                <w:rFonts w:ascii="宋体" w:hAnsi="宋体" w:eastAsia="宋体"/>
                <w:sz w:val="16"/>
              </w:rPr>
              <w:t>提升监测数据</w:t>
            </w:r>
            <w:r>
              <w:rPr>
                <w:rFonts w:hint="eastAsia" w:ascii="宋体" w:hAnsi="宋体"/>
                <w:sz w:val="16"/>
                <w:lang w:eastAsia="zh-CN"/>
              </w:rPr>
              <w:t>准确性</w:t>
            </w:r>
            <w:r>
              <w:rPr>
                <w:rFonts w:ascii="宋体" w:hAnsi="宋体" w:eastAsia="宋体"/>
                <w:sz w:val="16"/>
              </w:rPr>
              <w:t>与监测水平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DF6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9B713">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F9F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0F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B5F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B92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51A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9DE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04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FED09">
            <w:pPr>
              <w:jc w:val="center"/>
            </w:pPr>
          </w:p>
        </w:tc>
      </w:tr>
      <w:tr w14:paraId="3C8815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3C6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70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D04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267D">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13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FA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F21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4B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C72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E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61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BD2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811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B181F">
            <w:pPr>
              <w:jc w:val="center"/>
            </w:pPr>
          </w:p>
        </w:tc>
      </w:tr>
      <w:tr w14:paraId="2C92F5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73F3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427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3D3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D268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CD4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0E0D">
            <w:pPr>
              <w:jc w:val="center"/>
            </w:pPr>
            <w:r>
              <w:rPr>
                <w:rFonts w:ascii="宋体" w:hAnsi="宋体" w:eastAsia="宋体"/>
                <w:sz w:val="16"/>
              </w:rPr>
              <w:t>96.00分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E67A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5CD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AA3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09DE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5C6F69"/>
        </w:tc>
      </w:tr>
    </w:tbl>
    <w:p w14:paraId="13C1712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86E4775">
        <w:tblPrEx>
          <w:tblCellMar>
            <w:top w:w="0" w:type="dxa"/>
            <w:left w:w="108" w:type="dxa"/>
            <w:bottom w:w="0" w:type="dxa"/>
            <w:right w:w="108" w:type="dxa"/>
          </w:tblCellMar>
        </w:tblPrEx>
        <w:tc>
          <w:tcPr>
            <w:tcW w:w="8848" w:type="dxa"/>
            <w:gridSpan w:val="14"/>
            <w:vAlign w:val="center"/>
          </w:tcPr>
          <w:p w14:paraId="5B3DD23A">
            <w:pPr>
              <w:jc w:val="center"/>
            </w:pPr>
            <w:r>
              <w:rPr>
                <w:rFonts w:ascii="宋体" w:hAnsi="宋体" w:eastAsia="宋体"/>
                <w:sz w:val="24"/>
              </w:rPr>
              <w:t>项目支出绩效自评表</w:t>
            </w:r>
          </w:p>
        </w:tc>
      </w:tr>
      <w:tr w14:paraId="2F7D48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1A49B7">
            <w:pPr>
              <w:jc w:val="center"/>
            </w:pPr>
            <w:r>
              <w:rPr>
                <w:rFonts w:ascii="宋体" w:hAnsi="宋体" w:eastAsia="宋体"/>
                <w:sz w:val="24"/>
              </w:rPr>
              <w:t>(2024年度)</w:t>
            </w:r>
          </w:p>
        </w:tc>
      </w:tr>
      <w:tr w14:paraId="14FDBE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FFC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98FCCC">
            <w:pPr>
              <w:jc w:val="center"/>
            </w:pPr>
            <w:r>
              <w:rPr>
                <w:rFonts w:ascii="宋体" w:hAnsi="宋体" w:eastAsia="宋体"/>
                <w:sz w:val="16"/>
              </w:rPr>
              <w:t>阜康市生态环境质量农村千吨万人饮水委托监测项目</w:t>
            </w:r>
          </w:p>
        </w:tc>
      </w:tr>
      <w:tr w14:paraId="26645E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BFA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2BB6A5">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EF6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92BD3A">
            <w:pPr>
              <w:jc w:val="center"/>
            </w:pPr>
            <w:r>
              <w:rPr>
                <w:rFonts w:ascii="宋体" w:hAnsi="宋体" w:eastAsia="宋体"/>
                <w:sz w:val="16"/>
              </w:rPr>
              <w:t>阜康市生态环境监测站</w:t>
            </w:r>
          </w:p>
        </w:tc>
      </w:tr>
      <w:tr w14:paraId="421FAE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6F8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E554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B0C3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A6CC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C714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BD35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8384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E330">
            <w:pPr>
              <w:jc w:val="center"/>
            </w:pPr>
            <w:r>
              <w:rPr>
                <w:rFonts w:ascii="宋体" w:hAnsi="宋体" w:eastAsia="宋体"/>
                <w:sz w:val="16"/>
              </w:rPr>
              <w:t>得分</w:t>
            </w:r>
          </w:p>
        </w:tc>
      </w:tr>
      <w:tr w14:paraId="14B40F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9C3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AB2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90F0B">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BBDE1">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6C8C2">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A55E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EE6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349F">
            <w:pPr>
              <w:jc w:val="center"/>
            </w:pPr>
            <w:r>
              <w:rPr>
                <w:rFonts w:ascii="宋体" w:hAnsi="宋体" w:eastAsia="宋体"/>
                <w:sz w:val="16"/>
              </w:rPr>
              <w:t>10.00</w:t>
            </w:r>
          </w:p>
        </w:tc>
      </w:tr>
      <w:tr w14:paraId="44707D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59B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750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5EC3D">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2EBB9">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CB02F">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0A7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06F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EAFE">
            <w:pPr>
              <w:jc w:val="center"/>
            </w:pPr>
            <w:r>
              <w:rPr>
                <w:rFonts w:ascii="宋体" w:hAnsi="宋体" w:eastAsia="宋体"/>
                <w:sz w:val="16"/>
              </w:rPr>
              <w:t>—</w:t>
            </w:r>
          </w:p>
        </w:tc>
      </w:tr>
      <w:tr w14:paraId="3FD388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A78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1AA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609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16C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D8C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37D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BCC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FAB70">
            <w:pPr>
              <w:jc w:val="center"/>
            </w:pPr>
            <w:r>
              <w:rPr>
                <w:rFonts w:ascii="宋体" w:hAnsi="宋体" w:eastAsia="宋体"/>
                <w:sz w:val="16"/>
              </w:rPr>
              <w:t>—</w:t>
            </w:r>
          </w:p>
        </w:tc>
      </w:tr>
      <w:tr w14:paraId="278650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9811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FEC65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4141FB">
            <w:pPr>
              <w:jc w:val="center"/>
            </w:pPr>
            <w:r>
              <w:rPr>
                <w:rFonts w:ascii="宋体" w:hAnsi="宋体" w:eastAsia="宋体"/>
                <w:sz w:val="16"/>
              </w:rPr>
              <w:t>实际完成情况</w:t>
            </w:r>
          </w:p>
        </w:tc>
      </w:tr>
      <w:tr w14:paraId="3FF462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09A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8F2B85">
            <w:pPr>
              <w:jc w:val="both"/>
            </w:pPr>
            <w:r>
              <w:rPr>
                <w:rFonts w:ascii="宋体" w:hAnsi="宋体" w:eastAsia="宋体"/>
                <w:sz w:val="16"/>
              </w:rPr>
              <w:t>2024年该项目计划开展3个地表水千吨万人水源地（白杨河水库水源地、四工河水源地、甘河子镇水库水源地）每季度监测1次；对阜康市1个地下水水源地（城郊地下水水源地）每半年开展监测1次；对阜康市花儿沟村、良繁中心村县域河流出、入境断面及湖库点位开展地表水监测4次，农业面源污染控制断面水质监测4次。该项目的实施，能有效完成自治区生态环境监测工作安排及昌吉州生态环境监测工作部署，完成辖区内“千吨万人”饮用水水源地、农村环境质量等水质检测。监测数据上报国家平台，为水源地和农村环境管理提供数据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50DDA0">
            <w:pPr>
              <w:jc w:val="both"/>
            </w:pPr>
            <w:r>
              <w:rPr>
                <w:rFonts w:hint="eastAsia" w:ascii="宋体" w:hAnsi="宋体"/>
                <w:sz w:val="16"/>
                <w:lang w:eastAsia="zh-CN"/>
              </w:rPr>
              <w:t>截至</w:t>
            </w:r>
            <w:r>
              <w:rPr>
                <w:rFonts w:ascii="宋体" w:hAnsi="宋体" w:eastAsia="宋体"/>
                <w:sz w:val="16"/>
              </w:rPr>
              <w:t>2024年12月31日已开展3个地表水千吨万人水源地（白杨河水库水源地、四工河水源地、甘河子镇水库水源地）每季度监测1次；对阜康市1个地下水水源地（城郊地下水水源地）每半年开展监测1次；对阜康市花儿沟村、良繁中心村县域河流出、入境断面及湖库点位开展地表水监测4次，农业面源污染控制断面水质监测4次。该项目的实施，能有效完成自治区生态环境监测工作安排及昌吉州生态环境监测工作部署，完成辖区内“千吨万人”饮用水水源地、农村环境质量等水质检测。监测数据上报国家平台，为水源地和农村环境管理提供数据支撑。</w:t>
            </w:r>
          </w:p>
        </w:tc>
      </w:tr>
      <w:tr w14:paraId="363A59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AC83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2267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DD5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9C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5355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92A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7EE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C98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5AB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5CCC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1C8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EF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EF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153BA">
            <w:pPr>
              <w:jc w:val="center"/>
            </w:pPr>
            <w:r>
              <w:rPr>
                <w:rFonts w:ascii="宋体" w:hAnsi="宋体" w:eastAsia="宋体"/>
                <w:sz w:val="16"/>
              </w:rPr>
              <w:t>偏差原因分析及改进措施</w:t>
            </w:r>
          </w:p>
        </w:tc>
      </w:tr>
      <w:tr w14:paraId="5BFFC8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3905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0433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FB1D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1C93">
            <w:pPr>
              <w:jc w:val="center"/>
            </w:pPr>
            <w:r>
              <w:rPr>
                <w:rFonts w:ascii="宋体" w:hAnsi="宋体" w:eastAsia="宋体"/>
                <w:sz w:val="16"/>
              </w:rPr>
              <w:t>开展“千吨万人”地表水水源地监测次数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5EE4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878C7">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AA62">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A0D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243C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769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42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083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29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0176B">
            <w:pPr>
              <w:jc w:val="center"/>
            </w:pPr>
          </w:p>
        </w:tc>
      </w:tr>
      <w:tr w14:paraId="5B2C2A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977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377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E80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95B9">
            <w:pPr>
              <w:jc w:val="center"/>
            </w:pPr>
            <w:r>
              <w:rPr>
                <w:rFonts w:ascii="宋体" w:hAnsi="宋体" w:eastAsia="宋体"/>
                <w:sz w:val="16"/>
              </w:rPr>
              <w:t>开展“千吨万人”地下水水源地监测次数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98A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354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BF5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209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BEFB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3A0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94F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9F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17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F36E">
            <w:pPr>
              <w:jc w:val="center"/>
            </w:pPr>
          </w:p>
        </w:tc>
      </w:tr>
      <w:tr w14:paraId="463AF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9BE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EDE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E68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CFB4D">
            <w:pPr>
              <w:jc w:val="center"/>
            </w:pPr>
            <w:r>
              <w:rPr>
                <w:rFonts w:ascii="宋体" w:hAnsi="宋体" w:eastAsia="宋体"/>
                <w:sz w:val="16"/>
              </w:rPr>
              <w:t>农业面源污染控制断面水质监测次数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ACE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57452">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4606C">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FE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4D8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88A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BC8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1E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D6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9FCE">
            <w:pPr>
              <w:jc w:val="center"/>
            </w:pPr>
          </w:p>
        </w:tc>
      </w:tr>
      <w:tr w14:paraId="53343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8C2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168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B5F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AB0D4">
            <w:pPr>
              <w:jc w:val="center"/>
            </w:pPr>
            <w:r>
              <w:rPr>
                <w:rFonts w:ascii="宋体" w:hAnsi="宋体" w:eastAsia="宋体"/>
                <w:sz w:val="16"/>
              </w:rPr>
              <w:t>村庄县域河流出、入境断面及湖库点位开展地表水监测次数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A9C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6249">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6A2F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2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A934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77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BD7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0F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337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304C">
            <w:pPr>
              <w:jc w:val="center"/>
            </w:pPr>
          </w:p>
        </w:tc>
      </w:tr>
      <w:tr w14:paraId="2D8986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1D6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783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3EE3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660D">
            <w:pPr>
              <w:jc w:val="center"/>
            </w:pPr>
            <w:r>
              <w:rPr>
                <w:rFonts w:ascii="宋体" w:hAnsi="宋体" w:eastAsia="宋体"/>
                <w:sz w:val="16"/>
              </w:rPr>
              <w:t>数据审核通过率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8BF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36F2">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F3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60E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7E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70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3B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33D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AB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494CF">
            <w:pPr>
              <w:jc w:val="center"/>
            </w:pPr>
          </w:p>
        </w:tc>
      </w:tr>
      <w:tr w14:paraId="004E1F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F57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96C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DE9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3A60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A5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CADA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465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E11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50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77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8B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A26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E3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ECFDF">
            <w:pPr>
              <w:jc w:val="center"/>
            </w:pPr>
          </w:p>
        </w:tc>
      </w:tr>
      <w:tr w14:paraId="038E8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E68C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1C0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9314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3E63">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61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74026">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A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6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64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3F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634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C3E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A3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C914C">
            <w:pPr>
              <w:jc w:val="center"/>
            </w:pPr>
          </w:p>
        </w:tc>
      </w:tr>
      <w:tr w14:paraId="0FDA22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C66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C64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6E9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02698">
            <w:pPr>
              <w:jc w:val="center"/>
            </w:pPr>
            <w:r>
              <w:rPr>
                <w:rFonts w:ascii="宋体" w:hAnsi="宋体" w:eastAsia="宋体"/>
                <w:sz w:val="16"/>
              </w:rPr>
              <w:t>监测费用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CB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48CF4">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A876">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A08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6A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A94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AC0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84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1D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1B684">
            <w:pPr>
              <w:jc w:val="center"/>
            </w:pPr>
          </w:p>
        </w:tc>
      </w:tr>
      <w:tr w14:paraId="4B4322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CCF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174A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3F3A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4D6E">
            <w:pPr>
              <w:jc w:val="center"/>
            </w:pPr>
            <w:r>
              <w:rPr>
                <w:rFonts w:ascii="宋体" w:hAnsi="宋体" w:eastAsia="宋体"/>
                <w:sz w:val="16"/>
              </w:rPr>
              <w:t>为环境监管提供有效数据支撑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89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E3092">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73D9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96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F9E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F8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68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7C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48E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4E8BC">
            <w:pPr>
              <w:jc w:val="center"/>
            </w:pPr>
          </w:p>
        </w:tc>
      </w:tr>
      <w:tr w14:paraId="6FA2E5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055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16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FA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C77A">
            <w:pPr>
              <w:jc w:val="center"/>
            </w:pPr>
            <w:r>
              <w:rPr>
                <w:rFonts w:ascii="宋体" w:hAnsi="宋体" w:eastAsia="宋体"/>
                <w:sz w:val="16"/>
              </w:rPr>
              <w:t>委托单位满意度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3D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263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9E9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2B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A8A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F23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D1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04F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2A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FE669">
            <w:pPr>
              <w:jc w:val="center"/>
            </w:pPr>
          </w:p>
        </w:tc>
      </w:tr>
      <w:tr w14:paraId="2E0A93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D4DC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1B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29C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D076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D204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0195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B25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8A41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4A16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F52B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325ED"/>
        </w:tc>
      </w:tr>
    </w:tbl>
    <w:p w14:paraId="127BE4E1">
      <w:r>
        <w:br w:type="page"/>
      </w:r>
    </w:p>
    <w:p w14:paraId="7DADB4D1">
      <w:pPr>
        <w:spacing w:line="640" w:lineRule="exact"/>
        <w:ind w:firstLine="640"/>
        <w:jc w:val="both"/>
        <w:outlineLvl w:val="2"/>
      </w:pPr>
      <w:r>
        <w:rPr>
          <w:rFonts w:ascii="黑体" w:hAnsi="黑体" w:eastAsia="黑体"/>
          <w:sz w:val="32"/>
        </w:rPr>
        <w:t>十二、其他需说明的事项</w:t>
      </w:r>
    </w:p>
    <w:p w14:paraId="31236149">
      <w:pPr>
        <w:spacing w:line="580" w:lineRule="exact"/>
        <w:ind w:firstLine="640"/>
        <w:jc w:val="both"/>
      </w:pPr>
      <w:r>
        <w:rPr>
          <w:rFonts w:ascii="仿宋_GB2312" w:hAnsi="仿宋_GB2312" w:eastAsia="仿宋_GB2312"/>
          <w:b w:val="0"/>
          <w:sz w:val="32"/>
        </w:rPr>
        <w:t>本单位无其他需说明的事项。</w:t>
      </w:r>
    </w:p>
    <w:p w14:paraId="2BC8F544">
      <w:r>
        <w:br w:type="page"/>
      </w:r>
    </w:p>
    <w:p w14:paraId="66189271">
      <w:pPr>
        <w:spacing w:line="240" w:lineRule="auto"/>
        <w:jc w:val="center"/>
        <w:outlineLvl w:val="1"/>
      </w:pPr>
      <w:r>
        <w:rPr>
          <w:rFonts w:ascii="黑体" w:hAnsi="黑体" w:eastAsia="黑体"/>
          <w:sz w:val="32"/>
        </w:rPr>
        <w:t>第三部分 专业名词解释</w:t>
      </w:r>
    </w:p>
    <w:p w14:paraId="1E0E6A3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07FD71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B79CEC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2CDC8E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090A0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3B088B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C091F6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F85E6A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B872F1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43142D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E416C4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0AB5FF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A5BBF0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811F5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1942B89">
      <w:r>
        <w:br w:type="page"/>
      </w:r>
    </w:p>
    <w:p w14:paraId="3F182653">
      <w:pPr>
        <w:spacing w:line="240" w:lineRule="auto"/>
        <w:jc w:val="center"/>
        <w:outlineLvl w:val="1"/>
      </w:pPr>
      <w:r>
        <w:rPr>
          <w:rFonts w:ascii="黑体" w:hAnsi="黑体" w:eastAsia="黑体"/>
          <w:sz w:val="32"/>
        </w:rPr>
        <w:t>第四部分 部门决算报表（见附表）</w:t>
      </w:r>
    </w:p>
    <w:p w14:paraId="3DD865B6">
      <w:pPr>
        <w:spacing w:line="240" w:lineRule="auto"/>
        <w:ind w:firstLine="640"/>
        <w:jc w:val="both"/>
      </w:pPr>
      <w:r>
        <w:rPr>
          <w:rFonts w:ascii="仿宋_GB2312" w:hAnsi="仿宋_GB2312" w:eastAsia="仿宋_GB2312"/>
          <w:b w:val="0"/>
          <w:sz w:val="32"/>
        </w:rPr>
        <w:t>一、《收入支出决算总表》</w:t>
      </w:r>
    </w:p>
    <w:p w14:paraId="04EB1F81">
      <w:pPr>
        <w:spacing w:line="240" w:lineRule="auto"/>
        <w:ind w:firstLine="640"/>
        <w:jc w:val="both"/>
      </w:pPr>
      <w:r>
        <w:rPr>
          <w:rFonts w:ascii="仿宋_GB2312" w:hAnsi="仿宋_GB2312" w:eastAsia="仿宋_GB2312"/>
          <w:b w:val="0"/>
          <w:sz w:val="32"/>
        </w:rPr>
        <w:t>二、《收入决算表》</w:t>
      </w:r>
    </w:p>
    <w:p w14:paraId="6331A478">
      <w:pPr>
        <w:spacing w:line="240" w:lineRule="auto"/>
        <w:ind w:firstLine="640"/>
        <w:jc w:val="both"/>
      </w:pPr>
      <w:r>
        <w:rPr>
          <w:rFonts w:ascii="仿宋_GB2312" w:hAnsi="仿宋_GB2312" w:eastAsia="仿宋_GB2312"/>
          <w:b w:val="0"/>
          <w:sz w:val="32"/>
        </w:rPr>
        <w:t>三、《支出决算表》</w:t>
      </w:r>
    </w:p>
    <w:p w14:paraId="60BCFDE2">
      <w:pPr>
        <w:spacing w:line="240" w:lineRule="auto"/>
        <w:ind w:firstLine="640"/>
        <w:jc w:val="both"/>
      </w:pPr>
      <w:r>
        <w:rPr>
          <w:rFonts w:ascii="仿宋_GB2312" w:hAnsi="仿宋_GB2312" w:eastAsia="仿宋_GB2312"/>
          <w:b w:val="0"/>
          <w:sz w:val="32"/>
        </w:rPr>
        <w:t>四、《财政拨款收入支出决算总表》</w:t>
      </w:r>
    </w:p>
    <w:p w14:paraId="1521E1BC">
      <w:pPr>
        <w:spacing w:line="240" w:lineRule="auto"/>
        <w:ind w:firstLine="640"/>
        <w:jc w:val="both"/>
      </w:pPr>
      <w:r>
        <w:rPr>
          <w:rFonts w:ascii="仿宋_GB2312" w:hAnsi="仿宋_GB2312" w:eastAsia="仿宋_GB2312"/>
          <w:b w:val="0"/>
          <w:sz w:val="32"/>
        </w:rPr>
        <w:t>五、《一般公共预算财政拨款支出决算表》</w:t>
      </w:r>
    </w:p>
    <w:p w14:paraId="514E2FAC">
      <w:pPr>
        <w:spacing w:line="240" w:lineRule="auto"/>
        <w:ind w:firstLine="640"/>
        <w:jc w:val="both"/>
      </w:pPr>
      <w:r>
        <w:rPr>
          <w:rFonts w:ascii="仿宋_GB2312" w:hAnsi="仿宋_GB2312" w:eastAsia="仿宋_GB2312"/>
          <w:b w:val="0"/>
          <w:sz w:val="32"/>
        </w:rPr>
        <w:t>六、《一般公共预算财政拨款基本支出决算表》</w:t>
      </w:r>
    </w:p>
    <w:p w14:paraId="2B9D8CEF">
      <w:pPr>
        <w:spacing w:line="240" w:lineRule="auto"/>
        <w:ind w:firstLine="640"/>
        <w:jc w:val="both"/>
      </w:pPr>
      <w:r>
        <w:rPr>
          <w:rFonts w:ascii="仿宋_GB2312" w:hAnsi="仿宋_GB2312" w:eastAsia="仿宋_GB2312"/>
          <w:b w:val="0"/>
          <w:sz w:val="32"/>
        </w:rPr>
        <w:t>七、《政府性基金预算财政拨款收入支出决算表》</w:t>
      </w:r>
    </w:p>
    <w:p w14:paraId="19000150">
      <w:pPr>
        <w:spacing w:line="240" w:lineRule="auto"/>
        <w:ind w:firstLine="640"/>
        <w:jc w:val="both"/>
      </w:pPr>
      <w:r>
        <w:rPr>
          <w:rFonts w:ascii="仿宋_GB2312" w:hAnsi="仿宋_GB2312" w:eastAsia="仿宋_GB2312"/>
          <w:b w:val="0"/>
          <w:sz w:val="32"/>
        </w:rPr>
        <w:t>八、《国有资本经营预算财政拨款收入支出决算表》</w:t>
      </w:r>
    </w:p>
    <w:p w14:paraId="3CA419BF">
      <w:pPr>
        <w:spacing w:line="240" w:lineRule="auto"/>
        <w:ind w:firstLine="640"/>
        <w:jc w:val="both"/>
      </w:pPr>
      <w:r>
        <w:rPr>
          <w:rFonts w:ascii="仿宋_GB2312" w:hAnsi="仿宋_GB2312" w:eastAsia="仿宋_GB2312"/>
          <w:b w:val="0"/>
          <w:sz w:val="32"/>
        </w:rPr>
        <w:t>九、《财政拨款“三公”经费支出决算表》</w:t>
      </w:r>
    </w:p>
    <w:p w14:paraId="010A8654">
      <w:pPr>
        <w:spacing w:line="240" w:lineRule="auto"/>
        <w:ind w:firstLine="640"/>
        <w:jc w:val="both"/>
      </w:pPr>
    </w:p>
    <w:p w14:paraId="35344015">
      <w:pPr>
        <w:spacing w:line="240" w:lineRule="auto"/>
        <w:ind w:firstLine="640"/>
        <w:jc w:val="both"/>
      </w:pPr>
    </w:p>
    <w:p w14:paraId="0DC4E7D5">
      <w:pPr>
        <w:spacing w:line="240" w:lineRule="auto"/>
        <w:ind w:firstLine="640"/>
        <w:jc w:val="both"/>
      </w:pPr>
    </w:p>
    <w:p w14:paraId="601068DD">
      <w:pPr>
        <w:spacing w:line="240" w:lineRule="auto"/>
        <w:ind w:firstLine="640"/>
        <w:jc w:val="both"/>
      </w:pPr>
    </w:p>
    <w:p w14:paraId="58E6E1D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0621ED"/>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7765</Words>
  <Characters>8746</Characters>
  <Lines>0</Lines>
  <Paragraphs>0</Paragraphs>
  <TotalTime>1</TotalTime>
  <ScaleCrop>false</ScaleCrop>
  <LinksUpToDate>false</LinksUpToDate>
  <CharactersWithSpaces>8754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2025-10-15T04:43:17Z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