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val="en-US" w:eastAsia="zh-CN"/>
        </w:rPr>
        <w:t>阜康市</w:t>
      </w:r>
      <w:r>
        <w:rPr>
          <w:rFonts w:hint="default" w:ascii="Times New Roman" w:hAnsi="Times New Roman" w:eastAsia="方正小标宋_GBK" w:cs="Times New Roman"/>
          <w:sz w:val="44"/>
          <w:szCs w:val="44"/>
          <w:highlight w:val="none"/>
        </w:rPr>
        <w:t>关于推动城市高质量发展的</w:t>
      </w:r>
      <w:r>
        <w:rPr>
          <w:rFonts w:hint="default" w:ascii="Times New Roman" w:hAnsi="Times New Roman" w:eastAsia="方正小标宋_GBK" w:cs="Times New Roman"/>
          <w:sz w:val="44"/>
          <w:szCs w:val="44"/>
          <w:highlight w:val="none"/>
          <w:lang w:eastAsia="zh-CN"/>
        </w:rPr>
        <w:t>实施</w:t>
      </w:r>
      <w:r>
        <w:rPr>
          <w:rFonts w:hint="default" w:ascii="Times New Roman" w:hAnsi="Times New Roman" w:eastAsia="方正小标宋_GBK" w:cs="Times New Roman"/>
          <w:sz w:val="44"/>
          <w:szCs w:val="44"/>
          <w:highlight w:val="none"/>
        </w:rPr>
        <w:t>方案</w:t>
      </w:r>
      <w:r>
        <w:rPr>
          <w:rFonts w:hint="default" w:ascii="Times New Roman" w:hAnsi="Times New Roman" w:eastAsia="方正小标宋_GBK" w:cs="Times New Roman"/>
          <w:sz w:val="44"/>
          <w:szCs w:val="44"/>
          <w:highlight w:val="none"/>
          <w:lang w:eastAsia="zh-CN"/>
        </w:rPr>
        <w:t>（</w:t>
      </w:r>
      <w:r>
        <w:rPr>
          <w:rFonts w:hint="default" w:ascii="Times New Roman" w:hAnsi="Times New Roman" w:eastAsia="方正小标宋_GBK" w:cs="Times New Roman"/>
          <w:sz w:val="44"/>
          <w:szCs w:val="44"/>
          <w:highlight w:val="none"/>
          <w:lang w:val="en-US" w:eastAsia="zh-CN"/>
        </w:rPr>
        <w:t>2026-2030年</w:t>
      </w:r>
      <w:r>
        <w:rPr>
          <w:rFonts w:hint="default" w:ascii="Times New Roman" w:hAnsi="Times New Roman" w:eastAsia="方正小标宋_GBK" w:cs="Times New Roman"/>
          <w:sz w:val="44"/>
          <w:szCs w:val="44"/>
          <w:highlight w:val="none"/>
          <w:lang w:eastAsia="zh-CN"/>
        </w:rPr>
        <w:t>）</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为贯彻落实《中共中央、国务院关于推动城市高质量发展的意见》《自治区党委、自治区人民政府关于推动城市高质量发展的实施意见》《关于推动自治州城市高质量发展的实施方案》精神，加快推动城市高质量发展，结合我市实际，制定本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sz w:val="32"/>
          <w:szCs w:val="32"/>
          <w:highlight w:val="none"/>
        </w:rPr>
        <w:t>一、</w:t>
      </w:r>
      <w:r>
        <w:rPr>
          <w:rFonts w:hint="eastAsia" w:ascii="Times New Roman" w:hAnsi="Times New Roman" w:eastAsia="方正黑体_GBK" w:cs="Times New Roman"/>
          <w:sz w:val="32"/>
          <w:szCs w:val="32"/>
          <w:highlight w:val="none"/>
          <w:lang w:val="en-US" w:eastAsia="zh-CN"/>
        </w:rPr>
        <w:t>总体要求</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坚持以习近平新时代中国特色社会主义思想为指导，全面贯彻党的二十大及二十届历次全会精神，深入贯彻习近平总书记关于城市工作的重要论述和对自治区系列重要讲话重要指示精神，贯彻落实中央、自治区党委城市工作会议精神，始终把铸牢中华民族共同体意识贯穿城市工作全过程，认真践行人民城市理念，以推动城市高质量发展为主题，以坚持城市内涵式发展为主线，以推进城市更新为重要抓手，把握我市城市发展和规律，着力建设创新、宜居、美丽、韧性、文明、智慧的现代化人民城市。</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二、工作目标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（一）优化城市体系，塑强空间格局。</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锚定乌鲁木齐都市圈副中心、东中心定位，紧扣“双核双轴四区”空间格局，强化主城、天池旅游区、准东片区功能互补，深化景城、产城、城乡融合发展，深度融入乌昌协同发展格局，优化全域空间层级与功能布局，构建集约高效、特色鲜明的现代化城市体系，夯实都市圈发展核心支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（二）培育新质动能，壮大现代产业。</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立足</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“六大优势”</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推动有色金属、新材料等传统产业绿色高端升级，培育新能源、循环经济等新兴产业，做优“旅游+”“天池+”多元文旅业态，做强特色农业全产业链，集聚创新要素培育新质生产力，构建一二三产深度融合的现代产业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（三）营造生活空间，厚植民生福祉。</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聚焦各族群众美好生活需求，完善教育、医疗、养老、残疾人无障碍等公共服务配套，织密城乡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分钟生活圈，推进公共服务优质均等化，优化保障性住房供给，打造生态休闲便民空间，统筹精品旅游城市与美丽乡村建设，让高质量发展成果普惠全体市民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（四）推进城市更新，提升城市品质。</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落实城市更新专项规划，以“双核双轴四区”为框架，推进老旧小区、城中村改造提升，盘活闲置土地资源，保护特纳格尔古城等历史文化遗存，完善停车、充电、市政管网等基础配套，坚持民生优先、生态织补，持续提升城市风貌与功能品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（五）提升治理效能，构建共治格局。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以绣花功夫推进城市精细化治理，搭建一体化智慧城市管理平台，实现5G网络全域覆盖，健全基层治理体系，畅通群众诉求表达渠道，推动政企社民多元共治，深化民族交往交流交融，构建共建共治共享的现代化城市治理格局</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（六）强化安全韧性，守牢发展底线。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筑牢生态、生产、城市运行安全底线，持续夯实生态安全屏障建设基础，完善供热、</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供水</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等城市生命线工程，建强应急保障体系，抓实安全生产和各类风险防范化解，提升城市防灾减灾与应急处置能力，守牢高质量发展安全防线。</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i w:val="0"/>
          <w:iCs w:val="0"/>
          <w:caps w:val="0"/>
          <w:spacing w:val="0"/>
          <w:sz w:val="32"/>
          <w:szCs w:val="24"/>
          <w:highlight w:val="none"/>
          <w:shd w:val="clear" w:fill="FFFFFF"/>
          <w:lang w:val="en-US" w:eastAsia="zh-CN"/>
        </w:rPr>
        <w:t>（七）强化党建引领，凝聚发展合力。</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坚持党建引领城市发展各领域全过程，压实各级党组织主体责任，健全上下联动、部门协同的工作推进机制，强化干部队伍城市治理能力建设，凝聚政企社民各方发展合力，把党的组织优势转化为城市发展优势，保障各项工作任务落地见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重点任务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i w:val="0"/>
          <w:iCs w:val="0"/>
          <w:caps w:val="0"/>
          <w:spacing w:val="0"/>
          <w:sz w:val="32"/>
          <w:szCs w:val="24"/>
          <w:highlight w:val="none"/>
          <w:shd w:val="clear" w:fill="FFFFFF"/>
          <w:lang w:val="en-US" w:eastAsia="zh-CN"/>
        </w:rPr>
      </w:pPr>
      <w:r>
        <w:rPr>
          <w:rFonts w:hint="eastAsia" w:ascii="楷体_GB2312" w:hAnsi="楷体_GB2312" w:eastAsia="楷体_GB2312" w:cs="楷体_GB2312"/>
          <w:i w:val="0"/>
          <w:iCs w:val="0"/>
          <w:caps w:val="0"/>
          <w:spacing w:val="0"/>
          <w:sz w:val="32"/>
          <w:szCs w:val="24"/>
          <w:highlight w:val="none"/>
          <w:shd w:val="clear" w:fill="FFFFFF"/>
          <w:lang w:val="en-US" w:eastAsia="zh-CN"/>
        </w:rPr>
        <w:t>（一）将铸牢中华民族共同体意识主线贯穿城市发展全过程</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加强互嵌式发展格局构建。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结合城市更新行动，统筹规划布局和公共服务资源配置，推动各民族在空间、文化、经济、社会、心理五个维度全方位嵌入，打造</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一批</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互嵌式示范</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点位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，促进各民族双向流动融居，形成共居共学、</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共建共享、</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共事共乐的社会格局。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牵头单位：市委统战部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市自然资源局、发改委、财政局、民政局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加强流动人口服务管理。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坚持服务与管理并重，持续做好进疆务工少数民族群体服务管理工作，不断优化城市流动人口全链条服务管理体系，通过稳岗就业，社会保障、住房租赁、就学就医等政策，实现城市流动人口在城市中“能融入，留得住、过得好”，为城市高质量发展注入新活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牵头单位：市委政法委、统战部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单位：市公安局、卫健委、教育局、人社局、住建局，各乡镇（街道）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巩固民族团结进步创建成果。</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持续巩固深化全国民族团结进步示范市创建成果，常态化开展民族团结</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细胞微创+</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行动，将民族团结进步创建工作融入城市规划、建设、管理全流程，深化“石榴花开·同心阜康”铸牢品牌，以民族和谐凝聚发展合力，赋能城市高质量发展。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牵头单位：市委统战部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单位：各部门单位，各乡镇（街道）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深化基层融情活动。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依托中华民族传统节日搭建交往交流交融平台，巩固提升“民族团结一家亲”活动质效，深入实施“三项计划”，促进各族群众相知相亲、守望相助，营造中华民族一家亲的浓厚氛围，为阜康市城市高质量发展注入和谐动能。</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牵头单位：市委统战部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单位：各部门单位，各乡镇（街道）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加大城市历史文化挖掘力度。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让历史“发声”、让文物“说话”，</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推进国家级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西王母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文化资源转化，倾力打造AR交互沉浸式新场景</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用活用好博物馆、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甘河子工业展馆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等文化阵地，推动文物资源与工业遗存活态传承，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赓续城市历史文脉，以文化赋能城市更新与品质提升。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牵头单位：市委宣传部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单位：天池管委会，市文旅局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强化城市中华文化风貌塑造。</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将中华文化元素合理嵌入城市公共设施、建筑空间、旅游景观等，推动中华文化元素以实物呈现、实景打造、实事落地的方式鲜活展示展现，浸润城市街巷肌理，厚植城市文化底蕴，让优秀传统文化沁润人心，融入群众日常生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牵头单位：市委宣传部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单位：市城市管理局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、自然资源局、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文旅局、交通局，各乡镇（街道）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加大国家通用语言文字普及利用。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实施国家通用语言文字普及质量提升行动，提升全社会国家通用语言文字普及率，着力打造“博峰书声”全民阅读品牌，促进各民族群众交往、交流、交融。</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牵头单位：市委组织部、宣传部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单位：市教育局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、文联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（二）优化城市体系，构建现代化城市发展新格局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坚持科学统筹规划。</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依托阜康市国土空间总体规划，围绕水、气、热、电等城市基础设施更新改造，系统构建“1+8”城市更新体系，对道路交通、市政管网、绿地水系、公共服务设施等实行“一张图管理”，确保各类规划有效衔接。</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牵头单位：市自然资源局、住建局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单位：市发改委、财政局、交通局、水利局、城市管理局、商信局，各乡镇（街道），国网阜康市供电公司</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做好城市体检和城市更新。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高标准开展城市体检和更新规划编制，系统查找“城市病”，突出片区化推进、项目化实施，形成“点线面融合”城市更新项目库。健全更新对象参与机制，创建多渠道、多元化投融资模式，以城市更新赋能城市高质量发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单位：市发改委、自然资源局、城市管理局、卫健委、交通局、教育局、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文旅局，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融入乌鲁木齐都市圈。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争取</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建成铁路客运站和通用机场。推动下南泉铁路专用线、G335线甘泉堡至阜康市城际快速路投用，构建半小时通勤圈。持续强化与首府、州府两地物流、商贸、客运等互联互通，打通贯穿全疆的铁路大通道和直连全国的物流通道，为乌昌都市圈副中心和城市群“会客厅”提供保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牵头单位：市交通局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单位：市发改委、财政局、商信局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自然资源局，各乡镇（街道）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融入准东</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经济</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开发区。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深化与准东</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经济</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开发区产城协同发展、要素双向互补、公共服务联动共享，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建设准东开发区职工生活基地，实现准东开发区产业工人规模化转移，力争吸纳常住人口增加2.5万人，切实以区域深度融合发展集聚发展势能、激发建设活力。</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br w:type="textWrapping"/>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牵头单位：市自然资源局、住建局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单位：产业园，市发改委、财政局、交通局、城市管理局、公安局，各乡镇（街道）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强化准东石油基地协同发展。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推进石油基地与主城区有机融合，加快阜康市职业技术学院建设，实施准东石油基地生活区更新改造，全面补齐基础设施短板，优化公共服务供给，有序吸纳产业园区生产经营单位生产区与生活区分离后的人口导入，以人口集聚促产城融合，力争5年内实现1万人融入准东城市生活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产业园，</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市教育局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准东石油</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单位：市自然资源局、发改委、财政局、住建局、卫健委、交通局、商信局、城市管理局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3"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13.构建协调有序的城镇体系。</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立足阜康市区位特点与发展定位，统筹优化市域城镇空间布局，推动中心城区、九运街等重点镇、三工、滋泥泉子等特色乡镇分工协作、联动发展，完善城镇功能配套，提升城镇综合承载能力与辐射带动作用，有序推进农业转移人口市民化，力争城镇化率提升至</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74</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%，实现人口集聚提速、城乡融合发展的新型城镇化发展模式。</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市农业农村</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（三）提升发展动能，着力建设富有活力的创新城市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强化科技创新。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完善以先进材料、有色金属为主导、新能源等四大产业为支撑的现代产业体系，深化与山东大学、清研（</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新疆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）科技产业发展有限公司等科研院所合作，实施企业技术创新引领行动，推动科技成果产业化，培育专精特新与高</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新技术</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企业，促进优质创新资源向阜康集聚。聚焦核心技术攻关与企业培育，建立重点产业科技供需图谱，拓展政企数字化、自动化改造与设备更新等技术服务，打造高水平科技创新支撑平台。</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市科技局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单位：产业园</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发改委、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商信局、数字化发展局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强化景城互动。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实施文旅经济提升行动，以天池客群转化工程、乌昌近郊都市休闲带建设、国际康养旅游度假区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抓手，引进国际度假酒店，完善温泉康养、房车营地、文商旅综合体等配套设施，打造“天山天池”特色文旅IP，擦亮“世界自然遗产”金字招牌。创新发展冰雪旅游、体育赛事经济，构建“全时全季”旅游产品体系，实现接待游客突破千万人次，实现收入百亿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牵头单位：天池管委会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单位：市文旅局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发改委、财政局、商信局、自然资源局、市场监督管理局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加快提升消费能级。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施城市商业提升行动，优化商业布局，盘活老旧市场，改造城北、准东等一批农贸市场，打造便民生活圈。拓展“文化演绎+场景消费”“旅游票根+全域服务”新型消费场景，培育“夜游、夜娱、夜购”多元夜经济业态，打造瑶池天街、碧琳城、博格达小镇、特纳格尔特色商业街与夜间经济集聚区，激活消费市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牵头单位：市商信局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单位：市发改委、文旅局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市场监督管理局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财政局、自然资源局、住建局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（四）聚焦人民期盼，着力建设舒适便利的宜居城市</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打造品质宜居“好房子”。</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落实“好房子”建设技术标准，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建成“好房子”示范项目10个。稳步推行房地产开发项目公司制、商品房现房销售制、主办银行制，强化存量住房风险处置，实行“白名单”制度，</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按照“先易后难、实事求是、同步推进”的原则，采取容缺办理、项目盘活等方式，</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盘活处置闲置存量用地，</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力争推动房产历史遗留问题清仓见底、攻坚突破、妥善化解。</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单位：市自然资源局、财政局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建设配套完善“好小区”。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持续推进老旧小区改造，完善供水、供热、燃气等基础配套设施，鼓励住户使用住房公积金、住宅专项维修资金等资金在既有建筑加装电梯、节能改造、防水改造，到2030年全面完成2005年以前建成的老旧小区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（22个）</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改造任务，</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实现新建小区绿地率40%以上，老旧小区绿地率35%以上。实施物业质量服务提升行动，强化党建引领物业治理，实现“社区管理+物业服务”全覆盖。</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自然资源局、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财政局、发改委、城市管理局、市场监督管理局、商信局，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昌吉州住房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公积金管理中心</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阜康管理部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构建服务暖心“好社区”。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完善“一老一小”社区养老托育服务体系，</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谋划一批</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老年活动综合服务中心</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、托育机构等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项目，推动“社区+养老+托育”服务模式，</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全力推动南华路完整社区试点建设，力争率先打造示范样板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。探索在有条件的幼儿园、学校周边配套建设小游园、家长等候区、公厕、停车场全龄友好型“四件套”工程。</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牵头单位：市住建局、城市管理局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单位：市财政局、发改委、自然资源局、民政局、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教育局、卫健委、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商信局，各乡镇（街道）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塑造功能升级“好城区”。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提升汇嘉时代、百润环湖等商圈吸引力，引入首店、旗舰店及特色餐饮等多元业态，培育消费新场景，建成城市核心商圈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优化街区空间环境，提升城市道路通行条件，有序开展城市亮化、绿化、美化行动。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牵头单位：市商信局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市场监督管理局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公安局、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财政局、自然资源局、住建局、城市管理局，各乡镇（街道）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提升公用保障能力。</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开展城市市政设施普查，持续更新改造材质落后、使用年限较长、存在安全隐患的老旧管网。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争取</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实施一水厂二期项目、阜西污水处理厂改扩建项目，更新改造给排水管网20公里，实现运行30年以上管网动态更新全覆盖，力争2030年前城市居民用水保障率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生活污水集中收集率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水质达标率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再生水利用率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达到100%，供水管网漏损率控制在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以内。统筹建设改造燃气管网、供热管网36公里，启动智慧燃气安全监管平台建设，推广普及居民燃气安全自动闭锁装置，实现运行20年以上老旧管网动态清零，燃气安全从“人防”向“技防+智防”转变，燃气、供热普及率均达100%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牵头单位：市住建局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单位：市财政局、发改委、市场监督管理局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健全价格调整机制。</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建立健全燃气、供热、供水、生活垃圾处置、餐厨垃圾处置、建筑垃圾处置价格动态调整机制，根据市场供求、成本变化等因素，适时启动价格调整程序，确保公用事业价格既反映价值规律，又兼顾民生保障与行业可持续发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牵头单位：市发改委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市市场监督管理局、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财政局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、司法局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畅通城市交通“微循环”。</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实施滨河、瑶河大桥拓宽工程，全面升级南华路、博峰西路等6条人车密集道路附属设施，</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打通德渊路、聚龙路等8条“断头路”，新增停车位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000个，连通城区50条92公里盲道，修复无障碍通道2万平米，施划慢行交通专用线30公里，实现建成区绿色慢行交通全面贯通。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FF"/>
          <w:sz w:val="32"/>
          <w:szCs w:val="32"/>
          <w:highlight w:val="none"/>
          <w:lang w:val="en-US" w:eastAsia="zh-CN"/>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牵头单位：市住建局、城市管理局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单位：市</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公安局、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自然资源局、发改委、财政局、交通局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、林草局，各乡镇（街道）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优化城市公共交通布局。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公交场站枢纽、智能导引标识、电子站牌等基础设施，开通城区至天山天池、产业园区的定制化客运专线，推行网约车线上服务，构建“城区畅行、景区联通、园区直达”的公共交通网络，全面提升运行效能与出行体验。</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交通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单位：天池管委会，产业园，市</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公安局、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自然资源局、财政局、住建局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（五）践行绿色发展理念，着力建设生态优良的美丽城市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25</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深化大气治理攻坚。</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坚持“压煤、抑尘、减排、治企”多措并举，持续开展施工扬尘、道路扬尘、裸地扬尘、外来沙尘“四尘共治”，大气质量明显提升。巩固城市黑臭水体治理成效，城市污水再生利用率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保持100</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%，指导帮扶2个重点镇污水处理站提升改造。</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牵头单位：昌吉州生态环境局阜康市分局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产业园，市城市管理局、自然资源局、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、交通局、市场监督管理局，各乡镇（街道）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争创“全国无废城市”。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争创“全国无废城市”，巩固“国家卫生城市”“全国垃圾分类试点市”成果，深入排查治理生活垃圾填埋场环境隐患，确保无害化处理率保持100%，健全建筑垃圾全链条收运体系，以实干实效推动城市绿色高质量发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牵头单位：昌吉州生态环境局阜康市分局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产业园，市财政局、卫健委、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auto"/>
          <w:sz w:val="32"/>
          <w:szCs w:val="32"/>
          <w:highlight w:val="none"/>
          <w:lang w:val="en-US" w:eastAsia="zh-CN"/>
        </w:rPr>
        <w:t>推进城市节能减排降碳。</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有序推广绿色建筑，持续推进既有建筑节能改造，新建建筑全面执行绿色建筑标准，提升建筑领域绿色低碳发展水平。加大新能源汽车宣传推广</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，优化充电桩等配套基础设施布局建设，积极推动公务用车、城市公交、出租车等新能源替代，降低交通运输领域碳排放。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市发改委、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市商信局、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交通局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、城市管理局、机关事务服务中心，</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加强生态园林城市建设。</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充分利用城市边角地、闲置地，试点推广下沉式绿地模式，因地制宜新建“口袋公园”及示范性提升，打造城市“共享菜园”，培育“公园+文旅”“公园+运动”“公园+科普”等活力场景。统筹推进生态廊道、通风廊道、城市绿道、景观廊道一体化规划建设，持续完善绿道网络体系，着力实现城市绿道全域覆盖、互联互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市文旅局、自然资源局、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住建局、教育局、科技局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（六）统筹发展和安全，着力建设安全可靠的韧性城市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29.</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加强房屋和市政设施安全隐患治理。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深化安全生产治本攻坚行动，利用“智慧工地助手”赋能施工安全监管。对1983年以前建成的城镇多层住宅，按照“评估-鉴定-整治”程序分期分批实施抗震加固改造。强化居民地震应急演练。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、应急管理局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产业园，市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教育局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卫健委、民政局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、农业农村局，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30.</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加强城市重点领域风险防控。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以危险化学品、特种设备、建筑施工、城镇燃气、道路交通及消防安全为重点，深化隐患排查和分级管控双重预防机制。统筹城市防洪和内涝治理，整治易涝积水点6处。完成安康液化气站整体搬迁工程。</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进一步完善高层建筑消防安全管理责任体系，实施百合等3个小区消防设施升级改造，高层住宅电梯加装电梯阻车系统，</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新建市政消火栓50个</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，杜绝火灾隐患发生</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。完善27处应急避难场所配套设施，提升应急场所保障能力。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应急管理局、住建局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市场监督管理局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交通局、消防救援局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加强公共卫生防控救治能力建设。</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突发公共卫生</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公共卫生事件应急预案，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加强应急队伍专业化建设，常态化开展实战化应急演练；重点推进医共体五大中心标准化建设，推动医疗资源下沉基层、辐射乡镇。健全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市、乡</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（街道）、村（社区）三级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公共</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卫生防治体系，</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强化基层公共卫生服务点标准化建设，强化市疾病预防控制中心突发公共卫生时间监测预计、流调处置等核心能力建设，夯实基层公共卫生防控根基，全面提升全市公共卫生应急处置和防控救治综合水平。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卫健委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筑牢食品安全防线。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强化</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食品</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生产</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环节监管，规范原料查验、出厂检验，提升小作坊规范化水平。聚焦校园食堂、养老助餐点、农贸市场、景区餐饮等重点场所，加大抽检监测力度，及时处置不合格食品。深化网络订餐、农村市场专项整治，畅通投诉举报渠道，强化联合执法与案件查办。发挥外卖骑手等社会力量作用，构建共治格局，从严防控风险隐患，切实守护群众舌尖上的安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市市场监督管理局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市教育局、文旅局、商信局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（七）涵养文明风尚，着力建设崇德向善的文明城市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加强历史文化保护传承利用。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全面摸清老城区、历史文化街区文化遗产资源数量，争创历史文化名城。完成</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处历史文化街区和历史建筑普查认定、名录申报、挂牌保护和活化利用。加强对土墩子烽火台等全国重点文物进行修缮性保护。力争完成特纳格尔街</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申报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自治区历史文化街区。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市商信局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、文旅局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34</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加强城市风貌塑造与管控。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严格管理城市超高层建筑，确保新开工项目100%与城市规模、空间尺度相适宜，杜绝盲目攀高、无序发展现象。科学规划城市天际线，构建错落有致、疏密得当的建筑布局，充分展现中华美学精神和阜康独特气质，提升城市整体形象和宜居水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自然资源局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市发改委、住建局、城市管理局、文旅局，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.加快推进全国文明城市创建。</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以全国文明城市创建为契机，实施公共文化服务提质增效行动，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强化公共场所文明宣传引导，持续巩固全国民族团结进步示范市创建成果，提速摘取全国文明城市“金字招牌”，用心构筑中华民族共有精神家园。</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宣传部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单位：各部门单位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36.健全弱势群体帮扶体系。</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聚焦困难群众、老年人、残疾人、低收入群体等重点对象，强化基本生活、医疗、住房、养老等兜底保障，筑牢民生安全底线。健全基层关爱服务网络，强化社会救助、法律援助、心理疏导和志愿服务，推动帮扶资源精准下沉。推进未成年人保护工作，高标准制定未成年人保护工作方案，打造具有阜康特色的“瑶池稚安”未成年人保护体系，为城市高质量发展夯实民生基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市民政局、残联、教育局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（八）坚持数字赋能，着力建设便捷高效的智慧城市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37</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优化城市治理体系。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坚持和发展新时代“枫桥经验”，全面推进信访工作法治化。强化“12345”政务服务便民热线</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、书记留言板、市长信箱等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平台功能，实现热线</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签收</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率、办结率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提升至</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群众满意率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达</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%以上</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，力争信访积案化解率达90%以上</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。深入推进平安阜康建设，推动市域综治中心规范化、实战化运行。健全社会安全稳定风险监测预警机制，构建“源头防控、动态监测、及时处置”的风险防控体系。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市委</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政法委、社会工作部</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数字化发展局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单位：各部门单位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38</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提升城市精细化治理水平。</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政府、企业、社区、居民”多元参与机制，实现“城市管理进社区”全覆盖。开展城区环境整治攻坚行动，全面完成民主路、民族巷、城乡结合部等背街小巷巷道环境治理。规范集贸市场经营管理秩序，因地制宜增设停车位、公厕等便民设施。严格户外广告审批与风貌管控，开展违规户外广告整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市自然资源局、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住建局、市场监督管</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、商信局，城关镇、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39</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科学运用城市管理智能化平台。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充分运用阜康市城市运行管理服务平台，依托大数据、云计算、物联网等现代信息技术，推动平台与燃气、供水、交通等行业系统数据互联互通，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力争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实现城市管理事件自动发现率提升至60%，处置效率提高50%，通过平台实时监测城市运行状态，提升城市应急处置能力。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数字化发展局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责任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城市管理局、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公安局、</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住建局、市场监督管</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局、交通局、应急管理局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各乡镇（街道）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四、保障措施</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sz w:val="32"/>
          <w:szCs w:val="32"/>
          <w:highlight w:val="none"/>
          <w:lang w:val="en-US" w:eastAsia="zh-CN"/>
        </w:rPr>
        <w:t>（一）加强组织领导。</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加强党对城市工作的全面领导，牢</w:t>
      </w:r>
      <w:bookmarkStart w:id="0" w:name="_GoBack"/>
      <w:bookmarkEnd w:id="0"/>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牢把握城市发展正确方向。建立市领导联系重点片区、重点项目工作机制，完善跨部门、跨层级、跨区域协调联动和定期会商制度，及时协调解决城市规划建设管理中的重难点问题。</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sz w:val="32"/>
          <w:szCs w:val="32"/>
          <w:highlight w:val="none"/>
          <w:lang w:val="en-US" w:eastAsia="zh-CN"/>
        </w:rPr>
        <w:t>（二）强化部门协同。</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各部门</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单位</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加强统筹协调与业务指导，细化任务清单、责任清单，推动各项政策措施落地见效。健全完善城市规划建设治理领域政策法规和地方标准体系，为城市高质量发展提供制度保障。积极争取上级资金、引导社会资本参与，建立健全支撑城市高质量发展的多元化投融资机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val="0"/>
          <w:bCs w:val="0"/>
          <w:sz w:val="32"/>
          <w:szCs w:val="32"/>
          <w:highlight w:val="none"/>
          <w:lang w:val="en-US" w:eastAsia="zh-CN"/>
        </w:rPr>
        <w:t>（三）强化队伍建设。</w:t>
      </w: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加强城市工作干部队伍素质能力建设，实施专业人才培养计划，重点培育城市规划、建设、管理等领域专业人才，打造一支懂城市、会管理、善攻坚的高素质干部队伍。严格执行重大事项请示报告制度，城市工作中的重大规划、重大项目、重大改革等事项，及时按程序向市委、市人民政府请示报告。</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p>
    <w:sectPr>
      <w:footerReference r:id="rId3" w:type="default"/>
      <w:pgSz w:w="11850"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A85C07-A635-4793-B830-E47570A78E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ABCE3DF-FB23-4500-913F-4927D4806316}"/>
  </w:font>
  <w:font w:name="方正仿宋_GBK">
    <w:panose1 w:val="02000000000000000000"/>
    <w:charset w:val="86"/>
    <w:family w:val="auto"/>
    <w:pitch w:val="default"/>
    <w:sig w:usb0="A00002BF" w:usb1="38CF7CFA" w:usb2="00082016" w:usb3="00000000" w:csb0="00040001" w:csb1="00000000"/>
    <w:embedRegular r:id="rId3" w:fontKey="{D2E2F60D-5D8B-4E01-B78B-F4E1A2F87C9B}"/>
  </w:font>
  <w:font w:name="方正黑体_GBK">
    <w:panose1 w:val="02000000000000000000"/>
    <w:charset w:val="86"/>
    <w:family w:val="auto"/>
    <w:pitch w:val="default"/>
    <w:sig w:usb0="A00002BF" w:usb1="38CF7CFA" w:usb2="00082016" w:usb3="00000000" w:csb0="00040001" w:csb1="00000000"/>
    <w:embedRegular r:id="rId4" w:fontKey="{AD4DD94C-7D5D-4643-B9BF-4521411FE1E6}"/>
  </w:font>
  <w:font w:name="仿宋_GB2312">
    <w:panose1 w:val="02010609030101010101"/>
    <w:charset w:val="86"/>
    <w:family w:val="modern"/>
    <w:pitch w:val="default"/>
    <w:sig w:usb0="00000001" w:usb1="080E0000" w:usb2="00000000" w:usb3="00000000" w:csb0="00040000" w:csb1="00000000"/>
    <w:embedRegular r:id="rId5" w:fontKey="{9CDDDAB4-52E9-4F5C-BFE1-392356AEB57B}"/>
  </w:font>
  <w:font w:name="楷体_GB2312">
    <w:panose1 w:val="02010609030101010101"/>
    <w:charset w:val="86"/>
    <w:family w:val="auto"/>
    <w:pitch w:val="default"/>
    <w:sig w:usb0="00000001" w:usb1="080E0000" w:usb2="00000000" w:usb3="00000000" w:csb0="00040000" w:csb1="00000000"/>
    <w:embedRegular r:id="rId6" w:fontKey="{B587A7C7-9A5E-4FFE-A3D8-809D6B4CB7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360" w:firstLineChars="200"/>
      <w:jc w:val="lef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 </w:t>
                          </w:r>
                          <w:r>
                            <w:rPr>
                              <w:rFonts w:hint="eastAsia" w:asciiTheme="minorEastAsia" w:hAnsiTheme="minorEastAsia" w:cstheme="minorEastAsia"/>
                              <w:b w:val="0"/>
                              <w:bCs w:val="0"/>
                              <w:sz w:val="28"/>
                              <w:szCs w:val="28"/>
                              <w:lang w:val="en-US" w:eastAsia="zh-CN"/>
                            </w:rPr>
                            <w:fldChar w:fldCharType="begin"/>
                          </w:r>
                          <w:r>
                            <w:rPr>
                              <w:rFonts w:hint="eastAsia" w:asciiTheme="minorEastAsia" w:hAnsiTheme="minorEastAsia" w:cstheme="minorEastAsia"/>
                              <w:b w:val="0"/>
                              <w:bCs w:val="0"/>
                              <w:sz w:val="28"/>
                              <w:szCs w:val="28"/>
                              <w:lang w:val="en-US" w:eastAsia="zh-CN"/>
                            </w:rPr>
                            <w:instrText xml:space="preserve"> PAGE  \* MERGEFORMAT </w:instrText>
                          </w:r>
                          <w:r>
                            <w:rPr>
                              <w:rFonts w:hint="eastAsia" w:asciiTheme="minorEastAsia" w:hAnsiTheme="minorEastAsia" w:cstheme="minorEastAsia"/>
                              <w:b w:val="0"/>
                              <w:bCs w:val="0"/>
                              <w:sz w:val="28"/>
                              <w:szCs w:val="28"/>
                              <w:lang w:val="en-US" w:eastAsia="zh-CN"/>
                            </w:rPr>
                            <w:fldChar w:fldCharType="separate"/>
                          </w:r>
                          <w:r>
                            <w:rPr>
                              <w:rFonts w:hint="eastAsia" w:asciiTheme="minorEastAsia" w:hAnsiTheme="minorEastAsia" w:cstheme="minorEastAsia"/>
                              <w:b w:val="0"/>
                              <w:bCs w:val="0"/>
                              <w:sz w:val="28"/>
                              <w:szCs w:val="28"/>
                              <w:lang w:val="en-US" w:eastAsia="zh-CN"/>
                            </w:rPr>
                            <w:t>- 1 -</w:t>
                          </w:r>
                          <w:r>
                            <w:rPr>
                              <w:rFonts w:hint="eastAsia" w:asciiTheme="minorEastAsia" w:hAnsiTheme="minorEastAsia" w:cstheme="minorEastAsia"/>
                              <w:b w:val="0"/>
                              <w:bCs w:val="0"/>
                              <w:sz w:val="28"/>
                              <w:szCs w:val="28"/>
                              <w:lang w:val="en-US" w:eastAsia="zh-CN"/>
                            </w:rPr>
                            <w:fldChar w:fldCharType="end"/>
                          </w:r>
                          <w:r>
                            <w:rPr>
                              <w:rFonts w:hint="eastAsia" w:asciiTheme="minorEastAsia" w:hAnsiTheme="minorEastAsia" w:cstheme="minorEastAsia"/>
                              <w:b w:val="0"/>
                              <w:bCs w:val="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 </w:t>
                    </w:r>
                    <w:r>
                      <w:rPr>
                        <w:rFonts w:hint="eastAsia" w:asciiTheme="minorEastAsia" w:hAnsiTheme="minorEastAsia" w:cstheme="minorEastAsia"/>
                        <w:b w:val="0"/>
                        <w:bCs w:val="0"/>
                        <w:sz w:val="28"/>
                        <w:szCs w:val="28"/>
                        <w:lang w:val="en-US" w:eastAsia="zh-CN"/>
                      </w:rPr>
                      <w:fldChar w:fldCharType="begin"/>
                    </w:r>
                    <w:r>
                      <w:rPr>
                        <w:rFonts w:hint="eastAsia" w:asciiTheme="minorEastAsia" w:hAnsiTheme="minorEastAsia" w:cstheme="minorEastAsia"/>
                        <w:b w:val="0"/>
                        <w:bCs w:val="0"/>
                        <w:sz w:val="28"/>
                        <w:szCs w:val="28"/>
                        <w:lang w:val="en-US" w:eastAsia="zh-CN"/>
                      </w:rPr>
                      <w:instrText xml:space="preserve"> PAGE  \* MERGEFORMAT </w:instrText>
                    </w:r>
                    <w:r>
                      <w:rPr>
                        <w:rFonts w:hint="eastAsia" w:asciiTheme="minorEastAsia" w:hAnsiTheme="minorEastAsia" w:cstheme="minorEastAsia"/>
                        <w:b w:val="0"/>
                        <w:bCs w:val="0"/>
                        <w:sz w:val="28"/>
                        <w:szCs w:val="28"/>
                        <w:lang w:val="en-US" w:eastAsia="zh-CN"/>
                      </w:rPr>
                      <w:fldChar w:fldCharType="separate"/>
                    </w:r>
                    <w:r>
                      <w:rPr>
                        <w:rFonts w:hint="eastAsia" w:asciiTheme="minorEastAsia" w:hAnsiTheme="minorEastAsia" w:cstheme="minorEastAsia"/>
                        <w:b w:val="0"/>
                        <w:bCs w:val="0"/>
                        <w:sz w:val="28"/>
                        <w:szCs w:val="28"/>
                        <w:lang w:val="en-US" w:eastAsia="zh-CN"/>
                      </w:rPr>
                      <w:t>- 1 -</w:t>
                    </w:r>
                    <w:r>
                      <w:rPr>
                        <w:rFonts w:hint="eastAsia" w:asciiTheme="minorEastAsia" w:hAnsiTheme="minorEastAsia" w:cstheme="minorEastAsia"/>
                        <w:b w:val="0"/>
                        <w:bCs w:val="0"/>
                        <w:sz w:val="28"/>
                        <w:szCs w:val="28"/>
                        <w:lang w:val="en-US" w:eastAsia="zh-CN"/>
                      </w:rPr>
                      <w:fldChar w:fldCharType="end"/>
                    </w:r>
                    <w:r>
                      <w:rPr>
                        <w:rFonts w:hint="eastAsia" w:asciiTheme="minorEastAsia" w:hAnsiTheme="minorEastAsia" w:cstheme="minorEastAsia"/>
                        <w:b w:val="0"/>
                        <w:bCs w:val="0"/>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43A88"/>
    <w:rsid w:val="010276DD"/>
    <w:rsid w:val="04EC5EF7"/>
    <w:rsid w:val="0502624E"/>
    <w:rsid w:val="084407FF"/>
    <w:rsid w:val="08E25A06"/>
    <w:rsid w:val="0A2A393B"/>
    <w:rsid w:val="0A4903DA"/>
    <w:rsid w:val="0C0B69A7"/>
    <w:rsid w:val="12533876"/>
    <w:rsid w:val="13C609E5"/>
    <w:rsid w:val="155E3D96"/>
    <w:rsid w:val="15A35167"/>
    <w:rsid w:val="177E1A16"/>
    <w:rsid w:val="18AD238B"/>
    <w:rsid w:val="1DA23D3D"/>
    <w:rsid w:val="1DCF5E45"/>
    <w:rsid w:val="1E345B9A"/>
    <w:rsid w:val="1EAA4A5F"/>
    <w:rsid w:val="2069199C"/>
    <w:rsid w:val="211046DA"/>
    <w:rsid w:val="214F61CD"/>
    <w:rsid w:val="228650E0"/>
    <w:rsid w:val="229E658B"/>
    <w:rsid w:val="23A93537"/>
    <w:rsid w:val="25DC6426"/>
    <w:rsid w:val="2BFF288E"/>
    <w:rsid w:val="2EFFC027"/>
    <w:rsid w:val="31FAC695"/>
    <w:rsid w:val="343E7CCC"/>
    <w:rsid w:val="39FF7BDB"/>
    <w:rsid w:val="3BAA5C47"/>
    <w:rsid w:val="3BDD0210"/>
    <w:rsid w:val="3CC44D40"/>
    <w:rsid w:val="3EDD3349"/>
    <w:rsid w:val="3F9FCE6F"/>
    <w:rsid w:val="3FA33183"/>
    <w:rsid w:val="42795AF5"/>
    <w:rsid w:val="44763C49"/>
    <w:rsid w:val="463753C9"/>
    <w:rsid w:val="479F943A"/>
    <w:rsid w:val="47B24D7C"/>
    <w:rsid w:val="49A94649"/>
    <w:rsid w:val="4A484799"/>
    <w:rsid w:val="4D67120C"/>
    <w:rsid w:val="4E97CEFF"/>
    <w:rsid w:val="4FF1D84F"/>
    <w:rsid w:val="51B03B5F"/>
    <w:rsid w:val="54CE3199"/>
    <w:rsid w:val="5A6E36ED"/>
    <w:rsid w:val="5A7F2CFB"/>
    <w:rsid w:val="5BB66216"/>
    <w:rsid w:val="5BF5B29B"/>
    <w:rsid w:val="5BFE79E1"/>
    <w:rsid w:val="5DC79228"/>
    <w:rsid w:val="5DFF48A8"/>
    <w:rsid w:val="6183303E"/>
    <w:rsid w:val="65DF2988"/>
    <w:rsid w:val="678C47CB"/>
    <w:rsid w:val="688D47A2"/>
    <w:rsid w:val="690B56C7"/>
    <w:rsid w:val="692F5DCA"/>
    <w:rsid w:val="69C935B8"/>
    <w:rsid w:val="6A1A02B8"/>
    <w:rsid w:val="6A35DA35"/>
    <w:rsid w:val="6A5F8924"/>
    <w:rsid w:val="6BF22626"/>
    <w:rsid w:val="6C68355C"/>
    <w:rsid w:val="6D9E22BF"/>
    <w:rsid w:val="6DFF066C"/>
    <w:rsid w:val="6F5E29F5"/>
    <w:rsid w:val="6FB3C42D"/>
    <w:rsid w:val="6FFDC285"/>
    <w:rsid w:val="700853C0"/>
    <w:rsid w:val="71146562"/>
    <w:rsid w:val="72FC5157"/>
    <w:rsid w:val="732B2982"/>
    <w:rsid w:val="73504D4A"/>
    <w:rsid w:val="73BFF3EE"/>
    <w:rsid w:val="76FB1DA2"/>
    <w:rsid w:val="77FA3E12"/>
    <w:rsid w:val="77FB96B3"/>
    <w:rsid w:val="78AD695A"/>
    <w:rsid w:val="78B10039"/>
    <w:rsid w:val="79234DC9"/>
    <w:rsid w:val="792850EF"/>
    <w:rsid w:val="797F89BB"/>
    <w:rsid w:val="7B0B6134"/>
    <w:rsid w:val="7B18439F"/>
    <w:rsid w:val="7C274080"/>
    <w:rsid w:val="7CFD384D"/>
    <w:rsid w:val="7D655426"/>
    <w:rsid w:val="7DEC1640"/>
    <w:rsid w:val="7E7728C5"/>
    <w:rsid w:val="7E9E6622"/>
    <w:rsid w:val="7EB6056C"/>
    <w:rsid w:val="7EF75E91"/>
    <w:rsid w:val="7EFB4EF1"/>
    <w:rsid w:val="7F030EC3"/>
    <w:rsid w:val="7F5DB324"/>
    <w:rsid w:val="7F967F89"/>
    <w:rsid w:val="7FC777E7"/>
    <w:rsid w:val="7FFCFB7E"/>
    <w:rsid w:val="7FFFF660"/>
    <w:rsid w:val="8E5D8563"/>
    <w:rsid w:val="9BBFC1AD"/>
    <w:rsid w:val="9CFBB038"/>
    <w:rsid w:val="9FD88C41"/>
    <w:rsid w:val="A7AF7541"/>
    <w:rsid w:val="A7EEF1E9"/>
    <w:rsid w:val="ABA29B93"/>
    <w:rsid w:val="ABF52E41"/>
    <w:rsid w:val="AE77D3B5"/>
    <w:rsid w:val="B241361D"/>
    <w:rsid w:val="B3EDF2A9"/>
    <w:rsid w:val="B57E8BDB"/>
    <w:rsid w:val="BB348C52"/>
    <w:rsid w:val="BF91B470"/>
    <w:rsid w:val="C3E2AE26"/>
    <w:rsid w:val="C4199A2E"/>
    <w:rsid w:val="C7DF06A6"/>
    <w:rsid w:val="CDDD04E6"/>
    <w:rsid w:val="D257E672"/>
    <w:rsid w:val="D3DFB5DA"/>
    <w:rsid w:val="DF3B9788"/>
    <w:rsid w:val="DFEF6472"/>
    <w:rsid w:val="E7ED94C4"/>
    <w:rsid w:val="ECBFBF10"/>
    <w:rsid w:val="EE124F6D"/>
    <w:rsid w:val="EF79CD7B"/>
    <w:rsid w:val="F3AF9155"/>
    <w:rsid w:val="F7F4E2E3"/>
    <w:rsid w:val="F7F7673A"/>
    <w:rsid w:val="FB7B5B32"/>
    <w:rsid w:val="FB977C45"/>
    <w:rsid w:val="FB9B8677"/>
    <w:rsid w:val="FBB6418B"/>
    <w:rsid w:val="FD6FDF74"/>
    <w:rsid w:val="FEBE5426"/>
    <w:rsid w:val="FECF9678"/>
    <w:rsid w:val="FED4A239"/>
    <w:rsid w:val="FEEC3A98"/>
    <w:rsid w:val="FEFB9531"/>
    <w:rsid w:val="FF7AB562"/>
    <w:rsid w:val="FFFF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9"/>
    <w:pPr>
      <w:spacing w:line="560" w:lineRule="exact"/>
      <w:ind w:firstLine="643" w:firstLineChars="200"/>
      <w:outlineLvl w:val="1"/>
    </w:pPr>
    <w:rPr>
      <w:rFonts w:ascii="楷体" w:hAnsi="楷体" w:eastAsia="楷体" w:cs="Times New Roman"/>
      <w:b/>
      <w:bCs/>
      <w:color w:val="000000"/>
      <w:sz w:val="32"/>
      <w:szCs w:val="32"/>
      <w14:ligatures w14:val="none"/>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Body Text First Indent"/>
    <w:basedOn w:val="3"/>
    <w:qFormat/>
    <w:uiPriority w:val="0"/>
    <w:pPr>
      <w:spacing w:after="120"/>
      <w:ind w:firstLine="420" w:firstLineChars="100"/>
    </w:pPr>
    <w:rPr>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9046</Words>
  <Characters>9207</Characters>
  <Lines>0</Lines>
  <Paragraphs>0</Paragraphs>
  <TotalTime>44</TotalTime>
  <ScaleCrop>false</ScaleCrop>
  <LinksUpToDate>false</LinksUpToDate>
  <CharactersWithSpaces>9212</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2026-01-17T09:48:00Z</dcterms:created>
  <dc:creator>刘莹呀</dc:creator>
  <cp:lastModifiedBy>Administrator</cp:lastModifiedBy>
  <cp:lastPrinted>2026-03-19T09:37:00Z</cp:lastPrinted>
  <dcterms:modified xsi:type="dcterms:W3CDTF">2026-04-08T03:03:02Z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KSOTemplateDocerSaveRecord">
    <vt:lpwstr>eyJoZGlkIjoiOTM1NWNlNmFjMjAwZDJjNDJjYmQzMjljNWRhYzZjM2EiLCJ1c2VySWQiOiIzOTMzNDIxNjEifQ==</vt:lpwstr>
  </property>
  <property fmtid="{D5CDD505-2E9C-101B-9397-08002B2CF9AE}" pid="4" name="ICV">
    <vt:lpwstr>87603301D3E4491D87BBFEB9AD0F118C_13</vt:lpwstr>
  </property>
</Properties>
</file>