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594E6">
      <w:pPr>
        <w:pageBreakBefore w:val="0"/>
        <w:kinsoku/>
        <w:wordWrap/>
        <w:overflowPunct/>
        <w:topLinePunct w:val="0"/>
        <w:autoSpaceDE/>
        <w:autoSpaceDN/>
        <w:bidi w:val="0"/>
        <w:adjustRightInd/>
        <w:spacing w:line="560" w:lineRule="exact"/>
        <w:ind w:firstLine="1142" w:firstLineChars="316"/>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669C9788">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63B14121">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46FACDA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0"/>
        <w:rPr>
          <w:rFonts w:hint="eastAsia" w:ascii="宋体" w:hAnsi="宋体" w:eastAsia="宋体" w:cs="宋体"/>
          <w:b/>
          <w:bCs/>
          <w:color w:val="000000" w:themeColor="text1"/>
          <w:sz w:val="40"/>
          <w:szCs w:val="40"/>
          <w:highlight w:val="none"/>
          <w:shd w:val="clear" w:color="auto" w:fill="auto"/>
          <w14:textFill>
            <w14:solidFill>
              <w14:schemeClr w14:val="tx1"/>
            </w14:solidFill>
          </w14:textFill>
        </w:rPr>
      </w:pPr>
      <w:bookmarkStart w:id="0" w:name="_Toc25575"/>
      <w:bookmarkStart w:id="1" w:name="_Toc15679"/>
      <w:bookmarkStart w:id="2" w:name="_Toc1949"/>
      <w:bookmarkStart w:id="3" w:name="_Toc29123"/>
      <w:r>
        <w:rPr>
          <w:rFonts w:hint="eastAsia" w:cs="宋体"/>
          <w:b/>
          <w:bCs/>
          <w:color w:val="000000" w:themeColor="text1"/>
          <w:sz w:val="40"/>
          <w:szCs w:val="40"/>
          <w:highlight w:val="none"/>
          <w:shd w:val="clear" w:color="auto" w:fill="auto"/>
          <w:lang w:val="en-US" w:eastAsia="zh-CN"/>
          <w14:textFill>
            <w14:solidFill>
              <w14:schemeClr w14:val="tx1"/>
            </w14:solidFill>
          </w14:textFill>
        </w:rPr>
        <w:t>2023年中央农业生产发展资金（第二批）重点作物绿色高产高效行动</w:t>
      </w:r>
      <w:r>
        <w:rPr>
          <w:rFonts w:hint="eastAsia" w:ascii="宋体" w:hAnsi="宋体" w:eastAsia="宋体" w:cs="宋体"/>
          <w:b/>
          <w:bCs/>
          <w:color w:val="000000" w:themeColor="text1"/>
          <w:sz w:val="40"/>
          <w:szCs w:val="40"/>
          <w:highlight w:val="none"/>
          <w:shd w:val="clear" w:color="auto" w:fill="auto"/>
          <w:lang w:val="en-US" w:eastAsia="zh-CN"/>
          <w14:textFill>
            <w14:solidFill>
              <w14:schemeClr w14:val="tx1"/>
            </w14:solidFill>
          </w14:textFill>
        </w:rPr>
        <w:t>项目</w:t>
      </w:r>
      <w:r>
        <w:rPr>
          <w:rFonts w:hint="eastAsia" w:ascii="宋体" w:hAnsi="宋体" w:eastAsia="宋体" w:cs="宋体"/>
          <w:b/>
          <w:bCs/>
          <w:color w:val="000000" w:themeColor="text1"/>
          <w:sz w:val="40"/>
          <w:szCs w:val="40"/>
          <w:highlight w:val="none"/>
          <w:shd w:val="clear" w:color="auto" w:fill="auto"/>
          <w14:textFill>
            <w14:solidFill>
              <w14:schemeClr w14:val="tx1"/>
            </w14:solidFill>
          </w14:textFill>
        </w:rPr>
        <w:t>支出绩效评价报告</w:t>
      </w:r>
      <w:bookmarkEnd w:id="0"/>
      <w:bookmarkEnd w:id="1"/>
      <w:bookmarkEnd w:id="2"/>
      <w:bookmarkEnd w:id="3"/>
    </w:p>
    <w:p w14:paraId="772BD8F2">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706ECF7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54AB35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13A995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4A24B9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279884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54FD2B7F">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p>
    <w:p w14:paraId="619A16A6">
      <w:pPr>
        <w:spacing w:line="360" w:lineRule="auto"/>
        <w:ind w:firstLine="0" w:firstLineChars="0"/>
        <w:jc w:val="left"/>
        <w:rPr>
          <w:rFonts w:hint="eastAsia" w:ascii="黑体" w:hAnsi="Times New Roman" w:eastAsia="黑体"/>
          <w:b w:val="0"/>
          <w:bCs/>
          <w:color w:val="auto"/>
          <w:sz w:val="30"/>
          <w:szCs w:val="30"/>
          <w:lang w:eastAsia="zh-CN"/>
        </w:rPr>
      </w:pPr>
      <w:r>
        <w:rPr>
          <w:rFonts w:hint="eastAsia" w:ascii="黑体" w:hAnsi="Times New Roman" w:eastAsia="黑体"/>
          <w:b w:val="0"/>
          <w:bCs/>
          <w:color w:val="auto"/>
          <w:sz w:val="30"/>
          <w:szCs w:val="30"/>
          <w:lang w:eastAsia="zh-CN"/>
        </w:rPr>
        <w:t>项目名称：2023年中央农业生产发展资金（第二批）重点作物绿色高产高效行动</w:t>
      </w:r>
    </w:p>
    <w:p w14:paraId="4D049311">
      <w:pPr>
        <w:spacing w:line="360" w:lineRule="auto"/>
        <w:ind w:firstLine="0" w:firstLineChars="0"/>
        <w:jc w:val="left"/>
        <w:rPr>
          <w:rFonts w:hint="default" w:ascii="黑体" w:hAnsi="Times New Roman" w:eastAsia="黑体"/>
          <w:b w:val="0"/>
          <w:bCs/>
          <w:color w:val="auto"/>
          <w:sz w:val="30"/>
          <w:szCs w:val="30"/>
          <w:lang w:val="en-US" w:eastAsia="zh-CN"/>
        </w:rPr>
      </w:pPr>
      <w:r>
        <w:rPr>
          <w:rFonts w:hint="eastAsia" w:ascii="黑体" w:hAnsi="Times New Roman" w:eastAsia="黑体"/>
          <w:b w:val="0"/>
          <w:bCs/>
          <w:color w:val="auto"/>
          <w:sz w:val="30"/>
          <w:szCs w:val="30"/>
          <w:lang w:eastAsia="zh-CN"/>
        </w:rPr>
        <w:t>实施单位：</w:t>
      </w:r>
      <w:r>
        <w:rPr>
          <w:rFonts w:hint="eastAsia" w:ascii="黑体" w:hAnsi="Times New Roman" w:eastAsia="黑体"/>
          <w:b w:val="0"/>
          <w:bCs/>
          <w:color w:val="auto"/>
          <w:sz w:val="30"/>
          <w:szCs w:val="30"/>
          <w:lang w:val="en-US" w:eastAsia="zh-CN"/>
        </w:rPr>
        <w:t>阜康市农牧业技术推广中心</w:t>
      </w:r>
    </w:p>
    <w:p w14:paraId="07876474">
      <w:pPr>
        <w:spacing w:line="360" w:lineRule="auto"/>
        <w:ind w:firstLine="0" w:firstLineChars="0"/>
        <w:jc w:val="left"/>
        <w:rPr>
          <w:rFonts w:hint="default" w:ascii="黑体" w:hAnsi="Times New Roman" w:eastAsia="黑体"/>
          <w:b w:val="0"/>
          <w:bCs/>
          <w:color w:val="auto"/>
          <w:sz w:val="30"/>
          <w:szCs w:val="30"/>
          <w:lang w:val="en-US" w:eastAsia="zh-CN"/>
        </w:rPr>
      </w:pPr>
      <w:r>
        <w:rPr>
          <w:rFonts w:hint="eastAsia" w:ascii="黑体" w:hAnsi="Times New Roman" w:eastAsia="黑体"/>
          <w:b w:val="0"/>
          <w:bCs/>
          <w:color w:val="auto"/>
          <w:sz w:val="30"/>
          <w:szCs w:val="30"/>
          <w:lang w:eastAsia="zh-CN"/>
        </w:rPr>
        <w:t>主管部门：</w:t>
      </w:r>
      <w:r>
        <w:rPr>
          <w:rFonts w:hint="eastAsia" w:ascii="黑体" w:hAnsi="Times New Roman" w:eastAsia="黑体"/>
          <w:b w:val="0"/>
          <w:bCs/>
          <w:color w:val="auto"/>
          <w:sz w:val="30"/>
          <w:szCs w:val="30"/>
          <w:lang w:val="en-US" w:eastAsia="zh-CN"/>
        </w:rPr>
        <w:t>阜康市农业农村局</w:t>
      </w:r>
    </w:p>
    <w:p w14:paraId="417D1095">
      <w:pPr>
        <w:spacing w:line="360" w:lineRule="auto"/>
        <w:ind w:firstLine="0" w:firstLineChars="0"/>
        <w:jc w:val="left"/>
        <w:rPr>
          <w:rFonts w:hint="eastAsia" w:ascii="黑体" w:hAnsi="Times New Roman" w:eastAsia="黑体"/>
          <w:b w:val="0"/>
          <w:bCs/>
          <w:color w:val="auto"/>
          <w:sz w:val="30"/>
          <w:szCs w:val="30"/>
          <w:lang w:val="en-US" w:eastAsia="zh-CN"/>
        </w:rPr>
      </w:pPr>
      <w:r>
        <w:rPr>
          <w:rFonts w:hint="eastAsia" w:ascii="黑体" w:hAnsi="Times New Roman" w:eastAsia="黑体"/>
          <w:b w:val="0"/>
          <w:bCs/>
          <w:color w:val="auto"/>
          <w:sz w:val="30"/>
          <w:szCs w:val="30"/>
          <w:lang w:eastAsia="zh-CN"/>
        </w:rPr>
        <w:t>项目负责人：</w:t>
      </w:r>
      <w:r>
        <w:rPr>
          <w:rFonts w:hint="eastAsia" w:ascii="黑体" w:hAnsi="Times New Roman" w:eastAsia="黑体"/>
          <w:b w:val="0"/>
          <w:bCs/>
          <w:color w:val="auto"/>
          <w:sz w:val="30"/>
          <w:szCs w:val="30"/>
          <w:lang w:val="en-US" w:eastAsia="zh-CN"/>
        </w:rPr>
        <w:t>方勇</w:t>
      </w:r>
    </w:p>
    <w:p w14:paraId="1B0B3F7A">
      <w:pPr>
        <w:spacing w:line="360" w:lineRule="auto"/>
        <w:ind w:firstLine="0" w:firstLineChars="0"/>
        <w:jc w:val="left"/>
        <w:rPr>
          <w:rFonts w:hint="default" w:ascii="黑体" w:hAnsi="Times New Roman" w:eastAsia="黑体"/>
          <w:b w:val="0"/>
          <w:bCs/>
          <w:color w:val="auto"/>
          <w:sz w:val="30"/>
          <w:szCs w:val="30"/>
          <w:lang w:val="en-US" w:eastAsia="zh-CN"/>
        </w:rPr>
      </w:pPr>
      <w:r>
        <w:rPr>
          <w:rFonts w:hint="eastAsia" w:ascii="黑体" w:hAnsi="Times New Roman" w:eastAsia="黑体"/>
          <w:b w:val="0"/>
          <w:bCs/>
          <w:color w:val="auto"/>
          <w:sz w:val="30"/>
          <w:szCs w:val="30"/>
          <w:lang w:eastAsia="zh-CN"/>
        </w:rPr>
        <w:t>填报时间：</w:t>
      </w:r>
      <w:r>
        <w:rPr>
          <w:rFonts w:hint="eastAsia" w:ascii="黑体" w:hAnsi="Times New Roman" w:eastAsia="黑体"/>
          <w:b w:val="0"/>
          <w:bCs/>
          <w:color w:val="auto"/>
          <w:sz w:val="30"/>
          <w:szCs w:val="30"/>
          <w:lang w:val="en-US" w:eastAsia="zh-CN"/>
        </w:rPr>
        <w:t>2025年3月31日</w:t>
      </w:r>
    </w:p>
    <w:p w14:paraId="5308F42C">
      <w:pPr>
        <w:pStyle w:val="14"/>
        <w:pageBreakBefore w:val="0"/>
        <w:kinsoku/>
        <w:wordWrap/>
        <w:overflowPunct/>
        <w:topLinePunct w:val="0"/>
        <w:autoSpaceDE/>
        <w:autoSpaceDN/>
        <w:bidi w:val="0"/>
        <w:spacing w:line="560" w:lineRule="exact"/>
        <w:textAlignment w:val="auto"/>
        <w:outlineLvl w:val="9"/>
        <w:rPr>
          <w:rFonts w:hint="eastAsia" w:ascii="宋体" w:hAnsi="宋体" w:eastAsia="宋体" w:cs="宋体"/>
          <w:b/>
          <w:color w:val="000000" w:themeColor="text1"/>
          <w:kern w:val="2"/>
          <w:sz w:val="28"/>
          <w:szCs w:val="28"/>
          <w:highlight w:val="none"/>
          <w:shd w:val="clear" w:color="auto" w:fill="auto"/>
          <w:lang w:val="en-US" w:eastAsia="zh-CN"/>
          <w14:textFill>
            <w14:solidFill>
              <w14:schemeClr w14:val="tx1"/>
            </w14:solidFill>
          </w14:textFill>
        </w:rPr>
      </w:pPr>
    </w:p>
    <w:p w14:paraId="3DDB5226">
      <w:pPr>
        <w:pageBreakBefore w:val="0"/>
        <w:kinsoku/>
        <w:wordWrap/>
        <w:overflowPunct/>
        <w:topLinePunct w:val="0"/>
        <w:autoSpaceDE/>
        <w:autoSpaceDN/>
        <w:bidi w:val="0"/>
        <w:spacing w:line="560" w:lineRule="exact"/>
        <w:textAlignment w:val="auto"/>
        <w:rPr>
          <w:rFonts w:hint="eastAsia"/>
          <w:lang w:val="en-US" w:eastAsia="zh-CN"/>
        </w:rPr>
      </w:pPr>
      <w:r>
        <w:rPr>
          <w:rFonts w:hint="eastAsia"/>
          <w:lang w:val="en-US" w:eastAsia="zh-CN"/>
        </w:rPr>
        <w:br w:type="page"/>
      </w:r>
    </w:p>
    <w:p w14:paraId="6CEB0965">
      <w:pPr>
        <w:pageBreakBefore w:val="0"/>
        <w:kinsoku/>
        <w:wordWrap/>
        <w:overflowPunct/>
        <w:topLinePunct w:val="0"/>
        <w:autoSpaceDE/>
        <w:autoSpaceDN/>
        <w:bidi w:val="0"/>
        <w:spacing w:line="560" w:lineRule="exact"/>
        <w:textAlignment w:val="auto"/>
        <w:rPr>
          <w:rFonts w:hint="eastAsia"/>
          <w:lang w:val="en-US" w:eastAsia="zh-CN"/>
        </w:rPr>
      </w:pPr>
    </w:p>
    <w:sdt>
      <w:sdtPr>
        <w:rPr>
          <w:rFonts w:ascii="宋体" w:hAnsi="宋体" w:eastAsia="宋体" w:cs="宋体"/>
          <w:b/>
          <w:bCs/>
          <w:kern w:val="2"/>
          <w:sz w:val="28"/>
          <w:szCs w:val="40"/>
          <w:lang w:val="en-US" w:eastAsia="zh-CN" w:bidi="ar-SA"/>
        </w:rPr>
        <w:id w:val="147474046"/>
        <w15:color w:val="DBDBDB"/>
        <w:docPartObj>
          <w:docPartGallery w:val="Table of Contents"/>
          <w:docPartUnique/>
        </w:docPartObj>
      </w:sdtPr>
      <w:sdtEndPr>
        <w:rPr>
          <w:rFonts w:hint="eastAsia" w:ascii="宋体" w:hAnsi="宋体" w:eastAsia="宋体" w:cs="宋体"/>
          <w:b/>
          <w:bCs/>
          <w:kern w:val="2"/>
          <w:sz w:val="28"/>
          <w:szCs w:val="28"/>
          <w:lang w:val="en-US" w:eastAsia="zh-CN" w:bidi="ar-SA"/>
        </w:rPr>
      </w:sdtEndPr>
      <w:sdtContent>
        <w:p w14:paraId="1A7AAAA9">
          <w:pPr>
            <w:keepNext w:val="0"/>
            <w:keepLines w:val="0"/>
            <w:pageBreakBefore w:val="0"/>
            <w:shd w:val="clea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b/>
              <w:bCs/>
              <w:sz w:val="40"/>
              <w:szCs w:val="40"/>
            </w:rPr>
          </w:pPr>
          <w:r>
            <w:rPr>
              <w:rFonts w:ascii="宋体" w:hAnsi="宋体" w:eastAsia="宋体"/>
              <w:b/>
              <w:bCs/>
              <w:sz w:val="40"/>
              <w:szCs w:val="40"/>
            </w:rPr>
            <w:t>目录</w:t>
          </w:r>
        </w:p>
        <w:p w14:paraId="7400E89C">
          <w:pPr>
            <w:pStyle w:val="10"/>
            <w:tabs>
              <w:tab w:val="right" w:leader="dot" w:pos="8844"/>
            </w:tabs>
          </w:pPr>
          <w:r>
            <w:rPr>
              <w:rFonts w:hint="eastAsia"/>
              <w:sz w:val="28"/>
              <w:szCs w:val="28"/>
              <w:lang w:val="en-US" w:eastAsia="zh-CN"/>
            </w:rPr>
            <w:fldChar w:fldCharType="begin"/>
          </w:r>
          <w:r>
            <w:rPr>
              <w:rFonts w:hint="eastAsia"/>
              <w:sz w:val="28"/>
              <w:szCs w:val="28"/>
              <w:lang w:val="en-US" w:eastAsia="zh-CN"/>
            </w:rPr>
            <w:instrText xml:space="preserve">TOC \o "1-3" \h \u </w:instrText>
          </w:r>
          <w:r>
            <w:rPr>
              <w:rFonts w:hint="eastAsia"/>
              <w:sz w:val="28"/>
              <w:szCs w:val="28"/>
              <w:lang w:val="en-US" w:eastAsia="zh-CN"/>
            </w:rPr>
            <w:fldChar w:fldCharType="separate"/>
          </w:r>
        </w:p>
        <w:p w14:paraId="50146926">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_Toc18485 </w:instrText>
          </w:r>
          <w:r>
            <w:rPr>
              <w:rFonts w:hint="eastAsia"/>
              <w:szCs w:val="28"/>
              <w:lang w:val="en-US" w:eastAsia="zh-CN"/>
            </w:rPr>
            <w:fldChar w:fldCharType="separate"/>
          </w:r>
          <w:r>
            <w:rPr>
              <w:rFonts w:hint="eastAsia" w:ascii="黑体" w:hAnsi="黑体" w:eastAsia="黑体" w:cs="黑体"/>
              <w:bCs w:val="0"/>
              <w:highlight w:val="none"/>
              <w:shd w:val="clear" w:color="auto" w:fill="auto"/>
            </w:rPr>
            <w:t>一、基本情况</w:t>
          </w:r>
          <w:r>
            <w:tab/>
          </w:r>
          <w:r>
            <w:fldChar w:fldCharType="begin"/>
          </w:r>
          <w:r>
            <w:instrText xml:space="preserve"> PAGEREF _Toc18485 \h </w:instrText>
          </w:r>
          <w:r>
            <w:fldChar w:fldCharType="separate"/>
          </w:r>
          <w:r>
            <w:t>4</w:t>
          </w:r>
          <w:r>
            <w:fldChar w:fldCharType="end"/>
          </w:r>
          <w:r>
            <w:rPr>
              <w:rFonts w:hint="eastAsia"/>
              <w:szCs w:val="28"/>
              <w:lang w:val="en-US" w:eastAsia="zh-CN"/>
            </w:rPr>
            <w:fldChar w:fldCharType="end"/>
          </w:r>
        </w:p>
        <w:p w14:paraId="4175EEB5">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_Toc23184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（一）项目概况</w:t>
          </w:r>
          <w:r>
            <w:tab/>
          </w:r>
          <w:r>
            <w:fldChar w:fldCharType="begin"/>
          </w:r>
          <w:r>
            <w:instrText xml:space="preserve"> PAGEREF _Toc23184 \h </w:instrText>
          </w:r>
          <w:r>
            <w:fldChar w:fldCharType="separate"/>
          </w:r>
          <w:r>
            <w:t>4</w:t>
          </w:r>
          <w:r>
            <w:fldChar w:fldCharType="end"/>
          </w:r>
          <w:r>
            <w:rPr>
              <w:rFonts w:hint="eastAsia"/>
              <w:szCs w:val="28"/>
              <w:lang w:val="en-US" w:eastAsia="zh-CN"/>
            </w:rPr>
            <w:fldChar w:fldCharType="end"/>
          </w:r>
        </w:p>
        <w:p w14:paraId="304844FC">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_Toc9109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（二）项目绩效目标</w:t>
          </w:r>
          <w:r>
            <w:tab/>
          </w:r>
          <w:r>
            <w:fldChar w:fldCharType="begin"/>
          </w:r>
          <w:r>
            <w:instrText xml:space="preserve"> PAGEREF _Toc9109 \h </w:instrText>
          </w:r>
          <w:r>
            <w:fldChar w:fldCharType="separate"/>
          </w:r>
          <w:r>
            <w:t>8</w:t>
          </w:r>
          <w:r>
            <w:fldChar w:fldCharType="end"/>
          </w:r>
          <w:r>
            <w:rPr>
              <w:rFonts w:hint="eastAsia"/>
              <w:szCs w:val="28"/>
              <w:lang w:val="en-US" w:eastAsia="zh-CN"/>
            </w:rPr>
            <w:fldChar w:fldCharType="end"/>
          </w:r>
        </w:p>
        <w:p w14:paraId="50AFD8F0">
          <w:pPr>
            <w:pStyle w:val="10"/>
            <w:tabs>
              <w:tab w:val="right" w:leader="dot" w:pos="8844"/>
            </w:tabs>
            <w:rPr>
              <w:rFonts w:hint="eastAsia" w:ascii="黑体" w:hAnsi="黑体" w:eastAsia="黑体" w:cs="黑体"/>
            </w:rPr>
          </w:pPr>
          <w:r>
            <w:rPr>
              <w:rFonts w:hint="eastAsia" w:ascii="黑体" w:hAnsi="黑体" w:eastAsia="黑体" w:cs="黑体"/>
              <w:szCs w:val="28"/>
              <w:lang w:val="en-US" w:eastAsia="zh-CN"/>
            </w:rPr>
            <w:fldChar w:fldCharType="begin"/>
          </w:r>
          <w:r>
            <w:rPr>
              <w:rFonts w:hint="eastAsia" w:ascii="黑体" w:hAnsi="黑体" w:eastAsia="黑体" w:cs="黑体"/>
              <w:szCs w:val="28"/>
              <w:lang w:val="en-US" w:eastAsia="zh-CN"/>
            </w:rPr>
            <w:instrText xml:space="preserve"> HYPERLINK \l _Toc26567 </w:instrText>
          </w:r>
          <w:r>
            <w:rPr>
              <w:rFonts w:hint="eastAsia" w:ascii="黑体" w:hAnsi="黑体" w:eastAsia="黑体" w:cs="黑体"/>
              <w:szCs w:val="28"/>
              <w:lang w:val="en-US" w:eastAsia="zh-CN"/>
            </w:rPr>
            <w:fldChar w:fldCharType="separate"/>
          </w:r>
          <w:r>
            <w:rPr>
              <w:rFonts w:hint="eastAsia" w:ascii="黑体" w:hAnsi="黑体" w:eastAsia="黑体" w:cs="黑体"/>
              <w:bCs/>
              <w:highlight w:val="none"/>
              <w:shd w:val="clear" w:color="auto" w:fill="auto"/>
            </w:rPr>
            <w:t>二、绩效评价工作开展情况</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_Toc26567 \h </w:instrText>
          </w:r>
          <w:r>
            <w:rPr>
              <w:rFonts w:hint="eastAsia" w:ascii="黑体" w:hAnsi="黑体" w:eastAsia="黑体" w:cs="黑体"/>
            </w:rPr>
            <w:fldChar w:fldCharType="separate"/>
          </w:r>
          <w:r>
            <w:rPr>
              <w:rFonts w:hint="eastAsia" w:ascii="黑体" w:hAnsi="黑体" w:eastAsia="黑体" w:cs="黑体"/>
            </w:rPr>
            <w:t>9</w:t>
          </w:r>
          <w:r>
            <w:rPr>
              <w:rFonts w:hint="eastAsia" w:ascii="黑体" w:hAnsi="黑体" w:eastAsia="黑体" w:cs="黑体"/>
            </w:rPr>
            <w:fldChar w:fldCharType="end"/>
          </w:r>
          <w:r>
            <w:rPr>
              <w:rFonts w:hint="eastAsia" w:ascii="黑体" w:hAnsi="黑体" w:eastAsia="黑体" w:cs="黑体"/>
              <w:szCs w:val="28"/>
              <w:lang w:val="en-US" w:eastAsia="zh-CN"/>
            </w:rPr>
            <w:fldChar w:fldCharType="end"/>
          </w:r>
        </w:p>
        <w:p w14:paraId="23C82B08">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_Toc22839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（一）绩效评价的目的、对象和范围</w:t>
          </w:r>
          <w:r>
            <w:tab/>
          </w:r>
          <w:r>
            <w:fldChar w:fldCharType="begin"/>
          </w:r>
          <w:r>
            <w:instrText xml:space="preserve"> PAGEREF _Toc22839 \h </w:instrText>
          </w:r>
          <w:r>
            <w:fldChar w:fldCharType="separate"/>
          </w:r>
          <w:r>
            <w:t>10</w:t>
          </w:r>
          <w:r>
            <w:fldChar w:fldCharType="end"/>
          </w:r>
          <w:r>
            <w:rPr>
              <w:rFonts w:hint="eastAsia"/>
              <w:szCs w:val="28"/>
              <w:lang w:val="en-US" w:eastAsia="zh-CN"/>
            </w:rPr>
            <w:fldChar w:fldCharType="end"/>
          </w:r>
        </w:p>
        <w:p w14:paraId="0FE5F16D">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_Toc29785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（二）绩效评价原则、评价指标体系（</w:t>
          </w:r>
          <w:r>
            <w:rPr>
              <w:rFonts w:hint="default" w:ascii="Times New Roman" w:hAnsi="Times New Roman" w:eastAsia="楷体_GB2312" w:cs="Times New Roman"/>
              <w:kern w:val="28"/>
              <w:lang w:val="en-US" w:eastAsia="zh-CN"/>
            </w:rPr>
            <w:t>详情见</w:t>
          </w:r>
          <w:r>
            <w:rPr>
              <w:rFonts w:hint="eastAsia" w:ascii="Times New Roman" w:hAnsi="Times New Roman" w:eastAsia="楷体_GB2312" w:cs="Times New Roman"/>
              <w:kern w:val="28"/>
              <w:lang w:val="en-US" w:eastAsia="zh-CN"/>
            </w:rPr>
            <w:t>附件二）、评价方法、评价标准</w:t>
          </w:r>
          <w:r>
            <w:tab/>
          </w:r>
          <w:r>
            <w:fldChar w:fldCharType="begin"/>
          </w:r>
          <w:r>
            <w:instrText xml:space="preserve"> PAGEREF _Toc29785 \h </w:instrText>
          </w:r>
          <w:r>
            <w:fldChar w:fldCharType="separate"/>
          </w:r>
          <w:r>
            <w:t>13</w:t>
          </w:r>
          <w:r>
            <w:fldChar w:fldCharType="end"/>
          </w:r>
          <w:r>
            <w:rPr>
              <w:rFonts w:hint="eastAsia"/>
              <w:szCs w:val="28"/>
              <w:lang w:val="en-US" w:eastAsia="zh-CN"/>
            </w:rPr>
            <w:fldChar w:fldCharType="end"/>
          </w:r>
        </w:p>
        <w:p w14:paraId="62586CF7">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_Toc21435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（三）绩效评价工作过程</w:t>
          </w:r>
          <w:r>
            <w:tab/>
          </w:r>
          <w:r>
            <w:fldChar w:fldCharType="begin"/>
          </w:r>
          <w:r>
            <w:instrText xml:space="preserve"> PAGEREF _Toc21435 \h </w:instrText>
          </w:r>
          <w:r>
            <w:fldChar w:fldCharType="separate"/>
          </w:r>
          <w:r>
            <w:t>16</w:t>
          </w:r>
          <w:r>
            <w:fldChar w:fldCharType="end"/>
          </w:r>
          <w:r>
            <w:rPr>
              <w:rFonts w:hint="eastAsia"/>
              <w:szCs w:val="28"/>
              <w:lang w:val="en-US" w:eastAsia="zh-CN"/>
            </w:rPr>
            <w:fldChar w:fldCharType="end"/>
          </w:r>
        </w:p>
        <w:p w14:paraId="77029BB0">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_Toc19261 </w:instrText>
          </w:r>
          <w:r>
            <w:rPr>
              <w:rFonts w:hint="eastAsia"/>
              <w:szCs w:val="28"/>
              <w:lang w:val="en-US" w:eastAsia="zh-CN"/>
            </w:rPr>
            <w:fldChar w:fldCharType="separate"/>
          </w:r>
          <w:r>
            <w:rPr>
              <w:rFonts w:hint="eastAsia" w:ascii="黑体" w:hAnsi="黑体" w:eastAsia="黑体" w:cs="黑体"/>
              <w:bCs w:val="0"/>
              <w:highlight w:val="none"/>
              <w:shd w:val="clear" w:color="auto" w:fill="auto"/>
              <w:lang w:val="en-US" w:eastAsia="zh-CN"/>
            </w:rPr>
            <w:t>三、</w:t>
          </w:r>
          <w:r>
            <w:rPr>
              <w:rFonts w:hint="eastAsia" w:ascii="黑体" w:hAnsi="黑体" w:eastAsia="黑体" w:cs="黑体"/>
              <w:bCs w:val="0"/>
              <w:highlight w:val="none"/>
              <w:shd w:val="clear" w:color="auto" w:fill="auto"/>
            </w:rPr>
            <w:t>综合评价情况及评价结论</w:t>
          </w:r>
          <w:r>
            <w:tab/>
          </w:r>
          <w:r>
            <w:fldChar w:fldCharType="begin"/>
          </w:r>
          <w:r>
            <w:instrText xml:space="preserve"> PAGEREF _Toc19261 \h </w:instrText>
          </w:r>
          <w:r>
            <w:fldChar w:fldCharType="separate"/>
          </w:r>
          <w:r>
            <w:t>18</w:t>
          </w:r>
          <w:r>
            <w:fldChar w:fldCharType="end"/>
          </w:r>
          <w:r>
            <w:rPr>
              <w:rFonts w:hint="eastAsia"/>
              <w:szCs w:val="28"/>
              <w:lang w:val="en-US" w:eastAsia="zh-CN"/>
            </w:rPr>
            <w:fldChar w:fldCharType="end"/>
          </w:r>
        </w:p>
        <w:p w14:paraId="34FA4CB4">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_Toc23319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（一）综合评价情况及评价结论</w:t>
          </w:r>
          <w:r>
            <w:tab/>
          </w:r>
          <w:r>
            <w:fldChar w:fldCharType="begin"/>
          </w:r>
          <w:r>
            <w:instrText xml:space="preserve"> PAGEREF _Toc23319 \h </w:instrText>
          </w:r>
          <w:r>
            <w:fldChar w:fldCharType="separate"/>
          </w:r>
          <w:r>
            <w:t>19</w:t>
          </w:r>
          <w:r>
            <w:fldChar w:fldCharType="end"/>
          </w:r>
          <w:r>
            <w:rPr>
              <w:rFonts w:hint="eastAsia"/>
              <w:szCs w:val="28"/>
              <w:lang w:val="en-US" w:eastAsia="zh-CN"/>
            </w:rPr>
            <w:fldChar w:fldCharType="end"/>
          </w:r>
        </w:p>
        <w:p w14:paraId="4ABD4E9A">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_Toc11863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（二）相关评分表</w:t>
          </w:r>
          <w:r>
            <w:tab/>
          </w:r>
          <w:r>
            <w:fldChar w:fldCharType="begin"/>
          </w:r>
          <w:r>
            <w:instrText xml:space="preserve"> PAGEREF _Toc11863 \h </w:instrText>
          </w:r>
          <w:r>
            <w:fldChar w:fldCharType="separate"/>
          </w:r>
          <w:r>
            <w:t>19</w:t>
          </w:r>
          <w:r>
            <w:fldChar w:fldCharType="end"/>
          </w:r>
          <w:r>
            <w:rPr>
              <w:rFonts w:hint="eastAsia"/>
              <w:szCs w:val="28"/>
              <w:lang w:val="en-US" w:eastAsia="zh-CN"/>
            </w:rPr>
            <w:fldChar w:fldCharType="end"/>
          </w:r>
        </w:p>
        <w:p w14:paraId="2762DC09">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_Toc14941 </w:instrText>
          </w:r>
          <w:r>
            <w:rPr>
              <w:rFonts w:hint="eastAsia"/>
              <w:szCs w:val="28"/>
              <w:lang w:val="en-US" w:eastAsia="zh-CN"/>
            </w:rPr>
            <w:fldChar w:fldCharType="separate"/>
          </w:r>
          <w:r>
            <w:rPr>
              <w:rFonts w:hint="eastAsia" w:ascii="黑体" w:hAnsi="黑体" w:eastAsia="黑体" w:cs="黑体"/>
              <w:bCs w:val="0"/>
              <w:highlight w:val="none"/>
              <w:shd w:val="clear" w:color="auto" w:fill="auto"/>
              <w:lang w:val="en-US" w:eastAsia="zh-CN"/>
            </w:rPr>
            <w:t>四、绩效评价指标分析</w:t>
          </w:r>
          <w:r>
            <w:tab/>
          </w:r>
          <w:r>
            <w:fldChar w:fldCharType="begin"/>
          </w:r>
          <w:r>
            <w:instrText xml:space="preserve"> PAGEREF _Toc14941 \h </w:instrText>
          </w:r>
          <w:r>
            <w:fldChar w:fldCharType="separate"/>
          </w:r>
          <w:r>
            <w:t>19</w:t>
          </w:r>
          <w:r>
            <w:fldChar w:fldCharType="end"/>
          </w:r>
          <w:r>
            <w:rPr>
              <w:rFonts w:hint="eastAsia"/>
              <w:szCs w:val="28"/>
              <w:lang w:val="en-US" w:eastAsia="zh-CN"/>
            </w:rPr>
            <w:fldChar w:fldCharType="end"/>
          </w:r>
        </w:p>
        <w:p w14:paraId="2A80A66F">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_Toc6759 </w:instrText>
          </w:r>
          <w:r>
            <w:rPr>
              <w:rFonts w:hint="eastAsia"/>
              <w:szCs w:val="28"/>
              <w:lang w:val="en-US" w:eastAsia="zh-CN"/>
            </w:rPr>
            <w:fldChar w:fldCharType="separate"/>
          </w:r>
          <w:r>
            <w:rPr>
              <w:rFonts w:hint="eastAsia" w:ascii="Times New Roman" w:hAnsi="Times New Roman" w:eastAsia="楷体_GB2312" w:cs="Times New Roman"/>
              <w:kern w:val="28"/>
            </w:rPr>
            <w:t>（一）项目决策情况</w:t>
          </w:r>
          <w:r>
            <w:tab/>
          </w:r>
          <w:r>
            <w:fldChar w:fldCharType="begin"/>
          </w:r>
          <w:r>
            <w:instrText xml:space="preserve"> PAGEREF _Toc6759 \h </w:instrText>
          </w:r>
          <w:r>
            <w:fldChar w:fldCharType="separate"/>
          </w:r>
          <w:r>
            <w:t>20</w:t>
          </w:r>
          <w:r>
            <w:fldChar w:fldCharType="end"/>
          </w:r>
          <w:r>
            <w:rPr>
              <w:rFonts w:hint="eastAsia"/>
              <w:szCs w:val="28"/>
              <w:lang w:val="en-US" w:eastAsia="zh-CN"/>
            </w:rPr>
            <w:fldChar w:fldCharType="end"/>
          </w:r>
        </w:p>
        <w:p w14:paraId="43C73341">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_Toc10564 </w:instrText>
          </w:r>
          <w:r>
            <w:rPr>
              <w:rFonts w:hint="eastAsia"/>
              <w:szCs w:val="28"/>
              <w:lang w:val="en-US" w:eastAsia="zh-CN"/>
            </w:rPr>
            <w:fldChar w:fldCharType="separate"/>
          </w:r>
          <w:r>
            <w:rPr>
              <w:rFonts w:hint="eastAsia" w:ascii="Times New Roman" w:hAnsi="Times New Roman" w:eastAsia="楷体" w:cs="Times New Roman"/>
              <w:kern w:val="28"/>
              <w:lang w:eastAsia="zh-CN"/>
            </w:rPr>
            <w:t>（</w:t>
          </w:r>
          <w:r>
            <w:rPr>
              <w:rFonts w:hint="eastAsia" w:ascii="Times New Roman" w:hAnsi="Times New Roman" w:eastAsia="楷体" w:cs="Times New Roman"/>
              <w:kern w:val="28"/>
              <w:lang w:val="en-US" w:eastAsia="zh-CN"/>
            </w:rPr>
            <w:t>二</w:t>
          </w:r>
          <w:r>
            <w:rPr>
              <w:rFonts w:hint="eastAsia" w:ascii="Times New Roman" w:hAnsi="Times New Roman" w:eastAsia="楷体" w:cs="Times New Roman"/>
              <w:kern w:val="28"/>
              <w:lang w:eastAsia="zh-CN"/>
            </w:rPr>
            <w:t>）</w:t>
          </w:r>
          <w:r>
            <w:rPr>
              <w:rFonts w:hint="eastAsia" w:ascii="Times New Roman" w:hAnsi="Times New Roman" w:eastAsia="楷体" w:cs="Times New Roman"/>
              <w:kern w:val="28"/>
            </w:rPr>
            <w:t>项目过程情况</w:t>
          </w:r>
          <w:r>
            <w:tab/>
          </w:r>
          <w:r>
            <w:fldChar w:fldCharType="begin"/>
          </w:r>
          <w:r>
            <w:instrText xml:space="preserve"> PAGEREF _Toc10564 \h </w:instrText>
          </w:r>
          <w:r>
            <w:fldChar w:fldCharType="separate"/>
          </w:r>
          <w:r>
            <w:t>23</w:t>
          </w:r>
          <w:r>
            <w:fldChar w:fldCharType="end"/>
          </w:r>
          <w:r>
            <w:rPr>
              <w:rFonts w:hint="eastAsia"/>
              <w:szCs w:val="28"/>
              <w:lang w:val="en-US" w:eastAsia="zh-CN"/>
            </w:rPr>
            <w:fldChar w:fldCharType="end"/>
          </w:r>
        </w:p>
        <w:p w14:paraId="03FFB5C5">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_Toc2441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（三）项目产出情况</w:t>
          </w:r>
          <w:r>
            <w:tab/>
          </w:r>
          <w:r>
            <w:fldChar w:fldCharType="begin"/>
          </w:r>
          <w:r>
            <w:instrText xml:space="preserve"> PAGEREF _Toc2441 \h </w:instrText>
          </w:r>
          <w:r>
            <w:fldChar w:fldCharType="separate"/>
          </w:r>
          <w:r>
            <w:t>25</w:t>
          </w:r>
          <w:r>
            <w:fldChar w:fldCharType="end"/>
          </w:r>
          <w:r>
            <w:rPr>
              <w:rFonts w:hint="eastAsia"/>
              <w:szCs w:val="28"/>
              <w:lang w:val="en-US" w:eastAsia="zh-CN"/>
            </w:rPr>
            <w:fldChar w:fldCharType="end"/>
          </w:r>
        </w:p>
        <w:p w14:paraId="76648EE3">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_Toc19424 </w:instrText>
          </w:r>
          <w:r>
            <w:rPr>
              <w:rFonts w:hint="eastAsia"/>
              <w:szCs w:val="28"/>
              <w:lang w:val="en-US" w:eastAsia="zh-CN"/>
            </w:rPr>
            <w:fldChar w:fldCharType="separate"/>
          </w:r>
          <w:r>
            <w:rPr>
              <w:rFonts w:hint="eastAsia" w:ascii="Times New Roman" w:hAnsi="Times New Roman" w:eastAsia="楷体_GB2312" w:cs="Times New Roman"/>
              <w:kern w:val="28"/>
              <w:lang w:val="en-US" w:eastAsia="zh-CN"/>
            </w:rPr>
            <w:t>（四）项目效益情况</w:t>
          </w:r>
          <w:r>
            <w:tab/>
          </w:r>
          <w:r>
            <w:fldChar w:fldCharType="begin"/>
          </w:r>
          <w:r>
            <w:instrText xml:space="preserve"> PAGEREF _Toc19424 \h </w:instrText>
          </w:r>
          <w:r>
            <w:fldChar w:fldCharType="separate"/>
          </w:r>
          <w:r>
            <w:t>28</w:t>
          </w:r>
          <w:r>
            <w:fldChar w:fldCharType="end"/>
          </w:r>
          <w:r>
            <w:rPr>
              <w:rFonts w:hint="eastAsia"/>
              <w:szCs w:val="28"/>
              <w:lang w:val="en-US" w:eastAsia="zh-CN"/>
            </w:rPr>
            <w:fldChar w:fldCharType="end"/>
          </w:r>
        </w:p>
        <w:p w14:paraId="032EE2DE">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_Toc23313 </w:instrText>
          </w:r>
          <w:r>
            <w:rPr>
              <w:rFonts w:hint="eastAsia"/>
              <w:szCs w:val="28"/>
              <w:lang w:val="en-US" w:eastAsia="zh-CN"/>
            </w:rPr>
            <w:fldChar w:fldCharType="separate"/>
          </w:r>
          <w:r>
            <w:rPr>
              <w:rFonts w:hint="eastAsia" w:ascii="Times New Roman" w:hAnsi="Times New Roman" w:eastAsia="楷体_GB2312" w:cs="Times New Roman"/>
              <w:bCs/>
              <w:kern w:val="28"/>
              <w:highlight w:val="none"/>
              <w:lang w:val="en-US" w:eastAsia="zh-CN"/>
            </w:rPr>
            <w:t>（五）满意度指标完成情况分析</w:t>
          </w:r>
          <w:r>
            <w:tab/>
          </w:r>
          <w:r>
            <w:fldChar w:fldCharType="begin"/>
          </w:r>
          <w:r>
            <w:instrText xml:space="preserve"> PAGEREF _Toc23313 \h </w:instrText>
          </w:r>
          <w:r>
            <w:fldChar w:fldCharType="separate"/>
          </w:r>
          <w:r>
            <w:t>29</w:t>
          </w:r>
          <w:r>
            <w:fldChar w:fldCharType="end"/>
          </w:r>
          <w:r>
            <w:rPr>
              <w:rFonts w:hint="eastAsia"/>
              <w:szCs w:val="28"/>
              <w:lang w:val="en-US" w:eastAsia="zh-CN"/>
            </w:rPr>
            <w:fldChar w:fldCharType="end"/>
          </w:r>
        </w:p>
        <w:p w14:paraId="5E439434">
          <w:pPr>
            <w:pStyle w:val="10"/>
            <w:tabs>
              <w:tab w:val="right" w:leader="dot" w:pos="8844"/>
            </w:tabs>
            <w:rPr>
              <w:rFonts w:hint="eastAsia" w:ascii="黑体" w:hAnsi="黑体" w:eastAsia="黑体" w:cs="黑体"/>
            </w:rPr>
          </w:pPr>
          <w:r>
            <w:rPr>
              <w:rFonts w:hint="eastAsia" w:ascii="黑体" w:hAnsi="黑体" w:eastAsia="黑体" w:cs="黑体"/>
              <w:szCs w:val="28"/>
              <w:lang w:val="en-US" w:eastAsia="zh-CN"/>
            </w:rPr>
            <w:fldChar w:fldCharType="begin"/>
          </w:r>
          <w:r>
            <w:rPr>
              <w:rFonts w:hint="eastAsia" w:ascii="黑体" w:hAnsi="黑体" w:eastAsia="黑体" w:cs="黑体"/>
              <w:szCs w:val="28"/>
              <w:lang w:val="en-US" w:eastAsia="zh-CN"/>
            </w:rPr>
            <w:instrText xml:space="preserve"> HYPERLINK \l _Toc6622 </w:instrText>
          </w:r>
          <w:r>
            <w:rPr>
              <w:rFonts w:hint="eastAsia" w:ascii="黑体" w:hAnsi="黑体" w:eastAsia="黑体" w:cs="黑体"/>
              <w:szCs w:val="28"/>
              <w:lang w:val="en-US" w:eastAsia="zh-CN"/>
            </w:rPr>
            <w:fldChar w:fldCharType="separate"/>
          </w:r>
          <w:r>
            <w:rPr>
              <w:rFonts w:hint="eastAsia" w:ascii="黑体" w:hAnsi="黑体" w:eastAsia="黑体" w:cs="黑体"/>
              <w:bCs w:val="0"/>
              <w:highlight w:val="none"/>
              <w:shd w:val="clear" w:color="auto" w:fill="auto"/>
              <w:lang w:val="en-US" w:eastAsia="zh-CN"/>
            </w:rPr>
            <w:t>五、主要经验及做法、存在的问题及原因分析</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_Toc6622 \h </w:instrText>
          </w:r>
          <w:r>
            <w:rPr>
              <w:rFonts w:hint="eastAsia" w:ascii="黑体" w:hAnsi="黑体" w:eastAsia="黑体" w:cs="黑体"/>
            </w:rPr>
            <w:fldChar w:fldCharType="separate"/>
          </w:r>
          <w:r>
            <w:rPr>
              <w:rFonts w:hint="eastAsia" w:ascii="黑体" w:hAnsi="黑体" w:eastAsia="黑体" w:cs="黑体"/>
            </w:rPr>
            <w:t>28</w:t>
          </w:r>
          <w:r>
            <w:rPr>
              <w:rFonts w:hint="eastAsia" w:ascii="黑体" w:hAnsi="黑体" w:eastAsia="黑体" w:cs="黑体"/>
            </w:rPr>
            <w:fldChar w:fldCharType="end"/>
          </w:r>
          <w:r>
            <w:rPr>
              <w:rFonts w:hint="eastAsia" w:ascii="黑体" w:hAnsi="黑体" w:eastAsia="黑体" w:cs="黑体"/>
              <w:szCs w:val="28"/>
              <w:lang w:val="en-US" w:eastAsia="zh-CN"/>
            </w:rPr>
            <w:fldChar w:fldCharType="end"/>
          </w:r>
        </w:p>
        <w:p w14:paraId="651A3C2F">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_Toc15449 </w:instrText>
          </w:r>
          <w:r>
            <w:rPr>
              <w:rFonts w:hint="eastAsia"/>
              <w:szCs w:val="28"/>
              <w:lang w:val="en-US" w:eastAsia="zh-CN"/>
            </w:rPr>
            <w:fldChar w:fldCharType="separate"/>
          </w:r>
          <w:r>
            <w:rPr>
              <w:rFonts w:hint="eastAsia" w:ascii="Times New Roman" w:hAnsi="Times New Roman" w:eastAsia="楷体_GB2312" w:cs="Times New Roman"/>
              <w:bCs/>
              <w:kern w:val="28"/>
              <w:highlight w:val="none"/>
              <w:lang w:val="en-US" w:eastAsia="zh-CN"/>
            </w:rPr>
            <w:t>（一）主要经验及做法</w:t>
          </w:r>
          <w:r>
            <w:tab/>
          </w:r>
          <w:r>
            <w:fldChar w:fldCharType="begin"/>
          </w:r>
          <w:r>
            <w:instrText xml:space="preserve"> PAGEREF _Toc15449 \h </w:instrText>
          </w:r>
          <w:r>
            <w:fldChar w:fldCharType="separate"/>
          </w:r>
          <w:r>
            <w:t>29</w:t>
          </w:r>
          <w:r>
            <w:fldChar w:fldCharType="end"/>
          </w:r>
          <w:r>
            <w:rPr>
              <w:rFonts w:hint="eastAsia"/>
              <w:szCs w:val="28"/>
              <w:lang w:val="en-US" w:eastAsia="zh-CN"/>
            </w:rPr>
            <w:fldChar w:fldCharType="end"/>
          </w:r>
        </w:p>
        <w:p w14:paraId="52D1DAF4">
          <w:pPr>
            <w:pStyle w:val="10"/>
            <w:tabs>
              <w:tab w:val="right" w:leader="dot" w:pos="8844"/>
            </w:tabs>
          </w:pPr>
          <w:r>
            <w:rPr>
              <w:rFonts w:hint="eastAsia"/>
              <w:szCs w:val="28"/>
              <w:lang w:val="en-US" w:eastAsia="zh-CN"/>
            </w:rPr>
            <w:fldChar w:fldCharType="begin"/>
          </w:r>
          <w:r>
            <w:rPr>
              <w:rFonts w:hint="eastAsia"/>
              <w:szCs w:val="28"/>
              <w:lang w:val="en-US" w:eastAsia="zh-CN"/>
            </w:rPr>
            <w:instrText xml:space="preserve"> HYPERLINK \l _Toc29168 </w:instrText>
          </w:r>
          <w:r>
            <w:rPr>
              <w:rFonts w:hint="eastAsia"/>
              <w:szCs w:val="28"/>
              <w:lang w:val="en-US" w:eastAsia="zh-CN"/>
            </w:rPr>
            <w:fldChar w:fldCharType="separate"/>
          </w:r>
          <w:r>
            <w:rPr>
              <w:rFonts w:hint="eastAsia" w:ascii="Times New Roman" w:hAnsi="Times New Roman" w:eastAsia="楷体_GB2312" w:cs="Times New Roman"/>
              <w:bCs/>
              <w:kern w:val="28"/>
              <w:highlight w:val="none"/>
              <w:lang w:val="en-US" w:eastAsia="zh-CN"/>
            </w:rPr>
            <w:t>（二）存在的问题及原因分析</w:t>
          </w:r>
          <w:r>
            <w:tab/>
          </w:r>
          <w:r>
            <w:fldChar w:fldCharType="begin"/>
          </w:r>
          <w:r>
            <w:instrText xml:space="preserve"> PAGEREF _Toc29168 \h </w:instrText>
          </w:r>
          <w:r>
            <w:fldChar w:fldCharType="separate"/>
          </w:r>
          <w:r>
            <w:t>29</w:t>
          </w:r>
          <w:r>
            <w:fldChar w:fldCharType="end"/>
          </w:r>
          <w:r>
            <w:rPr>
              <w:rFonts w:hint="eastAsia"/>
              <w:szCs w:val="28"/>
              <w:lang w:val="en-US" w:eastAsia="zh-CN"/>
            </w:rPr>
            <w:fldChar w:fldCharType="end"/>
          </w:r>
        </w:p>
        <w:p w14:paraId="3BE6731A">
          <w:pPr>
            <w:pStyle w:val="10"/>
            <w:tabs>
              <w:tab w:val="right" w:leader="dot" w:pos="8844"/>
            </w:tabs>
            <w:rPr>
              <w:rFonts w:hint="eastAsia" w:ascii="黑体" w:hAnsi="黑体" w:eastAsia="黑体" w:cs="黑体"/>
            </w:rPr>
          </w:pPr>
          <w:r>
            <w:rPr>
              <w:rFonts w:hint="eastAsia" w:ascii="黑体" w:hAnsi="黑体" w:eastAsia="黑体" w:cs="黑体"/>
              <w:szCs w:val="28"/>
              <w:lang w:val="en-US" w:eastAsia="zh-CN"/>
            </w:rPr>
            <w:fldChar w:fldCharType="begin"/>
          </w:r>
          <w:r>
            <w:rPr>
              <w:rFonts w:hint="eastAsia" w:ascii="黑体" w:hAnsi="黑体" w:eastAsia="黑体" w:cs="黑体"/>
              <w:szCs w:val="28"/>
              <w:lang w:val="en-US" w:eastAsia="zh-CN"/>
            </w:rPr>
            <w:instrText xml:space="preserve"> HYPERLINK \l _Toc3333 </w:instrText>
          </w:r>
          <w:r>
            <w:rPr>
              <w:rFonts w:hint="eastAsia" w:ascii="黑体" w:hAnsi="黑体" w:eastAsia="黑体" w:cs="黑体"/>
              <w:szCs w:val="28"/>
              <w:lang w:val="en-US" w:eastAsia="zh-CN"/>
            </w:rPr>
            <w:fldChar w:fldCharType="separate"/>
          </w:r>
          <w:r>
            <w:rPr>
              <w:rFonts w:hint="eastAsia" w:ascii="黑体" w:hAnsi="黑体" w:eastAsia="黑体" w:cs="黑体"/>
              <w:bCs w:val="0"/>
              <w:highlight w:val="none"/>
              <w:shd w:val="clear" w:color="auto" w:fill="auto"/>
              <w:lang w:val="en-US" w:eastAsia="zh-CN"/>
            </w:rPr>
            <w:t>六、有关建议</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_Toc3333 \h </w:instrText>
          </w:r>
          <w:r>
            <w:rPr>
              <w:rFonts w:hint="eastAsia" w:ascii="黑体" w:hAnsi="黑体" w:eastAsia="黑体" w:cs="黑体"/>
            </w:rPr>
            <w:fldChar w:fldCharType="separate"/>
          </w:r>
          <w:r>
            <w:rPr>
              <w:rFonts w:hint="eastAsia" w:ascii="黑体" w:hAnsi="黑体" w:eastAsia="黑体" w:cs="黑体"/>
            </w:rPr>
            <w:t>29</w:t>
          </w:r>
          <w:r>
            <w:rPr>
              <w:rFonts w:hint="eastAsia" w:ascii="黑体" w:hAnsi="黑体" w:eastAsia="黑体" w:cs="黑体"/>
            </w:rPr>
            <w:fldChar w:fldCharType="end"/>
          </w:r>
          <w:r>
            <w:rPr>
              <w:rFonts w:hint="eastAsia" w:ascii="黑体" w:hAnsi="黑体" w:eastAsia="黑体" w:cs="黑体"/>
              <w:szCs w:val="28"/>
              <w:lang w:val="en-US" w:eastAsia="zh-CN"/>
            </w:rPr>
            <w:fldChar w:fldCharType="end"/>
          </w:r>
        </w:p>
        <w:p w14:paraId="3365B106">
          <w:pPr>
            <w:pStyle w:val="10"/>
            <w:tabs>
              <w:tab w:val="right" w:leader="dot" w:pos="8844"/>
            </w:tabs>
            <w:rPr>
              <w:rFonts w:hint="eastAsia" w:ascii="黑体" w:hAnsi="黑体" w:eastAsia="黑体" w:cs="黑体"/>
            </w:rPr>
          </w:pPr>
          <w:r>
            <w:rPr>
              <w:rFonts w:hint="eastAsia" w:ascii="黑体" w:hAnsi="黑体" w:eastAsia="黑体" w:cs="黑体"/>
              <w:szCs w:val="28"/>
              <w:lang w:val="en-US" w:eastAsia="zh-CN"/>
            </w:rPr>
            <w:fldChar w:fldCharType="begin"/>
          </w:r>
          <w:r>
            <w:rPr>
              <w:rFonts w:hint="eastAsia" w:ascii="黑体" w:hAnsi="黑体" w:eastAsia="黑体" w:cs="黑体"/>
              <w:szCs w:val="28"/>
              <w:lang w:val="en-US" w:eastAsia="zh-CN"/>
            </w:rPr>
            <w:instrText xml:space="preserve"> HYPERLINK \l _Toc14256 </w:instrText>
          </w:r>
          <w:r>
            <w:rPr>
              <w:rFonts w:hint="eastAsia" w:ascii="黑体" w:hAnsi="黑体" w:eastAsia="黑体" w:cs="黑体"/>
              <w:szCs w:val="28"/>
              <w:lang w:val="en-US" w:eastAsia="zh-CN"/>
            </w:rPr>
            <w:fldChar w:fldCharType="separate"/>
          </w:r>
          <w:r>
            <w:rPr>
              <w:rFonts w:hint="eastAsia" w:ascii="黑体" w:hAnsi="黑体" w:eastAsia="黑体" w:cs="黑体"/>
              <w:bCs w:val="0"/>
              <w:highlight w:val="none"/>
              <w:shd w:val="clear" w:color="auto" w:fill="auto"/>
              <w:lang w:val="en-US" w:eastAsia="zh-CN"/>
            </w:rPr>
            <w:t>七、其他需要说明的问题</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_Toc14256 \h </w:instrText>
          </w:r>
          <w:r>
            <w:rPr>
              <w:rFonts w:hint="eastAsia" w:ascii="黑体" w:hAnsi="黑体" w:eastAsia="黑体" w:cs="黑体"/>
            </w:rPr>
            <w:fldChar w:fldCharType="separate"/>
          </w:r>
          <w:r>
            <w:rPr>
              <w:rFonts w:hint="eastAsia" w:ascii="黑体" w:hAnsi="黑体" w:eastAsia="黑体" w:cs="黑体"/>
            </w:rPr>
            <w:t>30</w:t>
          </w:r>
          <w:r>
            <w:rPr>
              <w:rFonts w:hint="eastAsia" w:ascii="黑体" w:hAnsi="黑体" w:eastAsia="黑体" w:cs="黑体"/>
            </w:rPr>
            <w:fldChar w:fldCharType="end"/>
          </w:r>
          <w:r>
            <w:rPr>
              <w:rFonts w:hint="eastAsia" w:ascii="黑体" w:hAnsi="黑体" w:eastAsia="黑体" w:cs="黑体"/>
              <w:szCs w:val="28"/>
              <w:lang w:val="en-US" w:eastAsia="zh-CN"/>
            </w:rPr>
            <w:fldChar w:fldCharType="end"/>
          </w:r>
        </w:p>
        <w:p w14:paraId="73CE10B3">
          <w:pPr>
            <w:pStyle w:val="10"/>
            <w:tabs>
              <w:tab w:val="right" w:leader="dot" w:pos="8844"/>
            </w:tabs>
            <w:rPr>
              <w:rFonts w:hint="eastAsia" w:ascii="黑体" w:hAnsi="黑体" w:eastAsia="黑体" w:cs="黑体"/>
            </w:rPr>
          </w:pPr>
          <w:r>
            <w:rPr>
              <w:rFonts w:hint="eastAsia" w:ascii="黑体" w:hAnsi="黑体" w:eastAsia="黑体" w:cs="黑体"/>
              <w:szCs w:val="28"/>
              <w:lang w:val="en-US" w:eastAsia="zh-CN"/>
            </w:rPr>
            <w:fldChar w:fldCharType="begin"/>
          </w:r>
          <w:r>
            <w:rPr>
              <w:rFonts w:hint="eastAsia" w:ascii="黑体" w:hAnsi="黑体" w:eastAsia="黑体" w:cs="黑体"/>
              <w:szCs w:val="28"/>
              <w:lang w:val="en-US" w:eastAsia="zh-CN"/>
            </w:rPr>
            <w:instrText xml:space="preserve"> HYPERLINK \l _Toc28971 </w:instrText>
          </w:r>
          <w:r>
            <w:rPr>
              <w:rFonts w:hint="eastAsia" w:ascii="黑体" w:hAnsi="黑体" w:eastAsia="黑体" w:cs="黑体"/>
              <w:szCs w:val="28"/>
              <w:lang w:val="en-US" w:eastAsia="zh-CN"/>
            </w:rPr>
            <w:fldChar w:fldCharType="separate"/>
          </w:r>
          <w:r>
            <w:rPr>
              <w:rFonts w:hint="eastAsia" w:ascii="黑体" w:hAnsi="黑体" w:eastAsia="黑体" w:cs="黑体"/>
              <w:bCs/>
              <w:highlight w:val="none"/>
              <w:shd w:val="clear" w:color="auto" w:fill="auto"/>
              <w:lang w:val="en-US" w:eastAsia="zh-CN"/>
            </w:rPr>
            <w:t>附件一、项目支出绩效自评表</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_Toc14256 \h </w:instrText>
          </w:r>
          <w:r>
            <w:rPr>
              <w:rFonts w:hint="eastAsia" w:ascii="黑体" w:hAnsi="黑体" w:eastAsia="黑体" w:cs="黑体"/>
            </w:rPr>
            <w:fldChar w:fldCharType="separate"/>
          </w:r>
          <w:r>
            <w:rPr>
              <w:rFonts w:hint="eastAsia" w:ascii="黑体" w:hAnsi="黑体" w:eastAsia="黑体" w:cs="黑体"/>
            </w:rPr>
            <w:t>3</w:t>
          </w:r>
          <w:r>
            <w:rPr>
              <w:rFonts w:hint="eastAsia" w:ascii="黑体" w:hAnsi="黑体" w:eastAsia="黑体" w:cs="黑体"/>
              <w:lang w:val="en-US" w:eastAsia="zh-CN"/>
            </w:rPr>
            <w:t>2</w:t>
          </w:r>
          <w:r>
            <w:rPr>
              <w:rFonts w:hint="eastAsia" w:ascii="黑体" w:hAnsi="黑体" w:eastAsia="黑体" w:cs="黑体"/>
            </w:rPr>
            <w:fldChar w:fldCharType="end"/>
          </w:r>
          <w:r>
            <w:rPr>
              <w:rFonts w:hint="eastAsia" w:ascii="黑体" w:hAnsi="黑体" w:eastAsia="黑体" w:cs="黑体"/>
              <w:szCs w:val="28"/>
              <w:lang w:val="en-US" w:eastAsia="zh-CN"/>
            </w:rPr>
            <w:fldChar w:fldCharType="end"/>
          </w:r>
        </w:p>
        <w:p w14:paraId="69C99E19">
          <w:pPr>
            <w:pStyle w:val="10"/>
            <w:tabs>
              <w:tab w:val="right" w:leader="dot" w:pos="8844"/>
            </w:tabs>
            <w:rPr>
              <w:rFonts w:hint="eastAsia" w:ascii="黑体" w:hAnsi="黑体" w:eastAsia="黑体" w:cs="黑体"/>
            </w:rPr>
          </w:pPr>
          <w:r>
            <w:rPr>
              <w:rFonts w:hint="eastAsia" w:ascii="黑体" w:hAnsi="黑体" w:eastAsia="黑体" w:cs="黑体"/>
              <w:szCs w:val="28"/>
              <w:lang w:val="en-US" w:eastAsia="zh-CN"/>
            </w:rPr>
            <w:fldChar w:fldCharType="begin"/>
          </w:r>
          <w:r>
            <w:rPr>
              <w:rFonts w:hint="eastAsia" w:ascii="黑体" w:hAnsi="黑体" w:eastAsia="黑体" w:cs="黑体"/>
              <w:szCs w:val="28"/>
              <w:lang w:val="en-US" w:eastAsia="zh-CN"/>
            </w:rPr>
            <w:instrText xml:space="preserve"> HYPERLINK \l _Toc11223 </w:instrText>
          </w:r>
          <w:r>
            <w:rPr>
              <w:rFonts w:hint="eastAsia" w:ascii="黑体" w:hAnsi="黑体" w:eastAsia="黑体" w:cs="黑体"/>
              <w:szCs w:val="28"/>
              <w:lang w:val="en-US" w:eastAsia="zh-CN"/>
            </w:rPr>
            <w:fldChar w:fldCharType="separate"/>
          </w:r>
          <w:r>
            <w:rPr>
              <w:rFonts w:hint="eastAsia" w:ascii="黑体" w:hAnsi="黑体" w:eastAsia="黑体" w:cs="黑体"/>
              <w:bCs/>
              <w:highlight w:val="none"/>
              <w:shd w:val="clear" w:color="auto" w:fill="auto"/>
              <w:lang w:val="en-US" w:eastAsia="zh-CN"/>
            </w:rPr>
            <w:t>附件二、项目支出绩效评价指标体系打分表</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_Toc11223 \h </w:instrText>
          </w:r>
          <w:r>
            <w:rPr>
              <w:rFonts w:hint="eastAsia" w:ascii="黑体" w:hAnsi="黑体" w:eastAsia="黑体" w:cs="黑体"/>
            </w:rPr>
            <w:fldChar w:fldCharType="separate"/>
          </w:r>
          <w:r>
            <w:rPr>
              <w:rFonts w:hint="eastAsia" w:ascii="黑体" w:hAnsi="黑体" w:eastAsia="黑体" w:cs="黑体"/>
            </w:rPr>
            <w:t>35</w:t>
          </w:r>
          <w:r>
            <w:rPr>
              <w:rFonts w:hint="eastAsia" w:ascii="黑体" w:hAnsi="黑体" w:eastAsia="黑体" w:cs="黑体"/>
            </w:rPr>
            <w:fldChar w:fldCharType="end"/>
          </w:r>
          <w:r>
            <w:rPr>
              <w:rFonts w:hint="eastAsia" w:ascii="黑体" w:hAnsi="黑体" w:eastAsia="黑体" w:cs="黑体"/>
              <w:szCs w:val="28"/>
              <w:lang w:val="en-US" w:eastAsia="zh-CN"/>
            </w:rPr>
            <w:fldChar w:fldCharType="end"/>
          </w:r>
        </w:p>
        <w:p w14:paraId="2708339B">
          <w:pPr>
            <w:keepNext w:val="0"/>
            <w:keepLines w:val="0"/>
            <w:pageBreakBefore w:val="0"/>
            <w:shd w:val="clear"/>
            <w:kinsoku/>
            <w:wordWrap/>
            <w:overflowPunct/>
            <w:topLinePunct w:val="0"/>
            <w:autoSpaceDE/>
            <w:autoSpaceDN/>
            <w:bidi w:val="0"/>
            <w:adjustRightInd/>
            <w:snapToGrid/>
            <w:spacing w:line="560" w:lineRule="exact"/>
            <w:textAlignment w:val="auto"/>
            <w:rPr>
              <w:rFonts w:hint="eastAsia"/>
              <w:lang w:val="en-US" w:eastAsia="zh-CN"/>
            </w:rPr>
            <w:sectPr>
              <w:pgSz w:w="11906" w:h="16838"/>
              <w:pgMar w:top="1928" w:right="1531" w:bottom="1701" w:left="1531" w:header="737" w:footer="851" w:gutter="0"/>
              <w:pgNumType w:fmt="decimal"/>
              <w:cols w:space="720" w:num="1"/>
              <w:docGrid w:type="lines" w:linePitch="408" w:charSpace="0"/>
            </w:sectPr>
          </w:pPr>
          <w:r>
            <w:rPr>
              <w:rFonts w:hint="eastAsia"/>
              <w:szCs w:val="28"/>
              <w:lang w:val="en-US" w:eastAsia="zh-CN"/>
            </w:rPr>
            <w:fldChar w:fldCharType="end"/>
          </w:r>
        </w:p>
      </w:sdtContent>
    </w:sdt>
    <w:p w14:paraId="3052B0E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color w:val="000000" w:themeColor="text1"/>
          <w:sz w:val="40"/>
          <w:szCs w:val="40"/>
          <w:highlight w:val="none"/>
          <w:shd w:val="clear" w:color="auto" w:fill="auto"/>
          <w14:textFill>
            <w14:solidFill>
              <w14:schemeClr w14:val="tx1"/>
            </w14:solidFill>
          </w14:textFill>
        </w:rPr>
      </w:pPr>
      <w:bookmarkStart w:id="4" w:name="_Toc1194"/>
      <w:bookmarkStart w:id="5" w:name="_Toc20432"/>
      <w:bookmarkStart w:id="6" w:name="_Toc3663"/>
      <w:bookmarkStart w:id="7" w:name="_Toc22946"/>
      <w:r>
        <w:rPr>
          <w:rFonts w:hint="eastAsia" w:cs="宋体"/>
          <w:b/>
          <w:bCs/>
          <w:color w:val="000000" w:themeColor="text1"/>
          <w:sz w:val="36"/>
          <w:szCs w:val="36"/>
          <w:highlight w:val="none"/>
          <w:shd w:val="clear" w:color="auto" w:fill="auto"/>
          <w:lang w:val="en-US" w:eastAsia="zh-CN"/>
          <w14:textFill>
            <w14:solidFill>
              <w14:schemeClr w14:val="tx1"/>
            </w14:solidFill>
          </w14:textFill>
        </w:rPr>
        <w:t>2023年中央农业生产发展资金（第二批）重点作物绿色高产高效行动</w:t>
      </w: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项目</w:t>
      </w: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支出绩效评价报告</w:t>
      </w:r>
      <w:bookmarkEnd w:id="4"/>
      <w:bookmarkEnd w:id="5"/>
      <w:bookmarkEnd w:id="6"/>
      <w:bookmarkEnd w:id="7"/>
    </w:p>
    <w:p w14:paraId="7EF655F0">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000000" w:themeColor="text1"/>
          <w:highlight w:val="none"/>
          <w:shd w:val="clear" w:color="auto" w:fill="auto"/>
          <w14:textFill>
            <w14:solidFill>
              <w14:schemeClr w14:val="tx1"/>
            </w14:solidFill>
          </w14:textFill>
        </w:rPr>
      </w:pPr>
      <w:bookmarkStart w:id="8" w:name="_Toc18485"/>
      <w:r>
        <w:rPr>
          <w:rFonts w:hint="eastAsia" w:ascii="黑体" w:hAnsi="黑体" w:eastAsia="黑体" w:cs="黑体"/>
          <w:b w:val="0"/>
          <w:bCs w:val="0"/>
          <w:color w:val="000000" w:themeColor="text1"/>
          <w:highlight w:val="none"/>
          <w:shd w:val="clear" w:color="auto" w:fill="auto"/>
          <w14:textFill>
            <w14:solidFill>
              <w14:schemeClr w14:val="tx1"/>
            </w14:solidFill>
          </w14:textFill>
        </w:rPr>
        <w:t>一、基本情况</w:t>
      </w:r>
      <w:bookmarkEnd w:id="8"/>
    </w:p>
    <w:p w14:paraId="137BDEE7">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9" w:name="_Toc23184"/>
      <w:r>
        <w:rPr>
          <w:rFonts w:hint="eastAsia" w:ascii="Times New Roman" w:hAnsi="Times New Roman" w:eastAsia="楷体_GB2312" w:cs="Times New Roman"/>
          <w:kern w:val="28"/>
          <w:sz w:val="32"/>
          <w:lang w:val="en-US" w:eastAsia="zh-CN"/>
        </w:rPr>
        <w:t>（一）项目概况</w:t>
      </w:r>
      <w:bookmarkEnd w:id="9"/>
    </w:p>
    <w:p w14:paraId="5A53FF19">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eastAsia="zh-CN"/>
          <w14:textFill>
            <w14:solidFill>
              <w14:schemeClr w14:val="tx1"/>
            </w14:solidFill>
          </w14:textFill>
        </w:rPr>
      </w:pPr>
      <w:bookmarkStart w:id="10" w:name="_Toc5043"/>
      <w:bookmarkStart w:id="11" w:name="_Toc10645"/>
      <w:bookmarkStart w:id="12" w:name="_Toc29812"/>
      <w:bookmarkStart w:id="13" w:name="_Toc22346"/>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t>项目背景</w:t>
      </w:r>
      <w:bookmarkEnd w:id="10"/>
      <w:bookmarkEnd w:id="11"/>
      <w:bookmarkEnd w:id="12"/>
      <w:bookmarkEnd w:id="13"/>
    </w:p>
    <w:p w14:paraId="35A50B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Times New Roman" w:eastAsia="仿宋_GB2312" w:cs="宋体"/>
          <w:sz w:val="32"/>
          <w:szCs w:val="32"/>
        </w:rPr>
      </w:pPr>
      <w:r>
        <w:rPr>
          <w:rFonts w:hint="eastAsia" w:ascii="仿宋_GB2312" w:hAnsi="Times New Roman" w:eastAsia="仿宋_GB2312"/>
          <w:sz w:val="32"/>
          <w:szCs w:val="32"/>
        </w:rPr>
        <w:t>根据自治区农业农村厅《关于</w:t>
      </w:r>
      <w:r>
        <w:rPr>
          <w:rFonts w:hint="eastAsia" w:ascii="仿宋_GB2312" w:hAnsi="Times New Roman" w:eastAsia="仿宋_GB2312"/>
          <w:sz w:val="32"/>
          <w:szCs w:val="32"/>
          <w:lang w:eastAsia="zh-CN"/>
        </w:rPr>
        <w:t>下达</w:t>
      </w:r>
      <w:r>
        <w:rPr>
          <w:rFonts w:hint="eastAsia" w:ascii="仿宋_GB2312" w:hAnsi="Times New Roman" w:eastAsia="仿宋_GB2312"/>
          <w:sz w:val="32"/>
          <w:szCs w:val="32"/>
        </w:rPr>
        <w:t>2023年</w:t>
      </w:r>
      <w:r>
        <w:rPr>
          <w:rFonts w:hint="eastAsia" w:ascii="仿宋_GB2312" w:hAnsi="Times New Roman" w:eastAsia="仿宋_GB2312"/>
          <w:sz w:val="32"/>
          <w:szCs w:val="32"/>
          <w:lang w:eastAsia="zh-CN"/>
        </w:rPr>
        <w:t>中央粮油生产保障资金预算的通知</w:t>
      </w:r>
      <w:r>
        <w:rPr>
          <w:rFonts w:hint="eastAsia" w:ascii="仿宋_GB2312" w:hAnsi="Times New Roman" w:eastAsia="仿宋_GB2312" w:cs="宋体"/>
          <w:sz w:val="32"/>
          <w:szCs w:val="32"/>
          <w:lang w:eastAsia="zh-CN"/>
        </w:rPr>
        <w:t>》（</w:t>
      </w:r>
      <w:r>
        <w:rPr>
          <w:rFonts w:hint="eastAsia" w:ascii="仿宋_GB2312" w:hAnsi="Times New Roman" w:eastAsia="仿宋_GB2312" w:cs="宋体"/>
          <w:sz w:val="32"/>
          <w:szCs w:val="32"/>
        </w:rPr>
        <w:t>新财农{2023}36号</w:t>
      </w:r>
      <w:r>
        <w:rPr>
          <w:rFonts w:hint="eastAsia" w:ascii="仿宋_GB2312" w:hAnsi="Times New Roman" w:eastAsia="仿宋_GB2312" w:cs="宋体"/>
          <w:sz w:val="32"/>
          <w:szCs w:val="32"/>
          <w:lang w:eastAsia="zh-CN"/>
        </w:rPr>
        <w:t>）和</w:t>
      </w:r>
      <w:r>
        <w:rPr>
          <w:rFonts w:hint="eastAsia" w:ascii="仿宋_GB2312" w:hAnsi="Times New Roman" w:eastAsia="仿宋_GB2312" w:cs="宋体"/>
          <w:sz w:val="32"/>
          <w:szCs w:val="32"/>
        </w:rPr>
        <w:t>昌州财农{202</w:t>
      </w:r>
      <w:r>
        <w:rPr>
          <w:rFonts w:hint="eastAsia" w:ascii="仿宋_GB2312" w:hAnsi="Times New Roman" w:eastAsia="仿宋_GB2312" w:cs="宋体"/>
          <w:sz w:val="32"/>
          <w:szCs w:val="32"/>
          <w:lang w:val="en-US" w:eastAsia="zh-CN"/>
        </w:rPr>
        <w:t>3</w:t>
      </w:r>
      <w:r>
        <w:rPr>
          <w:rFonts w:hint="eastAsia" w:ascii="仿宋_GB2312" w:hAnsi="Times New Roman" w:eastAsia="仿宋_GB2312" w:cs="宋体"/>
          <w:sz w:val="32"/>
          <w:szCs w:val="32"/>
        </w:rPr>
        <w:t>}20号</w:t>
      </w:r>
      <w:r>
        <w:rPr>
          <w:rFonts w:hint="eastAsia" w:ascii="仿宋_GB2312" w:hAnsi="Times New Roman" w:eastAsia="仿宋_GB2312" w:cs="宋体"/>
          <w:sz w:val="32"/>
          <w:szCs w:val="32"/>
          <w:lang w:eastAsia="zh-CN"/>
        </w:rPr>
        <w:t>）</w:t>
      </w:r>
      <w:r>
        <w:rPr>
          <w:rFonts w:hint="eastAsia" w:ascii="仿宋_GB2312" w:hAnsi="Times New Roman" w:eastAsia="仿宋_GB2312" w:cs="宋体"/>
          <w:sz w:val="32"/>
          <w:szCs w:val="32"/>
        </w:rPr>
        <w:t>文件精神，</w:t>
      </w:r>
      <w:r>
        <w:rPr>
          <w:rFonts w:hint="eastAsia" w:ascii="仿宋_GB2312" w:hAnsi="Times New Roman" w:eastAsia="仿宋_GB2312" w:cs="宋体"/>
          <w:sz w:val="32"/>
          <w:szCs w:val="32"/>
          <w:lang w:eastAsia="zh-CN"/>
        </w:rPr>
        <w:t>为</w:t>
      </w:r>
      <w:r>
        <w:rPr>
          <w:rFonts w:hint="eastAsia" w:ascii="仿宋_GB2312" w:hAnsi="Times New Roman" w:eastAsia="仿宋_GB2312" w:cs="宋体"/>
          <w:sz w:val="32"/>
          <w:szCs w:val="32"/>
        </w:rPr>
        <w:t>深入贯彻落实习近平总书记“粮食安全”战</w:t>
      </w:r>
      <w:r>
        <w:rPr>
          <w:rFonts w:hint="eastAsia" w:ascii="仿宋_GB2312" w:hAnsi="Times New Roman" w:eastAsia="仿宋_GB2312"/>
          <w:sz w:val="32"/>
          <w:szCs w:val="32"/>
        </w:rPr>
        <w:t>略部署和相关批示指示精神，</w:t>
      </w:r>
      <w:r>
        <w:rPr>
          <w:rFonts w:hint="eastAsia" w:ascii="仿宋_GB2312" w:hAnsi="Times New Roman" w:eastAsia="仿宋_GB2312" w:cs="宋体"/>
          <w:sz w:val="32"/>
          <w:szCs w:val="32"/>
        </w:rPr>
        <w:t>国家对农业绿色发展和粮食安全的高度重视，一系列强农惠农政策不断出台，旨在推动农业生产方式转变，提高农业综合生产能力，保障国家粮食安全和农产品质量安全</w:t>
      </w:r>
      <w:r>
        <w:rPr>
          <w:rFonts w:hint="eastAsia" w:ascii="仿宋_GB2312" w:hAnsi="Times New Roman" w:eastAsia="仿宋_GB2312" w:cs="宋体"/>
          <w:sz w:val="32"/>
          <w:szCs w:val="32"/>
          <w:lang w:eastAsia="zh-CN"/>
        </w:rPr>
        <w:t>；</w:t>
      </w:r>
      <w:r>
        <w:rPr>
          <w:rFonts w:hint="eastAsia" w:ascii="仿宋_GB2312" w:hAnsi="Times New Roman" w:eastAsia="仿宋_GB2312" w:cs="宋体"/>
          <w:sz w:val="32"/>
          <w:szCs w:val="32"/>
        </w:rPr>
        <w:t>阜康市具备一定的小麦种植基础，但在生产过程中也面临诸多问题。传统小麦种植方式存在化肥、农药过量使用现象，导致土壤质量下降、环境污染，农产品品质也受到影响。同时，小麦单产水平有待进一步提高，机械化程度参差不齐，农业生产效率与先进地区相比仍有差距。为了突破这些发展瓶颈，提升阜康市小麦产业的竞争力，实施小麦绿色高产高效发展项目迫在眉睫。阜康市小麦产品在市场上的竞争力相对较弱，难以满足高端市场需求</w:t>
      </w:r>
      <w:r>
        <w:rPr>
          <w:rFonts w:hint="eastAsia" w:ascii="仿宋_GB2312" w:hAnsi="Times New Roman" w:eastAsia="仿宋_GB2312" w:cs="宋体"/>
          <w:sz w:val="32"/>
          <w:szCs w:val="32"/>
          <w:lang w:eastAsia="zh-CN"/>
        </w:rPr>
        <w:t>；</w:t>
      </w:r>
      <w:r>
        <w:rPr>
          <w:rFonts w:hint="eastAsia" w:ascii="仿宋_GB2312" w:hAnsi="Times New Roman" w:eastAsia="仿宋_GB2312" w:cs="宋体"/>
          <w:sz w:val="32"/>
          <w:szCs w:val="32"/>
        </w:rPr>
        <w:t>通过开展小麦绿色高产高效发展项目，采用先进的种植技术和管理模式，提高小麦品质和产量，有助于推动阜康市小麦产业向高端化、绿色化方向升级，增加农民收入，促进区域经济发展</w:t>
      </w:r>
      <w:r>
        <w:rPr>
          <w:rFonts w:hint="eastAsia" w:ascii="仿宋_GB2312" w:hAnsi="Times New Roman" w:eastAsia="仿宋_GB2312" w:cs="宋体"/>
          <w:sz w:val="32"/>
          <w:szCs w:val="32"/>
          <w:lang w:eastAsia="zh-CN"/>
        </w:rPr>
        <w:t>；</w:t>
      </w:r>
      <w:r>
        <w:rPr>
          <w:rFonts w:hint="eastAsia" w:ascii="仿宋_GB2312" w:hAnsi="Times New Roman" w:eastAsia="仿宋_GB2312" w:cs="宋体"/>
          <w:sz w:val="32"/>
          <w:szCs w:val="32"/>
        </w:rPr>
        <w:t>阜康市实施小麦绿色高产高效发展项目，旨在引进和集成先进科技成果，建立示范基地，发挥科技示范引领作用，带动周边农户采用绿色高产高效种植模式，提高全市小麦产业的科技含量和整体水平，推动农业现代化进程。</w:t>
      </w:r>
    </w:p>
    <w:p w14:paraId="7E7A06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32"/>
          <w:szCs w:val="32"/>
          <w:lang w:val="en-US" w:eastAsia="zh-CN"/>
        </w:rPr>
      </w:pPr>
      <w:r>
        <w:rPr>
          <w:rFonts w:hint="eastAsia" w:ascii="仿宋_GB2312" w:hAnsi="Times New Roman" w:eastAsia="仿宋_GB2312" w:cs="宋体"/>
          <w:sz w:val="32"/>
          <w:szCs w:val="32"/>
        </w:rPr>
        <w:t>综上所述，阜康市小麦绿色高产高效发展项目的实施具有重要的政策意义、现实需求和长远发展价值。通过该项目的实施，将有助于提升阜康市小麦产业的综合竞争力，实现农业增效、农民增收、生态环境改善的多赢目标，为保障国家粮食安全和促进区域经济可持续发展做出积极贡献。</w:t>
      </w:r>
    </w:p>
    <w:p w14:paraId="7B99AEC5">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pPr>
      <w:bookmarkStart w:id="14" w:name="_Toc10730"/>
      <w:bookmarkStart w:id="15" w:name="_Toc27343"/>
      <w:bookmarkStart w:id="16" w:name="_Toc1630"/>
      <w:bookmarkStart w:id="17" w:name="_Toc17880"/>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t>主要内容及实施情况</w:t>
      </w:r>
      <w:bookmarkEnd w:id="14"/>
      <w:bookmarkEnd w:id="15"/>
      <w:bookmarkEnd w:id="16"/>
      <w:bookmarkEnd w:id="17"/>
    </w:p>
    <w:p w14:paraId="73E62243">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b/>
          <w:bCs/>
          <w:color w:val="auto"/>
          <w:sz w:val="32"/>
          <w:szCs w:val="32"/>
          <w:highlight w:val="none"/>
          <w:shd w:val="clear" w:color="auto" w:fill="auto"/>
          <w:lang w:val="en-US" w:eastAsia="zh-CN"/>
        </w:rPr>
      </w:pPr>
      <w:bookmarkStart w:id="18" w:name="_Toc21898"/>
      <w:bookmarkStart w:id="19" w:name="_Toc27409"/>
      <w:bookmarkStart w:id="20" w:name="_Toc16592"/>
      <w:bookmarkStart w:id="21" w:name="_Toc27245"/>
      <w:r>
        <w:rPr>
          <w:rFonts w:hint="eastAsia" w:ascii="仿宋_GB2312" w:hAnsi="仿宋_GB2312" w:eastAsia="仿宋_GB2312" w:cs="仿宋_GB2312"/>
          <w:b/>
          <w:bCs/>
          <w:color w:val="auto"/>
          <w:sz w:val="32"/>
          <w:szCs w:val="32"/>
          <w:highlight w:val="none"/>
          <w:shd w:val="clear" w:color="auto" w:fill="auto"/>
          <w:lang w:val="en-US" w:eastAsia="zh-CN"/>
        </w:rPr>
        <w:t>项目主要内容：</w:t>
      </w:r>
      <w:bookmarkEnd w:id="18"/>
      <w:bookmarkEnd w:id="19"/>
      <w:bookmarkEnd w:id="20"/>
      <w:bookmarkEnd w:id="21"/>
      <w:bookmarkStart w:id="22" w:name="_Toc29920"/>
      <w:bookmarkStart w:id="23" w:name="_Toc3154"/>
    </w:p>
    <w:p w14:paraId="2723F7A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color w:val="auto"/>
          <w:sz w:val="32"/>
          <w:lang w:val="en-US" w:eastAsia="zh-CN"/>
        </w:rPr>
      </w:pPr>
      <w:r>
        <w:rPr>
          <w:rFonts w:hint="eastAsia" w:ascii="Calibri" w:hAnsi="Calibri" w:eastAsia="楷体" w:cs="Calibri"/>
          <w:b w:val="0"/>
          <w:bCs w:val="0"/>
          <w:sz w:val="32"/>
          <w:szCs w:val="32"/>
          <w:lang w:val="en-US" w:eastAsia="zh-CN"/>
        </w:rPr>
        <w:t>（1）</w:t>
      </w:r>
      <w:r>
        <w:rPr>
          <w:rFonts w:hint="eastAsia" w:ascii="楷体" w:hAnsi="楷体" w:eastAsia="楷体" w:cs="楷体"/>
          <w:b w:val="0"/>
          <w:bCs w:val="0"/>
          <w:sz w:val="32"/>
          <w:szCs w:val="32"/>
          <w:lang w:val="en-US" w:eastAsia="zh-CN"/>
        </w:rPr>
        <w:t>做好优质高产品种筛选示范。</w:t>
      </w:r>
      <w:r>
        <w:rPr>
          <w:rFonts w:hint="eastAsia" w:ascii="Times New Roman" w:hAnsi="Times New Roman" w:eastAsia="仿宋_GB2312" w:cs="Times New Roman"/>
          <w:color w:val="auto"/>
          <w:sz w:val="32"/>
          <w:lang w:val="en-US" w:eastAsia="zh-CN"/>
        </w:rPr>
        <w:t>新建一个小麦优质高产品种引进试验展示田。与新疆农科院、新疆农业大学合作，在滋泥泉子镇新建1个千亩小麦优质高产品种引进试验示范评比田，从全疆各种业公司、科研院所选11个当前产量高、品质优、适宜阜康种植的小麦品种，筛选出适合我市种植的高产优质小麦品种。同时总结推广适宜我市种植的栽培技术规程和展示科技成果，打造高产实践教学点。结合品种筛选试验，生产中推广经过生产检验、农民接受程度高的高产优质小麦品种，构建全市2-3个主导小麦品种的生产结构布局。</w:t>
      </w:r>
    </w:p>
    <w:p w14:paraId="10694BE1">
      <w:pPr>
        <w:numPr>
          <w:ilvl w:val="0"/>
          <w:numId w:val="0"/>
        </w:numPr>
        <w:spacing w:line="580" w:lineRule="exact"/>
        <w:ind w:firstLine="640" w:firstLineChars="200"/>
        <w:rPr>
          <w:rFonts w:hint="eastAsia" w:ascii="Times New Roman" w:hAnsi="Times New Roman" w:eastAsia="仿宋_GB2312" w:cs="Times New Roman"/>
          <w:color w:val="auto"/>
          <w:sz w:val="32"/>
          <w:lang w:val="en-US" w:eastAsia="zh-CN"/>
        </w:rPr>
      </w:pPr>
      <w:r>
        <w:rPr>
          <w:rFonts w:hint="eastAsia" w:ascii="Calibri" w:hAnsi="Calibri" w:eastAsia="楷体" w:cs="Calibri"/>
          <w:b w:val="0"/>
          <w:bCs w:val="0"/>
          <w:sz w:val="32"/>
          <w:szCs w:val="32"/>
          <w:lang w:val="en-US" w:eastAsia="zh-CN"/>
        </w:rPr>
        <w:t>（2）</w:t>
      </w:r>
      <w:r>
        <w:rPr>
          <w:rFonts w:hint="eastAsia" w:ascii="楷体" w:hAnsi="楷体" w:eastAsia="楷体" w:cs="楷体"/>
          <w:b w:val="0"/>
          <w:bCs w:val="0"/>
          <w:sz w:val="32"/>
          <w:szCs w:val="32"/>
          <w:lang w:val="en-US" w:eastAsia="zh-CN"/>
        </w:rPr>
        <w:t>创新关键技术集成应用，实现技术引领支撑。</w:t>
      </w:r>
      <w:r>
        <w:rPr>
          <w:rFonts w:hint="eastAsia" w:ascii="Times New Roman" w:hAnsi="Times New Roman" w:eastAsia="仿宋_GB2312" w:cs="Times New Roman"/>
          <w:color w:val="auto"/>
          <w:sz w:val="32"/>
          <w:lang w:val="en-US" w:eastAsia="zh-CN"/>
        </w:rPr>
        <w:t>重点推广小麦种肥分离、缩行节水、精量播种、药剂拌种、电磁风暴处理、顶凌施肥、氮肥后移、多频浇水、调环酸钙二次化控、一喷三防、水肥一体化、测土配方施肥、增施黄腐酸钾、化肥农药减施增效等关键技术，发挥科技增产支撑作用。</w:t>
      </w:r>
    </w:p>
    <w:p w14:paraId="03E41916">
      <w:pPr>
        <w:spacing w:line="580" w:lineRule="exact"/>
        <w:ind w:firstLine="640" w:firstLineChars="200"/>
        <w:rPr>
          <w:rFonts w:ascii="Times New Roman" w:hAnsi="Times New Roman" w:eastAsia="仿宋_GB2312"/>
          <w:sz w:val="32"/>
          <w:szCs w:val="32"/>
        </w:rPr>
      </w:pPr>
      <w:r>
        <w:rPr>
          <w:rFonts w:hint="eastAsia" w:ascii="Calibri" w:hAnsi="Calibri" w:eastAsia="仿宋_GB2312" w:cs="Calibri"/>
          <w:b w:val="0"/>
          <w:bCs w:val="0"/>
          <w:color w:val="auto"/>
          <w:sz w:val="32"/>
          <w:lang w:val="en-US" w:eastAsia="zh-CN"/>
        </w:rPr>
        <w:t>（3）</w:t>
      </w:r>
      <w:r>
        <w:rPr>
          <w:rFonts w:hint="eastAsia" w:ascii="楷体" w:hAnsi="楷体" w:eastAsia="楷体" w:cs="楷体"/>
          <w:b w:val="0"/>
          <w:bCs w:val="0"/>
          <w:kern w:val="2"/>
          <w:sz w:val="32"/>
          <w:szCs w:val="32"/>
          <w:lang w:val="en-US" w:eastAsia="zh-CN" w:bidi="ar-SA"/>
        </w:rPr>
        <w:t>开展高产优质核心示范区建设，</w:t>
      </w:r>
      <w:r>
        <w:rPr>
          <w:rFonts w:hint="eastAsia" w:ascii="楷体" w:hAnsi="楷体" w:eastAsia="楷体" w:cs="楷体"/>
          <w:b w:val="0"/>
          <w:bCs w:val="0"/>
          <w:sz w:val="32"/>
          <w:szCs w:val="32"/>
          <w:lang w:val="en-US" w:eastAsia="zh-CN"/>
        </w:rPr>
        <w:t>辐射带动全市小麦产量水平提升。</w:t>
      </w:r>
      <w:r>
        <w:rPr>
          <w:rFonts w:hint="eastAsia" w:ascii="Times New Roman" w:hAnsi="Times New Roman" w:eastAsia="仿宋_GB2312"/>
          <w:sz w:val="32"/>
          <w:szCs w:val="32"/>
          <w:highlight w:val="none"/>
          <w:lang w:val="en-US" w:eastAsia="zh-CN"/>
        </w:rPr>
        <w:t>围绕新品种、新技术、新模式，选择基础条件好、技术力量强的九运街镇、滋泥泉子镇、上户沟乡、建设2个“万亩</w:t>
      </w:r>
      <w:r>
        <w:rPr>
          <w:rFonts w:ascii="Times New Roman" w:hAnsi="Times New Roman" w:eastAsia="仿宋_GB2312"/>
          <w:sz w:val="32"/>
          <w:szCs w:val="32"/>
        </w:rPr>
        <w:t>示范片</w:t>
      </w:r>
      <w:r>
        <w:rPr>
          <w:rFonts w:hint="eastAsia" w:ascii="Times New Roman" w:hAnsi="Times New Roman" w:eastAsia="仿宋_GB2312"/>
          <w:sz w:val="32"/>
          <w:szCs w:val="32"/>
          <w:lang w:eastAsia="zh-CN"/>
        </w:rPr>
        <w:t>”</w:t>
      </w:r>
      <w:r>
        <w:rPr>
          <w:rFonts w:ascii="Times New Roman" w:hAnsi="Times New Roman" w:eastAsia="仿宋_GB2312"/>
          <w:sz w:val="32"/>
          <w:szCs w:val="32"/>
        </w:rPr>
        <w:t>亩产5</w:t>
      </w:r>
      <w:r>
        <w:rPr>
          <w:rFonts w:hint="eastAsia" w:ascii="Times New Roman" w:hAnsi="Times New Roman" w:eastAsia="仿宋_GB2312"/>
          <w:sz w:val="32"/>
          <w:szCs w:val="32"/>
          <w:lang w:val="en-US" w:eastAsia="zh-CN"/>
        </w:rPr>
        <w:t>0</w:t>
      </w:r>
      <w:r>
        <w:rPr>
          <w:rFonts w:ascii="Times New Roman" w:hAnsi="Times New Roman" w:eastAsia="仿宋_GB2312"/>
          <w:sz w:val="32"/>
          <w:szCs w:val="32"/>
        </w:rPr>
        <w:t>0公斤以上</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highlight w:val="none"/>
          <w:lang w:val="en-US" w:eastAsia="zh-CN"/>
        </w:rPr>
        <w:t>打造10个“千亩示范方”，</w:t>
      </w:r>
      <w:r>
        <w:rPr>
          <w:rFonts w:ascii="Times New Roman" w:hAnsi="Times New Roman" w:eastAsia="仿宋_GB2312"/>
          <w:sz w:val="32"/>
          <w:szCs w:val="32"/>
        </w:rPr>
        <w:t>其中</w:t>
      </w:r>
      <w:r>
        <w:rPr>
          <w:rFonts w:hint="eastAsia" w:ascii="Times New Roman" w:hAnsi="Times New Roman" w:eastAsia="仿宋_GB2312"/>
          <w:sz w:val="32"/>
          <w:szCs w:val="32"/>
          <w:lang w:val="en-US" w:eastAsia="zh-CN"/>
        </w:rPr>
        <w:t>55</w:t>
      </w:r>
      <w:r>
        <w:rPr>
          <w:rFonts w:ascii="Times New Roman" w:hAnsi="Times New Roman" w:eastAsia="仿宋_GB2312"/>
          <w:sz w:val="32"/>
          <w:szCs w:val="32"/>
        </w:rPr>
        <w:t>0公斤/亩以上高产示范</w:t>
      </w:r>
      <w:r>
        <w:rPr>
          <w:rFonts w:hint="eastAsia" w:ascii="Times New Roman" w:hAnsi="Times New Roman" w:eastAsia="仿宋_GB2312"/>
          <w:sz w:val="32"/>
          <w:szCs w:val="32"/>
          <w:lang w:eastAsia="zh-CN"/>
        </w:rPr>
        <w:t>方</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个，600公斤/亩以上高产</w:t>
      </w:r>
      <w:r>
        <w:rPr>
          <w:rFonts w:hint="eastAsia" w:ascii="Times New Roman" w:hAnsi="Times New Roman" w:eastAsia="仿宋_GB2312"/>
          <w:sz w:val="32"/>
          <w:szCs w:val="32"/>
          <w:lang w:eastAsia="zh-CN"/>
        </w:rPr>
        <w:t>示</w:t>
      </w:r>
      <w:r>
        <w:rPr>
          <w:rFonts w:ascii="Times New Roman" w:hAnsi="Times New Roman" w:eastAsia="仿宋_GB2312"/>
          <w:sz w:val="32"/>
          <w:szCs w:val="32"/>
        </w:rPr>
        <w:t>范</w:t>
      </w:r>
      <w:r>
        <w:rPr>
          <w:rFonts w:hint="eastAsia" w:ascii="Times New Roman" w:hAnsi="Times New Roman" w:eastAsia="仿宋_GB2312"/>
          <w:sz w:val="32"/>
          <w:szCs w:val="32"/>
          <w:lang w:eastAsia="zh-CN"/>
        </w:rPr>
        <w:t>方</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个，3个百亩以上“亩产7</w:t>
      </w:r>
      <w:r>
        <w:rPr>
          <w:rFonts w:hint="eastAsia" w:ascii="Times New Roman" w:hAnsi="Times New Roman" w:eastAsia="仿宋_GB2312"/>
          <w:sz w:val="32"/>
          <w:szCs w:val="32"/>
          <w:lang w:val="en-US" w:eastAsia="zh-CN"/>
        </w:rPr>
        <w:t>0</w:t>
      </w:r>
      <w:r>
        <w:rPr>
          <w:rFonts w:ascii="Times New Roman" w:hAnsi="Times New Roman" w:eastAsia="仿宋_GB2312"/>
          <w:sz w:val="32"/>
          <w:szCs w:val="32"/>
        </w:rPr>
        <w:t>0公斤”高产竞赛田，示范推广绿色高</w:t>
      </w:r>
      <w:r>
        <w:rPr>
          <w:rFonts w:hint="eastAsia" w:ascii="Times New Roman" w:hAnsi="Times New Roman" w:eastAsia="仿宋_GB2312"/>
          <w:sz w:val="32"/>
          <w:szCs w:val="32"/>
          <w:lang w:eastAsia="zh-CN"/>
        </w:rPr>
        <w:t>产</w:t>
      </w:r>
      <w:r>
        <w:rPr>
          <w:rFonts w:ascii="Times New Roman" w:hAnsi="Times New Roman" w:eastAsia="仿宋_GB2312"/>
          <w:sz w:val="32"/>
          <w:szCs w:val="32"/>
        </w:rPr>
        <w:t>高效技术和模式，辐射带动全市10万亩小麦绿色高</w:t>
      </w:r>
      <w:r>
        <w:rPr>
          <w:rFonts w:hint="eastAsia" w:ascii="Times New Roman" w:hAnsi="Times New Roman" w:eastAsia="仿宋_GB2312"/>
          <w:sz w:val="32"/>
          <w:szCs w:val="32"/>
          <w:lang w:eastAsia="zh-CN"/>
        </w:rPr>
        <w:t>产</w:t>
      </w:r>
      <w:r>
        <w:rPr>
          <w:rFonts w:ascii="Times New Roman" w:hAnsi="Times New Roman" w:eastAsia="仿宋_GB2312"/>
          <w:sz w:val="32"/>
          <w:szCs w:val="32"/>
        </w:rPr>
        <w:t>高效发展。</w:t>
      </w:r>
    </w:p>
    <w:p w14:paraId="687B1B7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shd w:val="clear" w:color="auto" w:fill="auto"/>
          <w:lang w:eastAsia="zh-CN"/>
          <w14:textFill>
            <w14:solidFill>
              <w14:schemeClr w14:val="tx1"/>
            </w14:solidFill>
          </w14:textFill>
        </w:rPr>
      </w:pPr>
      <w:r>
        <w:rPr>
          <w:rFonts w:hint="eastAsia" w:ascii="楷体" w:hAnsi="楷体" w:eastAsia="楷体" w:cs="楷体"/>
          <w:b w:val="0"/>
          <w:bCs w:val="0"/>
          <w:kern w:val="2"/>
          <w:sz w:val="32"/>
          <w:szCs w:val="32"/>
          <w:lang w:val="en-US" w:eastAsia="zh-CN" w:bidi="ar-SA"/>
        </w:rPr>
        <w:t>（4）建立专家服务机制，抓好行动重点任务落实。</w:t>
      </w:r>
      <w:r>
        <w:rPr>
          <w:rFonts w:ascii="Times New Roman" w:hAnsi="Times New Roman" w:eastAsia="仿宋_GB2312"/>
          <w:sz w:val="32"/>
          <w:szCs w:val="32"/>
        </w:rPr>
        <w:t>建立首席专家负责制，组建技术服务专家团队，全程参与绿色高</w:t>
      </w:r>
      <w:r>
        <w:rPr>
          <w:rFonts w:hint="eastAsia" w:ascii="Times New Roman" w:hAnsi="Times New Roman" w:eastAsia="仿宋_GB2312"/>
          <w:sz w:val="32"/>
          <w:szCs w:val="32"/>
          <w:lang w:eastAsia="zh-CN"/>
        </w:rPr>
        <w:t>产</w:t>
      </w:r>
      <w:r>
        <w:rPr>
          <w:rFonts w:ascii="Times New Roman" w:hAnsi="Times New Roman" w:eastAsia="仿宋_GB2312"/>
          <w:sz w:val="32"/>
          <w:szCs w:val="32"/>
        </w:rPr>
        <w:t>高效行动创建，开展大面积增产与小面积增收攻关相结合，督促抓好项目监督和技术落实。针对“优</w:t>
      </w:r>
      <w:r>
        <w:rPr>
          <w:rFonts w:hint="eastAsia" w:ascii="Times New Roman" w:hAnsi="Times New Roman" w:eastAsia="仿宋_GB2312"/>
          <w:sz w:val="32"/>
          <w:szCs w:val="32"/>
          <w:lang w:eastAsia="zh-CN"/>
        </w:rPr>
        <w:t>势</w:t>
      </w:r>
      <w:r>
        <w:rPr>
          <w:rFonts w:ascii="Times New Roman" w:hAnsi="Times New Roman" w:eastAsia="仿宋_GB2312"/>
          <w:sz w:val="32"/>
          <w:szCs w:val="32"/>
        </w:rPr>
        <w:t>区”</w:t>
      </w:r>
      <w:r>
        <w:rPr>
          <w:rFonts w:hint="eastAsia" w:ascii="Times New Roman" w:hAnsi="Times New Roman" w:eastAsia="仿宋_GB2312"/>
          <w:sz w:val="32"/>
          <w:szCs w:val="32"/>
          <w:lang w:eastAsia="zh-CN"/>
        </w:rPr>
        <w:t>“吨半粮”建设，</w:t>
      </w:r>
      <w:r>
        <w:rPr>
          <w:rFonts w:ascii="Times New Roman" w:hAnsi="Times New Roman" w:eastAsia="仿宋_GB2312"/>
          <w:sz w:val="32"/>
          <w:szCs w:val="32"/>
        </w:rPr>
        <w:t>强化技术瓶颈攻关，破解小麦生产技术瓶颈，为绿色高</w:t>
      </w:r>
      <w:r>
        <w:rPr>
          <w:rFonts w:hint="eastAsia" w:ascii="Times New Roman" w:hAnsi="Times New Roman" w:eastAsia="仿宋_GB2312"/>
          <w:sz w:val="32"/>
          <w:szCs w:val="32"/>
          <w:lang w:eastAsia="zh-CN"/>
        </w:rPr>
        <w:t>产</w:t>
      </w:r>
      <w:r>
        <w:rPr>
          <w:rFonts w:ascii="Times New Roman" w:hAnsi="Times New Roman" w:eastAsia="仿宋_GB2312"/>
          <w:sz w:val="32"/>
          <w:szCs w:val="32"/>
        </w:rPr>
        <w:t>高效行动有效实施提供坚实保障。开展新品种引进试验示范。开展优质小麦新品种展示、新型肥料</w:t>
      </w:r>
      <w:r>
        <w:rPr>
          <w:rFonts w:hint="eastAsia" w:ascii="Times New Roman" w:hAnsi="Times New Roman" w:eastAsia="仿宋_GB2312"/>
          <w:sz w:val="32"/>
          <w:szCs w:val="32"/>
          <w:lang w:eastAsia="zh-CN"/>
        </w:rPr>
        <w:t>施用</w:t>
      </w:r>
      <w:r>
        <w:rPr>
          <w:rFonts w:ascii="Times New Roman" w:hAnsi="Times New Roman" w:eastAsia="仿宋_GB2312"/>
          <w:sz w:val="32"/>
          <w:szCs w:val="32"/>
        </w:rPr>
        <w:t>、粮食绿色高</w:t>
      </w:r>
      <w:r>
        <w:rPr>
          <w:rFonts w:hint="eastAsia" w:ascii="Times New Roman" w:hAnsi="Times New Roman" w:eastAsia="仿宋_GB2312"/>
          <w:sz w:val="32"/>
          <w:szCs w:val="32"/>
          <w:lang w:eastAsia="zh-CN"/>
        </w:rPr>
        <w:t>产</w:t>
      </w:r>
      <w:r>
        <w:rPr>
          <w:rFonts w:ascii="Times New Roman" w:hAnsi="Times New Roman" w:eastAsia="仿宋_GB2312"/>
          <w:sz w:val="32"/>
          <w:szCs w:val="32"/>
        </w:rPr>
        <w:t>高效集成技术示范等。</w:t>
      </w:r>
      <w:bookmarkEnd w:id="22"/>
      <w:bookmarkEnd w:id="23"/>
    </w:p>
    <w:p w14:paraId="2786E694">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highlight w:val="none"/>
          <w:shd w:val="clear" w:color="auto" w:fill="auto"/>
          <w:lang w:val="en-US" w:eastAsia="zh-CN"/>
        </w:rPr>
      </w:pPr>
      <w:r>
        <w:rPr>
          <w:rFonts w:hint="eastAsia" w:ascii="仿宋_GB2312" w:hAnsi="仿宋_GB2312" w:eastAsia="仿宋_GB2312" w:cs="仿宋_GB2312"/>
          <w:b/>
          <w:bCs/>
          <w:color w:val="auto"/>
          <w:sz w:val="32"/>
          <w:szCs w:val="32"/>
          <w:highlight w:val="none"/>
          <w:shd w:val="clear" w:color="auto" w:fill="auto"/>
          <w:lang w:val="en-US" w:eastAsia="zh-CN"/>
        </w:rPr>
        <w:t>项目实施情况：</w:t>
      </w:r>
    </w:p>
    <w:p w14:paraId="7BA532C3">
      <w:pPr>
        <w:spacing w:line="58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lang w:val="en-US" w:eastAsia="zh-CN"/>
        </w:rPr>
        <w:t>阜康市农牧业技术推广中心</w:t>
      </w:r>
      <w:r>
        <w:rPr>
          <w:rFonts w:ascii="Times New Roman" w:hAnsi="Times New Roman" w:eastAsia="仿宋_GB2312"/>
          <w:sz w:val="32"/>
          <w:szCs w:val="32"/>
        </w:rPr>
        <w:t>成立领导小组</w:t>
      </w:r>
      <w:r>
        <w:rPr>
          <w:rFonts w:hint="eastAsia" w:ascii="Times New Roman" w:hAnsi="Times New Roman" w:eastAsia="仿宋_GB2312"/>
          <w:sz w:val="32"/>
          <w:szCs w:val="32"/>
          <w:lang w:eastAsia="zh-CN"/>
        </w:rPr>
        <w:t>，</w:t>
      </w:r>
      <w:r>
        <w:rPr>
          <w:rFonts w:ascii="Times New Roman" w:hAnsi="Times New Roman" w:eastAsia="仿宋_GB2312"/>
          <w:sz w:val="32"/>
          <w:szCs w:val="32"/>
        </w:rPr>
        <w:t>市委副书记、人大党组书记王廷</w:t>
      </w:r>
      <w:r>
        <w:rPr>
          <w:rFonts w:hint="eastAsia" w:ascii="Times New Roman" w:hAnsi="Times New Roman" w:eastAsia="仿宋_GB2312"/>
          <w:sz w:val="32"/>
          <w:szCs w:val="32"/>
          <w:lang w:val="en-US" w:eastAsia="zh-CN"/>
        </w:rPr>
        <w:t>任组长，</w:t>
      </w:r>
      <w:r>
        <w:rPr>
          <w:rFonts w:ascii="Times New Roman" w:hAnsi="Times New Roman" w:eastAsia="仿宋_GB2312"/>
          <w:sz w:val="32"/>
          <w:szCs w:val="32"/>
        </w:rPr>
        <w:t>市人民政府副市长努尔兰</w:t>
      </w:r>
      <w:r>
        <w:rPr>
          <w:rFonts w:hint="eastAsia" w:ascii="Times New Roman" w:hAnsi="Times New Roman" w:eastAsia="仿宋_GB2312"/>
          <w:sz w:val="32"/>
          <w:szCs w:val="32"/>
        </w:rPr>
        <w:t>·</w:t>
      </w:r>
      <w:r>
        <w:rPr>
          <w:rFonts w:ascii="Times New Roman" w:hAnsi="Times New Roman" w:eastAsia="仿宋_GB2312"/>
          <w:sz w:val="32"/>
          <w:szCs w:val="32"/>
        </w:rPr>
        <w:t>伊力亚斯</w:t>
      </w:r>
      <w:r>
        <w:rPr>
          <w:rFonts w:hint="eastAsia" w:ascii="Times New Roman" w:hAnsi="Times New Roman" w:eastAsia="仿宋_GB2312"/>
          <w:sz w:val="32"/>
          <w:szCs w:val="32"/>
          <w:lang w:val="en-US" w:eastAsia="zh-CN"/>
        </w:rPr>
        <w:t>任</w:t>
      </w:r>
      <w:r>
        <w:rPr>
          <w:rFonts w:ascii="Times New Roman" w:hAnsi="Times New Roman" w:eastAsia="仿宋_GB2312"/>
          <w:sz w:val="32"/>
          <w:szCs w:val="32"/>
        </w:rPr>
        <w:t>副组长</w:t>
      </w:r>
      <w:r>
        <w:rPr>
          <w:rFonts w:hint="eastAsia" w:ascii="Times New Roman" w:hAnsi="Times New Roman" w:eastAsia="仿宋_GB2312"/>
          <w:sz w:val="32"/>
          <w:szCs w:val="32"/>
          <w:lang w:eastAsia="zh-CN"/>
        </w:rPr>
        <w:t>，</w:t>
      </w:r>
      <w:r>
        <w:rPr>
          <w:rFonts w:ascii="Times New Roman" w:hAnsi="Times New Roman" w:eastAsia="仿宋_GB2312"/>
          <w:sz w:val="32"/>
          <w:szCs w:val="32"/>
        </w:rPr>
        <w:t>成员</w:t>
      </w:r>
      <w:r>
        <w:rPr>
          <w:rFonts w:hint="eastAsia" w:ascii="Times New Roman" w:hAnsi="Times New Roman" w:eastAsia="仿宋_GB2312"/>
          <w:sz w:val="32"/>
          <w:szCs w:val="32"/>
          <w:lang w:val="en-US" w:eastAsia="zh-CN"/>
        </w:rPr>
        <w:t>有</w:t>
      </w:r>
      <w:r>
        <w:rPr>
          <w:rFonts w:ascii="Times New Roman" w:hAnsi="Times New Roman" w:eastAsia="仿宋_GB2312"/>
          <w:sz w:val="32"/>
          <w:szCs w:val="32"/>
        </w:rPr>
        <w:t>市农业农村局党组书记殷振东</w:t>
      </w:r>
      <w:r>
        <w:rPr>
          <w:rFonts w:hint="eastAsia" w:ascii="Times New Roman" w:hAnsi="Times New Roman" w:eastAsia="仿宋_GB2312"/>
          <w:sz w:val="32"/>
          <w:szCs w:val="32"/>
          <w:lang w:eastAsia="zh-CN"/>
        </w:rPr>
        <w:t>、</w:t>
      </w:r>
      <w:r>
        <w:rPr>
          <w:rFonts w:ascii="Times New Roman" w:hAnsi="Times New Roman" w:eastAsia="仿宋_GB2312"/>
          <w:sz w:val="32"/>
          <w:szCs w:val="32"/>
        </w:rPr>
        <w:t>市农业农村局党组副书记、局长赵志文</w:t>
      </w:r>
      <w:r>
        <w:rPr>
          <w:rFonts w:hint="eastAsia" w:ascii="Times New Roman" w:hAnsi="Times New Roman" w:eastAsia="仿宋_GB2312"/>
          <w:sz w:val="32"/>
          <w:szCs w:val="32"/>
          <w:lang w:eastAsia="zh-CN"/>
        </w:rPr>
        <w:t>、</w:t>
      </w:r>
      <w:r>
        <w:rPr>
          <w:rFonts w:ascii="Times New Roman" w:hAnsi="Times New Roman" w:eastAsia="仿宋_GB2312"/>
          <w:sz w:val="32"/>
          <w:szCs w:val="32"/>
        </w:rPr>
        <w:t>市财政局局长眭颖</w:t>
      </w:r>
      <w:r>
        <w:rPr>
          <w:rFonts w:hint="eastAsia" w:ascii="Times New Roman" w:hAnsi="Times New Roman" w:eastAsia="仿宋_GB2312"/>
          <w:sz w:val="32"/>
          <w:szCs w:val="32"/>
          <w:lang w:eastAsia="zh-CN"/>
        </w:rPr>
        <w:t>、</w:t>
      </w:r>
      <w:r>
        <w:rPr>
          <w:rFonts w:ascii="Times New Roman" w:hAnsi="Times New Roman" w:eastAsia="仿宋_GB2312"/>
          <w:sz w:val="32"/>
          <w:szCs w:val="32"/>
        </w:rPr>
        <w:t>市生态环保局</w:t>
      </w:r>
      <w:r>
        <w:rPr>
          <w:rFonts w:hint="eastAsia" w:ascii="Times New Roman" w:hAnsi="Times New Roman" w:eastAsia="仿宋_GB2312"/>
          <w:sz w:val="32"/>
          <w:szCs w:val="32"/>
        </w:rPr>
        <w:t>局长郭江</w:t>
      </w:r>
      <w:r>
        <w:rPr>
          <w:rFonts w:hint="eastAsia" w:ascii="Times New Roman" w:hAnsi="Times New Roman" w:eastAsia="仿宋_GB2312"/>
          <w:sz w:val="32"/>
          <w:szCs w:val="32"/>
          <w:lang w:eastAsia="zh-CN"/>
        </w:rPr>
        <w:t>、</w:t>
      </w:r>
      <w:r>
        <w:rPr>
          <w:rFonts w:ascii="Times New Roman" w:hAnsi="Times New Roman" w:eastAsia="仿宋_GB2312"/>
          <w:sz w:val="32"/>
          <w:szCs w:val="32"/>
        </w:rPr>
        <w:t>市供销社书记</w:t>
      </w:r>
      <w:r>
        <w:rPr>
          <w:rFonts w:hint="eastAsia" w:ascii="Times New Roman" w:hAnsi="Times New Roman" w:eastAsia="仿宋_GB2312"/>
          <w:sz w:val="32"/>
          <w:szCs w:val="32"/>
          <w:lang w:val="en-US" w:eastAsia="zh-CN"/>
        </w:rPr>
        <w:t>张国亮、</w:t>
      </w:r>
      <w:r>
        <w:rPr>
          <w:rFonts w:ascii="Times New Roman" w:hAnsi="Times New Roman" w:eastAsia="仿宋_GB2312"/>
          <w:sz w:val="32"/>
          <w:szCs w:val="32"/>
        </w:rPr>
        <w:t>市场监督管理局局长李锐</w:t>
      </w:r>
      <w:r>
        <w:rPr>
          <w:rFonts w:hint="eastAsia" w:ascii="Times New Roman" w:hAnsi="Times New Roman" w:eastAsia="仿宋_GB2312"/>
          <w:sz w:val="32"/>
          <w:szCs w:val="32"/>
          <w:lang w:eastAsia="zh-CN"/>
        </w:rPr>
        <w:t>、</w:t>
      </w:r>
      <w:r>
        <w:rPr>
          <w:rFonts w:ascii="Times New Roman" w:hAnsi="Times New Roman" w:eastAsia="仿宋_GB2312"/>
          <w:sz w:val="32"/>
          <w:szCs w:val="32"/>
        </w:rPr>
        <w:t>市科技局局长杨翠琴</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 xml:space="preserve"> </w:t>
      </w:r>
      <w:r>
        <w:rPr>
          <w:rFonts w:hint="eastAsia" w:ascii="Times New Roman" w:hAnsi="Times New Roman" w:eastAsia="仿宋_GB2312"/>
          <w:sz w:val="32"/>
          <w:szCs w:val="32"/>
          <w:lang w:val="en-US" w:eastAsia="zh-CN"/>
        </w:rPr>
        <w:t>市</w:t>
      </w:r>
      <w:r>
        <w:rPr>
          <w:rFonts w:ascii="Times New Roman" w:hAnsi="Times New Roman" w:eastAsia="仿宋_GB2312"/>
          <w:sz w:val="32"/>
          <w:szCs w:val="32"/>
        </w:rPr>
        <w:t>水利局局长</w:t>
      </w:r>
      <w:r>
        <w:rPr>
          <w:rFonts w:hint="eastAsia" w:ascii="Times New Roman" w:hAnsi="Times New Roman" w:eastAsia="仿宋_GB2312"/>
          <w:sz w:val="32"/>
          <w:szCs w:val="32"/>
          <w:lang w:val="en-US" w:eastAsia="zh-CN"/>
        </w:rPr>
        <w:t>苏生忠</w:t>
      </w:r>
      <w:r>
        <w:rPr>
          <w:rFonts w:hint="eastAsia" w:ascii="Times New Roman" w:hAnsi="Times New Roman" w:eastAsia="仿宋_GB2312"/>
          <w:sz w:val="32"/>
          <w:szCs w:val="32"/>
        </w:rPr>
        <w:t xml:space="preserve"> </w:t>
      </w:r>
      <w:r>
        <w:rPr>
          <w:rFonts w:hint="eastAsia" w:ascii="Times New Roman" w:hAnsi="Times New Roman" w:eastAsia="仿宋_GB2312"/>
          <w:sz w:val="32"/>
          <w:szCs w:val="32"/>
          <w:lang w:eastAsia="zh-CN"/>
        </w:rPr>
        <w:t>、</w:t>
      </w:r>
      <w:r>
        <w:rPr>
          <w:rFonts w:ascii="Times New Roman" w:hAnsi="Times New Roman" w:eastAsia="仿宋_GB2312"/>
          <w:sz w:val="32"/>
          <w:szCs w:val="32"/>
        </w:rPr>
        <w:t>市农业技术推广中心党支部书记谭新华</w:t>
      </w:r>
      <w:r>
        <w:rPr>
          <w:rFonts w:hint="eastAsia" w:ascii="Times New Roman" w:hAnsi="Times New Roman" w:eastAsia="仿宋_GB2312"/>
          <w:sz w:val="32"/>
          <w:szCs w:val="32"/>
          <w:lang w:eastAsia="zh-CN"/>
        </w:rPr>
        <w:t>、</w:t>
      </w:r>
      <w:r>
        <w:rPr>
          <w:rFonts w:ascii="Times New Roman" w:hAnsi="Times New Roman" w:eastAsia="仿宋_GB2312"/>
          <w:sz w:val="32"/>
          <w:szCs w:val="32"/>
        </w:rPr>
        <w:t>市农业技术推广中心主任方勇</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各乡镇主要领导。</w:t>
      </w:r>
      <w:r>
        <w:rPr>
          <w:rFonts w:ascii="Times New Roman" w:hAnsi="Times New Roman" w:eastAsia="仿宋_GB2312"/>
          <w:sz w:val="32"/>
          <w:szCs w:val="32"/>
        </w:rPr>
        <w:t>领导小组下设办公室，办公室设在市农业农村局，办公室主任由殷振东同志兼任，副主任由赵志文同志兼任，成员谭新华、方勇、李鸿亮、徐永琪、樊涛、杲立国，组织协调相关行业和部门全力配合支持项目创建并监督、指导项目实施，加强项目资金管理。制定项目建设方案，做好项目进展和完成情况报告，及时上报各类数据整理档案资料，为项目建设创造良好的实施环境。</w:t>
      </w:r>
    </w:p>
    <w:p w14:paraId="41F89BAC">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ascii="Times New Roman" w:hAnsi="Times New Roman" w:eastAsia="仿宋_GB2312"/>
          <w:sz w:val="32"/>
          <w:szCs w:val="32"/>
        </w:rPr>
      </w:pPr>
      <w:r>
        <w:rPr>
          <w:rFonts w:hint="eastAsia" w:ascii="仿宋_GB2312" w:hAnsi="Times New Roman" w:eastAsia="仿宋_GB2312"/>
          <w:sz w:val="32"/>
          <w:szCs w:val="32"/>
        </w:rPr>
        <w:t>阜康市202</w:t>
      </w:r>
      <w:r>
        <w:rPr>
          <w:rFonts w:hint="eastAsia" w:ascii="仿宋_GB2312" w:hAnsi="Times New Roman" w:eastAsia="仿宋_GB2312"/>
          <w:sz w:val="32"/>
          <w:szCs w:val="32"/>
          <w:lang w:val="en-US" w:eastAsia="zh-CN"/>
        </w:rPr>
        <w:t>3</w:t>
      </w:r>
      <w:r>
        <w:rPr>
          <w:rFonts w:hint="eastAsia" w:ascii="仿宋_GB2312" w:hAnsi="Times New Roman" w:eastAsia="仿宋_GB2312"/>
          <w:sz w:val="32"/>
          <w:szCs w:val="32"/>
        </w:rPr>
        <w:t>年播种面积 54万亩，小麦生产面积1</w:t>
      </w:r>
      <w:r>
        <w:rPr>
          <w:rFonts w:hint="eastAsia" w:ascii="仿宋_GB2312" w:hAnsi="Times New Roman" w:eastAsia="仿宋_GB2312"/>
          <w:sz w:val="32"/>
          <w:szCs w:val="32"/>
          <w:lang w:val="en-US" w:eastAsia="zh-CN"/>
        </w:rPr>
        <w:t>5.68</w:t>
      </w:r>
      <w:r>
        <w:rPr>
          <w:rFonts w:hint="eastAsia" w:ascii="仿宋_GB2312" w:hAnsi="Times New Roman" w:eastAsia="仿宋_GB2312"/>
          <w:sz w:val="32"/>
          <w:szCs w:val="32"/>
        </w:rPr>
        <w:t>万亩</w:t>
      </w:r>
      <w:r>
        <w:rPr>
          <w:rFonts w:hint="eastAsia" w:ascii="仿宋_GB2312" w:hAnsi="Times New Roman" w:eastAsia="仿宋_GB2312"/>
          <w:sz w:val="32"/>
          <w:szCs w:val="32"/>
          <w:lang w:eastAsia="zh-CN"/>
        </w:rPr>
        <w:t>。</w:t>
      </w:r>
      <w:r>
        <w:rPr>
          <w:rFonts w:hint="eastAsia" w:ascii="仿宋_GB2312" w:hAnsi="Times New Roman" w:eastAsia="仿宋_GB2312"/>
          <w:sz w:val="32"/>
          <w:szCs w:val="32"/>
          <w:lang w:val="en-US" w:eastAsia="zh-CN"/>
        </w:rPr>
        <w:t>2023年全市小麦平均单产465.3公斤，较上年平均单产增产8.5公斤。</w:t>
      </w:r>
      <w:r>
        <w:rPr>
          <w:rFonts w:ascii="Times New Roman" w:hAnsi="Times New Roman" w:eastAsia="仿宋_GB2312"/>
          <w:sz w:val="32"/>
          <w:szCs w:val="32"/>
        </w:rPr>
        <w:t>以单产提升和生产生态相协调为目标，集成推广小麦高产高效、资源节约、生态环保技术模式，示范区单位面积化肥农药用量低于当地平均水平，良种覆盖率100%，病虫害绿色防控全覆盖、危害损失率控制在5%以内，耕种收综合机械化水平100%，小麦秸秆综合利用率达100%，带动全市小麦示范区节本增效5%以上。</w:t>
      </w:r>
    </w:p>
    <w:p w14:paraId="1B9A41D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Times New Roman" w:eastAsia="仿宋_GB2312"/>
          <w:sz w:val="32"/>
          <w:szCs w:val="32"/>
        </w:rPr>
      </w:pPr>
      <w:r>
        <w:rPr>
          <w:rFonts w:hint="eastAsia" w:ascii="仿宋_GB2312" w:hAnsi="Times New Roman" w:eastAsia="仿宋_GB2312"/>
          <w:sz w:val="32"/>
          <w:szCs w:val="32"/>
        </w:rPr>
        <w:t>项目通过小麦绿色高</w:t>
      </w:r>
      <w:r>
        <w:rPr>
          <w:rFonts w:hint="eastAsia" w:ascii="仿宋_GB2312" w:hAnsi="Times New Roman" w:eastAsia="仿宋_GB2312"/>
          <w:sz w:val="32"/>
          <w:szCs w:val="32"/>
          <w:lang w:eastAsia="zh-CN"/>
        </w:rPr>
        <w:t>产</w:t>
      </w:r>
      <w:r>
        <w:rPr>
          <w:rFonts w:hint="eastAsia" w:ascii="仿宋_GB2312" w:hAnsi="Times New Roman" w:eastAsia="仿宋_GB2312"/>
          <w:sz w:val="32"/>
          <w:szCs w:val="32"/>
        </w:rPr>
        <w:t>高效生产技术集成示范，提高全市小麦生产科技水平和防灾减灾能力</w:t>
      </w:r>
      <w:r>
        <w:rPr>
          <w:rFonts w:hint="eastAsia" w:ascii="仿宋_GB2312" w:hAnsi="Times New Roman" w:eastAsia="仿宋_GB2312"/>
          <w:sz w:val="32"/>
          <w:szCs w:val="32"/>
          <w:lang w:eastAsia="zh-CN"/>
        </w:rPr>
        <w:t>。</w:t>
      </w:r>
      <w:r>
        <w:rPr>
          <w:rFonts w:hint="eastAsia" w:ascii="仿宋_GB2312" w:hAnsi="Times New Roman" w:eastAsia="仿宋_GB2312"/>
          <w:sz w:val="32"/>
          <w:szCs w:val="32"/>
          <w:lang w:val="en-US" w:eastAsia="zh-CN"/>
        </w:rPr>
        <w:t>阜康市</w:t>
      </w:r>
      <w:r>
        <w:rPr>
          <w:rFonts w:hint="default" w:ascii="仿宋_GB2312" w:hAnsi="Times New Roman" w:eastAsia="仿宋_GB2312"/>
          <w:sz w:val="32"/>
          <w:szCs w:val="32"/>
        </w:rPr>
        <w:t>紧紧围绕绿色兴农、</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量兴农、品牌兴农，聚焦提高</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量和效益，增加绿色优</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农产品供给，引领农业转型升级和高</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量发展。通过开展小麦绿色高</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高效行动，集成绿色高</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高效技术栽培模式，构建“全过程”社会化服务体系，打造“全链条”产业融合模式，围绕“控肥增效、控药减害、控水降耗”，带动全市小麦绿色发展，打造小麦绿色高</w:t>
      </w:r>
      <w:r>
        <w:rPr>
          <w:rFonts w:hint="eastAsia" w:ascii="仿宋_GB2312" w:hAnsi="Times New Roman" w:eastAsia="仿宋_GB2312"/>
          <w:sz w:val="32"/>
          <w:szCs w:val="32"/>
          <w:lang w:eastAsia="zh-CN"/>
        </w:rPr>
        <w:t>产</w:t>
      </w:r>
      <w:r>
        <w:rPr>
          <w:rFonts w:hint="default" w:ascii="仿宋_GB2312" w:hAnsi="Times New Roman" w:eastAsia="仿宋_GB2312"/>
          <w:sz w:val="32"/>
          <w:szCs w:val="32"/>
        </w:rPr>
        <w:t>高效行动示范市。</w:t>
      </w:r>
      <w:bookmarkStart w:id="24" w:name="_Toc10240"/>
      <w:bookmarkStart w:id="25" w:name="_Toc12348"/>
      <w:bookmarkStart w:id="26" w:name="_Toc569"/>
      <w:bookmarkStart w:id="27" w:name="_Toc1858"/>
    </w:p>
    <w:p w14:paraId="4266704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shd w:val="clear" w:color="auto" w:fill="auto"/>
          <w:lang w:val="en-US" w:eastAsia="zh-CN"/>
          <w14:textFill>
            <w14:solidFill>
              <w14:schemeClr w14:val="tx1"/>
            </w14:solidFill>
          </w14:textFill>
        </w:rPr>
        <w:t>3.资金投入和使用情况</w:t>
      </w:r>
      <w:bookmarkEnd w:id="24"/>
      <w:bookmarkEnd w:id="25"/>
      <w:bookmarkEnd w:id="26"/>
      <w:bookmarkEnd w:id="27"/>
    </w:p>
    <w:p w14:paraId="23A3B19D">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sz w:val="32"/>
          <w:szCs w:val="32"/>
          <w:highlight w:val="none"/>
          <w:lang w:val="en-US" w:eastAsia="zh-CN"/>
        </w:rPr>
      </w:pPr>
      <w:bookmarkStart w:id="28" w:name="_Toc23509"/>
      <w:bookmarkStart w:id="29" w:name="_Toc26369"/>
      <w:bookmarkStart w:id="30" w:name="_Toc694"/>
      <w:r>
        <w:rPr>
          <w:rFonts w:hint="eastAsia" w:ascii="Calibri" w:hAnsi="Calibri" w:eastAsia="仿宋_GB2312" w:cs="Calibri"/>
          <w:sz w:val="32"/>
          <w:szCs w:val="32"/>
          <w:highlight w:val="none"/>
          <w:lang w:val="en-US" w:eastAsia="zh-CN"/>
        </w:rPr>
        <w:t>（1）</w:t>
      </w:r>
      <w:r>
        <w:rPr>
          <w:rFonts w:hint="eastAsia" w:ascii="仿宋_GB2312" w:hAnsi="仿宋_GB2312" w:eastAsia="仿宋_GB2312" w:cs="仿宋_GB2312"/>
          <w:sz w:val="32"/>
          <w:szCs w:val="32"/>
          <w:highlight w:val="none"/>
          <w:lang w:val="en-US" w:eastAsia="zh-CN"/>
        </w:rPr>
        <w:t>资金投入情况</w:t>
      </w:r>
      <w:bookmarkEnd w:id="28"/>
      <w:bookmarkEnd w:id="29"/>
      <w:bookmarkEnd w:id="30"/>
    </w:p>
    <w:p w14:paraId="541AA1A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highlight w:val="none"/>
          <w:lang w:val="en-US" w:eastAsia="zh-CN"/>
        </w:rPr>
      </w:pPr>
      <w:bookmarkStart w:id="31" w:name="_Toc5573"/>
      <w:bookmarkStart w:id="32" w:name="_Toc9464"/>
      <w:bookmarkStart w:id="33" w:name="_Toc29190"/>
      <w:r>
        <w:rPr>
          <w:rFonts w:hint="default" w:ascii="仿宋_GB2312" w:hAnsi="Times New Roman" w:eastAsia="仿宋_GB2312" w:cs="宋体"/>
          <w:sz w:val="32"/>
          <w:szCs w:val="32"/>
        </w:rPr>
        <w:t>202</w:t>
      </w:r>
      <w:r>
        <w:rPr>
          <w:rFonts w:hint="eastAsia" w:ascii="仿宋_GB2312" w:hAnsi="Times New Roman" w:eastAsia="仿宋_GB2312" w:cs="宋体"/>
          <w:sz w:val="32"/>
          <w:szCs w:val="32"/>
        </w:rPr>
        <w:t>3</w:t>
      </w:r>
      <w:r>
        <w:rPr>
          <w:rFonts w:hint="default" w:ascii="仿宋_GB2312" w:hAnsi="Times New Roman" w:eastAsia="仿宋_GB2312" w:cs="宋体"/>
          <w:sz w:val="32"/>
          <w:szCs w:val="32"/>
        </w:rPr>
        <w:t>年度下达</w:t>
      </w:r>
      <w:r>
        <w:rPr>
          <w:rFonts w:hint="eastAsia" w:ascii="仿宋_GB2312" w:hAnsi="Times New Roman" w:eastAsia="仿宋_GB2312" w:cs="宋体"/>
          <w:sz w:val="32"/>
          <w:szCs w:val="32"/>
        </w:rPr>
        <w:t>重点作物绿色高产高效行动</w:t>
      </w:r>
      <w:r>
        <w:rPr>
          <w:rFonts w:hint="default" w:ascii="仿宋_GB2312" w:hAnsi="Times New Roman" w:eastAsia="仿宋_GB2312" w:cs="宋体"/>
          <w:sz w:val="32"/>
          <w:szCs w:val="32"/>
        </w:rPr>
        <w:t>项目总预算资金为</w:t>
      </w:r>
      <w:r>
        <w:rPr>
          <w:rFonts w:hint="eastAsia" w:ascii="仿宋_GB2312" w:hAnsi="Times New Roman" w:eastAsia="仿宋_GB2312" w:cs="宋体"/>
          <w:sz w:val="32"/>
          <w:szCs w:val="32"/>
          <w:lang w:val="en-US" w:eastAsia="zh-CN"/>
        </w:rPr>
        <w:t>339.54</w:t>
      </w:r>
      <w:r>
        <w:rPr>
          <w:rFonts w:hint="default" w:ascii="仿宋_GB2312" w:hAnsi="Times New Roman" w:eastAsia="仿宋_GB2312" w:cs="宋体"/>
          <w:sz w:val="32"/>
          <w:szCs w:val="32"/>
        </w:rPr>
        <w:t>万元，资金到位</w:t>
      </w:r>
      <w:r>
        <w:rPr>
          <w:rFonts w:hint="eastAsia" w:ascii="仿宋_GB2312" w:hAnsi="Times New Roman" w:eastAsia="仿宋_GB2312" w:cs="宋体"/>
          <w:sz w:val="32"/>
          <w:szCs w:val="32"/>
          <w:lang w:val="en-US" w:eastAsia="zh-CN"/>
        </w:rPr>
        <w:t>339.54</w:t>
      </w:r>
      <w:r>
        <w:rPr>
          <w:rFonts w:hint="eastAsia" w:ascii="仿宋_GB2312" w:hAnsi="Times New Roman" w:eastAsia="仿宋_GB2312" w:cs="宋体"/>
          <w:sz w:val="32"/>
          <w:szCs w:val="32"/>
        </w:rPr>
        <w:t>万元</w:t>
      </w:r>
      <w:r>
        <w:rPr>
          <w:rFonts w:hint="default" w:ascii="仿宋_GB2312" w:hAnsi="Times New Roman" w:eastAsia="仿宋_GB2312" w:cs="宋体"/>
          <w:sz w:val="32"/>
          <w:szCs w:val="32"/>
        </w:rPr>
        <w:t>,到位</w:t>
      </w:r>
      <w:r>
        <w:rPr>
          <w:rFonts w:hint="eastAsia" w:ascii="仿宋_GB2312" w:hAnsi="Times New Roman" w:eastAsia="仿宋_GB2312" w:cs="宋体"/>
          <w:sz w:val="32"/>
          <w:szCs w:val="32"/>
        </w:rPr>
        <w:t>率100%。</w:t>
      </w:r>
      <w:r>
        <w:rPr>
          <w:rFonts w:hint="eastAsia" w:ascii="仿宋_GB2312" w:hAnsi="仿宋_GB2312" w:eastAsia="仿宋_GB2312" w:cs="仿宋_GB2312"/>
          <w:sz w:val="32"/>
          <w:szCs w:val="32"/>
          <w:highlight w:val="none"/>
          <w:lang w:val="en-US" w:eastAsia="zh-CN"/>
        </w:rPr>
        <w:t>资金来源为财政拨款。</w:t>
      </w:r>
    </w:p>
    <w:bookmarkEnd w:id="31"/>
    <w:bookmarkEnd w:id="32"/>
    <w:bookmarkEnd w:id="33"/>
    <w:p w14:paraId="161439C0">
      <w:pPr>
        <w:pageBreakBefore w:val="0"/>
        <w:numPr>
          <w:ilvl w:val="0"/>
          <w:numId w:val="0"/>
        </w:numPr>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sz w:val="32"/>
          <w:szCs w:val="32"/>
          <w:highlight w:val="none"/>
          <w:lang w:val="en-US" w:eastAsia="zh-CN"/>
        </w:rPr>
      </w:pPr>
      <w:bookmarkStart w:id="34" w:name="_Toc28187"/>
      <w:bookmarkStart w:id="35" w:name="_Toc1166"/>
      <w:bookmarkStart w:id="36" w:name="_Toc3409"/>
      <w:r>
        <w:rPr>
          <w:rFonts w:hint="eastAsia" w:ascii="Calibri" w:hAnsi="Calibri" w:eastAsia="仿宋_GB2312" w:cs="Calibri"/>
          <w:sz w:val="32"/>
          <w:szCs w:val="32"/>
          <w:highlight w:val="none"/>
          <w:lang w:val="en-US" w:eastAsia="zh-CN"/>
        </w:rPr>
        <w:t>（2）</w:t>
      </w:r>
      <w:r>
        <w:rPr>
          <w:rFonts w:hint="eastAsia" w:ascii="仿宋_GB2312" w:hAnsi="仿宋_GB2312" w:eastAsia="仿宋_GB2312" w:cs="仿宋_GB2312"/>
          <w:sz w:val="32"/>
          <w:szCs w:val="32"/>
          <w:highlight w:val="none"/>
          <w:lang w:val="en-US" w:eastAsia="zh-CN"/>
        </w:rPr>
        <w:t>资金使用情况</w:t>
      </w:r>
      <w:bookmarkEnd w:id="34"/>
      <w:bookmarkEnd w:id="35"/>
      <w:bookmarkEnd w:id="36"/>
      <w:bookmarkStart w:id="37" w:name="_Toc1430"/>
      <w:bookmarkStart w:id="38" w:name="_Toc11647"/>
      <w:bookmarkStart w:id="39" w:name="_Toc29121"/>
    </w:p>
    <w:p w14:paraId="014FCDDF">
      <w:pPr>
        <w:pageBreakBefore w:val="0"/>
        <w:numPr>
          <w:ilvl w:val="0"/>
          <w:numId w:val="0"/>
        </w:numPr>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Times New Roman" w:eastAsia="仿宋_GB2312" w:cs="宋体"/>
          <w:b w:val="0"/>
          <w:kern w:val="2"/>
          <w:sz w:val="32"/>
          <w:szCs w:val="32"/>
          <w:lang w:val="en-US" w:eastAsia="zh-CN" w:bidi="ar-SA"/>
        </w:rPr>
      </w:pPr>
      <w:r>
        <w:rPr>
          <w:rFonts w:hint="eastAsia" w:ascii="仿宋_GB2312" w:hAnsi="Times New Roman" w:eastAsia="仿宋_GB2312" w:cs="宋体"/>
          <w:b w:val="0"/>
          <w:kern w:val="2"/>
          <w:sz w:val="32"/>
          <w:szCs w:val="32"/>
          <w:lang w:val="en-US" w:eastAsia="zh-CN" w:bidi="ar-SA"/>
        </w:rPr>
        <w:t>截止到2023年11月26日，2023</w:t>
      </w:r>
      <w:r>
        <w:rPr>
          <w:rFonts w:hint="default" w:ascii="仿宋_GB2312" w:hAnsi="Times New Roman" w:eastAsia="仿宋_GB2312" w:cs="宋体"/>
          <w:b w:val="0"/>
          <w:kern w:val="2"/>
          <w:sz w:val="32"/>
          <w:szCs w:val="32"/>
          <w:lang w:val="en-US" w:eastAsia="zh-CN" w:bidi="ar-SA"/>
        </w:rPr>
        <w:t>年度用于</w:t>
      </w:r>
      <w:r>
        <w:rPr>
          <w:rFonts w:hint="eastAsia" w:ascii="仿宋_GB2312" w:hAnsi="Times New Roman" w:eastAsia="仿宋_GB2312" w:cs="宋体"/>
          <w:b w:val="0"/>
          <w:kern w:val="2"/>
          <w:sz w:val="32"/>
          <w:szCs w:val="32"/>
          <w:lang w:val="en-US" w:eastAsia="zh-CN" w:bidi="ar-SA"/>
        </w:rPr>
        <w:t>中央农业生产发展资金（第二批）专项转移支付</w:t>
      </w:r>
      <w:r>
        <w:rPr>
          <w:rFonts w:hint="default" w:ascii="仿宋_GB2312" w:hAnsi="Times New Roman" w:eastAsia="仿宋_GB2312" w:cs="宋体"/>
          <w:b w:val="0"/>
          <w:kern w:val="2"/>
          <w:sz w:val="32"/>
          <w:szCs w:val="32"/>
          <w:lang w:val="en-US" w:eastAsia="zh-CN" w:bidi="ar-SA"/>
        </w:rPr>
        <w:t>的资金总计</w:t>
      </w:r>
      <w:r>
        <w:rPr>
          <w:rFonts w:hint="eastAsia" w:ascii="仿宋_GB2312" w:hAnsi="Times New Roman" w:eastAsia="仿宋_GB2312" w:cs="宋体"/>
          <w:b w:val="0"/>
          <w:kern w:val="2"/>
          <w:sz w:val="32"/>
          <w:szCs w:val="32"/>
          <w:lang w:val="en-US" w:eastAsia="zh-CN" w:bidi="ar-SA"/>
        </w:rPr>
        <w:t>339.54万元、共计执行339.54万元，执行率100%。</w:t>
      </w:r>
    </w:p>
    <w:p w14:paraId="504E31D2">
      <w:pPr>
        <w:pageBreakBefore w:val="0"/>
        <w:numPr>
          <w:ilvl w:val="0"/>
          <w:numId w:val="0"/>
        </w:numPr>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Times New Roman" w:eastAsia="仿宋_GB2312" w:cs="宋体"/>
          <w:b w:val="0"/>
          <w:kern w:val="2"/>
          <w:sz w:val="32"/>
          <w:szCs w:val="32"/>
          <w:lang w:val="en-US" w:eastAsia="zh-CN" w:bidi="ar-SA"/>
        </w:rPr>
      </w:pPr>
      <w:r>
        <w:rPr>
          <w:rFonts w:hint="eastAsia" w:ascii="仿宋_GB2312" w:hAnsi="Times New Roman" w:eastAsia="仿宋_GB2312" w:cs="宋体"/>
          <w:b w:val="0"/>
          <w:kern w:val="2"/>
          <w:sz w:val="32"/>
          <w:szCs w:val="32"/>
          <w:lang w:val="en-US" w:eastAsia="zh-CN" w:bidi="ar-SA"/>
        </w:rPr>
        <w:t>具体如下：采购飞防作业费:72.04万元，25%丙环唑3132升31万元，25%高效氯氟菊酯.噻虫胺微囊悬浮剂1560升48.78万元，0.01%芸苔素内酯1566升11.98万元，有机硅磷酸二氢钾40.55万元，化控剂调环酸钙7.7万元，黄腐酸钾57.6万元，磷酸二氢钾和菌剂69.99万元，计支付339.54万元。</w:t>
      </w:r>
    </w:p>
    <w:bookmarkEnd w:id="37"/>
    <w:bookmarkEnd w:id="38"/>
    <w:bookmarkEnd w:id="39"/>
    <w:p w14:paraId="2082C62E">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40" w:name="_Toc9109"/>
      <w:r>
        <w:rPr>
          <w:rFonts w:hint="eastAsia" w:ascii="Times New Roman" w:hAnsi="Times New Roman" w:eastAsia="楷体_GB2312" w:cs="Times New Roman"/>
          <w:kern w:val="28"/>
          <w:sz w:val="32"/>
          <w:lang w:val="en-US" w:eastAsia="zh-CN"/>
        </w:rPr>
        <w:t>（二）项目绩效目标</w:t>
      </w:r>
      <w:bookmarkEnd w:id="40"/>
    </w:p>
    <w:p w14:paraId="1DEFD817">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41" w:name="_Toc10047"/>
      <w:bookmarkStart w:id="42" w:name="_Toc14758"/>
      <w:bookmarkStart w:id="43" w:name="_Toc2547"/>
      <w:bookmarkStart w:id="44" w:name="_Toc8528"/>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1.总体目标</w:t>
      </w:r>
      <w:bookmarkEnd w:id="41"/>
      <w:bookmarkEnd w:id="42"/>
      <w:bookmarkEnd w:id="43"/>
      <w:bookmarkEnd w:id="44"/>
    </w:p>
    <w:p w14:paraId="5BF31EE2">
      <w:pPr>
        <w:pStyle w:val="4"/>
        <w:pageBreakBefore w:val="0"/>
        <w:widowControl w:val="0"/>
        <w:kinsoku/>
        <w:wordWrap/>
        <w:overflowPunct/>
        <w:topLinePunct w:val="0"/>
        <w:autoSpaceDE/>
        <w:autoSpaceDN/>
        <w:bidi w:val="0"/>
        <w:adjustRightInd/>
        <w:snapToGrid/>
        <w:spacing w:line="560" w:lineRule="exact"/>
        <w:textAlignment w:val="auto"/>
        <w:rPr>
          <w:rFonts w:hint="eastAsia" w:ascii="Calibri" w:hAnsi="Calibri" w:eastAsia="仿宋_GB2312" w:cs="Calibri"/>
          <w:b w:val="0"/>
          <w:kern w:val="2"/>
          <w:sz w:val="32"/>
          <w:szCs w:val="32"/>
          <w:highlight w:val="none"/>
          <w:lang w:val="en-US" w:eastAsia="zh-CN" w:bidi="ar-SA"/>
        </w:rPr>
      </w:pPr>
      <w:bookmarkStart w:id="45" w:name="_Toc4487"/>
      <w:bookmarkStart w:id="46" w:name="_Toc3255"/>
      <w:bookmarkStart w:id="47" w:name="_Toc4007"/>
      <w:bookmarkStart w:id="48" w:name="_Toc8990"/>
      <w:r>
        <w:rPr>
          <w:rFonts w:hint="eastAsia" w:ascii="Calibri" w:hAnsi="Calibri" w:eastAsia="仿宋_GB2312" w:cs="Calibri"/>
          <w:b w:val="0"/>
          <w:kern w:val="2"/>
          <w:sz w:val="32"/>
          <w:szCs w:val="32"/>
          <w:highlight w:val="none"/>
          <w:lang w:val="en-US" w:eastAsia="zh-CN" w:bidi="ar-SA"/>
        </w:rPr>
        <w:t>全市打造10个小麦千亩方和2个万亩片，202</w:t>
      </w:r>
      <w:r>
        <w:rPr>
          <w:rFonts w:hint="eastAsia" w:ascii="Calibri" w:hAnsi="Calibri" w:cs="Calibri"/>
          <w:b w:val="0"/>
          <w:kern w:val="2"/>
          <w:sz w:val="32"/>
          <w:szCs w:val="32"/>
          <w:highlight w:val="none"/>
          <w:lang w:val="en-US" w:eastAsia="zh-CN" w:bidi="ar-SA"/>
        </w:rPr>
        <w:t>3</w:t>
      </w:r>
      <w:r>
        <w:rPr>
          <w:rFonts w:hint="eastAsia" w:ascii="Calibri" w:hAnsi="Calibri" w:eastAsia="仿宋_GB2312" w:cs="Calibri"/>
          <w:b w:val="0"/>
          <w:kern w:val="2"/>
          <w:sz w:val="32"/>
          <w:szCs w:val="32"/>
          <w:highlight w:val="none"/>
          <w:lang w:val="en-US" w:eastAsia="zh-CN" w:bidi="ar-SA"/>
        </w:rPr>
        <w:t>年计划完成</w:t>
      </w:r>
      <w:r>
        <w:rPr>
          <w:rFonts w:hint="eastAsia" w:ascii="Calibri" w:hAnsi="Calibri" w:cs="Calibri"/>
          <w:b w:val="0"/>
          <w:kern w:val="2"/>
          <w:sz w:val="32"/>
          <w:szCs w:val="32"/>
          <w:highlight w:val="none"/>
          <w:lang w:val="en-US" w:eastAsia="zh-CN" w:bidi="ar-SA"/>
        </w:rPr>
        <w:t>重点</w:t>
      </w:r>
      <w:r>
        <w:rPr>
          <w:rFonts w:hint="eastAsia" w:ascii="Calibri" w:hAnsi="Calibri" w:eastAsia="仿宋_GB2312" w:cs="Calibri"/>
          <w:b w:val="0"/>
          <w:kern w:val="2"/>
          <w:sz w:val="32"/>
          <w:szCs w:val="32"/>
          <w:highlight w:val="none"/>
          <w:lang w:val="en-US" w:eastAsia="zh-CN" w:bidi="ar-SA"/>
        </w:rPr>
        <w:t>作物绿色高产高效创建县，项目区良种覆盖率100%，小麦一喷三防效果显著，集成推广绿色高质高效模式1套，重点作物节本增效增加，重点农作物绿色高产高效项目区病虫害损失率5%，带动全市小麦示范区节本增效5%以上，指导广大农牧民满意度达到85%</w:t>
      </w:r>
    </w:p>
    <w:p w14:paraId="510C9B6B">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2.阶段性目标</w:t>
      </w:r>
      <w:bookmarkEnd w:id="45"/>
      <w:bookmarkEnd w:id="46"/>
      <w:bookmarkEnd w:id="47"/>
      <w:bookmarkEnd w:id="48"/>
    </w:p>
    <w:p w14:paraId="0A418BDA">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color w:val="000000" w:themeColor="text1"/>
          <w:sz w:val="32"/>
          <w:szCs w:val="32"/>
          <w:highlight w:val="none"/>
          <w:shd w:val="clear" w:color="auto" w:fill="auto"/>
          <w:lang w:eastAsia="zh-CN"/>
          <w14:textFill>
            <w14:solidFill>
              <w14:schemeClr w14:val="tx1"/>
            </w14:solidFill>
          </w14:textFill>
        </w:rPr>
      </w:pPr>
      <w:r>
        <w:rPr>
          <w:rFonts w:hint="eastAsia" w:ascii="仿宋_GB2312" w:hAnsi="仿宋_GB2312" w:eastAsia="仿宋_GB2312" w:cs="仿宋_GB2312"/>
          <w:bCs/>
          <w:color w:val="000000" w:themeColor="text1"/>
          <w:sz w:val="32"/>
          <w:szCs w:val="32"/>
          <w:highlight w:val="none"/>
          <w:shd w:val="clear" w:color="auto" w:fill="auto"/>
          <w:lang w:eastAsia="zh-CN"/>
          <w14:textFill>
            <w14:solidFill>
              <w14:schemeClr w14:val="tx1"/>
            </w14:solidFill>
          </w14:textFill>
        </w:rPr>
        <w:t>根据《预算法》《财政支出绩效评价管理暂行办法》（财预〔20</w:t>
      </w:r>
      <w:r>
        <w:rPr>
          <w:rFonts w:hint="eastAsia" w:ascii="仿宋_GB2312" w:hAnsi="仿宋_GB2312" w:eastAsia="仿宋_GB2312" w:cs="仿宋_GB2312"/>
          <w:bCs/>
          <w:color w:val="000000" w:themeColor="text1"/>
          <w:sz w:val="32"/>
          <w:szCs w:val="32"/>
          <w:highlight w:val="none"/>
          <w:shd w:val="clear" w:color="auto" w:fill="auto"/>
          <w:lang w:val="en-US" w:eastAsia="zh-CN"/>
          <w14:textFill>
            <w14:solidFill>
              <w14:schemeClr w14:val="tx1"/>
            </w14:solidFill>
          </w14:textFill>
        </w:rPr>
        <w:t>20</w:t>
      </w:r>
      <w:r>
        <w:rPr>
          <w:rFonts w:hint="eastAsia" w:ascii="仿宋_GB2312" w:hAnsi="仿宋_GB2312" w:eastAsia="仿宋_GB2312" w:cs="仿宋_GB2312"/>
          <w:bCs/>
          <w:color w:val="000000" w:themeColor="text1"/>
          <w:sz w:val="32"/>
          <w:szCs w:val="32"/>
          <w:highlight w:val="none"/>
          <w:shd w:val="clear" w:color="auto" w:fill="auto"/>
          <w:lang w:eastAsia="zh-CN"/>
          <w14:textFill>
            <w14:solidFill>
              <w14:schemeClr w14:val="tx1"/>
            </w14:solidFill>
          </w14:textFill>
        </w:rPr>
        <w:t>〕</w:t>
      </w:r>
      <w:r>
        <w:rPr>
          <w:rFonts w:hint="eastAsia" w:ascii="仿宋_GB2312" w:hAnsi="仿宋_GB2312" w:eastAsia="仿宋_GB2312" w:cs="仿宋_GB2312"/>
          <w:bCs/>
          <w:color w:val="000000" w:themeColor="text1"/>
          <w:sz w:val="32"/>
          <w:szCs w:val="32"/>
          <w:highlight w:val="none"/>
          <w:shd w:val="clear" w:color="auto" w:fill="auto"/>
          <w:lang w:val="en-US" w:eastAsia="zh-CN"/>
          <w14:textFill>
            <w14:solidFill>
              <w14:schemeClr w14:val="tx1"/>
            </w14:solidFill>
          </w14:textFill>
        </w:rPr>
        <w:t>10</w:t>
      </w:r>
      <w:r>
        <w:rPr>
          <w:rFonts w:hint="eastAsia" w:ascii="仿宋_GB2312" w:hAnsi="仿宋_GB2312" w:eastAsia="仿宋_GB2312" w:cs="仿宋_GB2312"/>
          <w:bCs/>
          <w:color w:val="000000" w:themeColor="text1"/>
          <w:sz w:val="32"/>
          <w:szCs w:val="32"/>
          <w:highlight w:val="none"/>
          <w:shd w:val="clear" w:color="auto" w:fill="auto"/>
          <w:lang w:eastAsia="zh-CN"/>
          <w14:textFill>
            <w14:solidFill>
              <w14:schemeClr w14:val="tx1"/>
            </w14:solidFill>
          </w14:textFill>
        </w:rPr>
        <w:t>号）</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等文件</w:t>
      </w:r>
      <w:r>
        <w:rPr>
          <w:rFonts w:hint="eastAsia" w:ascii="仿宋_GB2312" w:hAnsi="仿宋_GB2312" w:eastAsia="仿宋_GB2312" w:cs="仿宋_GB2312"/>
          <w:bCs/>
          <w:color w:val="000000" w:themeColor="text1"/>
          <w:sz w:val="32"/>
          <w:szCs w:val="32"/>
          <w:highlight w:val="none"/>
          <w:shd w:val="clear" w:color="auto" w:fill="auto"/>
          <w:lang w:eastAsia="zh-CN"/>
          <w14:textFill>
            <w14:solidFill>
              <w14:schemeClr w14:val="tx1"/>
            </w14:solidFill>
          </w14:textFill>
        </w:rPr>
        <w:t>的规定，结合项目实施单位的规章制度以及财务相关资料，评价小组对项目绩效目标进行了进一步的完善，完善</w:t>
      </w:r>
      <w:r>
        <w:rPr>
          <w:rFonts w:hint="eastAsia" w:ascii="仿宋_GB2312" w:hAnsi="仿宋_GB2312" w:eastAsia="仿宋_GB2312" w:cs="仿宋_GB2312"/>
          <w:bCs/>
          <w:color w:val="000000" w:themeColor="text1"/>
          <w:sz w:val="32"/>
          <w:szCs w:val="32"/>
          <w:highlight w:val="none"/>
          <w:shd w:val="clear" w:color="auto" w:fill="auto"/>
          <w:lang w:val="en-US" w:eastAsia="zh-CN"/>
          <w14:textFill>
            <w14:solidFill>
              <w14:schemeClr w14:val="tx1"/>
            </w14:solidFill>
          </w14:textFill>
        </w:rPr>
        <w:t>后</w:t>
      </w:r>
      <w:r>
        <w:rPr>
          <w:rFonts w:hint="eastAsia" w:ascii="仿宋_GB2312" w:hAnsi="仿宋_GB2312" w:eastAsia="仿宋_GB2312" w:cs="仿宋_GB2312"/>
          <w:bCs/>
          <w:color w:val="000000" w:themeColor="text1"/>
          <w:sz w:val="32"/>
          <w:szCs w:val="32"/>
          <w:highlight w:val="none"/>
          <w:shd w:val="clear" w:color="auto" w:fill="auto"/>
          <w:lang w:eastAsia="zh-CN"/>
          <w14:textFill>
            <w14:solidFill>
              <w14:schemeClr w14:val="tx1"/>
            </w14:solidFill>
          </w14:textFill>
        </w:rPr>
        <w:t>绩效目标如下：</w:t>
      </w:r>
    </w:p>
    <w:p w14:paraId="52E5BBC1">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（1）项目产出目标</w:t>
      </w:r>
    </w:p>
    <w:p w14:paraId="3927BB1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①数量指标</w:t>
      </w:r>
    </w:p>
    <w:p w14:paraId="1A9116AF">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“打造小麦千亩方”指标，预期目标值为</w:t>
      </w:r>
      <w:r>
        <w:rPr>
          <w:rFonts w:hint="eastAsia" w:ascii="微软雅黑" w:hAnsi="微软雅黑" w:eastAsia="微软雅黑" w:cs="微软雅黑"/>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10个；</w:t>
      </w:r>
    </w:p>
    <w:p w14:paraId="3B8321B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“打造万亩片”指标，预期目标值为</w:t>
      </w:r>
      <w:r>
        <w:rPr>
          <w:rFonts w:hint="eastAsia" w:ascii="微软雅黑" w:hAnsi="微软雅黑" w:eastAsia="微软雅黑" w:cs="微软雅黑"/>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2个；</w:t>
      </w:r>
    </w:p>
    <w:p w14:paraId="4990E286">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“完成作物绿色高产高效创建县”指标，预期目标值为</w:t>
      </w:r>
      <w:r>
        <w:rPr>
          <w:rFonts w:hint="eastAsia" w:ascii="微软雅黑" w:hAnsi="微软雅黑" w:eastAsia="微软雅黑" w:cs="微软雅黑"/>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1个；</w:t>
      </w:r>
    </w:p>
    <w:p w14:paraId="0A4AA33C">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②质量指标</w:t>
      </w:r>
    </w:p>
    <w:p w14:paraId="626AFD1B">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“小麦一喷三防”指标，预期目标值为有效延长灌浆期，遏制病虫爆发流行、增加粒重；</w:t>
      </w:r>
    </w:p>
    <w:p w14:paraId="2DD26DAE">
      <w:pPr>
        <w:pageBreakBefore w:val="0"/>
        <w:widowControl w:val="0"/>
        <w:kinsoku/>
        <w:wordWrap/>
        <w:overflowPunct/>
        <w:topLinePunct w:val="0"/>
        <w:autoSpaceDE/>
        <w:autoSpaceDN/>
        <w:bidi w:val="0"/>
        <w:adjustRightInd/>
        <w:snapToGrid/>
        <w:spacing w:line="560" w:lineRule="exact"/>
        <w:textAlignment w:val="auto"/>
        <w:rPr>
          <w:rFonts w:hint="eastAsia" w:ascii="微软雅黑" w:hAnsi="微软雅黑" w:eastAsia="微软雅黑" w:cs="微软雅黑"/>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“良种覆盖率”指标，预期目标值为100%个；</w:t>
      </w:r>
    </w:p>
    <w:p w14:paraId="4F9A76A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③“当年完成项目支付时间”指标，预期目标值为2024年9月30日；</w:t>
      </w:r>
    </w:p>
    <w:p w14:paraId="7F98DB46">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（2）成本指标</w:t>
      </w:r>
    </w:p>
    <w:p w14:paraId="1BEBC636">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①经济成本指标</w:t>
      </w:r>
    </w:p>
    <w:p w14:paraId="47A8EA52">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“重点农作物节本增效水平”指标，预期目标值为增加；</w:t>
      </w:r>
    </w:p>
    <w:p w14:paraId="720EBC60">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“集成推广绿色高产高效模式（套）”指标，预期目标值为</w:t>
      </w:r>
      <w:r>
        <w:rPr>
          <w:rFonts w:hint="default" w:ascii="Arial" w:hAnsi="Arial" w:eastAsia="仿宋_GB2312" w:cs="Arial"/>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1套；</w:t>
      </w:r>
    </w:p>
    <w:p w14:paraId="3CCA762A">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（3）项目效益目标</w:t>
      </w:r>
    </w:p>
    <w:p w14:paraId="219C31E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①社会效益指标</w:t>
      </w:r>
    </w:p>
    <w:p w14:paraId="760D4E3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“集成推广绿色高质高效模式（套）”指标，预期目标值为1套；</w:t>
      </w:r>
    </w:p>
    <w:p w14:paraId="0769C8C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49" w:name="_Toc26567"/>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②</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生态效益指标</w:t>
      </w:r>
    </w:p>
    <w:p w14:paraId="5C6D77B7">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“病虫害发生减轻”指标，预期目标值</w:t>
      </w:r>
      <w:r>
        <w:rPr>
          <w:rFonts w:hint="default" w:ascii="Arial" w:hAnsi="Arial" w:eastAsia="仿宋_GB2312" w:cs="Arial"/>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5%；</w:t>
      </w:r>
    </w:p>
    <w:p w14:paraId="2EF1B7C1">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highlight w:val="none"/>
          <w:shd w:val="clear" w:color="auto" w:fill="auto"/>
          <w:lang w:val="en-US" w:eastAsia="zh-CN"/>
        </w:rPr>
      </w:pPr>
      <w:r>
        <w:rPr>
          <w:rFonts w:hint="eastAsia" w:ascii="Times New Roman" w:hAnsi="Times New Roman" w:eastAsia="仿宋_GB2312" w:cs="Times New Roman"/>
          <w:color w:val="auto"/>
          <w:sz w:val="32"/>
          <w:szCs w:val="32"/>
          <w:highlight w:val="none"/>
          <w:shd w:val="clear" w:color="auto" w:fill="auto"/>
          <w:lang w:val="en-US" w:eastAsia="zh-CN"/>
        </w:rPr>
        <w:t>（4）</w:t>
      </w:r>
      <w:r>
        <w:rPr>
          <w:rFonts w:hint="default" w:ascii="Times New Roman" w:hAnsi="Times New Roman" w:eastAsia="仿宋_GB2312" w:cs="Times New Roman"/>
          <w:color w:val="auto"/>
          <w:sz w:val="32"/>
          <w:szCs w:val="32"/>
          <w:highlight w:val="none"/>
          <w:shd w:val="clear" w:color="auto" w:fill="auto"/>
          <w:lang w:val="en-US" w:eastAsia="zh-CN"/>
        </w:rPr>
        <w:t>满意度指标</w:t>
      </w:r>
    </w:p>
    <w:p w14:paraId="1E38EF53">
      <w:pPr>
        <w:pageBreakBefore w:val="0"/>
        <w:widowControl w:val="0"/>
        <w:kinsoku/>
        <w:wordWrap/>
        <w:overflowPunct/>
        <w:topLinePunct w:val="0"/>
        <w:autoSpaceDE/>
        <w:autoSpaceDN/>
        <w:bidi w:val="0"/>
        <w:adjustRightInd/>
        <w:snapToGrid/>
        <w:spacing w:line="560" w:lineRule="exact"/>
        <w:textAlignment w:val="auto"/>
        <w:rPr>
          <w:rFonts w:hint="eastAsia"/>
          <w:highlight w:val="none"/>
          <w:lang w:val="en-US" w:eastAsia="zh-CN"/>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①</w:t>
      </w:r>
      <w:r>
        <w:rPr>
          <w:rFonts w:hint="default" w:ascii="Times New Roman" w:hAnsi="Times New Roman" w:eastAsia="仿宋_GB2312" w:cs="Times New Roman"/>
          <w:color w:val="auto"/>
          <w:sz w:val="32"/>
          <w:szCs w:val="32"/>
          <w:highlight w:val="none"/>
          <w:shd w:val="clear" w:color="auto" w:fill="auto"/>
          <w:lang w:eastAsia="zh-CN"/>
        </w:rPr>
        <w:t>“</w:t>
      </w:r>
      <w:r>
        <w:rPr>
          <w:rFonts w:hint="eastAsia" w:ascii="Times New Roman" w:hAnsi="Times New Roman" w:eastAsia="仿宋_GB2312" w:cs="Times New Roman"/>
          <w:color w:val="auto"/>
          <w:sz w:val="32"/>
          <w:szCs w:val="32"/>
          <w:highlight w:val="none"/>
          <w:shd w:val="clear" w:color="auto" w:fill="auto"/>
          <w:lang w:val="en-US" w:eastAsia="zh-CN"/>
        </w:rPr>
        <w:t>服务对象满意度</w:t>
      </w:r>
      <w:r>
        <w:rPr>
          <w:rFonts w:hint="default" w:ascii="Times New Roman" w:hAnsi="Times New Roman" w:eastAsia="仿宋_GB2312" w:cs="Times New Roman"/>
          <w:color w:val="auto"/>
          <w:sz w:val="32"/>
          <w:szCs w:val="32"/>
          <w:highlight w:val="none"/>
          <w:shd w:val="clear" w:color="auto" w:fill="auto"/>
          <w:lang w:eastAsia="zh-CN"/>
        </w:rPr>
        <w:t>”</w:t>
      </w:r>
      <w:r>
        <w:rPr>
          <w:rFonts w:hint="default" w:ascii="Times New Roman" w:hAnsi="Times New Roman" w:eastAsia="仿宋_GB2312" w:cs="Times New Roman"/>
          <w:color w:val="auto"/>
          <w:sz w:val="32"/>
          <w:szCs w:val="32"/>
          <w:highlight w:val="none"/>
          <w:shd w:val="clear" w:color="auto" w:fill="auto"/>
          <w:lang w:val="en-US" w:eastAsia="zh-CN"/>
        </w:rPr>
        <w:t>指标，预期目标值为≥</w:t>
      </w:r>
      <w:r>
        <w:rPr>
          <w:rFonts w:hint="eastAsia" w:ascii="Times New Roman" w:hAnsi="Times New Roman" w:eastAsia="仿宋_GB2312" w:cs="Times New Roman"/>
          <w:color w:val="auto"/>
          <w:sz w:val="32"/>
          <w:szCs w:val="32"/>
          <w:highlight w:val="none"/>
          <w:shd w:val="clear" w:color="auto" w:fill="auto"/>
          <w:lang w:val="en-US" w:eastAsia="zh-CN"/>
        </w:rPr>
        <w:t>85</w:t>
      </w:r>
      <w:r>
        <w:rPr>
          <w:rFonts w:hint="default" w:ascii="Times New Roman" w:hAnsi="Times New Roman" w:eastAsia="仿宋_GB2312" w:cs="Times New Roman"/>
          <w:color w:val="auto"/>
          <w:sz w:val="32"/>
          <w:szCs w:val="32"/>
          <w:highlight w:val="none"/>
          <w:shd w:val="clear" w:color="auto" w:fill="auto"/>
          <w:lang w:val="en-US" w:eastAsia="zh-CN"/>
        </w:rPr>
        <w:t>%。</w:t>
      </w:r>
    </w:p>
    <w:p w14:paraId="07C00D11">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eastAsia" w:ascii="黑体" w:hAnsi="黑体" w:eastAsia="黑体" w:cs="黑体"/>
          <w:b w:val="0"/>
          <w:bCs w:val="0"/>
          <w:color w:val="000000" w:themeColor="text1"/>
          <w:highlight w:val="none"/>
          <w:shd w:val="clear" w:color="auto" w:fill="auto"/>
          <w14:textFill>
            <w14:solidFill>
              <w14:schemeClr w14:val="tx1"/>
            </w14:solidFill>
          </w14:textFill>
        </w:rPr>
        <w:t>二、绩效评价工作开展情况</w:t>
      </w:r>
      <w:bookmarkEnd w:id="49"/>
    </w:p>
    <w:p w14:paraId="4522459A">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50" w:name="_Toc12868"/>
      <w:bookmarkStart w:id="51" w:name="_Toc480473081"/>
      <w:bookmarkStart w:id="52" w:name="_Toc21664"/>
      <w:bookmarkStart w:id="53" w:name="_Toc5462343"/>
      <w:bookmarkStart w:id="54" w:name="_Toc22169_WPSOffice_Level2"/>
      <w:bookmarkStart w:id="55" w:name="_Toc5258"/>
      <w:bookmarkStart w:id="56" w:name="_Toc22922"/>
      <w:bookmarkStart w:id="57" w:name="_Toc26632"/>
      <w:bookmarkStart w:id="58" w:name="_Toc22839"/>
      <w:r>
        <w:rPr>
          <w:rFonts w:hint="eastAsia" w:ascii="Times New Roman" w:hAnsi="Times New Roman" w:eastAsia="楷体_GB2312" w:cs="Times New Roman"/>
          <w:kern w:val="28"/>
          <w:sz w:val="32"/>
          <w:lang w:val="en-US" w:eastAsia="zh-CN"/>
        </w:rPr>
        <w:t>（一）绩效评价的目的</w:t>
      </w:r>
      <w:bookmarkEnd w:id="50"/>
      <w:bookmarkEnd w:id="51"/>
      <w:bookmarkEnd w:id="52"/>
      <w:bookmarkEnd w:id="53"/>
      <w:bookmarkEnd w:id="54"/>
      <w:bookmarkEnd w:id="55"/>
      <w:bookmarkEnd w:id="56"/>
      <w:bookmarkEnd w:id="57"/>
      <w:r>
        <w:rPr>
          <w:rFonts w:hint="eastAsia" w:ascii="Times New Roman" w:hAnsi="Times New Roman" w:eastAsia="楷体_GB2312" w:cs="Times New Roman"/>
          <w:kern w:val="28"/>
          <w:sz w:val="32"/>
          <w:lang w:val="en-US" w:eastAsia="zh-CN"/>
        </w:rPr>
        <w:t>、对象和范围</w:t>
      </w:r>
      <w:bookmarkEnd w:id="58"/>
    </w:p>
    <w:p w14:paraId="33753687">
      <w:pPr>
        <w:pStyle w:val="14"/>
        <w:pageBreakBefore w:val="0"/>
        <w:widowControl w:val="0"/>
        <w:kinsoku/>
        <w:wordWrap/>
        <w:overflowPunct/>
        <w:topLinePunct w:val="0"/>
        <w:autoSpaceDE/>
        <w:autoSpaceDN/>
        <w:bidi w:val="0"/>
        <w:adjustRightInd/>
        <w:snapToGrid/>
        <w:spacing w:before="0" w:after="0" w:line="560" w:lineRule="exact"/>
        <w:ind w:firstLine="643" w:firstLineChars="200"/>
        <w:jc w:val="both"/>
        <w:textAlignment w:val="auto"/>
        <w:outlineLvl w:val="9"/>
        <w:rPr>
          <w:rFonts w:hint="default" w:ascii="Times New Roman" w:hAnsi="Times New Roman" w:eastAsia="仿宋_GB2312" w:cs="Times New Roman"/>
          <w:b/>
          <w:bCs/>
          <w:kern w:val="2"/>
          <w:sz w:val="32"/>
          <w:szCs w:val="32"/>
          <w:highlight w:val="none"/>
          <w:lang w:val="en-US" w:eastAsia="zh-CN" w:bidi="ar-SA"/>
        </w:rPr>
      </w:pPr>
      <w:bookmarkStart w:id="59" w:name="_Toc15732"/>
      <w:r>
        <w:rPr>
          <w:rFonts w:hint="eastAsia" w:ascii="Calibri" w:hAnsi="Calibri" w:eastAsia="仿宋_GB2312" w:cs="Calibri"/>
          <w:b/>
          <w:bCs/>
          <w:kern w:val="2"/>
          <w:sz w:val="32"/>
          <w:szCs w:val="32"/>
          <w:highlight w:val="none"/>
          <w:lang w:val="en-US" w:eastAsia="zh-CN" w:bidi="ar-SA"/>
        </w:rPr>
        <w:t>1.</w:t>
      </w:r>
      <w:r>
        <w:rPr>
          <w:rFonts w:hint="default" w:ascii="Times New Roman" w:hAnsi="Times New Roman" w:eastAsia="仿宋_GB2312" w:cs="Times New Roman"/>
          <w:b/>
          <w:bCs/>
          <w:kern w:val="2"/>
          <w:sz w:val="32"/>
          <w:szCs w:val="32"/>
          <w:highlight w:val="none"/>
          <w:lang w:val="en-US" w:eastAsia="zh-CN" w:bidi="ar-SA"/>
        </w:rPr>
        <w:t>绩效评价完整性</w:t>
      </w:r>
    </w:p>
    <w:p w14:paraId="4E70918C">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bookmarkStart w:id="60" w:name="_Toc21770"/>
      <w:bookmarkStart w:id="61" w:name="_Toc417"/>
      <w:r>
        <w:rPr>
          <w:rFonts w:hint="default" w:ascii="Times New Roman" w:hAnsi="Times New Roman" w:eastAsia="仿宋_GB2312" w:cs="Times New Roman"/>
          <w:color w:val="auto"/>
          <w:sz w:val="32"/>
          <w:szCs w:val="32"/>
          <w:highlight w:val="none"/>
          <w:lang w:val="en-US" w:eastAsia="zh-CN"/>
        </w:rPr>
        <w:t>本项目预算绩效评价报告在编制过程中，严格遵循相关法规与标准，确保评价内容的全面性与准确性。报告涵盖了项目从预算编制、执行到完成的全过程，对项目的各项绩效指标进行了细致的梳理与评估。</w:t>
      </w:r>
    </w:p>
    <w:p w14:paraId="775C9E4E">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评价指标体系的构建上，充分考虑了项目的性质、目标以及预期成果，选取了具有代表性和可衡量性的关键指标，涵盖了社会效益等多个维度，力求全方位反映项目的绩效状况。同时，对于每个指标的评价标准和数据来源均进行了明确说明，确保评价结果的客观性和可追溯性。</w:t>
      </w:r>
    </w:p>
    <w:p w14:paraId="62E90EEC">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数据收集与分析环节，采用了多种科学合理的方法，如实地调研、问卷调查、数据分析等，广泛收集了与项目相关的各类数据，并运用专业的统计分析工具对数据进行深入挖掘，以确保评价结论的科学性和可靠性。此外，还对数据的质量和完整性进行了严格把控，对于缺失或异常的数据进行了合理的处理和说明，保证了评价数据的真实性和有效性。</w:t>
      </w:r>
    </w:p>
    <w:p w14:paraId="4164EF7F">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报告的撰写结构上，按照统一的格式和规范进行编排，内容层次分明、条理清晰。首先对项目的背景、目标和预算安排进行了简要介绍，为后续的绩效评价提供了必要的背景信息；接着详细阐述了绩效评价的指标体系、评价方法和数据来源，为评价过程的透明性和可复现性奠定了基础；然后对各项绩效指标的完成情况进行了逐一分析和评价，指出了项目在实施过程中存在的问题和不足，并提出了相应的改进建议；最后对整个项目的绩效状况进行了综合总结，给出了明确的评价结论和后续工作的建议，为项目的持续改进和决策提供了有力支持。</w:t>
      </w:r>
    </w:p>
    <w:p w14:paraId="2EC97304">
      <w:pPr>
        <w:spacing w:line="56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本项目预算绩效评价报告在内容、方法和数据等方面均具备较高的完整性，能够真实、客观地反映项目的绩效情况，为项目管理决策提供了有价值的参考依据。在未来的工作中，我们将继续完善绩效评价体系，不断提升评价工作的质量和水平，以更好地服务于项目的管理和优化。</w:t>
      </w:r>
    </w:p>
    <w:p w14:paraId="100518F4">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cs="仿宋_GB2312"/>
          <w:color w:val="000000" w:themeColor="text1"/>
          <w:sz w:val="32"/>
          <w:szCs w:val="32"/>
          <w:highlight w:val="none"/>
          <w:shd w:val="clear" w:color="auto" w:fill="auto"/>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eastAsia="zh-CN"/>
          <w14:textFill>
            <w14:solidFill>
              <w14:schemeClr w14:val="tx1"/>
            </w14:solidFill>
          </w14:textFill>
        </w:rPr>
        <w:t>绩效评价的目的</w:t>
      </w:r>
      <w:bookmarkEnd w:id="59"/>
      <w:bookmarkEnd w:id="60"/>
      <w:bookmarkEnd w:id="61"/>
    </w:p>
    <w:p w14:paraId="6BA4BEB8">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shd w:val="clear" w:color="auto" w:fill="auto"/>
          <w:lang w:eastAsia="zh-CN"/>
        </w:rPr>
      </w:pPr>
      <w:bookmarkStart w:id="62" w:name="_Toc30609"/>
      <w:bookmarkStart w:id="63" w:name="_Toc16346"/>
      <w:bookmarkStart w:id="64" w:name="_Toc31970"/>
      <w:r>
        <w:rPr>
          <w:rFonts w:hint="eastAsia" w:ascii="仿宋_GB2312" w:hAnsi="仿宋_GB2312" w:eastAsia="仿宋_GB2312" w:cs="仿宋_GB2312"/>
          <w:color w:val="auto"/>
          <w:sz w:val="32"/>
          <w:szCs w:val="32"/>
          <w:highlight w:val="none"/>
          <w:shd w:val="clear" w:color="auto" w:fill="auto"/>
          <w:lang w:eastAsia="zh-CN"/>
        </w:rPr>
        <w:t>为全面了解</w:t>
      </w:r>
      <w:r>
        <w:rPr>
          <w:rFonts w:hint="eastAsia" w:ascii="仿宋_GB2312" w:hAnsi="仿宋_GB2312" w:eastAsia="仿宋_GB2312" w:cs="仿宋_GB2312"/>
          <w:color w:val="auto"/>
          <w:sz w:val="32"/>
          <w:szCs w:val="32"/>
          <w:highlight w:val="none"/>
          <w:shd w:val="clear" w:color="auto" w:fill="auto"/>
          <w:lang w:val="en-US" w:eastAsia="zh-CN"/>
        </w:rPr>
        <w:t>该</w:t>
      </w:r>
      <w:r>
        <w:rPr>
          <w:rFonts w:hint="eastAsia" w:ascii="仿宋_GB2312" w:hAnsi="仿宋_GB2312" w:eastAsia="仿宋_GB2312" w:cs="仿宋_GB2312"/>
          <w:color w:val="auto"/>
          <w:sz w:val="32"/>
          <w:szCs w:val="32"/>
          <w:highlight w:val="none"/>
          <w:shd w:val="clear" w:color="auto" w:fill="auto"/>
          <w:lang w:eastAsia="zh-CN"/>
        </w:rPr>
        <w:t>项目预算编制合理性、资金使用合规性、项目管理的规范性、</w:t>
      </w:r>
      <w:r>
        <w:rPr>
          <w:rFonts w:hint="eastAsia" w:ascii="仿宋_GB2312" w:hAnsi="仿宋_GB2312" w:eastAsia="仿宋_GB2312" w:cs="仿宋_GB2312"/>
          <w:color w:val="auto"/>
          <w:sz w:val="32"/>
          <w:szCs w:val="32"/>
          <w:highlight w:val="none"/>
          <w:shd w:val="clear" w:color="auto" w:fill="auto"/>
          <w:lang w:val="en-US" w:eastAsia="zh-CN"/>
        </w:rPr>
        <w:t>绩效</w:t>
      </w:r>
      <w:r>
        <w:rPr>
          <w:rFonts w:hint="eastAsia" w:ascii="仿宋_GB2312" w:hAnsi="仿宋_GB2312" w:eastAsia="仿宋_GB2312" w:cs="仿宋_GB2312"/>
          <w:color w:val="auto"/>
          <w:sz w:val="32"/>
          <w:szCs w:val="32"/>
          <w:highlight w:val="none"/>
          <w:shd w:val="clear" w:color="auto" w:fill="auto"/>
          <w:lang w:eastAsia="zh-CN"/>
        </w:rPr>
        <w:t>目标的实现情况、服务对象的满意度等，通过本次</w:t>
      </w:r>
      <w:r>
        <w:rPr>
          <w:rFonts w:hint="eastAsia" w:ascii="仿宋_GB2312" w:hAnsi="仿宋_GB2312" w:eastAsia="仿宋_GB2312" w:cs="仿宋_GB2312"/>
          <w:color w:val="auto"/>
          <w:sz w:val="32"/>
          <w:szCs w:val="32"/>
          <w:highlight w:val="none"/>
          <w:shd w:val="clear" w:color="auto" w:fill="auto"/>
          <w:lang w:val="en-US" w:eastAsia="zh-CN"/>
        </w:rPr>
        <w:t>部门</w:t>
      </w:r>
      <w:r>
        <w:rPr>
          <w:rFonts w:hint="eastAsia" w:ascii="仿宋_GB2312" w:hAnsi="仿宋_GB2312" w:eastAsia="仿宋_GB2312" w:cs="仿宋_GB2312"/>
          <w:color w:val="auto"/>
          <w:sz w:val="32"/>
          <w:szCs w:val="32"/>
          <w:highlight w:val="none"/>
          <w:shd w:val="clear" w:color="auto" w:fill="auto"/>
          <w:lang w:eastAsia="zh-CN"/>
        </w:rPr>
        <w:t>绩效评价来总结经验和教训，促进项目成果转化和应用，为今后类似项目的长效管理，提供可行性参考建议。</w:t>
      </w:r>
    </w:p>
    <w:p w14:paraId="2BA9A6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b w:val="0"/>
          <w:bCs w:val="0"/>
          <w:kern w:val="2"/>
          <w:sz w:val="32"/>
          <w:szCs w:val="32"/>
          <w:highlight w:val="none"/>
          <w:lang w:val="en-US" w:eastAsia="zh-CN" w:bidi="ar-SA"/>
        </w:rPr>
        <w:t>（1）</w:t>
      </w:r>
      <w:r>
        <w:rPr>
          <w:rFonts w:hint="default" w:ascii="Times New Roman" w:hAnsi="Times New Roman" w:eastAsia="仿宋_GB2312" w:cs="Times New Roman"/>
          <w:color w:val="auto"/>
          <w:sz w:val="32"/>
          <w:szCs w:val="32"/>
          <w:highlight w:val="none"/>
        </w:rPr>
        <w:t>评估项目实施效果</w:t>
      </w:r>
    </w:p>
    <w:p w14:paraId="0CF9D3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通过对项目预算执行情况及各项绩效目标达成程度的系统性分析，全面、客观地评估项目在预定周期内的实施效果，包括社会效益等多维度指标，为项目后续的改进与优化提供科学依据。</w:t>
      </w:r>
    </w:p>
    <w:p w14:paraId="233501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b w:val="0"/>
          <w:bCs w:val="0"/>
          <w:kern w:val="2"/>
          <w:sz w:val="32"/>
          <w:szCs w:val="32"/>
          <w:highlight w:val="none"/>
          <w:lang w:val="en-US" w:eastAsia="zh-CN" w:bidi="ar-SA"/>
        </w:rPr>
        <w:t>（2）</w:t>
      </w:r>
      <w:r>
        <w:rPr>
          <w:rFonts w:hint="default" w:ascii="Times New Roman" w:hAnsi="Times New Roman" w:eastAsia="仿宋_GB2312" w:cs="Times New Roman"/>
          <w:color w:val="auto"/>
          <w:sz w:val="32"/>
          <w:szCs w:val="32"/>
          <w:highlight w:val="none"/>
        </w:rPr>
        <w:t>提升资源利用效率</w:t>
      </w:r>
    </w:p>
    <w:p w14:paraId="7C52F9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深入剖析项目预算资金的投入与产出关系，识别资金使用过程中的冗余环节与低效领域，挖掘潜在的资源优化配置空间，推动项目在有限的预算资源下实现更高的绩效产出，提升整体资源利用效率，确保财政资金的合理、高效运用。</w:t>
      </w:r>
    </w:p>
    <w:p w14:paraId="71C9F6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b w:val="0"/>
          <w:bCs w:val="0"/>
          <w:kern w:val="2"/>
          <w:sz w:val="32"/>
          <w:szCs w:val="32"/>
          <w:highlight w:val="none"/>
          <w:lang w:val="en-US" w:eastAsia="zh-CN" w:bidi="ar-SA"/>
        </w:rPr>
        <w:t>（3）</w:t>
      </w:r>
      <w:r>
        <w:rPr>
          <w:rFonts w:hint="default" w:ascii="Times New Roman" w:hAnsi="Times New Roman" w:eastAsia="仿宋_GB2312" w:cs="Times New Roman"/>
          <w:color w:val="auto"/>
          <w:sz w:val="32"/>
          <w:szCs w:val="32"/>
          <w:highlight w:val="none"/>
        </w:rPr>
        <w:t>强化项目管理责任</w:t>
      </w:r>
    </w:p>
    <w:p w14:paraId="58D860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明确项目各参与主体在预算绩效管理中的职责与任务，借助绩效评价结果对项目管理过程进行监督与问责，促使项目管理者增强责任意识，主动优化管理流程，完善内部控制机制，提高项目管理水平与执行力，保障项目按计划、高质量推进。</w:t>
      </w:r>
    </w:p>
    <w:p w14:paraId="6B347D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b w:val="0"/>
          <w:bCs w:val="0"/>
          <w:kern w:val="2"/>
          <w:sz w:val="32"/>
          <w:szCs w:val="32"/>
          <w:highlight w:val="none"/>
          <w:lang w:val="en-US" w:eastAsia="zh-CN" w:bidi="ar-SA"/>
        </w:rPr>
        <w:t>（4）</w:t>
      </w:r>
      <w:r>
        <w:rPr>
          <w:rFonts w:hint="default" w:ascii="Times New Roman" w:hAnsi="Times New Roman" w:eastAsia="仿宋_GB2312" w:cs="Times New Roman"/>
          <w:color w:val="auto"/>
          <w:sz w:val="32"/>
          <w:szCs w:val="32"/>
          <w:highlight w:val="none"/>
        </w:rPr>
        <w:t>为决策提供支持</w:t>
      </w:r>
    </w:p>
    <w:p w14:paraId="441016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为项目主管部门、财政部门及相关决策层提供详实、准确的绩效评价信息，辅助其在项目审批、预算安排、政策调整等关键决策环节做出更加科学、合理的判断，促进项目资源的合理分配与有效整合，推动项目管理体系的不断完善与升级，提升公共资源配置的精准度与有效性。</w:t>
      </w:r>
    </w:p>
    <w:p w14:paraId="55AE9D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b w:val="0"/>
          <w:bCs w:val="0"/>
          <w:kern w:val="2"/>
          <w:sz w:val="32"/>
          <w:szCs w:val="32"/>
          <w:highlight w:val="none"/>
          <w:lang w:val="en-US" w:eastAsia="zh-CN" w:bidi="ar-SA"/>
        </w:rPr>
        <w:t>（5）</w:t>
      </w:r>
      <w:r>
        <w:rPr>
          <w:rFonts w:hint="default" w:ascii="Times New Roman" w:hAnsi="Times New Roman" w:eastAsia="仿宋_GB2312" w:cs="Times New Roman"/>
          <w:color w:val="auto"/>
          <w:sz w:val="32"/>
          <w:szCs w:val="32"/>
          <w:highlight w:val="none"/>
        </w:rPr>
        <w:t>促进项目持续改进</w:t>
      </w:r>
    </w:p>
    <w:p w14:paraId="2E1CAE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基于绩效评价发现的问题与不足，提出针对性的改进建议与措施，引导项目团队聚焦关键环节，持续优化项目实施方案，加强过程监控与质量把控，形成项目绩效持续改进的良性循环，不断提升项目整体绩效水平，实现项目长期稳定发展的目标。</w:t>
      </w:r>
    </w:p>
    <w:p w14:paraId="28CB29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仿宋_GB2312" w:cs="Times New Roman"/>
          <w:color w:val="auto"/>
          <w:sz w:val="32"/>
          <w:szCs w:val="32"/>
          <w:highlight w:val="none"/>
        </w:rPr>
        <w:t>本项目预算绩效评价报告的编制以提升项目绩效为核心，旨在通过科学、严谨的评价工作，为项目管理与决策提供全方位、深层次的支持，推动项目在预算约束下实现高质量、可持续发展，充分发挥财政资金的经济效益与社会效益。</w:t>
      </w:r>
    </w:p>
    <w:p w14:paraId="2283B061">
      <w:pPr>
        <w:pStyle w:val="4"/>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cs="仿宋_GB2312"/>
          <w:color w:val="000000" w:themeColor="text1"/>
          <w:sz w:val="32"/>
          <w:szCs w:val="32"/>
          <w:highlight w:val="none"/>
          <w:shd w:val="clear" w:color="auto" w:fill="auto"/>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.绩效评价的对象</w:t>
      </w:r>
      <w:bookmarkEnd w:id="62"/>
      <w:bookmarkEnd w:id="63"/>
      <w:bookmarkEnd w:id="64"/>
    </w:p>
    <w:p w14:paraId="0541733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65" w:name="_Toc11666"/>
      <w:bookmarkStart w:id="66" w:name="_Toc21311"/>
      <w:r>
        <w:rPr>
          <w:rFonts w:hint="eastAsia" w:ascii="仿宋_GB2312" w:hAnsi="仿宋_GB2312" w:eastAsia="仿宋_GB2312" w:cs="仿宋_GB2312"/>
          <w:color w:val="auto"/>
          <w:sz w:val="32"/>
          <w:szCs w:val="32"/>
          <w:highlight w:val="none"/>
          <w:shd w:val="clear" w:color="auto" w:fill="auto"/>
          <w:lang w:val="en-US" w:eastAsia="zh-CN"/>
        </w:rPr>
        <w:t>此次我单位根据</w:t>
      </w:r>
      <w:r>
        <w:rPr>
          <w:rFonts w:hint="eastAsia" w:ascii="仿宋_GB2312" w:hAnsi="仿宋_GB2312" w:eastAsia="仿宋_GB2312" w:cs="仿宋_GB2312"/>
          <w:color w:val="auto"/>
          <w:sz w:val="32"/>
          <w:szCs w:val="32"/>
          <w:highlight w:val="none"/>
          <w:shd w:val="clear" w:color="auto" w:fill="auto"/>
        </w:rPr>
        <w:t>《财政支出绩效评价管理暂行办法》（</w:t>
      </w:r>
      <w:r>
        <w:rPr>
          <w:rFonts w:hint="eastAsia" w:ascii="仿宋_GB2312" w:hAnsi="仿宋_GB2312" w:eastAsia="仿宋_GB2312" w:cs="仿宋_GB2312"/>
          <w:color w:val="auto"/>
          <w:sz w:val="32"/>
          <w:szCs w:val="32"/>
          <w:highlight w:val="none"/>
          <w:shd w:val="clear" w:color="auto" w:fill="auto"/>
          <w:lang w:eastAsia="zh-CN"/>
        </w:rPr>
        <w:t>财预〔2020〕10号</w:t>
      </w:r>
      <w:r>
        <w:rPr>
          <w:rFonts w:hint="eastAsia" w:ascii="仿宋_GB2312" w:hAnsi="仿宋_GB2312" w:eastAsia="仿宋_GB2312" w:cs="仿宋_GB2312"/>
          <w:color w:val="auto"/>
          <w:sz w:val="32"/>
          <w:szCs w:val="32"/>
          <w:highlight w:val="none"/>
          <w:shd w:val="clear" w:color="auto" w:fill="auto"/>
        </w:rPr>
        <w:t>）</w:t>
      </w:r>
      <w:r>
        <w:rPr>
          <w:rFonts w:hint="eastAsia" w:ascii="仿宋_GB2312" w:hAnsi="仿宋_GB2312" w:eastAsia="仿宋_GB2312" w:cs="仿宋_GB2312"/>
          <w:color w:val="auto"/>
          <w:sz w:val="32"/>
          <w:szCs w:val="32"/>
          <w:highlight w:val="none"/>
          <w:shd w:val="clear" w:color="auto" w:fill="auto"/>
          <w:lang w:val="en-US" w:eastAsia="zh-CN"/>
        </w:rPr>
        <w:t>文件要求对2023年度我单位实施的2023年中央农业生产发展资金（第二批）重点作物绿色高产高效行动</w:t>
      </w:r>
      <w:r>
        <w:rPr>
          <w:rFonts w:hint="default" w:ascii="仿宋_GB2312" w:hAnsi="仿宋_GB2312" w:eastAsia="仿宋_GB2312" w:cs="仿宋_GB2312"/>
          <w:color w:val="auto"/>
          <w:sz w:val="32"/>
          <w:szCs w:val="32"/>
          <w:highlight w:val="none"/>
          <w:shd w:val="clear" w:color="auto" w:fill="auto"/>
        </w:rPr>
        <w:t>及其预算执行情况</w:t>
      </w:r>
      <w:r>
        <w:rPr>
          <w:rFonts w:hint="eastAsia" w:ascii="仿宋_GB2312" w:hAnsi="仿宋_GB2312" w:eastAsia="仿宋_GB2312" w:cs="仿宋_GB2312"/>
          <w:color w:val="auto"/>
          <w:sz w:val="32"/>
          <w:szCs w:val="32"/>
          <w:highlight w:val="none"/>
          <w:shd w:val="clear" w:color="auto" w:fill="auto"/>
          <w:lang w:val="en-US" w:eastAsia="zh-CN"/>
        </w:rPr>
        <w:t>开展部门绩效评价。</w:t>
      </w:r>
    </w:p>
    <w:p w14:paraId="4AE0B26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pP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该项目由</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阜康市农牧业技术推广中心</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负责实施，旨在</w:t>
      </w:r>
      <w:r>
        <w:rPr>
          <w:rFonts w:hint="eastAsia" w:ascii="仿宋_GB2312" w:hAnsi="仿宋_GB2312" w:eastAsia="仿宋_GB2312" w:cs="仿宋_GB2312"/>
          <w:sz w:val="32"/>
          <w:szCs w:val="32"/>
          <w:highlight w:val="none"/>
          <w:lang w:val="en-US" w:eastAsia="zh-CN"/>
        </w:rPr>
        <w:t>通过项目实施预计能够加快科技成果转化，优化品种结构调整，提高小麦绿色高产高效发展</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。项目预算涵盖从</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2023年5月16日</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至</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2024年9月30日</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的全部资金投入与支出，涉及资金总额为</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339.54</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万元。</w:t>
      </w:r>
    </w:p>
    <w:p w14:paraId="64BC62F0">
      <w:pPr>
        <w:pStyle w:val="4"/>
        <w:pageBreakBefore w:val="0"/>
        <w:kinsoku/>
        <w:wordWrap/>
        <w:overflowPunct/>
        <w:topLinePunct w:val="0"/>
        <w:autoSpaceDE/>
        <w:autoSpaceDN/>
        <w:bidi w:val="0"/>
        <w:adjustRightInd/>
        <w:spacing w:line="560" w:lineRule="exact"/>
        <w:textAlignment w:val="auto"/>
        <w:rPr>
          <w:rFonts w:hint="default" w:cs="仿宋_GB2312"/>
          <w:color w:val="000000" w:themeColor="text1"/>
          <w:sz w:val="32"/>
          <w:szCs w:val="32"/>
          <w:highlight w:val="none"/>
          <w:shd w:val="clear" w:color="auto" w:fill="auto"/>
          <w:lang w:val="en-US" w:eastAsia="zh-CN"/>
          <w14:textFill>
            <w14:solidFill>
              <w14:schemeClr w14:val="tx1"/>
            </w14:solidFill>
          </w14:textFill>
        </w:rPr>
      </w:pPr>
      <w:r>
        <w:rPr>
          <w:rFonts w:hint="default" w:cs="仿宋_GB2312"/>
          <w:color w:val="000000" w:themeColor="text1"/>
          <w:sz w:val="32"/>
          <w:szCs w:val="32"/>
          <w:highlight w:val="none"/>
          <w:shd w:val="clear" w:color="auto" w:fill="auto"/>
          <w:lang w:val="en-US" w:eastAsia="zh-CN"/>
          <w14:textFill>
            <w14:solidFill>
              <w14:schemeClr w14:val="tx1"/>
            </w14:solidFill>
          </w14:textFill>
        </w:rPr>
        <w:t>4.绩效评价的范围</w:t>
      </w:r>
      <w:bookmarkEnd w:id="65"/>
      <w:bookmarkEnd w:id="66"/>
    </w:p>
    <w:p w14:paraId="6FDDFBBB">
      <w:pPr>
        <w:pStyle w:val="14"/>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rPr>
      </w:pPr>
      <w:bookmarkStart w:id="67" w:name="_Toc1286"/>
      <w:bookmarkStart w:id="68" w:name="_Toc29785"/>
      <w:r>
        <w:rPr>
          <w:rFonts w:hint="eastAsia" w:ascii="仿宋_GB2312" w:hAnsi="仿宋_GB2312" w:eastAsia="仿宋_GB2312" w:cs="仿宋_GB2312"/>
          <w:b w:val="0"/>
          <w:bCs w:val="0"/>
          <w:color w:val="auto"/>
          <w:sz w:val="32"/>
          <w:szCs w:val="32"/>
          <w:highlight w:val="none"/>
        </w:rPr>
        <w:t>本项目预算绩效评价报告的评价范围广泛而全面，涵盖了从项目立项至评价时点期间的所有关键预算活动和财务流程。具体而言，评价范围包括但不限于以下几个方面：</w:t>
      </w:r>
    </w:p>
    <w:p w14:paraId="6FCB18FD">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color w:val="auto"/>
          <w:sz w:val="32"/>
          <w:szCs w:val="32"/>
          <w:highlight w:val="none"/>
        </w:rPr>
        <w:t>项目预算编制与执行：全面审视项目预算的编制依据、合理性、科学性以及实际执行情况，包括预算调整的原因和效果。</w:t>
      </w:r>
    </w:p>
    <w:p w14:paraId="5A5EC748">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color w:val="auto"/>
          <w:sz w:val="32"/>
          <w:szCs w:val="32"/>
          <w:highlight w:val="none"/>
        </w:rPr>
        <w:t>资金管理：深入分析项目资金的分配、使用和监管情况，确保资金使用的合规性、高效性和透明度。</w:t>
      </w:r>
    </w:p>
    <w:p w14:paraId="00E35370">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3</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color w:val="auto"/>
          <w:sz w:val="32"/>
          <w:szCs w:val="32"/>
          <w:highlight w:val="none"/>
        </w:rPr>
        <w:t>项目实施进度与产出：评估项目是否按照既定计划顺利推进，各项任务是否按时完成，以及项目产出的数量、质量和时效性是否符合预期。</w:t>
      </w:r>
    </w:p>
    <w:p w14:paraId="0CEF3641">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color w:val="auto"/>
          <w:highlight w:val="none"/>
          <w:lang w:eastAsia="zh-CN"/>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4</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color w:val="auto"/>
          <w:sz w:val="32"/>
          <w:szCs w:val="32"/>
          <w:highlight w:val="none"/>
        </w:rPr>
        <w:t>社会影响：考察项目对社会方面的综合影响。</w:t>
      </w:r>
    </w:p>
    <w:p w14:paraId="442E9641">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r>
        <w:rPr>
          <w:rFonts w:hint="eastAsia" w:ascii="Times New Roman" w:hAnsi="Times New Roman" w:eastAsia="楷体_GB2312" w:cs="Times New Roman"/>
          <w:kern w:val="28"/>
          <w:sz w:val="32"/>
          <w:lang w:val="en-US" w:eastAsia="zh-CN"/>
        </w:rPr>
        <w:t>（二）绩效评价原则、评价指标体系（</w:t>
      </w:r>
      <w:r>
        <w:rPr>
          <w:rFonts w:hint="default" w:ascii="Times New Roman" w:hAnsi="Times New Roman" w:eastAsia="楷体_GB2312" w:cs="Times New Roman"/>
          <w:kern w:val="28"/>
          <w:sz w:val="32"/>
          <w:lang w:val="en-US" w:eastAsia="zh-CN"/>
        </w:rPr>
        <w:t>详情见</w:t>
      </w:r>
      <w:r>
        <w:rPr>
          <w:rFonts w:hint="eastAsia" w:ascii="Times New Roman" w:hAnsi="Times New Roman" w:eastAsia="楷体_GB2312" w:cs="Times New Roman"/>
          <w:kern w:val="28"/>
          <w:sz w:val="32"/>
          <w:lang w:val="en-US" w:eastAsia="zh-CN"/>
        </w:rPr>
        <w:t>附件二）、评价方法、评价标准</w:t>
      </w:r>
      <w:bookmarkEnd w:id="67"/>
      <w:bookmarkEnd w:id="68"/>
    </w:p>
    <w:p w14:paraId="46247ADE">
      <w:pPr>
        <w:pStyle w:val="4"/>
        <w:pageBreakBefore w:val="0"/>
        <w:kinsoku/>
        <w:wordWrap/>
        <w:overflowPunct/>
        <w:topLinePunct w:val="0"/>
        <w:autoSpaceDE/>
        <w:autoSpaceDN/>
        <w:bidi w:val="0"/>
        <w:adjustRightInd/>
        <w:spacing w:line="560" w:lineRule="exact"/>
        <w:textAlignment w:val="auto"/>
        <w:rPr>
          <w:rFonts w:hint="eastAsia" w:ascii="Times New Roman" w:hAnsi="Times New Roman" w:eastAsia="仿宋_GB2312" w:cs="Times New Roman"/>
          <w:b/>
          <w:bCs/>
          <w:color w:val="000000"/>
          <w:kern w:val="2"/>
          <w:sz w:val="32"/>
          <w:szCs w:val="32"/>
          <w:lang w:val="en-US" w:eastAsia="zh-CN" w:bidi="ar-SA"/>
        </w:rPr>
      </w:pPr>
      <w:bookmarkStart w:id="69" w:name="_Toc24506"/>
      <w:bookmarkStart w:id="70" w:name="_Toc5354"/>
      <w:bookmarkStart w:id="71" w:name="_Toc13694"/>
      <w:r>
        <w:rPr>
          <w:rFonts w:hint="eastAsia" w:ascii="Times New Roman" w:hAnsi="Times New Roman" w:eastAsia="仿宋_GB2312" w:cs="Times New Roman"/>
          <w:b/>
          <w:bCs/>
          <w:color w:val="000000"/>
          <w:kern w:val="2"/>
          <w:sz w:val="32"/>
          <w:szCs w:val="32"/>
          <w:lang w:val="en-US" w:eastAsia="zh-CN" w:bidi="ar-SA"/>
        </w:rPr>
        <w:t>1.绩效评价原则</w:t>
      </w:r>
      <w:bookmarkEnd w:id="69"/>
      <w:bookmarkEnd w:id="70"/>
      <w:bookmarkEnd w:id="71"/>
    </w:p>
    <w:p w14:paraId="3C5A72E4">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bookmarkStart w:id="72" w:name="_Toc24396"/>
      <w:bookmarkStart w:id="73" w:name="_Toc419984722"/>
      <w:bookmarkStart w:id="74" w:name="_Toc1913"/>
      <w:bookmarkStart w:id="75" w:name="_Toc26131"/>
      <w:bookmarkStart w:id="76" w:name="_Toc428278230"/>
      <w:r>
        <w:rPr>
          <w:rFonts w:hint="eastAsia" w:ascii="Times New Roman" w:hAnsi="Times New Roman" w:eastAsia="仿宋_GB2312" w:cs="Times New Roman"/>
          <w:color w:val="auto"/>
          <w:sz w:val="32"/>
          <w:szCs w:val="32"/>
          <w:highlight w:val="none"/>
          <w:lang w:eastAsia="zh-CN"/>
        </w:rPr>
        <w:t>依据《财政支出绩效评价管理暂行办法》（财预〔20</w:t>
      </w:r>
      <w:r>
        <w:rPr>
          <w:rFonts w:hint="eastAsia" w:ascii="Times New Roman" w:hAnsi="Times New Roman" w:eastAsia="仿宋_GB2312" w:cs="Times New Roman"/>
          <w:color w:val="auto"/>
          <w:sz w:val="32"/>
          <w:szCs w:val="32"/>
          <w:highlight w:val="none"/>
          <w:lang w:val="en-US" w:eastAsia="zh-CN"/>
        </w:rPr>
        <w:t>20</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10</w:t>
      </w:r>
      <w:r>
        <w:rPr>
          <w:rFonts w:hint="eastAsia" w:ascii="Times New Roman" w:hAnsi="Times New Roman" w:eastAsia="仿宋_GB2312" w:cs="Times New Roman"/>
          <w:color w:val="auto"/>
          <w:sz w:val="32"/>
          <w:szCs w:val="32"/>
          <w:highlight w:val="none"/>
          <w:lang w:eastAsia="zh-CN"/>
        </w:rPr>
        <w:t>号）本次绩效评价秉承科学规范、公正公开、分级分类、绩效相关等原则，按照从投入、过程到产出效果和影响的绩效逻辑路径，结合重点作物绿色高产高效行动</w:t>
      </w:r>
      <w:r>
        <w:rPr>
          <w:rFonts w:hint="eastAsia" w:ascii="Times New Roman" w:hAnsi="Times New Roman" w:eastAsia="仿宋_GB2312" w:cs="Times New Roman"/>
          <w:color w:val="auto"/>
          <w:sz w:val="32"/>
          <w:szCs w:val="32"/>
          <w:highlight w:val="none"/>
          <w:lang w:val="en-US" w:eastAsia="zh-CN"/>
        </w:rPr>
        <w:t>项目</w:t>
      </w:r>
      <w:r>
        <w:rPr>
          <w:rFonts w:hint="eastAsia" w:ascii="Times New Roman" w:hAnsi="Times New Roman" w:eastAsia="仿宋_GB2312" w:cs="Times New Roman"/>
          <w:color w:val="auto"/>
          <w:sz w:val="32"/>
          <w:szCs w:val="32"/>
          <w:highlight w:val="none"/>
          <w:lang w:eastAsia="zh-CN"/>
        </w:rPr>
        <w:t>实际开展情况，运用定量和定性分析相结合的方法，总结经验做法，反思项目实施和管理中的问题，以切实提升财政资金管理的科学化、规范化和精细化水平。</w:t>
      </w:r>
    </w:p>
    <w:p w14:paraId="79AA63F4">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根据以上原则，绩效评价应遵循如下要求：</w:t>
      </w:r>
    </w:p>
    <w:p w14:paraId="091979B5">
      <w:pPr>
        <w:spacing w:line="560" w:lineRule="exact"/>
        <w:ind w:firstLine="708"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1</w:t>
      </w: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auto"/>
          <w:sz w:val="32"/>
          <w:szCs w:val="32"/>
          <w:highlight w:val="none"/>
          <w:lang w:eastAsia="zh-CN"/>
        </w:rPr>
        <w:t>科学公正。绩效评价应当运用科学合理的方法，按照规范的程序，对项目绩效进行客观、公正的反映。</w:t>
      </w:r>
    </w:p>
    <w:p w14:paraId="65CF4312">
      <w:pPr>
        <w:spacing w:line="560" w:lineRule="exact"/>
        <w:ind w:firstLine="708"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auto"/>
          <w:sz w:val="32"/>
          <w:szCs w:val="32"/>
          <w:highlight w:val="none"/>
          <w:lang w:eastAsia="zh-CN"/>
        </w:rPr>
        <w:t>统筹兼顾。单位自评、部门评价和财政评价应职责明确，各有侧重，相互衔接。单位自评应由项目单位自主实施，即“谁支出、谁自评”。</w:t>
      </w:r>
    </w:p>
    <w:p w14:paraId="2ACAACBC">
      <w:pPr>
        <w:spacing w:line="560" w:lineRule="exact"/>
        <w:ind w:firstLine="708"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3</w:t>
      </w: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auto"/>
          <w:sz w:val="32"/>
          <w:szCs w:val="32"/>
          <w:highlight w:val="none"/>
          <w:lang w:eastAsia="zh-CN"/>
        </w:rPr>
        <w:t>激励约束。绩效评价结果应与预算安排、政策调整、改进管理实质性挂钩，体现奖优罚劣和激励相容导向，有效要安排、低效要压减、无效要问责。</w:t>
      </w:r>
    </w:p>
    <w:p w14:paraId="61BA60CC">
      <w:pPr>
        <w:spacing w:line="560" w:lineRule="exact"/>
        <w:ind w:firstLine="708"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4</w:t>
      </w: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auto"/>
          <w:sz w:val="32"/>
          <w:szCs w:val="32"/>
          <w:highlight w:val="none"/>
          <w:lang w:eastAsia="zh-CN"/>
        </w:rPr>
        <w:t>公开透明。绩效评价结果应依法依规公开，并自觉接受社会监督。</w:t>
      </w:r>
    </w:p>
    <w:p w14:paraId="0D767928">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sz w:val="32"/>
          <w:szCs w:val="32"/>
          <w:lang w:eastAsia="zh-CN"/>
        </w:rPr>
      </w:pPr>
      <w:r>
        <w:rPr>
          <w:rFonts w:hint="eastAsia" w:ascii="仿宋_GB2312" w:hAnsi="仿宋_GB2312" w:eastAsia="仿宋_GB2312" w:cs="仿宋_GB2312"/>
          <w:b/>
          <w:bCs/>
          <w:color w:val="000000"/>
          <w:sz w:val="32"/>
          <w:szCs w:val="32"/>
          <w:lang w:val="en-US" w:eastAsia="zh-CN"/>
        </w:rPr>
        <w:t>2.</w:t>
      </w:r>
      <w:r>
        <w:rPr>
          <w:rFonts w:hint="eastAsia" w:ascii="仿宋_GB2312" w:hAnsi="仿宋_GB2312" w:eastAsia="仿宋_GB2312" w:cs="仿宋_GB2312"/>
          <w:b/>
          <w:bCs/>
          <w:color w:val="000000"/>
          <w:sz w:val="32"/>
          <w:szCs w:val="32"/>
          <w:lang w:eastAsia="zh-CN"/>
        </w:rPr>
        <w:t>绩效评价指标体系</w:t>
      </w:r>
      <w:bookmarkEnd w:id="72"/>
      <w:bookmarkEnd w:id="73"/>
      <w:bookmarkEnd w:id="74"/>
      <w:bookmarkEnd w:id="75"/>
      <w:bookmarkEnd w:id="76"/>
    </w:p>
    <w:p w14:paraId="57B6D739">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bookmarkStart w:id="77" w:name="_Toc30114"/>
      <w:bookmarkStart w:id="78" w:name="_Toc9941"/>
      <w:bookmarkStart w:id="79" w:name="_Toc5690"/>
      <w:r>
        <w:rPr>
          <w:rFonts w:hint="eastAsia" w:ascii="仿宋_GB2312" w:hAnsi="仿宋_GB2312" w:eastAsia="仿宋_GB2312" w:cs="仿宋_GB2312"/>
          <w:color w:val="auto"/>
          <w:spacing w:val="17"/>
          <w:sz w:val="32"/>
          <w:szCs w:val="32"/>
          <w:highlight w:val="none"/>
        </w:rPr>
        <w:t>绩效评价框架是开展绩效评价的核心。绩效评价框架包括评价准则、关键评价问题、评价指标、数据来源、数据收集方法等。指标体系建立过程如下：</w:t>
      </w:r>
    </w:p>
    <w:p w14:paraId="7D7D9152">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1</w:t>
      </w:r>
      <w:r>
        <w:rPr>
          <w:rFonts w:hint="eastAsia" w:ascii="Times New Roman" w:hAnsi="Times New Roman" w:eastAsia="仿宋_GB2312" w:cs="Times New Roman"/>
          <w:color w:val="000000"/>
          <w:spacing w:val="17"/>
          <w:sz w:val="32"/>
          <w:szCs w:val="32"/>
          <w:highlight w:val="none"/>
          <w:lang w:eastAsia="zh-CN"/>
        </w:rPr>
        <w:t>）</w:t>
      </w:r>
      <w:r>
        <w:rPr>
          <w:rFonts w:hint="eastAsia" w:ascii="仿宋_GB2312" w:hAnsi="仿宋_GB2312" w:eastAsia="仿宋_GB2312" w:cs="仿宋_GB2312"/>
          <w:color w:val="auto"/>
          <w:spacing w:val="17"/>
          <w:sz w:val="32"/>
          <w:szCs w:val="32"/>
          <w:highlight w:val="none"/>
        </w:rPr>
        <w:t>确定评价指标</w:t>
      </w:r>
    </w:p>
    <w:p w14:paraId="5C21B3E5">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采用层次分析法，建立评价指标体系。绩效评价将指标分为项目决策指标、项目过程指标、项目产出指标、项目效益指标四个维度，最终形成一个由多个相互联系的指标组成的多层次指标体系。</w:t>
      </w:r>
    </w:p>
    <w:p w14:paraId="0ACC930C">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000000"/>
          <w:spacing w:val="17"/>
          <w:sz w:val="32"/>
          <w:szCs w:val="32"/>
          <w:highlight w:val="none"/>
          <w:lang w:eastAsia="zh-CN"/>
        </w:rPr>
        <w:t>）</w:t>
      </w:r>
      <w:r>
        <w:rPr>
          <w:rFonts w:hint="eastAsia" w:ascii="仿宋_GB2312" w:hAnsi="仿宋_GB2312" w:eastAsia="仿宋_GB2312" w:cs="仿宋_GB2312"/>
          <w:color w:val="auto"/>
          <w:spacing w:val="17"/>
          <w:sz w:val="32"/>
          <w:szCs w:val="32"/>
          <w:highlight w:val="none"/>
        </w:rPr>
        <w:t>确定权重</w:t>
      </w:r>
    </w:p>
    <w:p w14:paraId="62A0C1B8">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lang w:eastAsia="zh-CN"/>
        </w:rPr>
      </w:pPr>
      <w:r>
        <w:rPr>
          <w:rFonts w:hint="eastAsia" w:ascii="仿宋_GB2312" w:hAnsi="仿宋_GB2312" w:eastAsia="仿宋_GB2312" w:cs="仿宋_GB2312"/>
          <w:color w:val="auto"/>
          <w:spacing w:val="17"/>
          <w:sz w:val="32"/>
          <w:szCs w:val="32"/>
          <w:highlight w:val="none"/>
        </w:rPr>
        <w:t>确定各个指标相对于项目总体绩效的权重分值。在绩效评价指标体系中，项目决策权重为20分，项目过程权重为20分，项目产出权重为40分，项目效益权重为20分。</w:t>
      </w:r>
    </w:p>
    <w:p w14:paraId="1C37AB1D">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3</w:t>
      </w:r>
      <w:r>
        <w:rPr>
          <w:rFonts w:hint="eastAsia" w:ascii="Times New Roman" w:hAnsi="Times New Roman" w:eastAsia="仿宋_GB2312" w:cs="Times New Roman"/>
          <w:color w:val="000000"/>
          <w:spacing w:val="17"/>
          <w:sz w:val="32"/>
          <w:szCs w:val="32"/>
          <w:highlight w:val="none"/>
          <w:lang w:eastAsia="zh-CN"/>
        </w:rPr>
        <w:t>）</w:t>
      </w:r>
      <w:r>
        <w:rPr>
          <w:rFonts w:hint="eastAsia" w:ascii="仿宋_GB2312" w:hAnsi="仿宋_GB2312" w:eastAsia="仿宋_GB2312" w:cs="仿宋_GB2312"/>
          <w:color w:val="auto"/>
          <w:spacing w:val="17"/>
          <w:sz w:val="32"/>
          <w:szCs w:val="32"/>
          <w:highlight w:val="none"/>
        </w:rPr>
        <w:t>确定指标标准值</w:t>
      </w:r>
    </w:p>
    <w:p w14:paraId="090BDBF4">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指标标准值是绩效评价指标的尺度，既要反映同类项目的先进水平，又要符合项目的实际绩效水平。具体采用计划标准等确定此次绩效评价指标标准值。</w:t>
      </w:r>
    </w:p>
    <w:p w14:paraId="7E55C26D">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绩效评价总分值100分，根据综合评分结果，90（含）-100分为优、80（含）-90分为良、60（含）-80分为中、60分以下为差。</w:t>
      </w:r>
    </w:p>
    <w:p w14:paraId="4D2192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我单位</w:t>
      </w:r>
      <w:r>
        <w:rPr>
          <w:rFonts w:hint="eastAsia" w:ascii="仿宋_GB2312" w:hAnsi="仿宋_GB2312" w:eastAsia="仿宋_GB2312" w:cs="仿宋_GB2312"/>
          <w:color w:val="auto"/>
          <w:sz w:val="32"/>
          <w:szCs w:val="32"/>
          <w:highlight w:val="none"/>
          <w:lang w:val="zh-TW" w:eastAsia="zh-TW"/>
        </w:rPr>
        <w:t>根据项目的</w:t>
      </w:r>
      <w:r>
        <w:rPr>
          <w:rFonts w:hint="eastAsia" w:ascii="仿宋_GB2312" w:hAnsi="仿宋_GB2312" w:eastAsia="仿宋_GB2312" w:cs="仿宋_GB2312"/>
          <w:color w:val="auto"/>
          <w:sz w:val="32"/>
          <w:szCs w:val="32"/>
          <w:highlight w:val="none"/>
          <w:lang w:val="en-US" w:eastAsia="zh-CN"/>
        </w:rPr>
        <w:t>实施</w:t>
      </w:r>
      <w:r>
        <w:rPr>
          <w:rFonts w:hint="eastAsia" w:ascii="仿宋_GB2312" w:hAnsi="仿宋_GB2312" w:eastAsia="仿宋_GB2312" w:cs="仿宋_GB2312"/>
          <w:color w:val="auto"/>
          <w:sz w:val="32"/>
          <w:szCs w:val="32"/>
          <w:highlight w:val="none"/>
          <w:lang w:val="zh-TW" w:eastAsia="zh-TW"/>
        </w:rPr>
        <w:t>资料研读及前期调研，结合项目的实际开展情况，最终形成了项目绩效评价指标体系</w:t>
      </w:r>
      <w:r>
        <w:rPr>
          <w:rFonts w:hint="eastAsia" w:ascii="仿宋_GB2312" w:hAnsi="仿宋_GB2312" w:eastAsia="仿宋_GB2312" w:cs="仿宋_GB2312"/>
          <w:color w:val="auto"/>
          <w:sz w:val="32"/>
          <w:szCs w:val="32"/>
          <w:highlight w:val="none"/>
          <w:lang w:val="zh-TW" w:eastAsia="zh-CN"/>
        </w:rPr>
        <w:t>，</w:t>
      </w:r>
      <w:r>
        <w:rPr>
          <w:rFonts w:hint="eastAsia" w:ascii="仿宋_GB2312" w:hAnsi="仿宋_GB2312" w:eastAsia="仿宋_GB2312" w:cs="仿宋_GB2312"/>
          <w:color w:val="auto"/>
          <w:sz w:val="32"/>
          <w:szCs w:val="32"/>
          <w:highlight w:val="none"/>
          <w:lang w:val="en-US" w:eastAsia="zh-CN"/>
        </w:rPr>
        <w:t>详见上传的附件二。</w:t>
      </w:r>
    </w:p>
    <w:p w14:paraId="1C8EA12E">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shd w:val="clear" w:color="auto" w:fill="auto"/>
          <w14:textFill>
            <w14:solidFill>
              <w14:schemeClr w14:val="tx1"/>
            </w14:solidFill>
          </w14:textFill>
        </w:rPr>
        <w:t>评价</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方法</w:t>
      </w:r>
      <w:bookmarkEnd w:id="77"/>
      <w:bookmarkEnd w:id="78"/>
      <w:bookmarkEnd w:id="79"/>
    </w:p>
    <w:p w14:paraId="1449229F">
      <w:pPr>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bookmarkStart w:id="80" w:name="_Toc25651"/>
      <w:bookmarkStart w:id="81" w:name="_Toc6081"/>
      <w:bookmarkStart w:id="82" w:name="_Toc25391"/>
      <w:r>
        <w:rPr>
          <w:rFonts w:hint="eastAsia" w:ascii="仿宋_GB2312" w:hAnsi="仿宋_GB2312" w:eastAsia="仿宋_GB2312" w:cs="仿宋_GB2312"/>
          <w:color w:val="auto"/>
          <w:spacing w:val="17"/>
          <w:sz w:val="32"/>
          <w:szCs w:val="32"/>
          <w:highlight w:val="none"/>
        </w:rPr>
        <w:t>绩效评价从项目决策、项目过程、项目产出、项目效益四个维度进行评价。评价对象为项目目标实施情况</w:t>
      </w:r>
      <w:r>
        <w:rPr>
          <w:rFonts w:hint="eastAsia" w:ascii="仿宋_GB2312" w:hAnsi="仿宋_GB2312" w:eastAsia="仿宋_GB2312" w:cs="仿宋_GB2312"/>
          <w:color w:val="auto"/>
          <w:spacing w:val="17"/>
          <w:sz w:val="32"/>
          <w:szCs w:val="32"/>
          <w:highlight w:val="none"/>
          <w:lang w:eastAsia="zh-CN"/>
        </w:rPr>
        <w:t>，</w:t>
      </w:r>
      <w:r>
        <w:rPr>
          <w:rFonts w:hint="eastAsia" w:ascii="仿宋_GB2312" w:hAnsi="仿宋_GB2312" w:eastAsia="仿宋_GB2312" w:cs="仿宋_GB2312"/>
          <w:color w:val="auto"/>
          <w:spacing w:val="17"/>
          <w:sz w:val="32"/>
          <w:szCs w:val="32"/>
          <w:highlight w:val="none"/>
        </w:rPr>
        <w:t>评价核心为资金的支出完成情况和项目的产出效益。</w:t>
      </w:r>
    </w:p>
    <w:p w14:paraId="1D13D11F">
      <w:pPr>
        <w:pStyle w:val="5"/>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pacing w:val="17"/>
          <w:sz w:val="32"/>
          <w:szCs w:val="32"/>
          <w:highlight w:val="none"/>
        </w:rPr>
        <w:t>本次评价指标中，既有定性指标又有定量指标，各类指标因考核内容不同和客观标准不同存在较大差异，因此核定具体指标时采用了不同方法，具体评价方法如下：</w:t>
      </w:r>
    </w:p>
    <w:p w14:paraId="27F99BE8">
      <w:pPr>
        <w:spacing w:line="560" w:lineRule="exact"/>
        <w:ind w:firstLine="640" w:firstLineChars="200"/>
        <w:rPr>
          <w:rFonts w:hint="default" w:ascii="Times New Roman" w:hAnsi="Times New Roman" w:eastAsia="仿宋_GB2312" w:cs="Times New Roman"/>
          <w:color w:val="000000"/>
          <w:spacing w:val="17"/>
          <w:sz w:val="32"/>
          <w:szCs w:val="32"/>
          <w:highlight w:val="none"/>
          <w:lang w:eastAsia="zh-CN"/>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highlight w:val="none"/>
          <w:lang w:val="en-US" w:eastAsia="zh-CN"/>
        </w:rPr>
        <w:t>1</w:t>
      </w:r>
      <w:r>
        <w:rPr>
          <w:rFonts w:hint="eastAsia" w:ascii="Times New Roman" w:hAnsi="Times New Roman" w:eastAsia="仿宋_GB2312" w:cs="Times New Roman"/>
          <w:color w:val="000000"/>
          <w:sz w:val="32"/>
          <w:szCs w:val="32"/>
          <w:highlight w:val="none"/>
          <w:lang w:eastAsia="zh-CN"/>
        </w:rPr>
        <w:t>）</w:t>
      </w:r>
      <w:r>
        <w:rPr>
          <w:rFonts w:hint="default" w:ascii="Times New Roman" w:hAnsi="Times New Roman" w:eastAsia="仿宋_GB2312" w:cs="Times New Roman"/>
          <w:color w:val="000000"/>
          <w:spacing w:val="17"/>
          <w:sz w:val="32"/>
          <w:szCs w:val="32"/>
          <w:highlight w:val="none"/>
        </w:rPr>
        <w:t>成本效益分析法。是指将投入与产出、效益进行关联性分析的方法。</w:t>
      </w:r>
    </w:p>
    <w:p w14:paraId="0D41C396">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2</w:t>
      </w:r>
      <w:r>
        <w:rPr>
          <w:rFonts w:hint="eastAsia" w:ascii="Times New Roman" w:hAnsi="Times New Roman" w:eastAsia="仿宋_GB2312" w:cs="Times New Roman"/>
          <w:color w:val="000000"/>
          <w:sz w:val="32"/>
          <w:szCs w:val="32"/>
          <w:highlight w:val="none"/>
          <w:lang w:eastAsia="zh-CN"/>
        </w:rPr>
        <w:t>）</w:t>
      </w:r>
      <w:r>
        <w:rPr>
          <w:rFonts w:hint="default" w:ascii="Times New Roman" w:hAnsi="Times New Roman" w:eastAsia="仿宋_GB2312" w:cs="Times New Roman"/>
          <w:color w:val="000000"/>
          <w:spacing w:val="17"/>
          <w:sz w:val="32"/>
          <w:szCs w:val="32"/>
          <w:highlight w:val="none"/>
        </w:rPr>
        <w:t>比较法。是指将实施情况与绩效目标、历史情况、不同部门和地区同类支出情况进行比较的方法。</w:t>
      </w:r>
    </w:p>
    <w:p w14:paraId="358F96A9">
      <w:pPr>
        <w:spacing w:line="560" w:lineRule="exact"/>
        <w:ind w:firstLine="640" w:firstLineChars="200"/>
        <w:rPr>
          <w:rFonts w:hint="default" w:ascii="Times New Roman" w:hAnsi="Times New Roman" w:eastAsia="仿宋_GB2312" w:cs="Times New Roman"/>
          <w:color w:val="000000"/>
          <w:spacing w:val="17"/>
          <w:sz w:val="32"/>
          <w:szCs w:val="32"/>
          <w:highlight w:val="none"/>
        </w:rPr>
      </w:pPr>
      <w:r>
        <w:rPr>
          <w:rFonts w:hint="eastAsia" w:ascii="Times New Roman" w:hAnsi="Times New Roman" w:eastAsia="仿宋_GB2312" w:cs="Times New Roman"/>
          <w:color w:val="000000"/>
          <w:sz w:val="32"/>
          <w:szCs w:val="32"/>
          <w:highlight w:val="none"/>
          <w:lang w:eastAsia="zh-CN"/>
        </w:rPr>
        <w:t>（</w:t>
      </w:r>
      <w:r>
        <w:rPr>
          <w:rFonts w:hint="eastAsia" w:ascii="Times New Roman" w:hAnsi="Times New Roman" w:eastAsia="仿宋_GB2312" w:cs="Times New Roman"/>
          <w:color w:val="000000"/>
          <w:sz w:val="32"/>
          <w:szCs w:val="32"/>
          <w:highlight w:val="none"/>
          <w:lang w:val="en-US" w:eastAsia="zh-CN"/>
        </w:rPr>
        <w:t>3</w:t>
      </w:r>
      <w:r>
        <w:rPr>
          <w:rFonts w:hint="eastAsia" w:ascii="Times New Roman" w:hAnsi="Times New Roman" w:eastAsia="仿宋_GB2312" w:cs="Times New Roman"/>
          <w:color w:val="000000"/>
          <w:sz w:val="32"/>
          <w:szCs w:val="32"/>
          <w:highlight w:val="none"/>
          <w:lang w:eastAsia="zh-CN"/>
        </w:rPr>
        <w:t>）</w:t>
      </w:r>
      <w:r>
        <w:rPr>
          <w:rFonts w:hint="default" w:ascii="Times New Roman" w:hAnsi="Times New Roman" w:eastAsia="仿宋_GB2312" w:cs="Times New Roman"/>
          <w:color w:val="000000"/>
          <w:spacing w:val="17"/>
          <w:sz w:val="32"/>
          <w:szCs w:val="32"/>
          <w:highlight w:val="none"/>
        </w:rPr>
        <w:t>公众评判法。是指通过专家评估、公众问卷及抽样调查等方式进行评判的方法。</w:t>
      </w:r>
    </w:p>
    <w:p w14:paraId="076DB1E9">
      <w:pPr>
        <w:pStyle w:val="4"/>
        <w:pageBreakBefore w:val="0"/>
        <w:kinsoku/>
        <w:wordWrap/>
        <w:overflowPunct/>
        <w:topLinePunct w:val="0"/>
        <w:autoSpaceDE/>
        <w:autoSpaceDN/>
        <w:bidi w:val="0"/>
        <w:spacing w:line="560" w:lineRule="exact"/>
        <w:ind w:left="0" w:leftChars="0" w:firstLine="643" w:firstLineChars="200"/>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4.评价标准</w:t>
      </w:r>
      <w:bookmarkEnd w:id="80"/>
      <w:bookmarkEnd w:id="81"/>
      <w:bookmarkEnd w:id="82"/>
    </w:p>
    <w:p w14:paraId="0792B2BF">
      <w:pPr>
        <w:spacing w:line="560" w:lineRule="exact"/>
        <w:ind w:firstLine="708" w:firstLineChars="200"/>
        <w:rPr>
          <w:rFonts w:hint="default" w:ascii="Times New Roman" w:hAnsi="Times New Roman" w:eastAsia="仿宋_GB2312" w:cs="Times New Roman"/>
          <w:color w:val="auto"/>
          <w:spacing w:val="17"/>
          <w:sz w:val="32"/>
          <w:szCs w:val="32"/>
          <w:highlight w:val="none"/>
          <w:lang w:eastAsia="zh-CN"/>
        </w:rPr>
      </w:pPr>
      <w:bookmarkStart w:id="83" w:name="_Toc21435"/>
      <w:r>
        <w:rPr>
          <w:rFonts w:hint="default" w:ascii="Times New Roman" w:hAnsi="Times New Roman" w:eastAsia="仿宋_GB2312" w:cs="Times New Roman"/>
          <w:color w:val="auto"/>
          <w:spacing w:val="17"/>
          <w:sz w:val="32"/>
          <w:szCs w:val="32"/>
          <w:highlight w:val="none"/>
        </w:rPr>
        <w:t>绩效评价标准通常包括计划标准、行业标准、历史标准等，用于对绩效指标完成情况进行比较、分析、评价。本次评价主要采用了计划标准</w:t>
      </w:r>
      <w:r>
        <w:rPr>
          <w:rFonts w:hint="eastAsia" w:ascii="Times New Roman" w:hAnsi="Times New Roman" w:eastAsia="仿宋_GB2312" w:cs="Times New Roman"/>
          <w:color w:val="auto"/>
          <w:spacing w:val="17"/>
          <w:sz w:val="32"/>
          <w:szCs w:val="32"/>
          <w:highlight w:val="none"/>
          <w:lang w:val="en-US" w:eastAsia="zh-CN"/>
        </w:rPr>
        <w:t>和</w:t>
      </w:r>
      <w:r>
        <w:rPr>
          <w:rFonts w:hint="default" w:ascii="Times New Roman" w:hAnsi="Times New Roman" w:eastAsia="仿宋_GB2312" w:cs="Times New Roman"/>
          <w:color w:val="auto"/>
          <w:spacing w:val="17"/>
          <w:sz w:val="32"/>
          <w:szCs w:val="32"/>
          <w:highlight w:val="none"/>
        </w:rPr>
        <w:t>行业标准。</w:t>
      </w:r>
    </w:p>
    <w:p w14:paraId="2389531F">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1</w:t>
      </w:r>
      <w:r>
        <w:rPr>
          <w:rFonts w:hint="eastAsia" w:ascii="Times New Roman" w:hAnsi="Times New Roman" w:eastAsia="仿宋_GB2312" w:cs="Times New Roman"/>
          <w:color w:val="000000"/>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计划标准。指以预先制定的目标、计划、预算、定额等作为评价标准。</w:t>
      </w:r>
    </w:p>
    <w:p w14:paraId="6CC95AA2">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000000"/>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行业标准。指参照国家公布的行业指标数据制定的评价标准。</w:t>
      </w:r>
    </w:p>
    <w:p w14:paraId="46AB1ABB">
      <w:pPr>
        <w:spacing w:line="560" w:lineRule="exact"/>
        <w:ind w:firstLine="640" w:firstLineChars="200"/>
        <w:rPr>
          <w:rFonts w:hint="default"/>
        </w:rPr>
      </w:pP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3</w:t>
      </w:r>
      <w:r>
        <w:rPr>
          <w:rFonts w:hint="eastAsia"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pacing w:val="17"/>
          <w:sz w:val="32"/>
          <w:szCs w:val="32"/>
          <w:highlight w:val="none"/>
        </w:rPr>
        <w:t>历史标准。指参照历史数据制定的评价标准，为体现绩效改进的原则，在可实现的条件下应当确定相对较高的评价标准。</w:t>
      </w:r>
    </w:p>
    <w:p w14:paraId="28AE4093">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r>
        <w:rPr>
          <w:rFonts w:hint="eastAsia" w:ascii="Times New Roman" w:hAnsi="Times New Roman" w:eastAsia="楷体_GB2312" w:cs="Times New Roman"/>
          <w:kern w:val="28"/>
          <w:sz w:val="32"/>
          <w:lang w:val="en-US" w:eastAsia="zh-CN"/>
        </w:rPr>
        <w:t>（三）绩效评价工作过程</w:t>
      </w:r>
      <w:bookmarkEnd w:id="83"/>
    </w:p>
    <w:p w14:paraId="66FE213E">
      <w:pPr>
        <w:spacing w:line="560" w:lineRule="exact"/>
        <w:ind w:firstLine="711" w:firstLineChars="200"/>
        <w:rPr>
          <w:rFonts w:hint="eastAsia" w:ascii="Times New Roman" w:hAnsi="Times New Roman" w:eastAsia="仿宋_GB2312" w:cs="Times New Roman"/>
          <w:b/>
          <w:bCs/>
          <w:color w:val="000000"/>
          <w:spacing w:val="17"/>
          <w:sz w:val="32"/>
          <w:szCs w:val="32"/>
          <w:highlight w:val="none"/>
          <w:lang w:val="en-US" w:eastAsia="zh-CN"/>
        </w:rPr>
      </w:pPr>
      <w:bookmarkStart w:id="84" w:name="_Toc12862"/>
      <w:r>
        <w:rPr>
          <w:rFonts w:hint="eastAsia" w:ascii="Times New Roman" w:hAnsi="Times New Roman" w:eastAsia="仿宋_GB2312" w:cs="Times New Roman"/>
          <w:b/>
          <w:bCs/>
          <w:color w:val="000000"/>
          <w:spacing w:val="17"/>
          <w:sz w:val="32"/>
          <w:szCs w:val="32"/>
          <w:highlight w:val="none"/>
          <w:lang w:val="en-US" w:eastAsia="zh-CN"/>
        </w:rPr>
        <w:t>1.前期准备</w:t>
      </w:r>
      <w:bookmarkEnd w:id="84"/>
    </w:p>
    <w:p w14:paraId="5827DF47">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5" w:name="_Toc11353"/>
      <w:r>
        <w:rPr>
          <w:rFonts w:hint="eastAsia" w:ascii="Times New Roman" w:hAnsi="Times New Roman" w:eastAsia="仿宋_GB2312" w:cs="Times New Roman"/>
          <w:color w:val="000000"/>
          <w:spacing w:val="17"/>
          <w:sz w:val="32"/>
          <w:szCs w:val="32"/>
          <w:highlight w:val="none"/>
          <w:lang w:val="en-US" w:eastAsia="zh-CN"/>
        </w:rPr>
        <w:t>（1）</w:t>
      </w:r>
      <w:r>
        <w:rPr>
          <w:rFonts w:hint="eastAsia" w:ascii="Times New Roman" w:hAnsi="Times New Roman" w:eastAsia="仿宋_GB2312" w:cs="Times New Roman"/>
          <w:color w:val="auto"/>
          <w:spacing w:val="17"/>
          <w:sz w:val="32"/>
          <w:szCs w:val="32"/>
          <w:highlight w:val="none"/>
          <w:lang w:val="en-US" w:eastAsia="zh-CN"/>
        </w:rPr>
        <w:t>成立绩效评价项目小组</w:t>
      </w:r>
    </w:p>
    <w:p w14:paraId="45801389">
      <w:pPr>
        <w:spacing w:line="560" w:lineRule="exact"/>
        <w:ind w:firstLine="708" w:firstLineChars="200"/>
        <w:rPr>
          <w:rFonts w:hint="eastAsia" w:ascii="Times New Roman" w:hAnsi="Times New Roman" w:eastAsia="仿宋_GB2312" w:cs="Times New Roman"/>
          <w:color w:val="000000"/>
          <w:spacing w:val="17"/>
          <w:sz w:val="32"/>
          <w:szCs w:val="32"/>
          <w:highlight w:val="none"/>
          <w:lang w:val="en-US" w:eastAsia="zh-CN"/>
        </w:rPr>
      </w:pPr>
      <w:r>
        <w:rPr>
          <w:rFonts w:hint="eastAsia" w:ascii="Times New Roman" w:hAnsi="Times New Roman" w:eastAsia="仿宋_GB2312" w:cs="Times New Roman"/>
          <w:color w:val="auto"/>
          <w:spacing w:val="17"/>
          <w:sz w:val="32"/>
          <w:szCs w:val="32"/>
          <w:highlight w:val="none"/>
          <w:lang w:val="en-US" w:eastAsia="zh-CN"/>
        </w:rPr>
        <w:t>为确保该项目绩效评价的顺利实施，评价机构组建了绩效评价项目小组。项目小组负责建立联络制度、明确评价责任人、制定评价方案、实施具体评价等工作。</w:t>
      </w:r>
    </w:p>
    <w:p w14:paraId="70DC1E1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6" w:name="_Toc31571"/>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auto"/>
          <w:spacing w:val="17"/>
          <w:sz w:val="32"/>
          <w:szCs w:val="32"/>
          <w:highlight w:val="none"/>
          <w:lang w:val="en-US" w:eastAsia="zh-CN"/>
        </w:rPr>
        <w:t>开展前期调研</w:t>
      </w:r>
      <w:bookmarkEnd w:id="86"/>
    </w:p>
    <w:p w14:paraId="5E0100B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7" w:name="_Toc21240"/>
      <w:r>
        <w:rPr>
          <w:rFonts w:hint="eastAsia" w:ascii="Times New Roman" w:hAnsi="Times New Roman" w:eastAsia="仿宋_GB2312" w:cs="Times New Roman"/>
          <w:color w:val="auto"/>
          <w:spacing w:val="17"/>
          <w:sz w:val="32"/>
          <w:szCs w:val="32"/>
          <w:highlight w:val="none"/>
          <w:lang w:val="en-US" w:eastAsia="zh-CN"/>
        </w:rPr>
        <w:t>绩效评价项目小组依据此次绩效评价受委托内容，对拟评价的项目实施前期调研。通过调研对2023年中央农业生产发展资金（第二批）重点作物绿色高产高效行动实施内容、目标信息、预算信息以及其他的一些项目基本信息，有了初步了解，为制定绩效评价工作方案做好准备。</w:t>
      </w:r>
      <w:bookmarkEnd w:id="87"/>
    </w:p>
    <w:p w14:paraId="687A7217">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8" w:name="_Toc27977"/>
      <w:r>
        <w:rPr>
          <w:rFonts w:hint="eastAsia" w:ascii="Times New Roman" w:hAnsi="Times New Roman" w:eastAsia="仿宋_GB2312" w:cs="Times New Roman"/>
          <w:color w:val="000000"/>
          <w:spacing w:val="17"/>
          <w:sz w:val="32"/>
          <w:szCs w:val="32"/>
          <w:highlight w:val="none"/>
          <w:lang w:val="en-US" w:eastAsia="zh-CN"/>
        </w:rPr>
        <w:t>（3）</w:t>
      </w:r>
      <w:r>
        <w:rPr>
          <w:rFonts w:hint="eastAsia" w:ascii="Times New Roman" w:hAnsi="Times New Roman" w:eastAsia="仿宋_GB2312" w:cs="Times New Roman"/>
          <w:color w:val="auto"/>
          <w:spacing w:val="17"/>
          <w:sz w:val="32"/>
          <w:szCs w:val="32"/>
          <w:highlight w:val="none"/>
          <w:lang w:val="en-US" w:eastAsia="zh-CN"/>
        </w:rPr>
        <w:t>制订绩效评价工作方案</w:t>
      </w:r>
      <w:bookmarkEnd w:id="88"/>
    </w:p>
    <w:p w14:paraId="58F1BAE7">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9" w:name="_Toc19659"/>
      <w:r>
        <w:rPr>
          <w:rFonts w:hint="eastAsia" w:ascii="Times New Roman" w:hAnsi="Times New Roman" w:eastAsia="仿宋_GB2312" w:cs="Times New Roman"/>
          <w:color w:val="auto"/>
          <w:spacing w:val="17"/>
          <w:sz w:val="32"/>
          <w:szCs w:val="32"/>
          <w:highlight w:val="none"/>
          <w:lang w:val="en-US" w:eastAsia="zh-CN"/>
        </w:rPr>
        <w:t>绩效评价项目小组根据有关规定和评价对象的特点以及前期调研收集的一些信息，拟定详细的绩效评价工作方案。</w:t>
      </w:r>
      <w:bookmarkEnd w:id="89"/>
    </w:p>
    <w:p w14:paraId="11794237">
      <w:pPr>
        <w:spacing w:line="560" w:lineRule="exact"/>
        <w:ind w:firstLine="711" w:firstLineChars="200"/>
        <w:rPr>
          <w:rFonts w:hint="eastAsia" w:ascii="Times New Roman" w:hAnsi="Times New Roman" w:eastAsia="仿宋_GB2312" w:cs="Times New Roman"/>
          <w:b/>
          <w:bCs/>
          <w:color w:val="000000"/>
          <w:spacing w:val="17"/>
          <w:sz w:val="32"/>
          <w:szCs w:val="32"/>
          <w:highlight w:val="none"/>
          <w:lang w:val="en-US" w:eastAsia="zh-CN"/>
        </w:rPr>
      </w:pPr>
      <w:r>
        <w:rPr>
          <w:rFonts w:hint="eastAsia" w:ascii="Times New Roman" w:hAnsi="Times New Roman" w:eastAsia="仿宋_GB2312" w:cs="Times New Roman"/>
          <w:b/>
          <w:bCs/>
          <w:color w:val="000000"/>
          <w:spacing w:val="17"/>
          <w:sz w:val="32"/>
          <w:szCs w:val="32"/>
          <w:highlight w:val="none"/>
          <w:lang w:val="en-US" w:eastAsia="zh-CN"/>
        </w:rPr>
        <w:t>2.具体实施</w:t>
      </w:r>
      <w:bookmarkEnd w:id="85"/>
    </w:p>
    <w:p w14:paraId="690509C2">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0" w:name="_Toc14111"/>
      <w:bookmarkStart w:id="91" w:name="_Toc30513"/>
      <w:r>
        <w:rPr>
          <w:rFonts w:hint="eastAsia" w:ascii="Times New Roman" w:hAnsi="Times New Roman" w:eastAsia="仿宋_GB2312" w:cs="Times New Roman"/>
          <w:color w:val="000000"/>
          <w:spacing w:val="17"/>
          <w:sz w:val="32"/>
          <w:szCs w:val="32"/>
          <w:highlight w:val="none"/>
          <w:lang w:val="en-US" w:eastAsia="zh-CN"/>
        </w:rPr>
        <w:t>（1）</w:t>
      </w:r>
      <w:r>
        <w:rPr>
          <w:rFonts w:hint="eastAsia" w:ascii="Times New Roman" w:hAnsi="Times New Roman" w:eastAsia="仿宋_GB2312" w:cs="Times New Roman"/>
          <w:color w:val="auto"/>
          <w:spacing w:val="17"/>
          <w:sz w:val="32"/>
          <w:szCs w:val="32"/>
          <w:highlight w:val="none"/>
          <w:lang w:val="en-US" w:eastAsia="zh-CN"/>
        </w:rPr>
        <w:t>收集基础资料</w:t>
      </w:r>
      <w:bookmarkEnd w:id="90"/>
    </w:p>
    <w:p w14:paraId="1B8AB0D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2" w:name="_Toc28524"/>
      <w:r>
        <w:rPr>
          <w:rFonts w:hint="eastAsia" w:ascii="Times New Roman" w:hAnsi="Times New Roman" w:eastAsia="仿宋_GB2312" w:cs="Times New Roman"/>
          <w:color w:val="auto"/>
          <w:spacing w:val="17"/>
          <w:sz w:val="32"/>
          <w:szCs w:val="32"/>
          <w:highlight w:val="none"/>
          <w:lang w:val="en-US" w:eastAsia="zh-CN"/>
        </w:rPr>
        <w:t>根据评价工作的需要和要求，在前期调研的基础上，通过多种渠道全面收集项目基础信息资料，主要包括：</w:t>
      </w:r>
      <w:bookmarkEnd w:id="92"/>
    </w:p>
    <w:p w14:paraId="1B2ADA5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3" w:name="_Toc32216"/>
      <w:r>
        <w:rPr>
          <w:rFonts w:hint="eastAsia" w:ascii="Times New Roman" w:hAnsi="Times New Roman" w:eastAsia="仿宋_GB2312" w:cs="Times New Roman"/>
          <w:color w:val="auto"/>
          <w:spacing w:val="17"/>
          <w:sz w:val="32"/>
          <w:szCs w:val="32"/>
          <w:highlight w:val="none"/>
          <w:lang w:val="en-US" w:eastAsia="zh-CN"/>
        </w:rPr>
        <w:t>①被评价单位基本概况，如单位职能、事业发展规划、预决算情况、项目立项依据等；</w:t>
      </w:r>
      <w:bookmarkEnd w:id="93"/>
    </w:p>
    <w:p w14:paraId="3A267A4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4" w:name="_Toc10505"/>
      <w:r>
        <w:rPr>
          <w:rFonts w:hint="eastAsia" w:ascii="Times New Roman" w:hAnsi="Times New Roman" w:eastAsia="仿宋_GB2312" w:cs="Times New Roman"/>
          <w:color w:val="auto"/>
          <w:spacing w:val="17"/>
          <w:sz w:val="32"/>
          <w:szCs w:val="32"/>
          <w:highlight w:val="none"/>
          <w:lang w:val="en-US" w:eastAsia="zh-CN"/>
        </w:rPr>
        <w:t>②绩效目标及其设立依据和调整情况；</w:t>
      </w:r>
      <w:bookmarkEnd w:id="94"/>
    </w:p>
    <w:p w14:paraId="5E5370B4">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5" w:name="_Toc28365"/>
      <w:r>
        <w:rPr>
          <w:rFonts w:hint="eastAsia" w:ascii="Times New Roman" w:hAnsi="Times New Roman" w:eastAsia="仿宋_GB2312" w:cs="Times New Roman"/>
          <w:color w:val="auto"/>
          <w:spacing w:val="17"/>
          <w:sz w:val="32"/>
          <w:szCs w:val="32"/>
          <w:highlight w:val="none"/>
          <w:lang w:val="en-US" w:eastAsia="zh-CN"/>
        </w:rPr>
        <w:t>③管理措施及组织实施情况；</w:t>
      </w:r>
      <w:bookmarkEnd w:id="95"/>
    </w:p>
    <w:p w14:paraId="0EF0F46F">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6" w:name="_Toc10091"/>
      <w:r>
        <w:rPr>
          <w:rFonts w:hint="eastAsia" w:ascii="Times New Roman" w:hAnsi="Times New Roman" w:eastAsia="仿宋_GB2312" w:cs="Times New Roman"/>
          <w:color w:val="auto"/>
          <w:spacing w:val="17"/>
          <w:sz w:val="32"/>
          <w:szCs w:val="32"/>
          <w:highlight w:val="none"/>
          <w:lang w:val="en-US" w:eastAsia="zh-CN"/>
        </w:rPr>
        <w:t>④被评价单位总结分析的绩效目标完成情况及绩效报告；</w:t>
      </w:r>
      <w:bookmarkEnd w:id="96"/>
    </w:p>
    <w:p w14:paraId="48630786">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7" w:name="_Toc1"/>
      <w:r>
        <w:rPr>
          <w:rFonts w:hint="eastAsia" w:ascii="Times New Roman" w:hAnsi="Times New Roman" w:eastAsia="仿宋_GB2312" w:cs="Times New Roman"/>
          <w:color w:val="auto"/>
          <w:spacing w:val="17"/>
          <w:sz w:val="32"/>
          <w:szCs w:val="32"/>
          <w:highlight w:val="none"/>
          <w:lang w:val="en-US" w:eastAsia="zh-CN"/>
        </w:rPr>
        <w:t>⑤与绩效评价相关的计划标准、行业标准、历史标准等；</w:t>
      </w:r>
      <w:bookmarkEnd w:id="97"/>
    </w:p>
    <w:p w14:paraId="6DFC8F4E">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8" w:name="_Toc20059"/>
      <w:r>
        <w:rPr>
          <w:rFonts w:hint="eastAsia" w:ascii="Times New Roman" w:hAnsi="Times New Roman" w:eastAsia="仿宋_GB2312" w:cs="Times New Roman"/>
          <w:color w:val="auto"/>
          <w:spacing w:val="17"/>
          <w:sz w:val="32"/>
          <w:szCs w:val="32"/>
          <w:highlight w:val="none"/>
          <w:lang w:val="en-US" w:eastAsia="zh-CN"/>
        </w:rPr>
        <w:t>⑥其他必要的相关资料等。</w:t>
      </w:r>
      <w:bookmarkEnd w:id="98"/>
    </w:p>
    <w:p w14:paraId="49EC6F29">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9" w:name="_Toc31911"/>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auto"/>
          <w:spacing w:val="17"/>
          <w:sz w:val="32"/>
          <w:szCs w:val="32"/>
          <w:highlight w:val="none"/>
          <w:lang w:val="en-US" w:eastAsia="zh-CN"/>
        </w:rPr>
        <w:t>整理、研读基础资料</w:t>
      </w:r>
      <w:bookmarkEnd w:id="99"/>
    </w:p>
    <w:p w14:paraId="7407B98F">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0" w:name="_Toc167"/>
      <w:r>
        <w:rPr>
          <w:rFonts w:hint="eastAsia" w:ascii="Times New Roman" w:hAnsi="Times New Roman" w:eastAsia="仿宋_GB2312" w:cs="Times New Roman"/>
          <w:color w:val="auto"/>
          <w:spacing w:val="17"/>
          <w:sz w:val="32"/>
          <w:szCs w:val="32"/>
          <w:highlight w:val="none"/>
          <w:lang w:val="en-US" w:eastAsia="zh-CN"/>
        </w:rPr>
        <w:t>对收集的基础资料进行分类整理、研读，并对所收集的资料进行核实和全面分析。通过基础资料的整理、研读，了解被评价对象的具体情况，分析被评价对象可能存在的问题，根据工作需要确定实地核查的内容，为现场核查做好准备。</w:t>
      </w:r>
      <w:bookmarkEnd w:id="100"/>
    </w:p>
    <w:p w14:paraId="06F9EF71">
      <w:pPr>
        <w:spacing w:line="560" w:lineRule="exact"/>
        <w:ind w:firstLine="711" w:firstLineChars="200"/>
        <w:rPr>
          <w:rFonts w:hint="default" w:ascii="Times New Roman" w:hAnsi="Times New Roman" w:eastAsia="仿宋_GB2312" w:cs="Times New Roman"/>
          <w:b/>
          <w:bCs/>
          <w:color w:val="000000"/>
          <w:spacing w:val="17"/>
          <w:sz w:val="32"/>
          <w:szCs w:val="32"/>
          <w:highlight w:val="none"/>
          <w:lang w:val="en-US" w:eastAsia="zh-CN"/>
        </w:rPr>
      </w:pPr>
      <w:r>
        <w:rPr>
          <w:rFonts w:hint="eastAsia" w:ascii="Times New Roman" w:hAnsi="Times New Roman" w:eastAsia="仿宋_GB2312" w:cs="Times New Roman"/>
          <w:b/>
          <w:bCs/>
          <w:color w:val="000000"/>
          <w:spacing w:val="17"/>
          <w:sz w:val="32"/>
          <w:szCs w:val="32"/>
          <w:highlight w:val="none"/>
          <w:lang w:val="en-US" w:eastAsia="zh-CN"/>
        </w:rPr>
        <w:t>3.分析评价和撰写报告</w:t>
      </w:r>
      <w:bookmarkEnd w:id="91"/>
    </w:p>
    <w:p w14:paraId="277B53A1">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1" w:name="_Toc15974"/>
      <w:bookmarkStart w:id="102" w:name="_Toc19261"/>
      <w:r>
        <w:rPr>
          <w:rFonts w:hint="eastAsia" w:ascii="Times New Roman" w:hAnsi="Times New Roman" w:eastAsia="仿宋_GB2312" w:cs="Times New Roman"/>
          <w:color w:val="000000"/>
          <w:spacing w:val="17"/>
          <w:sz w:val="32"/>
          <w:szCs w:val="32"/>
          <w:highlight w:val="none"/>
          <w:lang w:eastAsia="zh-CN"/>
        </w:rPr>
        <w:t>（</w:t>
      </w:r>
      <w:r>
        <w:rPr>
          <w:rFonts w:hint="eastAsia" w:ascii="Times New Roman" w:hAnsi="Times New Roman" w:eastAsia="仿宋_GB2312" w:cs="Times New Roman"/>
          <w:color w:val="000000"/>
          <w:spacing w:val="17"/>
          <w:sz w:val="32"/>
          <w:szCs w:val="32"/>
          <w:highlight w:val="none"/>
          <w:lang w:val="en-US" w:eastAsia="zh-CN"/>
        </w:rPr>
        <w:t>1）</w:t>
      </w:r>
      <w:r>
        <w:rPr>
          <w:rFonts w:hint="eastAsia" w:ascii="Times New Roman" w:hAnsi="Times New Roman" w:eastAsia="仿宋_GB2312" w:cs="Times New Roman"/>
          <w:color w:val="auto"/>
          <w:spacing w:val="17"/>
          <w:sz w:val="32"/>
          <w:szCs w:val="32"/>
          <w:highlight w:val="none"/>
          <w:lang w:val="en-US" w:eastAsia="zh-CN"/>
        </w:rPr>
        <w:t>综合分析评价</w:t>
      </w:r>
      <w:bookmarkEnd w:id="101"/>
    </w:p>
    <w:p w14:paraId="58C55089">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3" w:name="_Toc4352"/>
      <w:r>
        <w:rPr>
          <w:rFonts w:hint="eastAsia" w:ascii="Times New Roman" w:hAnsi="Times New Roman" w:eastAsia="仿宋_GB2312" w:cs="Times New Roman"/>
          <w:color w:val="auto"/>
          <w:spacing w:val="17"/>
          <w:sz w:val="32"/>
          <w:szCs w:val="32"/>
          <w:highlight w:val="none"/>
          <w:lang w:val="en-US" w:eastAsia="zh-CN"/>
        </w:rPr>
        <w:t>①根据所收集的基础资料，结合现场核查的有关情况，整理出绩效评价所需的项目材料和基础数据。</w:t>
      </w:r>
      <w:bookmarkEnd w:id="103"/>
    </w:p>
    <w:p w14:paraId="65EDA505">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4" w:name="_Toc26231"/>
      <w:r>
        <w:rPr>
          <w:rFonts w:hint="eastAsia" w:ascii="Times New Roman" w:hAnsi="Times New Roman" w:eastAsia="仿宋_GB2312" w:cs="Times New Roman"/>
          <w:color w:val="auto"/>
          <w:spacing w:val="17"/>
          <w:sz w:val="32"/>
          <w:szCs w:val="32"/>
          <w:highlight w:val="none"/>
          <w:lang w:val="en-US" w:eastAsia="zh-CN"/>
        </w:rPr>
        <w:t>②将初步评价结论、调整事项、专家咨询意见和有关说明等提交单位内部讨论并征求意见。之后，对所征求的意见及时地进行收集和整理。</w:t>
      </w:r>
      <w:bookmarkEnd w:id="104"/>
    </w:p>
    <w:p w14:paraId="0433658A">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5" w:name="_Toc27759"/>
      <w:r>
        <w:rPr>
          <w:rFonts w:hint="eastAsia" w:ascii="Times New Roman" w:hAnsi="Times New Roman" w:eastAsia="仿宋_GB2312" w:cs="Times New Roman"/>
          <w:color w:val="000000"/>
          <w:spacing w:val="17"/>
          <w:sz w:val="32"/>
          <w:szCs w:val="32"/>
          <w:highlight w:val="none"/>
          <w:lang w:val="en-US" w:eastAsia="zh-CN"/>
        </w:rPr>
        <w:t>（2）</w:t>
      </w:r>
      <w:r>
        <w:rPr>
          <w:rFonts w:hint="eastAsia" w:ascii="Times New Roman" w:hAnsi="Times New Roman" w:eastAsia="仿宋_GB2312" w:cs="Times New Roman"/>
          <w:color w:val="auto"/>
          <w:spacing w:val="17"/>
          <w:sz w:val="32"/>
          <w:szCs w:val="32"/>
          <w:highlight w:val="none"/>
          <w:lang w:val="en-US" w:eastAsia="zh-CN"/>
        </w:rPr>
        <w:t>撰写报告</w:t>
      </w:r>
      <w:bookmarkEnd w:id="105"/>
    </w:p>
    <w:p w14:paraId="3917635E">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6" w:name="_Toc15579"/>
      <w:r>
        <w:rPr>
          <w:rFonts w:hint="eastAsia" w:ascii="Times New Roman" w:hAnsi="Times New Roman" w:eastAsia="仿宋_GB2312" w:cs="Times New Roman"/>
          <w:color w:val="auto"/>
          <w:spacing w:val="17"/>
          <w:sz w:val="32"/>
          <w:szCs w:val="32"/>
          <w:highlight w:val="none"/>
          <w:lang w:val="en-US" w:eastAsia="zh-CN"/>
        </w:rPr>
        <w:t>绩效评价项目小组依照整理、分析后的项目材料、数据资料，依据评价形成的初步结论，按照既定的格式和内容要求撰写绩效评价初步报告，最终形成评价结果。</w:t>
      </w:r>
      <w:bookmarkEnd w:id="106"/>
    </w:p>
    <w:p w14:paraId="3EFBF0BE">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000000" w:themeColor="text1"/>
          <w:highlight w:val="none"/>
          <w:shd w:val="clear" w:color="auto" w:fill="auto"/>
          <w14:textFill>
            <w14:solidFill>
              <w14:schemeClr w14:val="tx1"/>
            </w14:solidFill>
          </w14:textFill>
        </w:rPr>
      </w:pPr>
      <w:r>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t>三、</w:t>
      </w:r>
      <w:r>
        <w:rPr>
          <w:rFonts w:hint="eastAsia" w:ascii="黑体" w:hAnsi="黑体" w:eastAsia="黑体" w:cs="黑体"/>
          <w:b w:val="0"/>
          <w:bCs w:val="0"/>
          <w:color w:val="000000" w:themeColor="text1"/>
          <w:highlight w:val="none"/>
          <w:shd w:val="clear" w:color="auto" w:fill="auto"/>
          <w14:textFill>
            <w14:solidFill>
              <w14:schemeClr w14:val="tx1"/>
            </w14:solidFill>
          </w14:textFill>
        </w:rPr>
        <w:t>综合评价情况及评价结论</w:t>
      </w:r>
      <w:bookmarkEnd w:id="102"/>
    </w:p>
    <w:p w14:paraId="554DF2C4">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107" w:name="_Toc23319"/>
      <w:r>
        <w:rPr>
          <w:rFonts w:hint="eastAsia" w:ascii="Times New Roman" w:hAnsi="Times New Roman" w:eastAsia="楷体_GB2312" w:cs="Times New Roman"/>
          <w:kern w:val="28"/>
          <w:sz w:val="32"/>
          <w:lang w:val="en-US" w:eastAsia="zh-CN"/>
        </w:rPr>
        <w:t>（一）综合评价情况及评价结论</w:t>
      </w:r>
      <w:bookmarkEnd w:id="107"/>
    </w:p>
    <w:p w14:paraId="0BC840D4">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708" w:firstLineChars="200"/>
        <w:textAlignment w:val="auto"/>
        <w:rPr>
          <w:rFonts w:hint="default" w:ascii="Times New Roman" w:hAnsi="Times New Roman" w:eastAsia="仿宋_GB2312" w:cs="Times New Roman"/>
          <w:color w:val="auto"/>
          <w:spacing w:val="17"/>
          <w:kern w:val="2"/>
          <w:sz w:val="32"/>
          <w:szCs w:val="32"/>
          <w:highlight w:val="none"/>
          <w:lang w:val="zh-TW" w:eastAsia="zh-TW" w:bidi="ar-SA"/>
        </w:rPr>
      </w:pPr>
      <w:bookmarkStart w:id="108" w:name="_Toc11863"/>
      <w:r>
        <w:rPr>
          <w:rFonts w:hint="default" w:ascii="Times New Roman" w:hAnsi="Times New Roman" w:eastAsia="仿宋_GB2312" w:cs="Times New Roman"/>
          <w:color w:val="auto"/>
          <w:spacing w:val="17"/>
          <w:kern w:val="2"/>
          <w:sz w:val="32"/>
          <w:szCs w:val="32"/>
          <w:highlight w:val="none"/>
          <w:lang w:val="zh-TW" w:eastAsia="zh-TW" w:bidi="ar-SA"/>
        </w:rPr>
        <w:t>本项目的综合评价基于对项目各方面绩效的深入分析与评估。从项目目标的达成情况来看，</w:t>
      </w:r>
      <w:r>
        <w:rPr>
          <w:rFonts w:hint="eastAsia" w:ascii="Times New Roman" w:hAnsi="Times New Roman" w:eastAsia="仿宋_GB2312" w:cs="Times New Roman"/>
          <w:color w:val="auto"/>
          <w:spacing w:val="17"/>
          <w:kern w:val="2"/>
          <w:sz w:val="32"/>
          <w:szCs w:val="32"/>
          <w:highlight w:val="none"/>
          <w:lang w:val="en-US" w:eastAsia="zh-CN" w:bidi="ar-SA"/>
        </w:rPr>
        <w:t>2023年中央农业生产发展资金（第二批）重点作物绿色高产高效行动</w:t>
      </w:r>
      <w:r>
        <w:rPr>
          <w:rFonts w:hint="default" w:ascii="Times New Roman" w:hAnsi="Times New Roman" w:eastAsia="仿宋_GB2312" w:cs="Times New Roman"/>
          <w:color w:val="auto"/>
          <w:spacing w:val="17"/>
          <w:kern w:val="2"/>
          <w:sz w:val="32"/>
          <w:szCs w:val="32"/>
          <w:highlight w:val="none"/>
          <w:lang w:val="zh-TW" w:eastAsia="zh-TW" w:bidi="ar-SA"/>
        </w:rPr>
        <w:t>在</w:t>
      </w:r>
      <w:r>
        <w:rPr>
          <w:rFonts w:hint="eastAsia" w:ascii="Times New Roman" w:hAnsi="Times New Roman" w:eastAsia="仿宋_GB2312" w:cs="Times New Roman"/>
          <w:color w:val="auto"/>
          <w:spacing w:val="17"/>
          <w:kern w:val="2"/>
          <w:sz w:val="32"/>
          <w:szCs w:val="32"/>
          <w:highlight w:val="none"/>
          <w:lang w:val="en-US" w:eastAsia="zh-CN" w:bidi="ar-SA"/>
        </w:rPr>
        <w:t>项目产出方面完成较好</w:t>
      </w:r>
      <w:r>
        <w:rPr>
          <w:rFonts w:hint="default" w:ascii="Times New Roman" w:hAnsi="Times New Roman" w:eastAsia="仿宋_GB2312" w:cs="Times New Roman"/>
          <w:color w:val="auto"/>
          <w:spacing w:val="17"/>
          <w:kern w:val="2"/>
          <w:sz w:val="32"/>
          <w:szCs w:val="32"/>
          <w:highlight w:val="none"/>
          <w:lang w:val="zh-TW" w:eastAsia="zh-TW" w:bidi="ar-SA"/>
        </w:rPr>
        <w:t>，达到了预期的标准与要求。</w:t>
      </w:r>
    </w:p>
    <w:p w14:paraId="13651CEC">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708" w:firstLineChars="200"/>
        <w:textAlignment w:val="auto"/>
        <w:rPr>
          <w:rFonts w:hint="default" w:ascii="Times New Roman" w:hAnsi="Times New Roman" w:eastAsia="仿宋_GB2312" w:cs="Times New Roman"/>
          <w:color w:val="auto"/>
          <w:spacing w:val="17"/>
          <w:kern w:val="2"/>
          <w:sz w:val="32"/>
          <w:szCs w:val="32"/>
          <w:highlight w:val="none"/>
          <w:lang w:val="zh-TW" w:eastAsia="zh-TW" w:bidi="ar-SA"/>
        </w:rPr>
      </w:pPr>
      <w:r>
        <w:rPr>
          <w:rFonts w:hint="default" w:ascii="Times New Roman" w:hAnsi="Times New Roman" w:eastAsia="仿宋_GB2312" w:cs="Times New Roman"/>
          <w:color w:val="auto"/>
          <w:spacing w:val="17"/>
          <w:kern w:val="2"/>
          <w:sz w:val="32"/>
          <w:szCs w:val="32"/>
          <w:highlight w:val="none"/>
          <w:lang w:val="zh-TW" w:eastAsia="zh-TW" w:bidi="ar-SA"/>
        </w:rPr>
        <w:t>在项目管理方面，</w:t>
      </w:r>
      <w:r>
        <w:rPr>
          <w:rFonts w:hint="eastAsia" w:ascii="Times New Roman" w:hAnsi="Times New Roman" w:eastAsia="仿宋_GB2312" w:cs="Times New Roman"/>
          <w:color w:val="auto"/>
          <w:spacing w:val="17"/>
          <w:kern w:val="2"/>
          <w:sz w:val="32"/>
          <w:szCs w:val="32"/>
          <w:highlight w:val="none"/>
          <w:lang w:val="en-US" w:eastAsia="zh-CN" w:bidi="ar-SA"/>
        </w:rPr>
        <w:t>阜康市农牧业技术推广中心</w:t>
      </w:r>
      <w:r>
        <w:rPr>
          <w:rFonts w:hint="default" w:ascii="Times New Roman" w:hAnsi="Times New Roman" w:eastAsia="仿宋_GB2312" w:cs="Times New Roman"/>
          <w:color w:val="auto"/>
          <w:spacing w:val="17"/>
          <w:kern w:val="2"/>
          <w:sz w:val="32"/>
          <w:szCs w:val="32"/>
          <w:highlight w:val="none"/>
          <w:lang w:val="zh-TW" w:eastAsia="zh-TW" w:bidi="ar-SA"/>
        </w:rPr>
        <w:t>通过有效的规划、组织与协调，项目得以顺利实施，并在预算与时间上保持了良好的控制。</w:t>
      </w:r>
    </w:p>
    <w:p w14:paraId="3DCBCE1F">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708" w:firstLineChars="200"/>
        <w:textAlignment w:val="auto"/>
        <w:rPr>
          <w:rFonts w:hint="default" w:ascii="Times New Roman" w:hAnsi="Times New Roman" w:eastAsia="仿宋_GB2312" w:cs="Times New Roman"/>
          <w:color w:val="auto"/>
          <w:spacing w:val="17"/>
          <w:kern w:val="2"/>
          <w:sz w:val="32"/>
          <w:szCs w:val="32"/>
          <w:highlight w:val="none"/>
          <w:lang w:val="zh-TW" w:eastAsia="zh-TW" w:bidi="ar-SA"/>
        </w:rPr>
      </w:pPr>
      <w:r>
        <w:rPr>
          <w:rFonts w:hint="default" w:ascii="Times New Roman" w:hAnsi="Times New Roman" w:eastAsia="仿宋_GB2312" w:cs="Times New Roman"/>
          <w:color w:val="auto"/>
          <w:spacing w:val="17"/>
          <w:kern w:val="2"/>
          <w:sz w:val="32"/>
          <w:szCs w:val="32"/>
          <w:highlight w:val="none"/>
          <w:lang w:val="zh-TW" w:eastAsia="zh-TW" w:bidi="ar-SA"/>
        </w:rPr>
        <w:t>从项目效益的角度来看，本项目不仅实现了预期的社会效益等方面产生了积极的影响。具体而言，</w:t>
      </w:r>
      <w:r>
        <w:rPr>
          <w:rFonts w:hint="eastAsia" w:ascii="Times New Roman" w:hAnsi="Times New Roman" w:eastAsia="仿宋_GB2312" w:cs="Times New Roman"/>
          <w:color w:val="auto"/>
          <w:spacing w:val="17"/>
          <w:kern w:val="2"/>
          <w:sz w:val="32"/>
          <w:szCs w:val="32"/>
          <w:highlight w:val="none"/>
          <w:lang w:val="en-US" w:eastAsia="zh-CN" w:bidi="ar-SA"/>
        </w:rPr>
        <w:t>阜康市通过项目实施加快科技成果转化，通过示范区的建设，先进技术的集成推广，优化品种结构</w:t>
      </w:r>
      <w:r>
        <w:rPr>
          <w:rFonts w:hint="default" w:ascii="Times New Roman" w:hAnsi="Times New Roman" w:eastAsia="仿宋_GB2312" w:cs="Times New Roman"/>
          <w:color w:val="auto"/>
          <w:spacing w:val="17"/>
          <w:kern w:val="2"/>
          <w:sz w:val="32"/>
          <w:szCs w:val="32"/>
          <w:highlight w:val="none"/>
          <w:lang w:val="zh-TW" w:eastAsia="zh-TW" w:bidi="ar-SA"/>
        </w:rPr>
        <w:t>，为项目的利益相关者带来了实实在在的利益。</w:t>
      </w:r>
    </w:p>
    <w:p w14:paraId="1F4CA70A">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708" w:firstLineChars="200"/>
        <w:textAlignment w:val="auto"/>
        <w:rPr>
          <w:rFonts w:hint="default" w:ascii="Times New Roman" w:hAnsi="Times New Roman" w:eastAsia="仿宋_GB2312" w:cs="Times New Roman"/>
          <w:color w:val="auto"/>
          <w:spacing w:val="17"/>
          <w:kern w:val="2"/>
          <w:sz w:val="32"/>
          <w:szCs w:val="32"/>
          <w:highlight w:val="none"/>
          <w:lang w:val="zh-TW" w:eastAsia="zh-TW" w:bidi="ar-SA"/>
        </w:rPr>
      </w:pPr>
      <w:r>
        <w:rPr>
          <w:rFonts w:hint="default" w:ascii="Times New Roman" w:hAnsi="Times New Roman" w:eastAsia="仿宋_GB2312" w:cs="Times New Roman"/>
          <w:color w:val="auto"/>
          <w:spacing w:val="17"/>
          <w:kern w:val="2"/>
          <w:sz w:val="32"/>
          <w:szCs w:val="32"/>
          <w:highlight w:val="none"/>
          <w:lang w:val="zh-TW" w:eastAsia="zh-TW" w:bidi="ar-SA"/>
        </w:rPr>
        <w:t>综上所述，</w:t>
      </w:r>
      <w:r>
        <w:rPr>
          <w:rFonts w:hint="eastAsia" w:ascii="Times New Roman" w:hAnsi="Times New Roman" w:eastAsia="仿宋_GB2312" w:cs="Times New Roman"/>
          <w:color w:val="auto"/>
          <w:spacing w:val="17"/>
          <w:kern w:val="2"/>
          <w:sz w:val="32"/>
          <w:szCs w:val="32"/>
          <w:highlight w:val="none"/>
          <w:lang w:val="en-US" w:eastAsia="zh-CN" w:bidi="ar-SA"/>
        </w:rPr>
        <w:t>2023年中央农业生产发展资金（第二批）重点作物绿色高产高效行动</w:t>
      </w:r>
      <w:r>
        <w:rPr>
          <w:rFonts w:hint="default" w:ascii="Times New Roman" w:hAnsi="Times New Roman" w:eastAsia="仿宋_GB2312" w:cs="Times New Roman"/>
          <w:color w:val="auto"/>
          <w:spacing w:val="17"/>
          <w:kern w:val="2"/>
          <w:sz w:val="32"/>
          <w:szCs w:val="32"/>
          <w:highlight w:val="none"/>
          <w:lang w:val="zh-TW" w:eastAsia="zh-TW" w:bidi="ar-SA"/>
        </w:rPr>
        <w:t>在绩效评价中表现出色，达到了项目的预期目标，并在多个方面取得了显著的成效</w:t>
      </w:r>
      <w:r>
        <w:rPr>
          <w:rFonts w:hint="eastAsia" w:ascii="Times New Roman" w:hAnsi="Times New Roman" w:eastAsia="仿宋_GB2312" w:cs="Times New Roman"/>
          <w:color w:val="auto"/>
          <w:spacing w:val="17"/>
          <w:kern w:val="2"/>
          <w:sz w:val="32"/>
          <w:szCs w:val="32"/>
          <w:highlight w:val="none"/>
          <w:lang w:val="zh-TW" w:eastAsia="zh-CN" w:bidi="ar-SA"/>
        </w:rPr>
        <w:t>，</w:t>
      </w:r>
      <w:r>
        <w:rPr>
          <w:rFonts w:hint="eastAsia" w:ascii="Times New Roman" w:hAnsi="Times New Roman" w:eastAsia="仿宋_GB2312" w:cs="Times New Roman"/>
          <w:color w:val="auto"/>
          <w:spacing w:val="17"/>
          <w:kern w:val="2"/>
          <w:sz w:val="32"/>
          <w:szCs w:val="32"/>
          <w:highlight w:val="none"/>
          <w:lang w:val="en-US" w:eastAsia="zh-CN" w:bidi="ar-SA"/>
        </w:rPr>
        <w:t>评价等级为优</w:t>
      </w:r>
      <w:r>
        <w:rPr>
          <w:rFonts w:hint="default" w:ascii="Times New Roman" w:hAnsi="Times New Roman" w:eastAsia="仿宋_GB2312" w:cs="Times New Roman"/>
          <w:color w:val="auto"/>
          <w:spacing w:val="17"/>
          <w:kern w:val="2"/>
          <w:sz w:val="32"/>
          <w:szCs w:val="32"/>
          <w:highlight w:val="none"/>
          <w:lang w:val="zh-TW" w:eastAsia="zh-TW" w:bidi="ar-SA"/>
        </w:rPr>
        <w:t>。</w:t>
      </w:r>
    </w:p>
    <w:p w14:paraId="612DC7F5">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r>
        <w:rPr>
          <w:rFonts w:hint="eastAsia" w:ascii="Times New Roman" w:hAnsi="Times New Roman" w:eastAsia="楷体_GB2312" w:cs="Times New Roman"/>
          <w:kern w:val="28"/>
          <w:sz w:val="32"/>
          <w:lang w:val="en-US" w:eastAsia="zh-CN"/>
        </w:rPr>
        <w:t>（二）相关评分表</w:t>
      </w:r>
      <w:bookmarkEnd w:id="108"/>
    </w:p>
    <w:tbl>
      <w:tblPr>
        <w:tblStyle w:val="16"/>
        <w:tblW w:w="8289" w:type="dxa"/>
        <w:jc w:val="center"/>
        <w:shd w:val="clear" w:color="auto" w:fill="auto"/>
        <w:tblLayout w:type="fixed"/>
        <w:tblCellMar>
          <w:top w:w="0" w:type="dxa"/>
          <w:left w:w="0" w:type="dxa"/>
          <w:bottom w:w="0" w:type="dxa"/>
          <w:right w:w="0" w:type="dxa"/>
        </w:tblCellMar>
      </w:tblPr>
      <w:tblGrid>
        <w:gridCol w:w="1094"/>
        <w:gridCol w:w="1361"/>
        <w:gridCol w:w="1361"/>
        <w:gridCol w:w="1361"/>
        <w:gridCol w:w="1623"/>
        <w:gridCol w:w="1489"/>
      </w:tblGrid>
      <w:tr w14:paraId="20026525">
        <w:tblPrEx>
          <w:shd w:val="clear" w:color="auto" w:fill="auto"/>
          <w:tblCellMar>
            <w:top w:w="0" w:type="dxa"/>
            <w:left w:w="0" w:type="dxa"/>
            <w:bottom w:w="0" w:type="dxa"/>
            <w:right w:w="0" w:type="dxa"/>
          </w:tblCellMar>
        </w:tblPrEx>
        <w:trPr>
          <w:trHeight w:val="375" w:hRule="atLeast"/>
          <w:jc w:val="center"/>
        </w:trPr>
        <w:tc>
          <w:tcPr>
            <w:tcW w:w="8289" w:type="dxa"/>
            <w:gridSpan w:val="6"/>
            <w:tcBorders>
              <w:top w:val="nil"/>
              <w:left w:val="nil"/>
              <w:bottom w:val="nil"/>
              <w:right w:val="nil"/>
            </w:tcBorders>
            <w:shd w:val="clear" w:color="auto" w:fill="auto"/>
            <w:tcMar>
              <w:top w:w="15" w:type="dxa"/>
              <w:left w:w="15" w:type="dxa"/>
              <w:right w:w="15" w:type="dxa"/>
            </w:tcMar>
            <w:vAlign w:val="center"/>
          </w:tcPr>
          <w:p w14:paraId="49AC68E2">
            <w:pPr>
              <w:spacing w:line="560" w:lineRule="exact"/>
              <w:ind w:firstLine="708" w:firstLineChars="200"/>
              <w:rPr>
                <w:rFonts w:hint="eastAsia" w:ascii="Times New Roman" w:hAnsi="Times New Roman" w:eastAsia="仿宋_GB2312" w:cs="Times New Roman"/>
                <w:color w:val="auto"/>
                <w:spacing w:val="17"/>
                <w:sz w:val="32"/>
                <w:szCs w:val="32"/>
                <w:highlight w:val="none"/>
                <w:lang w:val="zh-TW" w:eastAsia="zh-TW"/>
              </w:rPr>
            </w:pPr>
            <w:bookmarkStart w:id="109" w:name="_Toc14941"/>
            <w:r>
              <w:rPr>
                <w:rFonts w:hint="eastAsia" w:ascii="Times New Roman" w:hAnsi="Times New Roman" w:eastAsia="仿宋_GB2312" w:cs="Times New Roman"/>
                <w:color w:val="auto"/>
                <w:spacing w:val="17"/>
                <w:sz w:val="32"/>
                <w:szCs w:val="32"/>
                <w:highlight w:val="none"/>
                <w:lang w:val="en-US" w:eastAsia="zh-CN"/>
              </w:rPr>
              <w:t>此次绩效评价</w:t>
            </w:r>
            <w:r>
              <w:rPr>
                <w:rFonts w:hint="eastAsia" w:ascii="Times New Roman" w:hAnsi="Times New Roman" w:eastAsia="仿宋_GB2312" w:cs="Times New Roman"/>
                <w:color w:val="auto"/>
                <w:spacing w:val="17"/>
                <w:sz w:val="32"/>
                <w:szCs w:val="32"/>
                <w:highlight w:val="none"/>
                <w:lang w:val="zh-TW" w:eastAsia="zh-TW"/>
              </w:rPr>
              <w:t>通过组论证的评价指标体系及评分标准，</w:t>
            </w:r>
            <w:r>
              <w:rPr>
                <w:rFonts w:hint="eastAsia" w:ascii="Times New Roman" w:hAnsi="Times New Roman" w:eastAsia="仿宋_GB2312" w:cs="Times New Roman"/>
                <w:color w:val="auto"/>
                <w:spacing w:val="17"/>
                <w:sz w:val="32"/>
                <w:szCs w:val="32"/>
                <w:highlight w:val="none"/>
                <w:lang w:val="en-US" w:eastAsia="zh-CN"/>
              </w:rPr>
              <w:t>采用的方法比较法、因素分析法、公众评判法，</w:t>
            </w:r>
            <w:r>
              <w:rPr>
                <w:rFonts w:hint="eastAsia" w:ascii="Times New Roman" w:hAnsi="Times New Roman" w:eastAsia="仿宋_GB2312" w:cs="Times New Roman"/>
                <w:color w:val="auto"/>
                <w:spacing w:val="17"/>
                <w:sz w:val="32"/>
                <w:szCs w:val="32"/>
                <w:highlight w:val="none"/>
                <w:lang w:val="zh-TW" w:eastAsia="zh-TW"/>
              </w:rPr>
              <w:t>对</w:t>
            </w:r>
            <w:r>
              <w:rPr>
                <w:rFonts w:hint="eastAsia" w:ascii="Times New Roman" w:hAnsi="Times New Roman" w:eastAsia="仿宋_GB2312" w:cs="Times New Roman"/>
                <w:color w:val="auto"/>
                <w:spacing w:val="17"/>
                <w:sz w:val="32"/>
                <w:szCs w:val="32"/>
                <w:highlight w:val="none"/>
                <w:lang w:val="en-US" w:eastAsia="zh-CN"/>
              </w:rPr>
              <w:t>2023年中央农业生产发展资金（第二批）重点作物绿色高产高效行动</w:t>
            </w:r>
            <w:r>
              <w:rPr>
                <w:rFonts w:hint="eastAsia" w:ascii="Times New Roman" w:hAnsi="Times New Roman" w:eastAsia="仿宋_GB2312" w:cs="Times New Roman"/>
                <w:color w:val="auto"/>
                <w:spacing w:val="17"/>
                <w:sz w:val="32"/>
                <w:szCs w:val="32"/>
                <w:highlight w:val="none"/>
                <w:lang w:val="zh-TW" w:eastAsia="zh-TW"/>
              </w:rPr>
              <w:t>绩效进行客观评价，最终评分结果：</w:t>
            </w:r>
            <w:r>
              <w:rPr>
                <w:rFonts w:hint="default" w:ascii="Times New Roman" w:hAnsi="Times New Roman" w:eastAsia="仿宋_GB2312" w:cs="Times New Roman"/>
                <w:color w:val="auto"/>
                <w:spacing w:val="17"/>
                <w:sz w:val="32"/>
                <w:szCs w:val="32"/>
                <w:highlight w:val="none"/>
                <w:lang w:val="en-US" w:eastAsia="zh-CN"/>
              </w:rPr>
              <w:t>总得分为</w:t>
            </w:r>
            <w:r>
              <w:rPr>
                <w:rFonts w:hint="eastAsia" w:ascii="Times New Roman" w:hAnsi="Times New Roman" w:eastAsia="仿宋_GB2312" w:cs="Times New Roman"/>
                <w:color w:val="auto"/>
                <w:spacing w:val="17"/>
                <w:sz w:val="32"/>
                <w:szCs w:val="32"/>
                <w:highlight w:val="none"/>
                <w:lang w:val="en-US" w:eastAsia="zh-CN"/>
              </w:rPr>
              <w:t>99.52</w:t>
            </w:r>
            <w:r>
              <w:rPr>
                <w:rFonts w:hint="default" w:ascii="Times New Roman" w:hAnsi="Times New Roman" w:eastAsia="仿宋_GB2312" w:cs="Times New Roman"/>
                <w:color w:val="auto"/>
                <w:spacing w:val="17"/>
                <w:sz w:val="32"/>
                <w:szCs w:val="32"/>
                <w:highlight w:val="none"/>
                <w:lang w:val="en-US" w:eastAsia="zh-CN"/>
              </w:rPr>
              <w:t>分，属于“优”。其中，项目决策类指标权重为20分，得分为</w:t>
            </w:r>
            <w:r>
              <w:rPr>
                <w:rFonts w:hint="eastAsia" w:ascii="Times New Roman" w:hAnsi="Times New Roman" w:eastAsia="仿宋_GB2312" w:cs="Times New Roman"/>
                <w:color w:val="auto"/>
                <w:spacing w:val="17"/>
                <w:sz w:val="32"/>
                <w:szCs w:val="32"/>
                <w:highlight w:val="none"/>
                <w:lang w:val="en-US" w:eastAsia="zh-CN"/>
              </w:rPr>
              <w:t>18</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90</w:t>
            </w:r>
            <w:r>
              <w:rPr>
                <w:rFonts w:hint="default" w:ascii="Times New Roman" w:hAnsi="Times New Roman" w:eastAsia="仿宋_GB2312" w:cs="Times New Roman"/>
                <w:color w:val="auto"/>
                <w:spacing w:val="17"/>
                <w:sz w:val="32"/>
                <w:szCs w:val="32"/>
                <w:highlight w:val="none"/>
                <w:lang w:val="en-US" w:eastAsia="zh-CN"/>
              </w:rPr>
              <w:t>%。项目过程类指标权重为20分，得分为</w:t>
            </w:r>
            <w:r>
              <w:rPr>
                <w:rFonts w:hint="eastAsia" w:ascii="Times New Roman" w:hAnsi="Times New Roman" w:eastAsia="仿宋_GB2312" w:cs="Times New Roman"/>
                <w:color w:val="auto"/>
                <w:spacing w:val="17"/>
                <w:sz w:val="32"/>
                <w:szCs w:val="32"/>
                <w:highlight w:val="none"/>
                <w:lang w:val="en-US" w:eastAsia="zh-CN"/>
              </w:rPr>
              <w:t>20</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%。项目产出类指标权重为40分，得分为</w:t>
            </w:r>
            <w:r>
              <w:rPr>
                <w:rFonts w:hint="eastAsia" w:ascii="Times New Roman" w:hAnsi="Times New Roman" w:eastAsia="仿宋_GB2312" w:cs="Times New Roman"/>
                <w:color w:val="auto"/>
                <w:spacing w:val="17"/>
                <w:sz w:val="32"/>
                <w:szCs w:val="32"/>
                <w:highlight w:val="none"/>
                <w:lang w:val="en-US" w:eastAsia="zh-CN"/>
              </w:rPr>
              <w:t>39.8</w:t>
            </w:r>
            <w:r>
              <w:rPr>
                <w:rFonts w:hint="default" w:ascii="Times New Roman" w:hAnsi="Times New Roman" w:eastAsia="仿宋_GB2312" w:cs="Times New Roman"/>
                <w:color w:val="auto"/>
                <w:spacing w:val="17"/>
                <w:sz w:val="32"/>
                <w:szCs w:val="32"/>
                <w:highlight w:val="none"/>
                <w:lang w:val="en-US" w:eastAsia="zh-CN"/>
              </w:rPr>
              <w:t>分，得分率</w:t>
            </w:r>
            <w:r>
              <w:rPr>
                <w:rFonts w:hint="eastAsia" w:ascii="Times New Roman" w:hAnsi="Times New Roman" w:eastAsia="仿宋_GB2312" w:cs="Times New Roman"/>
                <w:color w:val="auto"/>
                <w:spacing w:val="17"/>
                <w:sz w:val="32"/>
                <w:szCs w:val="32"/>
                <w:highlight w:val="none"/>
                <w:lang w:val="en-US" w:eastAsia="zh-CN"/>
              </w:rPr>
              <w:t>99.5</w:t>
            </w:r>
            <w:r>
              <w:rPr>
                <w:rFonts w:hint="default" w:ascii="Times New Roman" w:hAnsi="Times New Roman" w:eastAsia="仿宋_GB2312" w:cs="Times New Roman"/>
                <w:color w:val="auto"/>
                <w:spacing w:val="17"/>
                <w:sz w:val="32"/>
                <w:szCs w:val="32"/>
                <w:highlight w:val="none"/>
                <w:lang w:val="en-US" w:eastAsia="zh-CN"/>
              </w:rPr>
              <w:t>%。项目效益类指标权重为20分，得分为</w:t>
            </w:r>
            <w:r>
              <w:rPr>
                <w:rFonts w:hint="eastAsia" w:ascii="Times New Roman" w:hAnsi="Times New Roman" w:eastAsia="仿宋_GB2312" w:cs="Times New Roman"/>
                <w:color w:val="auto"/>
                <w:spacing w:val="17"/>
                <w:sz w:val="32"/>
                <w:szCs w:val="32"/>
                <w:highlight w:val="none"/>
                <w:shd w:val="clear"/>
                <w:lang w:val="en-US" w:eastAsia="zh-CN"/>
              </w:rPr>
              <w:t>20</w:t>
            </w:r>
            <w:r>
              <w:rPr>
                <w:rFonts w:hint="default" w:ascii="Times New Roman" w:hAnsi="Times New Roman" w:eastAsia="仿宋_GB2312" w:cs="Times New Roman"/>
                <w:color w:val="auto"/>
                <w:spacing w:val="17"/>
                <w:sz w:val="32"/>
                <w:szCs w:val="32"/>
                <w:highlight w:val="none"/>
                <w:shd w:val="clear"/>
                <w:lang w:val="en-US" w:eastAsia="zh-CN"/>
              </w:rPr>
              <w:t>分，</w:t>
            </w:r>
            <w:r>
              <w:rPr>
                <w:rFonts w:hint="default" w:ascii="Times New Roman" w:hAnsi="Times New Roman" w:eastAsia="仿宋_GB2312" w:cs="Times New Roman"/>
                <w:color w:val="auto"/>
                <w:spacing w:val="17"/>
                <w:sz w:val="32"/>
                <w:szCs w:val="32"/>
                <w:highlight w:val="none"/>
                <w:lang w:val="en-US" w:eastAsia="zh-CN"/>
              </w:rPr>
              <w:t>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w:t>
            </w:r>
            <w:r>
              <w:rPr>
                <w:rFonts w:hint="eastAsia" w:ascii="Times New Roman" w:hAnsi="Times New Roman" w:eastAsia="仿宋_GB2312" w:cs="Times New Roman"/>
                <w:color w:val="auto"/>
                <w:spacing w:val="17"/>
                <w:sz w:val="32"/>
                <w:szCs w:val="32"/>
                <w:highlight w:val="none"/>
                <w:lang w:val="zh-TW" w:eastAsia="zh-TW"/>
              </w:rPr>
              <w:t>各部分权重和绩效</w:t>
            </w:r>
            <w:r>
              <w:rPr>
                <w:rFonts w:hint="eastAsia" w:ascii="Times New Roman" w:hAnsi="Times New Roman" w:eastAsia="仿宋_GB2312" w:cs="Times New Roman"/>
                <w:color w:val="auto"/>
                <w:spacing w:val="17"/>
                <w:sz w:val="32"/>
                <w:szCs w:val="32"/>
                <w:highlight w:val="none"/>
                <w:lang w:val="en-US" w:eastAsia="zh-CN"/>
              </w:rPr>
              <w:t>汇总</w:t>
            </w:r>
            <w:r>
              <w:rPr>
                <w:rFonts w:hint="eastAsia" w:ascii="Times New Roman" w:hAnsi="Times New Roman" w:eastAsia="仿宋_GB2312" w:cs="Times New Roman"/>
                <w:color w:val="auto"/>
                <w:spacing w:val="17"/>
                <w:sz w:val="32"/>
                <w:szCs w:val="32"/>
                <w:highlight w:val="none"/>
                <w:lang w:val="zh-TW" w:eastAsia="zh-TW"/>
              </w:rPr>
              <w:t>分值如下表</w:t>
            </w:r>
            <w:r>
              <w:rPr>
                <w:rFonts w:hint="eastAsia" w:ascii="Times New Roman" w:hAnsi="Times New Roman" w:eastAsia="仿宋_GB2312" w:cs="Times New Roman"/>
                <w:color w:val="auto"/>
                <w:spacing w:val="17"/>
                <w:sz w:val="32"/>
                <w:szCs w:val="32"/>
                <w:highlight w:val="none"/>
                <w:lang w:val="en-US" w:eastAsia="zh-CN"/>
              </w:rPr>
              <w:t>3-1</w:t>
            </w:r>
            <w:r>
              <w:rPr>
                <w:rFonts w:hint="eastAsia" w:ascii="Times New Roman" w:hAnsi="Times New Roman" w:eastAsia="仿宋_GB2312" w:cs="Times New Roman"/>
                <w:color w:val="auto"/>
                <w:spacing w:val="17"/>
                <w:sz w:val="32"/>
                <w:szCs w:val="32"/>
                <w:highlight w:val="none"/>
                <w:lang w:val="zh-TW" w:eastAsia="zh-TW"/>
              </w:rPr>
              <w:t>所示</w:t>
            </w:r>
            <w:r>
              <w:rPr>
                <w:rFonts w:hint="eastAsia" w:ascii="Times New Roman" w:hAnsi="Times New Roman" w:eastAsia="仿宋_GB2312" w:cs="Times New Roman"/>
                <w:color w:val="auto"/>
                <w:spacing w:val="17"/>
                <w:sz w:val="32"/>
                <w:szCs w:val="32"/>
                <w:highlight w:val="none"/>
                <w:lang w:val="zh-TW" w:eastAsia="zh-CN"/>
              </w:rPr>
              <w:t>（</w:t>
            </w:r>
            <w:r>
              <w:rPr>
                <w:rFonts w:hint="eastAsia" w:ascii="Times New Roman" w:hAnsi="Times New Roman" w:eastAsia="仿宋_GB2312" w:cs="Times New Roman"/>
                <w:color w:val="auto"/>
                <w:spacing w:val="17"/>
                <w:sz w:val="32"/>
                <w:szCs w:val="32"/>
                <w:highlight w:val="none"/>
                <w:lang w:val="en-US" w:eastAsia="zh-CN"/>
              </w:rPr>
              <w:t>详见上传的附件</w:t>
            </w:r>
            <w:r>
              <w:rPr>
                <w:rFonts w:hint="eastAsia" w:ascii="Times New Roman" w:hAnsi="Times New Roman" w:eastAsia="仿宋_GB2312" w:cs="Times New Roman"/>
                <w:color w:val="auto"/>
                <w:spacing w:val="17"/>
                <w:sz w:val="32"/>
                <w:szCs w:val="32"/>
                <w:highlight w:val="none"/>
                <w:lang w:val="zh-TW" w:eastAsia="zh-CN"/>
              </w:rPr>
              <w:t>）</w:t>
            </w:r>
            <w:r>
              <w:rPr>
                <w:rFonts w:hint="eastAsia" w:ascii="Times New Roman" w:hAnsi="Times New Roman" w:eastAsia="仿宋_GB2312" w:cs="Times New Roman"/>
                <w:color w:val="auto"/>
                <w:spacing w:val="17"/>
                <w:sz w:val="32"/>
                <w:szCs w:val="32"/>
                <w:highlight w:val="none"/>
                <w:lang w:val="zh-TW" w:eastAsia="zh-TW"/>
              </w:rPr>
              <w:t>：</w:t>
            </w:r>
          </w:p>
          <w:p w14:paraId="568AC1D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8"/>
                <w:szCs w:val="28"/>
                <w:highlight w:val="none"/>
                <w:shd w:val="clear" w:color="auto" w:fill="auto"/>
                <w:lang w:val="en-US" w:eastAsia="zh-CN"/>
              </w:rPr>
              <w:t>表3-1：</w:t>
            </w:r>
            <w:r>
              <w:rPr>
                <w:rFonts w:hint="eastAsia" w:cs="宋体"/>
                <w:b/>
                <w:bCs/>
                <w:color w:val="auto"/>
                <w:kern w:val="0"/>
                <w:sz w:val="28"/>
                <w:szCs w:val="28"/>
                <w:highlight w:val="none"/>
                <w:shd w:val="clear" w:color="auto" w:fill="auto"/>
                <w:lang w:val="en-US" w:eastAsia="zh-CN"/>
              </w:rPr>
              <w:t>2023年中央农业生产发展资金（第二批）重点作物绿色高产高效行动</w:t>
            </w:r>
            <w:r>
              <w:rPr>
                <w:rFonts w:hint="eastAsia" w:ascii="宋体" w:hAnsi="宋体" w:eastAsia="宋体" w:cs="宋体"/>
                <w:b/>
                <w:bCs/>
                <w:color w:val="auto"/>
                <w:kern w:val="0"/>
                <w:sz w:val="28"/>
                <w:szCs w:val="28"/>
                <w:highlight w:val="none"/>
                <w:shd w:val="clear" w:color="auto" w:fill="auto"/>
                <w:lang w:val="en-US" w:eastAsia="zh-CN"/>
              </w:rPr>
              <w:t>项目得分表</w:t>
            </w:r>
          </w:p>
        </w:tc>
      </w:tr>
      <w:tr w14:paraId="72BDEA57">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A25C8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指标类别</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4CE75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1.项目决策</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C80C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2.过程管理</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2EE7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3.项目产出</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A0CC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4.项目效益</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54F1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合计</w:t>
            </w:r>
          </w:p>
        </w:tc>
      </w:tr>
      <w:tr w14:paraId="5C765CC7">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FFF0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权重</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4238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F684D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7A0F5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40</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E7AC2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F072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100</w:t>
            </w:r>
          </w:p>
        </w:tc>
      </w:tr>
      <w:tr w14:paraId="559AF83E">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DFF9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分值</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E9AC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18</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F02A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A62B2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39.8</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9FB4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CD0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97.8</w:t>
            </w:r>
          </w:p>
        </w:tc>
      </w:tr>
      <w:tr w14:paraId="78CB25C5">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4467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得分率</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3321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90</w:t>
            </w:r>
            <w:r>
              <w:rPr>
                <w:rFonts w:hint="eastAsia" w:ascii="宋体" w:hAnsi="宋体" w:eastAsia="宋体" w:cs="宋体"/>
                <w:color w:val="auto"/>
                <w:kern w:val="0"/>
                <w:sz w:val="21"/>
                <w:szCs w:val="21"/>
                <w:highlight w:val="none"/>
                <w:shd w:val="clear" w:color="auto" w:fill="auto"/>
                <w:lang w:val="en-US" w:eastAsia="zh-CN"/>
              </w:rPr>
              <w:t>%</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3FC5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18DD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99.5</w:t>
            </w:r>
            <w:r>
              <w:rPr>
                <w:rFonts w:hint="eastAsia" w:ascii="宋体" w:hAnsi="宋体" w:eastAsia="宋体" w:cs="宋体"/>
                <w:color w:val="auto"/>
                <w:kern w:val="0"/>
                <w:sz w:val="21"/>
                <w:szCs w:val="21"/>
                <w:highlight w:val="none"/>
                <w:shd w:val="clear" w:color="auto" w:fill="auto"/>
                <w:lang w:val="en-US" w:eastAsia="zh-CN"/>
              </w:rPr>
              <w:t>%</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CC4A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40A0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97.8</w:t>
            </w:r>
            <w:r>
              <w:rPr>
                <w:rFonts w:hint="eastAsia" w:ascii="宋体" w:hAnsi="宋体" w:eastAsia="宋体" w:cs="宋体"/>
                <w:color w:val="auto"/>
                <w:kern w:val="0"/>
                <w:sz w:val="21"/>
                <w:szCs w:val="21"/>
                <w:highlight w:val="none"/>
                <w:shd w:val="clear" w:color="auto" w:fill="auto"/>
                <w:lang w:val="en-US" w:eastAsia="zh-CN"/>
              </w:rPr>
              <w:t>%</w:t>
            </w:r>
          </w:p>
        </w:tc>
      </w:tr>
    </w:tbl>
    <w:p w14:paraId="1D5A7EEF">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t>四、绩效评价指标分析</w:t>
      </w:r>
      <w:bookmarkEnd w:id="109"/>
    </w:p>
    <w:p w14:paraId="113215D4">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110" w:name="_Toc6759"/>
      <w:r>
        <w:rPr>
          <w:rFonts w:hint="eastAsia" w:ascii="Times New Roman" w:hAnsi="Times New Roman" w:eastAsia="楷体_GB2312" w:cs="Times New Roman"/>
          <w:kern w:val="28"/>
          <w:sz w:val="32"/>
          <w:lang w:val="en-US" w:eastAsia="zh-CN"/>
        </w:rPr>
        <w:t>（一）项目决策情况</w:t>
      </w:r>
      <w:bookmarkEnd w:id="110"/>
    </w:p>
    <w:p w14:paraId="28479D81">
      <w:pPr>
        <w:keepNext w:val="0"/>
        <w:keepLines w:val="0"/>
        <w:pageBreakBefore w:val="0"/>
        <w:widowControl w:val="0"/>
        <w:kinsoku/>
        <w:wordWrap/>
        <w:overflowPunct/>
        <w:topLinePunct w:val="0"/>
        <w:autoSpaceDE/>
        <w:autoSpaceDN/>
        <w:bidi w:val="0"/>
        <w:adjustRightInd/>
        <w:snapToGrid/>
        <w:spacing w:line="560" w:lineRule="exact"/>
        <w:ind w:firstLine="723"/>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项目决策由3个二级指标和6个三级指标构成，权重分20分，实际得分18分，</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4</w:t>
      </w:r>
      <w:r>
        <w:rPr>
          <w:rFonts w:hint="eastAsia" w:ascii="仿宋_GB2312" w:hAnsi="仿宋_GB2312" w:eastAsia="仿宋_GB2312" w:cs="仿宋_GB2312"/>
          <w:b/>
          <w:bCs/>
          <w:color w:val="auto"/>
          <w:kern w:val="2"/>
          <w:sz w:val="32"/>
          <w:szCs w:val="32"/>
          <w:highlight w:val="none"/>
          <w:u w:color="000000"/>
          <w:shd w:val="clear" w:color="auto" w:fill="auto"/>
          <w:lang w:eastAsia="zh-CN"/>
        </w:rPr>
        <w:t>-1</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sz w:val="32"/>
          <w:szCs w:val="32"/>
          <w:highlight w:val="none"/>
          <w:shd w:val="clear" w:color="auto" w:fill="auto"/>
          <w:lang w:val="zh-TW" w:eastAsia="zh-CN"/>
        </w:rPr>
        <w:t>（</w:t>
      </w:r>
      <w:r>
        <w:rPr>
          <w:rFonts w:hint="eastAsia" w:ascii="仿宋_GB2312" w:hAnsi="仿宋_GB2312" w:eastAsia="仿宋_GB2312" w:cs="仿宋_GB2312"/>
          <w:b/>
          <w:bCs/>
          <w:color w:val="auto"/>
          <w:sz w:val="32"/>
          <w:szCs w:val="32"/>
          <w:highlight w:val="none"/>
          <w:shd w:val="clear" w:color="auto" w:fill="auto"/>
          <w:lang w:val="en-US" w:eastAsia="zh-CN"/>
        </w:rPr>
        <w:t>详见上传的附件二</w:t>
      </w:r>
      <w:r>
        <w:rPr>
          <w:rFonts w:hint="eastAsia" w:ascii="仿宋_GB2312" w:hAnsi="仿宋_GB2312" w:eastAsia="仿宋_GB2312" w:cs="仿宋_GB2312"/>
          <w:b/>
          <w:bCs/>
          <w:color w:val="auto"/>
          <w:sz w:val="32"/>
          <w:szCs w:val="32"/>
          <w:highlight w:val="none"/>
          <w:shd w:val="clear" w:color="auto" w:fill="auto"/>
          <w:lang w:val="zh-TW" w:eastAsia="zh-CN"/>
        </w:rPr>
        <w:t>）</w:t>
      </w:r>
      <w:r>
        <w:rPr>
          <w:rFonts w:hint="eastAsia" w:ascii="仿宋_GB2312" w:hAnsi="仿宋_GB2312" w:eastAsia="仿宋_GB2312" w:cs="仿宋_GB2312"/>
          <w:color w:val="auto"/>
          <w:sz w:val="32"/>
          <w:szCs w:val="32"/>
          <w:highlight w:val="none"/>
          <w:shd w:val="clear" w:color="auto" w:fill="auto"/>
          <w:lang w:val="en-US" w:eastAsia="zh-CN"/>
        </w:rPr>
        <w:t>：</w:t>
      </w:r>
    </w:p>
    <w:p w14:paraId="6D07CDD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仿宋_GB2312" w:hAnsi="仿宋_GB2312" w:eastAsia="仿宋_GB2312" w:cs="仿宋_GB2312"/>
          <w:b/>
          <w:bCs/>
          <w:color w:val="auto"/>
          <w:kern w:val="0"/>
          <w:sz w:val="32"/>
          <w:szCs w:val="32"/>
          <w:highlight w:val="none"/>
          <w:shd w:val="clear" w:color="auto" w:fill="auto"/>
          <w:lang w:val="en-US" w:eastAsia="zh-CN"/>
        </w:rPr>
      </w:pPr>
      <w:bookmarkStart w:id="111" w:name="_Toc13522"/>
      <w:bookmarkStart w:id="112" w:name="_Toc28069"/>
      <w:r>
        <w:rPr>
          <w:rFonts w:hint="eastAsia" w:ascii="仿宋_GB2312" w:hAnsi="仿宋_GB2312" w:eastAsia="仿宋_GB2312" w:cs="仿宋_GB2312"/>
          <w:b/>
          <w:bCs/>
          <w:color w:val="auto"/>
          <w:kern w:val="0"/>
          <w:sz w:val="32"/>
          <w:szCs w:val="32"/>
          <w:highlight w:val="none"/>
          <w:shd w:val="clear" w:color="auto" w:fill="auto"/>
          <w:lang w:val="zh-TW" w:eastAsia="zh-TW"/>
        </w:rPr>
        <w:t>表</w:t>
      </w:r>
      <w:r>
        <w:rPr>
          <w:rFonts w:hint="eastAsia" w:ascii="仿宋_GB2312" w:hAnsi="仿宋_GB2312" w:eastAsia="仿宋_GB2312" w:cs="仿宋_GB2312"/>
          <w:b/>
          <w:bCs/>
          <w:color w:val="auto"/>
          <w:kern w:val="0"/>
          <w:sz w:val="32"/>
          <w:szCs w:val="32"/>
          <w:highlight w:val="none"/>
          <w:shd w:val="clear" w:color="auto" w:fill="auto"/>
          <w:lang w:val="en-US" w:eastAsia="zh-CN"/>
        </w:rPr>
        <w:t>4-1</w:t>
      </w:r>
      <w:r>
        <w:rPr>
          <w:rFonts w:hint="eastAsia" w:ascii="仿宋_GB2312" w:hAnsi="仿宋_GB2312" w:eastAsia="仿宋_GB2312" w:cs="仿宋_GB2312"/>
          <w:b/>
          <w:bCs/>
          <w:color w:val="auto"/>
          <w:kern w:val="0"/>
          <w:sz w:val="32"/>
          <w:szCs w:val="32"/>
          <w:highlight w:val="none"/>
          <w:shd w:val="clear" w:color="auto" w:fill="auto"/>
          <w:lang w:val="zh-TW" w:eastAsia="zh-TW"/>
        </w:rPr>
        <w:t>项目决策指标及分值</w:t>
      </w:r>
    </w:p>
    <w:tbl>
      <w:tblPr>
        <w:tblStyle w:val="16"/>
        <w:tblW w:w="8447" w:type="dxa"/>
        <w:jc w:val="center"/>
        <w:tblLayout w:type="fixed"/>
        <w:tblCellMar>
          <w:top w:w="0" w:type="dxa"/>
          <w:left w:w="0" w:type="dxa"/>
          <w:bottom w:w="0" w:type="dxa"/>
          <w:right w:w="0" w:type="dxa"/>
        </w:tblCellMar>
      </w:tblPr>
      <w:tblGrid>
        <w:gridCol w:w="1077"/>
        <w:gridCol w:w="960"/>
        <w:gridCol w:w="1248"/>
        <w:gridCol w:w="794"/>
        <w:gridCol w:w="3"/>
        <w:gridCol w:w="1868"/>
        <w:gridCol w:w="3"/>
        <w:gridCol w:w="1414"/>
        <w:gridCol w:w="1077"/>
        <w:gridCol w:w="3"/>
      </w:tblGrid>
      <w:tr w14:paraId="292877AF">
        <w:tblPrEx>
          <w:tblCellMar>
            <w:top w:w="0" w:type="dxa"/>
            <w:left w:w="0" w:type="dxa"/>
            <w:bottom w:w="0" w:type="dxa"/>
            <w:right w:w="0" w:type="dxa"/>
          </w:tblCellMar>
        </w:tblPrEx>
        <w:trPr>
          <w:gridAfter w:val="1"/>
          <w:wAfter w:w="3" w:type="dxa"/>
          <w:trHeight w:val="522" w:hRule="atLeast"/>
          <w:tblHeader/>
          <w:jc w:val="center"/>
        </w:trPr>
        <w:tc>
          <w:tcPr>
            <w:tcW w:w="1077"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09906FB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960"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2E93668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248"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4C2925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3DA66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9D4DB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44B1B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C248E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0E28AF53">
        <w:tblPrEx>
          <w:tblCellMar>
            <w:top w:w="0" w:type="dxa"/>
            <w:left w:w="0" w:type="dxa"/>
            <w:bottom w:w="0" w:type="dxa"/>
            <w:right w:w="0" w:type="dxa"/>
          </w:tblCellMar>
        </w:tblPrEx>
        <w:trPr>
          <w:gridAfter w:val="1"/>
          <w:wAfter w:w="3" w:type="dxa"/>
          <w:trHeight w:val="334" w:hRule="atLeast"/>
          <w:tblHeader/>
          <w:jc w:val="center"/>
        </w:trPr>
        <w:tc>
          <w:tcPr>
            <w:tcW w:w="1077" w:type="dxa"/>
            <w:vMerge w:val="restar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3F6C093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项目决策</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0D7016D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14:paraId="24A6A33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项目立项</w:t>
            </w:r>
          </w:p>
        </w:tc>
        <w:tc>
          <w:tcPr>
            <w:tcW w:w="794" w:type="dxa"/>
            <w:vMerge w:val="restart"/>
            <w:tcBorders>
              <w:top w:val="single" w:color="000000" w:sz="4" w:space="0"/>
              <w:left w:val="single" w:color="auto" w:sz="4" w:space="0"/>
              <w:right w:val="single" w:color="000000" w:sz="4" w:space="0"/>
            </w:tcBorders>
            <w:shd w:val="clear" w:color="auto" w:fill="auto"/>
            <w:tcMar>
              <w:top w:w="12" w:type="dxa"/>
              <w:left w:w="12" w:type="dxa"/>
              <w:right w:w="12" w:type="dxa"/>
            </w:tcMar>
            <w:vAlign w:val="center"/>
          </w:tcPr>
          <w:p w14:paraId="6F0E604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18B42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立项依据充分性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4F717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66F33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1A954931">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top w:val="single" w:color="auto" w:sz="4" w:space="0"/>
              <w:left w:val="single" w:color="auto" w:sz="4" w:space="0"/>
              <w:bottom w:val="single" w:color="auto" w:sz="4" w:space="0"/>
              <w:right w:val="single" w:color="000000" w:sz="4" w:space="0"/>
            </w:tcBorders>
            <w:shd w:val="clear" w:color="auto" w:fill="auto"/>
            <w:tcMar>
              <w:top w:w="12" w:type="dxa"/>
              <w:left w:w="12" w:type="dxa"/>
              <w:right w:w="12" w:type="dxa"/>
            </w:tcMar>
            <w:vAlign w:val="center"/>
          </w:tcPr>
          <w:p w14:paraId="46721C2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588702A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auto" w:sz="4" w:space="0"/>
              <w:left w:val="single" w:color="000000" w:sz="4" w:space="0"/>
              <w:bottom w:val="single" w:color="auto" w:sz="4" w:space="0"/>
              <w:right w:val="single" w:color="auto" w:sz="4" w:space="0"/>
            </w:tcBorders>
            <w:shd w:val="clear" w:color="auto" w:fill="auto"/>
            <w:tcMar>
              <w:top w:w="12" w:type="dxa"/>
              <w:left w:w="12" w:type="dxa"/>
              <w:right w:w="12" w:type="dxa"/>
            </w:tcMar>
            <w:vAlign w:val="center"/>
          </w:tcPr>
          <w:p w14:paraId="4E31C15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left w:val="single" w:color="auto" w:sz="4" w:space="0"/>
              <w:bottom w:val="single" w:color="000000" w:sz="4" w:space="0"/>
              <w:right w:val="single" w:color="000000" w:sz="4" w:space="0"/>
            </w:tcBorders>
            <w:shd w:val="clear" w:color="auto" w:fill="auto"/>
            <w:tcMar>
              <w:top w:w="12" w:type="dxa"/>
              <w:left w:w="12" w:type="dxa"/>
              <w:right w:w="12" w:type="dxa"/>
            </w:tcMar>
            <w:vAlign w:val="center"/>
          </w:tcPr>
          <w:p w14:paraId="7DF768A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0B43D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立项程序规范性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078C0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3</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D0673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0DCADF3C">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top w:val="single" w:color="auto" w:sz="4" w:space="0"/>
              <w:left w:val="single" w:color="auto" w:sz="4" w:space="0"/>
              <w:bottom w:val="single" w:color="auto" w:sz="4" w:space="0"/>
              <w:right w:val="single" w:color="000000" w:sz="4" w:space="0"/>
            </w:tcBorders>
            <w:shd w:val="clear" w:color="auto" w:fill="auto"/>
            <w:tcMar>
              <w:top w:w="12" w:type="dxa"/>
              <w:left w:w="12" w:type="dxa"/>
              <w:right w:w="12" w:type="dxa"/>
            </w:tcMar>
            <w:vAlign w:val="center"/>
          </w:tcPr>
          <w:p w14:paraId="3639F19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0547A77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3717D04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绩效目标</w:t>
            </w:r>
          </w:p>
        </w:tc>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4C558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B6973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绩效目标合理性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5E996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D8981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59C34D12">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top w:val="single" w:color="auto" w:sz="4" w:space="0"/>
              <w:left w:val="single" w:color="auto" w:sz="4" w:space="0"/>
              <w:bottom w:val="single" w:color="auto" w:sz="4" w:space="0"/>
              <w:right w:val="single" w:color="000000" w:sz="4" w:space="0"/>
            </w:tcBorders>
            <w:shd w:val="clear" w:color="auto" w:fill="auto"/>
            <w:tcMar>
              <w:top w:w="12" w:type="dxa"/>
              <w:left w:w="12" w:type="dxa"/>
              <w:right w:w="12" w:type="dxa"/>
            </w:tcMar>
            <w:vAlign w:val="center"/>
          </w:tcPr>
          <w:p w14:paraId="164401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555760D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09CA69D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556BC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E4BD1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绩效指标明确性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DF2E7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B8935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79DCACFF">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top w:val="single" w:color="auto" w:sz="4" w:space="0"/>
              <w:left w:val="single" w:color="auto" w:sz="4" w:space="0"/>
              <w:bottom w:val="single" w:color="auto" w:sz="4" w:space="0"/>
              <w:right w:val="single" w:color="000000" w:sz="4" w:space="0"/>
            </w:tcBorders>
            <w:shd w:val="clear" w:color="auto" w:fill="auto"/>
            <w:tcMar>
              <w:top w:w="12" w:type="dxa"/>
              <w:left w:w="12" w:type="dxa"/>
              <w:right w:w="12" w:type="dxa"/>
            </w:tcMar>
            <w:vAlign w:val="center"/>
          </w:tcPr>
          <w:p w14:paraId="47063E8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0697A02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359CBFE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资金投入</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352F920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78BF2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预算编制科学性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C46AF2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205CB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w:t>
            </w:r>
          </w:p>
        </w:tc>
      </w:tr>
      <w:tr w14:paraId="6D31933D">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top w:val="single" w:color="auto" w:sz="4" w:space="0"/>
              <w:left w:val="single" w:color="auto" w:sz="4" w:space="0"/>
              <w:bottom w:val="single" w:color="auto" w:sz="4" w:space="0"/>
              <w:right w:val="single" w:color="000000" w:sz="4" w:space="0"/>
            </w:tcBorders>
            <w:shd w:val="clear" w:color="auto" w:fill="auto"/>
            <w:tcMar>
              <w:top w:w="12" w:type="dxa"/>
              <w:left w:w="12" w:type="dxa"/>
              <w:right w:w="12" w:type="dxa"/>
            </w:tcMar>
            <w:vAlign w:val="center"/>
          </w:tcPr>
          <w:p w14:paraId="22662E2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768E100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2002ADD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D4301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FCD0C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资金分配合理性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9D6C3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3</w:t>
            </w:r>
          </w:p>
        </w:tc>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4C205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3</w:t>
            </w:r>
          </w:p>
        </w:tc>
      </w:tr>
      <w:tr w14:paraId="10AD0E24">
        <w:tblPrEx>
          <w:tblCellMar>
            <w:top w:w="0" w:type="dxa"/>
            <w:left w:w="0" w:type="dxa"/>
            <w:bottom w:w="0" w:type="dxa"/>
            <w:right w:w="0" w:type="dxa"/>
          </w:tblCellMar>
        </w:tblPrEx>
        <w:trPr>
          <w:trHeight w:val="334" w:hRule="atLeast"/>
          <w:tblHeader/>
          <w:jc w:val="center"/>
        </w:trPr>
        <w:tc>
          <w:tcPr>
            <w:tcW w:w="3285" w:type="dxa"/>
            <w:gridSpan w:val="3"/>
            <w:tcBorders>
              <w:top w:val="single" w:color="auto"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FDFE8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79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3D024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E2054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96D61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AC9AD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18</w:t>
            </w:r>
          </w:p>
        </w:tc>
      </w:tr>
    </w:tbl>
    <w:p w14:paraId="11A24383">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1.立项依据充分性</w:t>
      </w:r>
      <w:bookmarkEnd w:id="111"/>
      <w:bookmarkEnd w:id="112"/>
    </w:p>
    <w:p w14:paraId="2A5CF8B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①项目立项符合</w:t>
      </w:r>
      <w:r>
        <w:rPr>
          <w:rFonts w:hint="eastAsia" w:ascii="仿宋_GB2312" w:hAnsi="仿宋_GB2312" w:eastAsia="仿宋_GB2312" w:cs="仿宋_GB2312"/>
          <w:color w:val="auto"/>
          <w:sz w:val="32"/>
          <w:szCs w:val="32"/>
          <w:highlight w:val="none"/>
        </w:rPr>
        <w:t>《昌吉州农业农村局202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年重点工作要点》</w:t>
      </w:r>
      <w:r>
        <w:rPr>
          <w:rFonts w:hint="eastAsia" w:ascii="仿宋_GB2312" w:hAnsi="仿宋_GB2312" w:eastAsia="仿宋_GB2312" w:cs="仿宋_GB2312"/>
          <w:color w:val="auto"/>
          <w:sz w:val="32"/>
          <w:szCs w:val="32"/>
          <w:highlight w:val="none"/>
          <w:lang w:eastAsia="zh-CN"/>
        </w:rPr>
        <w:t>、</w:t>
      </w:r>
      <w:r>
        <w:rPr>
          <w:rStyle w:val="23"/>
          <w:rFonts w:hint="eastAsia" w:ascii="仿宋_GB2312" w:hAnsi="仿宋_GB2312" w:eastAsia="仿宋_GB2312" w:cs="仿宋_GB2312"/>
          <w:b w:val="0"/>
          <w:bCs w:val="0"/>
          <w:sz w:val="32"/>
          <w:szCs w:val="32"/>
          <w:highlight w:val="none"/>
        </w:rPr>
        <w:t>根据</w:t>
      </w:r>
      <w:r>
        <w:rPr>
          <w:rStyle w:val="23"/>
          <w:rFonts w:hint="eastAsia" w:ascii="仿宋_GB2312" w:hAnsi="仿宋_GB2312" w:eastAsia="仿宋_GB2312" w:cs="仿宋_GB2312"/>
          <w:b w:val="0"/>
          <w:bCs w:val="0"/>
          <w:sz w:val="32"/>
          <w:szCs w:val="32"/>
          <w:highlight w:val="none"/>
          <w:lang w:val="en-US"/>
        </w:rPr>
        <w:t>昌州财农【2023】20号关于下达</w:t>
      </w:r>
      <w:r>
        <w:rPr>
          <w:rStyle w:val="23"/>
          <w:rFonts w:hint="eastAsia" w:ascii="仿宋_GB2312" w:hAnsi="仿宋_GB2312" w:eastAsia="仿宋_GB2312" w:cs="仿宋_GB2312"/>
          <w:b w:val="0"/>
          <w:bCs w:val="0"/>
          <w:sz w:val="32"/>
          <w:szCs w:val="32"/>
          <w:highlight w:val="none"/>
          <w:lang w:val="en-US" w:eastAsia="zh-CN"/>
        </w:rPr>
        <w:t xml:space="preserve"> </w:t>
      </w:r>
      <w:r>
        <w:rPr>
          <w:rStyle w:val="23"/>
          <w:rFonts w:hint="eastAsia" w:ascii="仿宋_GB2312" w:hAnsi="仿宋_GB2312" w:eastAsia="仿宋_GB2312" w:cs="仿宋_GB2312"/>
          <w:b w:val="0"/>
          <w:bCs w:val="0"/>
          <w:sz w:val="32"/>
          <w:szCs w:val="32"/>
          <w:highlight w:val="none"/>
        </w:rPr>
        <w:t>202</w:t>
      </w:r>
      <w:r>
        <w:rPr>
          <w:rStyle w:val="23"/>
          <w:rFonts w:hint="eastAsia" w:ascii="仿宋_GB2312" w:hAnsi="仿宋_GB2312" w:eastAsia="仿宋_GB2312" w:cs="仿宋_GB2312"/>
          <w:b w:val="0"/>
          <w:bCs w:val="0"/>
          <w:sz w:val="32"/>
          <w:szCs w:val="32"/>
          <w:highlight w:val="none"/>
          <w:lang w:val="en-US" w:eastAsia="zh-CN"/>
        </w:rPr>
        <w:t>3</w:t>
      </w:r>
      <w:r>
        <w:rPr>
          <w:rStyle w:val="23"/>
          <w:rFonts w:hint="eastAsia" w:ascii="仿宋_GB2312" w:hAnsi="仿宋_GB2312" w:eastAsia="仿宋_GB2312" w:cs="仿宋_GB2312"/>
          <w:b w:val="0"/>
          <w:bCs w:val="0"/>
          <w:sz w:val="32"/>
          <w:szCs w:val="32"/>
          <w:highlight w:val="none"/>
        </w:rPr>
        <w:t>年</w:t>
      </w:r>
      <w:r>
        <w:rPr>
          <w:rStyle w:val="23"/>
          <w:rFonts w:hint="eastAsia" w:ascii="仿宋_GB2312" w:hAnsi="仿宋_GB2312" w:eastAsia="仿宋_GB2312" w:cs="仿宋_GB2312"/>
          <w:b w:val="0"/>
          <w:bCs w:val="0"/>
          <w:sz w:val="32"/>
          <w:szCs w:val="32"/>
          <w:highlight w:val="none"/>
          <w:lang w:val="en-US" w:eastAsia="zh-CN"/>
        </w:rPr>
        <w:t>中央粮油生产保障资金预算（第二批）的通知</w:t>
      </w:r>
      <w:r>
        <w:rPr>
          <w:rFonts w:hint="eastAsia" w:ascii="仿宋_GB2312" w:hAnsi="仿宋_GB2312" w:eastAsia="仿宋_GB2312" w:cs="仿宋_GB2312"/>
          <w:color w:val="auto"/>
          <w:sz w:val="32"/>
          <w:szCs w:val="32"/>
          <w:highlight w:val="none"/>
          <w:lang w:eastAsia="zh-CN"/>
        </w:rPr>
        <w:t>；</w:t>
      </w:r>
    </w:p>
    <w:p w14:paraId="651B0C8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lang w:eastAsia="zh-CN"/>
        </w:rPr>
        <w:t>②</w:t>
      </w:r>
      <w:r>
        <w:rPr>
          <w:rFonts w:hint="eastAsia" w:ascii="仿宋_GB2312" w:hAnsi="仿宋_GB2312" w:eastAsia="仿宋_GB2312" w:cs="仿宋_GB2312"/>
          <w:color w:val="auto"/>
          <w:sz w:val="32"/>
          <w:szCs w:val="32"/>
          <w:highlight w:val="none"/>
          <w:lang w:eastAsia="zh-CN"/>
        </w:rPr>
        <w:t>项目立项与</w:t>
      </w:r>
      <w:r>
        <w:rPr>
          <w:rFonts w:hint="eastAsia" w:ascii="仿宋_GB2312" w:hAnsi="Times New Roman" w:eastAsia="仿宋_GB2312"/>
          <w:sz w:val="32"/>
          <w:szCs w:val="32"/>
        </w:rPr>
        <w:t>小麦绿色高</w:t>
      </w:r>
      <w:r>
        <w:rPr>
          <w:rFonts w:hint="eastAsia" w:ascii="仿宋_GB2312" w:hAnsi="Times New Roman" w:eastAsia="仿宋_GB2312"/>
          <w:sz w:val="32"/>
          <w:szCs w:val="32"/>
          <w:lang w:eastAsia="zh-CN"/>
        </w:rPr>
        <w:t>产</w:t>
      </w:r>
      <w:r>
        <w:rPr>
          <w:rFonts w:hint="eastAsia" w:ascii="仿宋_GB2312" w:hAnsi="Times New Roman" w:eastAsia="仿宋_GB2312"/>
          <w:sz w:val="32"/>
          <w:szCs w:val="32"/>
        </w:rPr>
        <w:t>高效行动以“绿色、</w:t>
      </w:r>
      <w:r>
        <w:rPr>
          <w:rFonts w:hint="eastAsia" w:ascii="仿宋_GB2312" w:hAnsi="Times New Roman" w:eastAsia="仿宋_GB2312"/>
          <w:sz w:val="32"/>
          <w:szCs w:val="32"/>
          <w:lang w:eastAsia="zh-CN"/>
        </w:rPr>
        <w:t>高产、</w:t>
      </w:r>
      <w:r>
        <w:rPr>
          <w:rFonts w:hint="eastAsia" w:ascii="仿宋_GB2312" w:hAnsi="Times New Roman" w:eastAsia="仿宋_GB2312"/>
          <w:sz w:val="32"/>
          <w:szCs w:val="32"/>
        </w:rPr>
        <w:t>高效”为中心，以“先进技术集成应用”为手段，以“节水增效”为重点目标，着力提升粮食种植生产能力和供给能力，实现阜康市农业转型升级和高质量发展</w:t>
      </w:r>
      <w:r>
        <w:rPr>
          <w:rFonts w:hint="eastAsia" w:ascii="仿宋_GB2312" w:hAnsi="仿宋_GB2312" w:eastAsia="仿宋_GB2312" w:cs="仿宋_GB2312"/>
          <w:color w:val="auto"/>
          <w:sz w:val="32"/>
          <w:szCs w:val="32"/>
          <w:highlight w:val="none"/>
          <w:lang w:eastAsia="zh-CN"/>
        </w:rPr>
        <w:t>工作相符，属于部门履职所需；</w:t>
      </w:r>
    </w:p>
    <w:p w14:paraId="1906227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highlight w:val="none"/>
          <w:lang w:eastAsia="zh-CN"/>
        </w:rPr>
        <w:t>③</w:t>
      </w:r>
      <w:r>
        <w:rPr>
          <w:rFonts w:hint="eastAsia" w:ascii="仿宋_GB2312" w:hAnsi="仿宋_GB2312" w:eastAsia="仿宋_GB2312" w:cs="仿宋_GB2312"/>
          <w:color w:val="auto"/>
          <w:sz w:val="32"/>
          <w:szCs w:val="32"/>
          <w:highlight w:val="none"/>
          <w:lang w:eastAsia="zh-CN"/>
        </w:rPr>
        <w:t>项目属于公共财政支持范围，符合中央、地方事权支出责任划分原则；</w:t>
      </w:r>
    </w:p>
    <w:p w14:paraId="3BD0E05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highlight w:val="none"/>
          <w:lang w:eastAsia="zh-CN"/>
        </w:rPr>
        <w:t>④</w:t>
      </w:r>
      <w:r>
        <w:rPr>
          <w:rFonts w:hint="eastAsia" w:ascii="仿宋_GB2312" w:hAnsi="仿宋_GB2312" w:eastAsia="仿宋_GB2312" w:cs="仿宋_GB2312"/>
          <w:color w:val="auto"/>
          <w:sz w:val="32"/>
          <w:szCs w:val="32"/>
          <w:highlight w:val="none"/>
          <w:lang w:eastAsia="zh-CN"/>
        </w:rPr>
        <w:t>项目与相关部门同类项目、部门内部相关项目</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lang w:eastAsia="zh-CN"/>
        </w:rPr>
        <w:t>重复。</w:t>
      </w:r>
    </w:p>
    <w:p w14:paraId="1B0EF69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综上，该项指标满分2分，得分2分。</w:t>
      </w:r>
    </w:p>
    <w:p w14:paraId="63D44E49">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lang w:val="en-US" w:eastAsia="zh-CN"/>
        </w:rPr>
      </w:pPr>
      <w:bookmarkStart w:id="113" w:name="_Toc21976"/>
      <w:bookmarkStart w:id="114" w:name="_Toc23240"/>
      <w:r>
        <w:rPr>
          <w:rFonts w:hint="eastAsia" w:ascii="仿宋_GB2312" w:hAnsi="仿宋_GB2312" w:eastAsia="仿宋_GB2312" w:cs="仿宋_GB2312"/>
          <w:b/>
          <w:bCs/>
          <w:color w:val="auto"/>
          <w:sz w:val="32"/>
          <w:szCs w:val="32"/>
          <w:lang w:val="en-US" w:eastAsia="zh-CN"/>
        </w:rPr>
        <w:t>2.立项程序规范性</w:t>
      </w:r>
      <w:bookmarkEnd w:id="113"/>
      <w:bookmarkEnd w:id="114"/>
    </w:p>
    <w:p w14:paraId="412F4EF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15" w:name="_Toc23542"/>
      <w:bookmarkStart w:id="116" w:name="_Toc15382"/>
      <w:r>
        <w:rPr>
          <w:rFonts w:hint="eastAsia" w:ascii="仿宋_GB2312" w:hAnsi="仿宋_GB2312" w:eastAsia="仿宋_GB2312" w:cs="仿宋_GB2312"/>
          <w:color w:val="auto"/>
          <w:sz w:val="32"/>
          <w:szCs w:val="32"/>
          <w:highlight w:val="none"/>
          <w:lang w:eastAsia="zh-CN"/>
        </w:rPr>
        <w:t>①项目按照规定的程序申请设立；</w:t>
      </w:r>
    </w:p>
    <w:p w14:paraId="24EB5E1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②审批文件、材料符合相关要求；</w:t>
      </w:r>
    </w:p>
    <w:p w14:paraId="5D1BB0F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③事前</w:t>
      </w:r>
      <w:r>
        <w:rPr>
          <w:rFonts w:hint="eastAsia" w:ascii="仿宋_GB2312" w:hAnsi="仿宋_GB2312" w:eastAsia="仿宋_GB2312" w:cs="仿宋_GB2312"/>
          <w:color w:val="auto"/>
          <w:sz w:val="32"/>
          <w:szCs w:val="32"/>
          <w:highlight w:val="none"/>
          <w:lang w:val="en-US" w:eastAsia="zh-CN"/>
        </w:rPr>
        <w:t>经过</w:t>
      </w:r>
      <w:r>
        <w:rPr>
          <w:rFonts w:hint="eastAsia" w:ascii="仿宋_GB2312" w:hAnsi="仿宋_GB2312" w:eastAsia="仿宋_GB2312" w:cs="仿宋_GB2312"/>
          <w:color w:val="auto"/>
          <w:sz w:val="32"/>
          <w:szCs w:val="32"/>
          <w:highlight w:val="none"/>
          <w:lang w:eastAsia="zh-CN"/>
        </w:rPr>
        <w:t>集体决策，</w:t>
      </w:r>
      <w:r>
        <w:rPr>
          <w:rFonts w:hint="eastAsia" w:ascii="仿宋_GB2312" w:hAnsi="仿宋_GB2312" w:eastAsia="仿宋_GB2312" w:cs="仿宋_GB2312"/>
          <w:color w:val="auto"/>
          <w:sz w:val="32"/>
          <w:szCs w:val="32"/>
          <w:highlight w:val="none"/>
          <w:lang w:val="en-US" w:eastAsia="zh-CN"/>
        </w:rPr>
        <w:t>未</w:t>
      </w:r>
      <w:r>
        <w:rPr>
          <w:rFonts w:hint="eastAsia" w:ascii="仿宋_GB2312" w:hAnsi="仿宋_GB2312" w:eastAsia="仿宋_GB2312" w:cs="仿宋_GB2312"/>
          <w:color w:val="auto"/>
          <w:sz w:val="32"/>
          <w:szCs w:val="32"/>
          <w:highlight w:val="none"/>
          <w:lang w:eastAsia="zh-CN"/>
        </w:rPr>
        <w:t>经过必要的可行性研究、专家论证、风险评估、绩效评估，</w:t>
      </w:r>
      <w:r>
        <w:rPr>
          <w:rFonts w:hint="eastAsia" w:ascii="仿宋_GB2312" w:hAnsi="仿宋_GB2312" w:eastAsia="仿宋_GB2312" w:cs="仿宋_GB2312"/>
          <w:color w:val="auto"/>
          <w:sz w:val="32"/>
          <w:szCs w:val="32"/>
          <w:highlight w:val="none"/>
          <w:lang w:val="en-US" w:eastAsia="zh-CN"/>
        </w:rPr>
        <w:t>扣1分</w:t>
      </w:r>
      <w:r>
        <w:rPr>
          <w:rFonts w:hint="eastAsia" w:ascii="仿宋_GB2312" w:hAnsi="仿宋_GB2312" w:eastAsia="仿宋_GB2312" w:cs="仿宋_GB2312"/>
          <w:color w:val="auto"/>
          <w:sz w:val="32"/>
          <w:szCs w:val="32"/>
          <w:highlight w:val="none"/>
          <w:lang w:eastAsia="zh-CN"/>
        </w:rPr>
        <w:t>。</w:t>
      </w:r>
    </w:p>
    <w:p w14:paraId="26968E2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综上，该项指标满分3分，得分2分。</w:t>
      </w:r>
    </w:p>
    <w:p w14:paraId="02C4AE2C">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3.绩效目标合理性</w:t>
      </w:r>
      <w:bookmarkEnd w:id="115"/>
      <w:bookmarkEnd w:id="116"/>
    </w:p>
    <w:p w14:paraId="686C07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bookmarkStart w:id="117" w:name="_Toc10650"/>
      <w:bookmarkStart w:id="118" w:name="_Toc18198"/>
      <w:r>
        <w:rPr>
          <w:rFonts w:hint="eastAsia" w:ascii="仿宋_GB2312" w:hAnsi="仿宋_GB2312" w:eastAsia="仿宋_GB2312" w:cs="仿宋_GB2312"/>
          <w:color w:val="auto"/>
          <w:sz w:val="32"/>
          <w:szCs w:val="32"/>
          <w:highlight w:val="none"/>
          <w:lang w:eastAsia="zh-CN"/>
        </w:rPr>
        <w:t>①该项目已设置年度绩效目标。</w:t>
      </w:r>
    </w:p>
    <w:p w14:paraId="55CEC8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②该项目实际工作内容为：</w:t>
      </w:r>
      <w:r>
        <w:rPr>
          <w:rFonts w:hint="eastAsia" w:ascii="楷体" w:hAnsi="楷体" w:eastAsia="楷体" w:cs="楷体"/>
          <w:b w:val="0"/>
          <w:bCs w:val="0"/>
          <w:sz w:val="32"/>
          <w:szCs w:val="32"/>
          <w:lang w:val="en-US" w:eastAsia="zh-CN"/>
        </w:rPr>
        <w:t>)</w:t>
      </w:r>
      <w:r>
        <w:rPr>
          <w:rFonts w:hint="eastAsia" w:ascii="仿宋_GB2312" w:hAnsi="仿宋_GB2312" w:eastAsia="仿宋_GB2312" w:cs="仿宋_GB2312"/>
          <w:color w:val="auto"/>
          <w:sz w:val="32"/>
          <w:szCs w:val="32"/>
          <w:highlight w:val="none"/>
          <w:lang w:val="en-US" w:eastAsia="zh-CN"/>
        </w:rPr>
        <w:t>做好优质高产品种筛选示范、创新关键技术集成应用，实现技术引领支撑、开展高产优质核心示范区建设，辐射带动全市小麦产量水平提升</w:t>
      </w:r>
      <w:r>
        <w:rPr>
          <w:rFonts w:hint="eastAsia" w:ascii="楷体" w:hAnsi="楷体" w:eastAsia="楷体" w:cs="楷体"/>
          <w:b w:val="0"/>
          <w:bCs w:val="0"/>
          <w:sz w:val="32"/>
          <w:szCs w:val="32"/>
          <w:lang w:val="en-US" w:eastAsia="zh-CN"/>
        </w:rPr>
        <w:t>、</w:t>
      </w:r>
      <w:r>
        <w:rPr>
          <w:rFonts w:hint="eastAsia" w:ascii="仿宋_GB2312" w:hAnsi="仿宋_GB2312" w:eastAsia="仿宋_GB2312" w:cs="仿宋_GB2312"/>
          <w:color w:val="auto"/>
          <w:sz w:val="32"/>
          <w:szCs w:val="32"/>
          <w:highlight w:val="none"/>
          <w:lang w:eastAsia="zh-CN"/>
        </w:rPr>
        <w:t>绩效目标与实际工作内容一致，两者具有相关性。</w:t>
      </w:r>
    </w:p>
    <w:p w14:paraId="0A55BF83">
      <w:pPr>
        <w:spacing w:line="58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③该项目按照绩效目标完成数量指标、质量指标、时效指标、成本指标，完成</w:t>
      </w:r>
      <w:r>
        <w:rPr>
          <w:rFonts w:ascii="Times New Roman" w:hAnsi="Times New Roman" w:eastAsia="仿宋_GB2312"/>
          <w:sz w:val="32"/>
          <w:szCs w:val="32"/>
        </w:rPr>
        <w:t>良种覆盖率100%，病虫害绿色防控全覆盖、危害损失率控制在5%以内，耕种收综合机械化水平100%，小麦秸秆综合利用率达100%，带动全市小麦示范区节本增效5%以上</w:t>
      </w:r>
      <w:r>
        <w:rPr>
          <w:rFonts w:hint="eastAsia" w:ascii="Times New Roman" w:hAnsi="Times New Roman" w:eastAsia="仿宋_GB2312"/>
          <w:sz w:val="32"/>
          <w:szCs w:val="32"/>
          <w:lang w:eastAsia="zh-CN"/>
        </w:rPr>
        <w:t>，</w:t>
      </w:r>
      <w:r>
        <w:rPr>
          <w:rFonts w:hint="eastAsia" w:ascii="仿宋_GB2312" w:hAnsi="仿宋_GB2312" w:eastAsia="仿宋_GB2312" w:cs="仿宋_GB2312"/>
          <w:color w:val="auto"/>
          <w:sz w:val="32"/>
          <w:szCs w:val="32"/>
          <w:highlight w:val="none"/>
          <w:lang w:eastAsia="zh-CN"/>
        </w:rPr>
        <w:t>预期产出效益和效果符合正常的业绩水平。</w:t>
      </w:r>
    </w:p>
    <w:p w14:paraId="5CA281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④《项目支出绩效目标表》中预算金额为</w:t>
      </w:r>
      <w:r>
        <w:rPr>
          <w:rFonts w:hint="eastAsia" w:ascii="仿宋_GB2312" w:hAnsi="仿宋_GB2312" w:eastAsia="仿宋_GB2312" w:cs="仿宋_GB2312"/>
          <w:color w:val="auto"/>
          <w:sz w:val="32"/>
          <w:szCs w:val="32"/>
          <w:highlight w:val="none"/>
          <w:lang w:val="en-US" w:eastAsia="zh-CN"/>
        </w:rPr>
        <w:t>339.54</w:t>
      </w:r>
      <w:r>
        <w:rPr>
          <w:rFonts w:hint="eastAsia" w:ascii="仿宋_GB2312" w:hAnsi="仿宋_GB2312" w:eastAsia="仿宋_GB2312" w:cs="仿宋_GB2312"/>
          <w:color w:val="auto"/>
          <w:sz w:val="32"/>
          <w:szCs w:val="32"/>
          <w:highlight w:val="none"/>
          <w:lang w:eastAsia="zh-CN"/>
        </w:rPr>
        <w:t>万元，预算确定的项目资金与预算确定的项目投资额相匹配。</w:t>
      </w:r>
    </w:p>
    <w:p w14:paraId="562DEFC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40692314">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4.绩效指标明确性</w:t>
      </w:r>
      <w:bookmarkEnd w:id="117"/>
      <w:bookmarkEnd w:id="118"/>
    </w:p>
    <w:p w14:paraId="69B7ECC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19" w:name="_Toc19401"/>
      <w:bookmarkStart w:id="120" w:name="_Toc8296"/>
      <w:r>
        <w:rPr>
          <w:rFonts w:hint="eastAsia" w:ascii="仿宋_GB2312" w:hAnsi="仿宋_GB2312" w:eastAsia="仿宋_GB2312" w:cs="仿宋_GB2312"/>
          <w:color w:val="auto"/>
          <w:sz w:val="32"/>
          <w:szCs w:val="32"/>
          <w:highlight w:val="none"/>
          <w:lang w:eastAsia="zh-CN"/>
        </w:rPr>
        <w:t>①将项目绩效目标细化分解为具体的绩效指标，</w:t>
      </w:r>
      <w:r>
        <w:rPr>
          <w:rFonts w:hint="eastAsia" w:ascii="仿宋_GB2312" w:hAnsi="仿宋_GB2312" w:eastAsia="仿宋_GB2312" w:cs="仿宋_GB2312"/>
          <w:color w:val="auto"/>
          <w:sz w:val="32"/>
          <w:szCs w:val="32"/>
          <w:highlight w:val="none"/>
          <w:lang w:val="en-US" w:eastAsia="zh-CN"/>
        </w:rPr>
        <w:t>其中三级指标共计11个</w:t>
      </w:r>
      <w:r>
        <w:rPr>
          <w:rFonts w:hint="eastAsia" w:ascii="仿宋_GB2312" w:hAnsi="仿宋_GB2312" w:eastAsia="仿宋_GB2312" w:cs="仿宋_GB2312"/>
          <w:color w:val="auto"/>
          <w:sz w:val="32"/>
          <w:szCs w:val="32"/>
          <w:highlight w:val="none"/>
          <w:lang w:eastAsia="zh-CN"/>
        </w:rPr>
        <w:t>；</w:t>
      </w:r>
    </w:p>
    <w:p w14:paraId="46FFAED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②通过清晰、可衡量的指标值予以体现，</w:t>
      </w:r>
      <w:r>
        <w:rPr>
          <w:rFonts w:hint="eastAsia" w:ascii="仿宋_GB2312" w:hAnsi="仿宋_GB2312" w:eastAsia="仿宋_GB2312" w:cs="仿宋_GB2312"/>
          <w:color w:val="auto"/>
          <w:sz w:val="32"/>
          <w:szCs w:val="32"/>
          <w:highlight w:val="none"/>
          <w:lang w:val="en-US" w:eastAsia="zh-CN"/>
        </w:rPr>
        <w:t>量化率达到81.82%</w:t>
      </w:r>
      <w:r>
        <w:rPr>
          <w:rFonts w:hint="eastAsia" w:ascii="仿宋_GB2312" w:hAnsi="仿宋_GB2312" w:eastAsia="仿宋_GB2312" w:cs="仿宋_GB2312"/>
          <w:color w:val="auto"/>
          <w:sz w:val="32"/>
          <w:szCs w:val="32"/>
          <w:highlight w:val="none"/>
          <w:lang w:eastAsia="zh-CN"/>
        </w:rPr>
        <w:t>；</w:t>
      </w:r>
    </w:p>
    <w:p w14:paraId="3CBC507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③《项目绩效目标申报表》中，三级指标的年度指标值与年度绩效目标中任务数一致。</w:t>
      </w:r>
    </w:p>
    <w:p w14:paraId="471A851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已设置的绩效目标具备明确性、可衡量性、可实现性、相关性、时限性。</w:t>
      </w:r>
    </w:p>
    <w:p w14:paraId="3E33F53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12EB5213">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5.预算编制科学性</w:t>
      </w:r>
      <w:bookmarkEnd w:id="119"/>
      <w:bookmarkEnd w:id="120"/>
    </w:p>
    <w:p w14:paraId="6CEC21B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21" w:name="_Toc697"/>
      <w:bookmarkStart w:id="122" w:name="_Toc20556"/>
      <w:r>
        <w:rPr>
          <w:rFonts w:hint="eastAsia" w:ascii="仿宋_GB2312" w:hAnsi="仿宋_GB2312" w:eastAsia="仿宋_GB2312" w:cs="仿宋_GB2312"/>
          <w:color w:val="auto"/>
          <w:sz w:val="32"/>
          <w:szCs w:val="32"/>
          <w:highlight w:val="none"/>
          <w:lang w:eastAsia="zh-CN"/>
        </w:rPr>
        <w:t>①</w:t>
      </w:r>
      <w:r>
        <w:rPr>
          <w:rFonts w:hint="eastAsia" w:ascii="仿宋_GB2312" w:hAnsi="仿宋_GB2312" w:eastAsia="仿宋_GB2312" w:cs="仿宋_GB2312"/>
          <w:color w:val="auto"/>
          <w:sz w:val="32"/>
          <w:szCs w:val="32"/>
          <w:highlight w:val="none"/>
          <w:lang w:val="en-US" w:eastAsia="zh-CN"/>
        </w:rPr>
        <w:t>根据项目预算批复，项目的</w:t>
      </w:r>
      <w:r>
        <w:rPr>
          <w:rFonts w:hint="eastAsia" w:ascii="仿宋_GB2312" w:hAnsi="仿宋_GB2312" w:eastAsia="仿宋_GB2312" w:cs="仿宋_GB2312"/>
          <w:color w:val="auto"/>
          <w:sz w:val="32"/>
          <w:szCs w:val="32"/>
          <w:highlight w:val="none"/>
          <w:lang w:eastAsia="zh-CN"/>
        </w:rPr>
        <w:t>预算编制经过科学论证；</w:t>
      </w:r>
    </w:p>
    <w:p w14:paraId="143E124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②</w:t>
      </w:r>
      <w:r>
        <w:rPr>
          <w:rFonts w:hint="eastAsia" w:ascii="仿宋_GB2312" w:hAnsi="仿宋_GB2312" w:eastAsia="仿宋_GB2312" w:cs="仿宋_GB2312"/>
          <w:color w:val="auto"/>
          <w:sz w:val="32"/>
          <w:szCs w:val="32"/>
          <w:highlight w:val="none"/>
          <w:lang w:eastAsia="zh-CN"/>
        </w:rPr>
        <w:t>预算申请内容为全市打造10个小麦千亩方和2个万亩片，完成作物绿色高产高效创建县，项目区良种覆盖率100%，病虫害绿色防控全覆盖，带动全市小麦示范区节本增效5%以上，项目实际内容预算申请与项目内容匹配；</w:t>
      </w:r>
    </w:p>
    <w:p w14:paraId="642EE501">
      <w:pPr>
        <w:pageBreakBefore w:val="0"/>
        <w:numPr>
          <w:ilvl w:val="0"/>
          <w:numId w:val="0"/>
        </w:numPr>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Times New Roman" w:eastAsia="仿宋_GB2312" w:cs="宋体"/>
          <w:b w:val="0"/>
          <w:kern w:val="2"/>
          <w:sz w:val="32"/>
          <w:szCs w:val="32"/>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③项目预算申请资金339.54万元，我单位在预算申请中严格按照项目实施内容及测算标准进行核算，其中：完成</w:t>
      </w:r>
      <w:r>
        <w:rPr>
          <w:rFonts w:hint="eastAsia" w:ascii="仿宋_GB2312" w:hAnsi="Times New Roman" w:eastAsia="仿宋_GB2312" w:cs="宋体"/>
          <w:b w:val="0"/>
          <w:kern w:val="2"/>
          <w:sz w:val="32"/>
          <w:szCs w:val="32"/>
          <w:lang w:val="en-US" w:eastAsia="zh-CN" w:bidi="ar-SA"/>
        </w:rPr>
        <w:t>采购飞防作业费:具体如下：采购飞防作业费:72.04万元，25%丙环唑3132升31万元，25%高效氯氟菊酯.噻虫胺微囊悬浮剂1560升48.7796万元，0.01%芸苔素内酯1566升11.9799万元，有机硅磷酸二氢钾40.55万元，化控剂调环酸钙7.7万元，黄腐酸钾57.6万元，磷酸二氢钾和菌剂69.9972万元，计支付339.54万元。</w:t>
      </w:r>
    </w:p>
    <w:p w14:paraId="1901B6E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④</w:t>
      </w:r>
      <w:r>
        <w:rPr>
          <w:rFonts w:hint="eastAsia" w:ascii="仿宋_GB2312" w:hAnsi="仿宋_GB2312" w:eastAsia="仿宋_GB2312" w:cs="仿宋_GB2312"/>
          <w:color w:val="auto"/>
          <w:sz w:val="32"/>
          <w:szCs w:val="32"/>
          <w:highlight w:val="none"/>
          <w:lang w:eastAsia="zh-CN"/>
        </w:rPr>
        <w:t>预算确定资金量与实际工作任务匹配</w:t>
      </w:r>
      <w:r>
        <w:rPr>
          <w:rFonts w:hint="eastAsia" w:ascii="仿宋_GB2312" w:hAnsi="仿宋_GB2312" w:eastAsia="仿宋_GB2312" w:cs="仿宋_GB2312"/>
          <w:color w:val="auto"/>
          <w:sz w:val="32"/>
          <w:szCs w:val="32"/>
          <w:highlight w:val="none"/>
          <w:lang w:val="en-US" w:eastAsia="zh-CN"/>
        </w:rPr>
        <w:t>略有差异，扣1分</w:t>
      </w:r>
      <w:r>
        <w:rPr>
          <w:rFonts w:hint="eastAsia" w:ascii="仿宋_GB2312" w:hAnsi="仿宋_GB2312" w:eastAsia="仿宋_GB2312" w:cs="仿宋_GB2312"/>
          <w:color w:val="auto"/>
          <w:sz w:val="32"/>
          <w:szCs w:val="32"/>
          <w:highlight w:val="none"/>
          <w:lang w:eastAsia="zh-CN"/>
        </w:rPr>
        <w:t>。</w:t>
      </w:r>
    </w:p>
    <w:p w14:paraId="2C9D381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综上，该项指标满分2分，得分1分。</w:t>
      </w:r>
    </w:p>
    <w:p w14:paraId="4995C72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6.资金分配合理性</w:t>
      </w:r>
      <w:bookmarkEnd w:id="121"/>
      <w:bookmarkEnd w:id="122"/>
    </w:p>
    <w:p w14:paraId="4EC141E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①项目实际分配资金以</w:t>
      </w:r>
      <w:r>
        <w:rPr>
          <w:rFonts w:hint="eastAsia" w:ascii="仿宋_GB2312" w:hAnsi="仿宋_GB2312" w:eastAsia="仿宋_GB2312" w:cs="仿宋_GB2312"/>
          <w:color w:val="auto"/>
          <w:sz w:val="32"/>
          <w:szCs w:val="32"/>
          <w:highlight w:val="none"/>
          <w:lang w:eastAsia="zh-Hans"/>
        </w:rPr>
        <w:t>《关于</w:t>
      </w:r>
      <w:r>
        <w:rPr>
          <w:rFonts w:hint="eastAsia" w:ascii="仿宋_GB2312" w:hAnsi="仿宋_GB2312" w:eastAsia="仿宋_GB2312" w:cs="仿宋_GB2312"/>
          <w:color w:val="auto"/>
          <w:sz w:val="32"/>
          <w:szCs w:val="32"/>
          <w:highlight w:val="none"/>
          <w:lang w:eastAsia="zh-CN"/>
        </w:rPr>
        <w:t>申请</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eastAsia="zh-CN"/>
        </w:rPr>
        <w:t>重点作物绿色高产高效行动项目资金的请示</w:t>
      </w:r>
      <w:r>
        <w:rPr>
          <w:rFonts w:hint="eastAsia" w:ascii="仿宋_GB2312" w:hAnsi="仿宋_GB2312" w:eastAsia="仿宋_GB2312" w:cs="仿宋_GB2312"/>
          <w:color w:val="auto"/>
          <w:sz w:val="32"/>
          <w:szCs w:val="32"/>
          <w:highlight w:val="none"/>
          <w:lang w:eastAsia="zh-Hans"/>
        </w:rPr>
        <w:t>》为依据进行资金分配，预算资金分配依据</w:t>
      </w:r>
      <w:r>
        <w:rPr>
          <w:rFonts w:hint="eastAsia" w:ascii="仿宋_GB2312" w:hAnsi="仿宋_GB2312" w:eastAsia="仿宋_GB2312" w:cs="仿宋_GB2312"/>
          <w:color w:val="auto"/>
          <w:sz w:val="32"/>
          <w:szCs w:val="32"/>
          <w:highlight w:val="none"/>
          <w:lang w:val="en-US" w:eastAsia="zh-CN"/>
        </w:rPr>
        <w:t>较</w:t>
      </w:r>
      <w:r>
        <w:rPr>
          <w:rFonts w:hint="eastAsia" w:ascii="仿宋_GB2312" w:hAnsi="仿宋_GB2312" w:eastAsia="仿宋_GB2312" w:cs="仿宋_GB2312"/>
          <w:color w:val="auto"/>
          <w:sz w:val="32"/>
          <w:szCs w:val="32"/>
          <w:highlight w:val="none"/>
          <w:lang w:eastAsia="zh-Hans"/>
        </w:rPr>
        <w:t>充分</w:t>
      </w:r>
      <w:r>
        <w:rPr>
          <w:rFonts w:hint="eastAsia" w:ascii="仿宋_GB2312" w:hAnsi="仿宋_GB2312" w:eastAsia="仿宋_GB2312" w:cs="仿宋_GB2312"/>
          <w:color w:val="auto"/>
          <w:sz w:val="32"/>
          <w:szCs w:val="32"/>
          <w:highlight w:val="none"/>
          <w:lang w:eastAsia="zh-CN"/>
        </w:rPr>
        <w:t>。</w:t>
      </w:r>
    </w:p>
    <w:p w14:paraId="0A17AFF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②项目实际到位资金</w:t>
      </w:r>
      <w:r>
        <w:rPr>
          <w:rFonts w:hint="eastAsia" w:ascii="仿宋_GB2312" w:hAnsi="仿宋_GB2312" w:eastAsia="仿宋_GB2312" w:cs="仿宋_GB2312"/>
          <w:color w:val="auto"/>
          <w:sz w:val="32"/>
          <w:szCs w:val="32"/>
          <w:highlight w:val="none"/>
          <w:lang w:val="en-US" w:eastAsia="zh-CN"/>
        </w:rPr>
        <w:t>339.54</w:t>
      </w:r>
      <w:r>
        <w:rPr>
          <w:rFonts w:hint="eastAsia" w:ascii="仿宋_GB2312" w:hAnsi="仿宋_GB2312" w:eastAsia="仿宋_GB2312" w:cs="仿宋_GB2312"/>
          <w:color w:val="auto"/>
          <w:sz w:val="32"/>
          <w:szCs w:val="32"/>
          <w:highlight w:val="none"/>
          <w:lang w:eastAsia="zh-CN"/>
        </w:rPr>
        <w:t>万元，资金分配额度</w:t>
      </w:r>
      <w:r>
        <w:rPr>
          <w:rFonts w:hint="eastAsia" w:ascii="仿宋_GB2312" w:hAnsi="仿宋_GB2312" w:eastAsia="仿宋_GB2312" w:cs="仿宋_GB2312"/>
          <w:color w:val="auto"/>
          <w:sz w:val="32"/>
          <w:szCs w:val="32"/>
          <w:highlight w:val="none"/>
          <w:lang w:val="en-US" w:eastAsia="zh-CN"/>
        </w:rPr>
        <w:t>较</w:t>
      </w:r>
      <w:r>
        <w:rPr>
          <w:rFonts w:hint="eastAsia" w:ascii="仿宋_GB2312" w:hAnsi="仿宋_GB2312" w:eastAsia="仿宋_GB2312" w:cs="仿宋_GB2312"/>
          <w:color w:val="auto"/>
          <w:sz w:val="32"/>
          <w:szCs w:val="32"/>
          <w:highlight w:val="none"/>
          <w:lang w:eastAsia="zh-CN"/>
        </w:rPr>
        <w:t>合理，与项目单位</w:t>
      </w:r>
      <w:r>
        <w:rPr>
          <w:rFonts w:hint="eastAsia" w:ascii="仿宋_GB2312" w:hAnsi="仿宋_GB2312" w:eastAsia="仿宋_GB2312" w:cs="仿宋_GB2312"/>
          <w:color w:val="auto"/>
          <w:sz w:val="32"/>
          <w:szCs w:val="32"/>
          <w:highlight w:val="none"/>
          <w:lang w:val="en-US" w:eastAsia="zh-CN"/>
        </w:rPr>
        <w:t>及项目实际实施情况相对较</w:t>
      </w:r>
      <w:r>
        <w:rPr>
          <w:rFonts w:hint="eastAsia" w:ascii="仿宋_GB2312" w:hAnsi="仿宋_GB2312" w:eastAsia="仿宋_GB2312" w:cs="仿宋_GB2312"/>
          <w:color w:val="auto"/>
          <w:sz w:val="32"/>
          <w:szCs w:val="32"/>
          <w:highlight w:val="none"/>
          <w:lang w:eastAsia="zh-CN"/>
        </w:rPr>
        <w:t>适应。</w:t>
      </w:r>
    </w:p>
    <w:p w14:paraId="54B8828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综上，该项指标满分3分，得分3分。</w:t>
      </w:r>
    </w:p>
    <w:p w14:paraId="28CC1E93">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123" w:name="_Toc10564"/>
      <w:r>
        <w:rPr>
          <w:rFonts w:hint="eastAsia" w:ascii="Times New Roman" w:hAnsi="Times New Roman" w:eastAsia="楷体_GB2312" w:cs="Times New Roman"/>
          <w:kern w:val="28"/>
          <w:sz w:val="32"/>
          <w:lang w:val="en-US" w:eastAsia="zh-CN"/>
        </w:rPr>
        <w:t>（二）项目过程情况</w:t>
      </w:r>
      <w:bookmarkEnd w:id="123"/>
    </w:p>
    <w:p w14:paraId="5A4049FA">
      <w:pPr>
        <w:pageBreakBefore w:val="0"/>
        <w:widowControl w:val="0"/>
        <w:kinsoku/>
        <w:wordWrap/>
        <w:overflowPunct/>
        <w:topLinePunct w:val="0"/>
        <w:autoSpaceDE/>
        <w:autoSpaceDN/>
        <w:bidi w:val="0"/>
        <w:adjustRightInd/>
        <w:spacing w:line="560" w:lineRule="exact"/>
        <w:ind w:firstLine="560"/>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bookmarkStart w:id="124" w:name="_Toc3886"/>
      <w:bookmarkStart w:id="125" w:name="_Toc20449"/>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rPr>
        <w:t>过程</w:t>
      </w:r>
      <w:r>
        <w:rPr>
          <w:rFonts w:hint="eastAsia" w:ascii="仿宋_GB2312" w:hAnsi="仿宋_GB2312" w:eastAsia="仿宋_GB2312" w:cs="仿宋_GB2312"/>
          <w:color w:val="auto"/>
          <w:kern w:val="2"/>
          <w:sz w:val="32"/>
          <w:szCs w:val="32"/>
          <w:highlight w:val="none"/>
          <w:u w:color="000000"/>
          <w:shd w:val="clear" w:color="auto" w:fill="auto"/>
          <w:lang w:eastAsia="zh-CN"/>
        </w:rPr>
        <w:t>管理</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类指标由</w:t>
      </w:r>
      <w:r>
        <w:rPr>
          <w:rFonts w:hint="eastAsia" w:ascii="仿宋_GB2312" w:hAnsi="仿宋_GB2312" w:eastAsia="仿宋_GB2312" w:cs="仿宋_GB2312"/>
          <w:color w:val="auto"/>
          <w:kern w:val="2"/>
          <w:sz w:val="32"/>
          <w:szCs w:val="32"/>
          <w:highlight w:val="none"/>
          <w:u w:color="000000"/>
          <w:shd w:val="clear" w:color="auto" w:fill="auto"/>
          <w:lang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5</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详见上传的附件二</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7B29CB7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4-2</w:t>
      </w:r>
      <w:r>
        <w:rPr>
          <w:rFonts w:hint="eastAsia" w:ascii="宋体" w:hAnsi="宋体" w:eastAsia="宋体" w:cs="宋体"/>
          <w:b/>
          <w:bCs/>
          <w:color w:val="auto"/>
          <w:kern w:val="0"/>
          <w:sz w:val="28"/>
          <w:szCs w:val="28"/>
          <w:highlight w:val="none"/>
          <w:shd w:val="clear" w:color="auto" w:fill="auto"/>
          <w:lang w:val="zh-TW" w:eastAsia="zh-TW"/>
        </w:rPr>
        <w:t>项目</w:t>
      </w:r>
      <w:r>
        <w:rPr>
          <w:rFonts w:hint="eastAsia" w:cs="宋体"/>
          <w:b/>
          <w:bCs/>
          <w:color w:val="auto"/>
          <w:kern w:val="0"/>
          <w:sz w:val="28"/>
          <w:szCs w:val="28"/>
          <w:highlight w:val="none"/>
          <w:shd w:val="clear" w:color="auto" w:fill="auto"/>
          <w:lang w:val="en-US" w:eastAsia="zh-CN"/>
        </w:rPr>
        <w:t>过程</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8317" w:type="dxa"/>
        <w:jc w:val="center"/>
        <w:tblLayout w:type="fixed"/>
        <w:tblCellMar>
          <w:top w:w="0" w:type="dxa"/>
          <w:left w:w="0" w:type="dxa"/>
          <w:bottom w:w="0" w:type="dxa"/>
          <w:right w:w="0" w:type="dxa"/>
        </w:tblCellMar>
      </w:tblPr>
      <w:tblGrid>
        <w:gridCol w:w="1182"/>
        <w:gridCol w:w="738"/>
        <w:gridCol w:w="1248"/>
        <w:gridCol w:w="1176"/>
        <w:gridCol w:w="1833"/>
        <w:gridCol w:w="987"/>
        <w:gridCol w:w="1153"/>
      </w:tblGrid>
      <w:tr w14:paraId="766A1866">
        <w:tblPrEx>
          <w:tblCellMar>
            <w:top w:w="0" w:type="dxa"/>
            <w:left w:w="0" w:type="dxa"/>
            <w:bottom w:w="0" w:type="dxa"/>
            <w:right w:w="0" w:type="dxa"/>
          </w:tblCellMar>
        </w:tblPrEx>
        <w:trPr>
          <w:trHeight w:val="272" w:hRule="atLeast"/>
          <w:tblHeade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BC4E9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6E7D8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CD7E7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F72746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A927A4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7F27CF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103C7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29AC8982">
        <w:tblPrEx>
          <w:tblCellMar>
            <w:top w:w="0" w:type="dxa"/>
            <w:left w:w="0" w:type="dxa"/>
            <w:bottom w:w="0" w:type="dxa"/>
            <w:right w:w="0" w:type="dxa"/>
          </w:tblCellMar>
        </w:tblPrEx>
        <w:trPr>
          <w:trHeight w:val="23"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3AE05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过程管理</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22729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F5634F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资金管理</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1EBE09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12</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298AE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资金到位率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6E70BF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71624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526B1579">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DF45B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EAA1F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11C5A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81B63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F67978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预算执行率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15907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D95A5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14E64D88">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998BA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C24FB1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91AD6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2CED37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0DB94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资金使用合规性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AE2B6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FC8F1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5A137E1F">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F4E4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CB958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692CA8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组织实施</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99A579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8</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6E9D9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管理制度健全性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9DE33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9ABD7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207FD3F1">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A4AE3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64220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61F2C3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B7AB3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B457A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制度执行有效性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B8E5E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8AE88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13B43EF8">
        <w:tblPrEx>
          <w:tblCellMar>
            <w:top w:w="0" w:type="dxa"/>
            <w:left w:w="0" w:type="dxa"/>
            <w:bottom w:w="0" w:type="dxa"/>
            <w:right w:w="0" w:type="dxa"/>
          </w:tblCellMar>
        </w:tblPrEx>
        <w:trPr>
          <w:trHeight w:val="23" w:hRule="atLeast"/>
          <w:jc w:val="center"/>
        </w:trPr>
        <w:tc>
          <w:tcPr>
            <w:tcW w:w="3168"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5010AE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E5C2E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70A7CD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F93E6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558D2B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14020B2F">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FF0000"/>
          <w:sz w:val="32"/>
          <w:szCs w:val="32"/>
          <w:lang w:val="en-US" w:eastAsia="zh-CN"/>
        </w:rPr>
      </w:pPr>
      <w:r>
        <w:rPr>
          <w:rFonts w:hint="eastAsia" w:ascii="仿宋_GB2312" w:hAnsi="仿宋_GB2312" w:eastAsia="仿宋_GB2312" w:cs="仿宋_GB2312"/>
          <w:b/>
          <w:bCs/>
          <w:sz w:val="32"/>
          <w:szCs w:val="32"/>
          <w:lang w:val="en-US" w:eastAsia="zh-CN"/>
        </w:rPr>
        <w:t>1.资金到位率</w:t>
      </w:r>
      <w:bookmarkEnd w:id="124"/>
      <w:bookmarkEnd w:id="125"/>
    </w:p>
    <w:p w14:paraId="03096A6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26" w:name="_Toc9705"/>
      <w:bookmarkStart w:id="127" w:name="_Toc17709"/>
      <w:r>
        <w:rPr>
          <w:rFonts w:hint="eastAsia" w:ascii="仿宋_GB2312" w:hAnsi="仿宋_GB2312" w:eastAsia="仿宋_GB2312" w:cs="仿宋_GB2312"/>
          <w:b w:val="0"/>
          <w:bCs w:val="0"/>
          <w:color w:val="auto"/>
          <w:sz w:val="32"/>
          <w:szCs w:val="32"/>
          <w:highlight w:val="none"/>
        </w:rPr>
        <w:t>项目预算资金为</w:t>
      </w:r>
      <w:r>
        <w:rPr>
          <w:rFonts w:hint="eastAsia" w:ascii="仿宋_GB2312" w:hAnsi="仿宋_GB2312" w:eastAsia="仿宋_GB2312" w:cs="仿宋_GB2312"/>
          <w:b w:val="0"/>
          <w:bCs w:val="0"/>
          <w:color w:val="auto"/>
          <w:sz w:val="32"/>
          <w:szCs w:val="32"/>
          <w:highlight w:val="none"/>
          <w:lang w:val="en-US" w:eastAsia="zh-CN"/>
        </w:rPr>
        <w:t>339.54</w:t>
      </w:r>
      <w:r>
        <w:rPr>
          <w:rFonts w:hint="eastAsia" w:ascii="仿宋_GB2312" w:hAnsi="仿宋_GB2312" w:eastAsia="仿宋_GB2312" w:cs="仿宋_GB2312"/>
          <w:b w:val="0"/>
          <w:bCs w:val="0"/>
          <w:color w:val="auto"/>
          <w:sz w:val="32"/>
          <w:szCs w:val="32"/>
          <w:highlight w:val="none"/>
        </w:rPr>
        <w:t>万元，其中：财政安排资金</w:t>
      </w:r>
      <w:r>
        <w:rPr>
          <w:rFonts w:hint="eastAsia" w:ascii="仿宋_GB2312" w:hAnsi="仿宋_GB2312" w:eastAsia="仿宋_GB2312" w:cs="仿宋_GB2312"/>
          <w:b w:val="0"/>
          <w:bCs w:val="0"/>
          <w:color w:val="auto"/>
          <w:sz w:val="32"/>
          <w:szCs w:val="32"/>
          <w:highlight w:val="none"/>
          <w:lang w:val="en-US" w:eastAsia="zh-CN"/>
        </w:rPr>
        <w:t>339.54</w:t>
      </w:r>
      <w:r>
        <w:rPr>
          <w:rFonts w:hint="eastAsia" w:ascii="仿宋_GB2312" w:hAnsi="仿宋_GB2312" w:eastAsia="仿宋_GB2312" w:cs="仿宋_GB2312"/>
          <w:b w:val="0"/>
          <w:bCs w:val="0"/>
          <w:color w:val="auto"/>
          <w:sz w:val="32"/>
          <w:szCs w:val="32"/>
          <w:highlight w:val="none"/>
        </w:rPr>
        <w:t>万元，其他资金</w:t>
      </w:r>
      <w:r>
        <w:rPr>
          <w:rFonts w:hint="eastAsia" w:ascii="仿宋_GB2312" w:hAnsi="仿宋_GB2312" w:eastAsia="仿宋_GB2312" w:cs="仿宋_GB2312"/>
          <w:b w:val="0"/>
          <w:bCs w:val="0"/>
          <w:color w:val="auto"/>
          <w:sz w:val="32"/>
          <w:szCs w:val="32"/>
          <w:highlight w:val="none"/>
          <w:lang w:val="en-US" w:eastAsia="zh-CN"/>
        </w:rPr>
        <w:t>0</w:t>
      </w:r>
      <w:r>
        <w:rPr>
          <w:rFonts w:hint="eastAsia" w:ascii="仿宋_GB2312" w:hAnsi="仿宋_GB2312" w:eastAsia="仿宋_GB2312" w:cs="仿宋_GB2312"/>
          <w:b w:val="0"/>
          <w:bCs w:val="0"/>
          <w:color w:val="auto"/>
          <w:sz w:val="32"/>
          <w:szCs w:val="32"/>
          <w:highlight w:val="none"/>
        </w:rPr>
        <w:t>万元</w:t>
      </w:r>
      <w:r>
        <w:rPr>
          <w:rFonts w:hint="eastAsia" w:ascii="仿宋_GB2312" w:hAnsi="仿宋_GB2312" w:eastAsia="仿宋_GB2312" w:cs="仿宋_GB2312"/>
          <w:b w:val="0"/>
          <w:bCs w:val="0"/>
          <w:color w:val="auto"/>
          <w:sz w:val="32"/>
          <w:szCs w:val="32"/>
          <w:highlight w:val="none"/>
          <w:lang w:eastAsia="zh-CN"/>
        </w:rPr>
        <w:t>。</w:t>
      </w:r>
    </w:p>
    <w:p w14:paraId="60D065DB">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资金到位率=（</w:t>
      </w:r>
      <w:r>
        <w:rPr>
          <w:rFonts w:hint="eastAsia" w:ascii="仿宋_GB2312" w:hAnsi="仿宋_GB2312" w:eastAsia="仿宋_GB2312" w:cs="仿宋_GB2312"/>
          <w:color w:val="auto"/>
          <w:sz w:val="32"/>
          <w:szCs w:val="32"/>
          <w:highlight w:val="none"/>
          <w:lang w:val="en-US" w:eastAsia="zh-CN"/>
        </w:rPr>
        <w:t>339.54万元</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339.54万元</w:t>
      </w:r>
      <w:r>
        <w:rPr>
          <w:rFonts w:hint="eastAsia" w:ascii="仿宋_GB2312" w:hAnsi="仿宋_GB2312" w:eastAsia="仿宋_GB2312" w:cs="仿宋_GB2312"/>
          <w:color w:val="auto"/>
          <w:sz w:val="32"/>
          <w:szCs w:val="32"/>
          <w:highlight w:val="none"/>
          <w:lang w:eastAsia="zh-CN"/>
        </w:rPr>
        <w:t>）×100%。</w:t>
      </w:r>
      <w:r>
        <w:rPr>
          <w:rFonts w:hint="eastAsia" w:ascii="仿宋_GB2312" w:hAnsi="仿宋_GB2312" w:eastAsia="仿宋_GB2312" w:cs="仿宋_GB2312"/>
          <w:b/>
          <w:bCs/>
          <w:color w:val="auto"/>
          <w:sz w:val="32"/>
          <w:szCs w:val="32"/>
          <w:highlight w:val="none"/>
          <w:lang w:val="en-US" w:eastAsia="zh-CN"/>
        </w:rPr>
        <w:t>=100%</w:t>
      </w:r>
    </w:p>
    <w:p w14:paraId="6B92980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6B2DE6BF">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2.预算执行率</w:t>
      </w:r>
      <w:bookmarkEnd w:id="126"/>
      <w:bookmarkEnd w:id="127"/>
    </w:p>
    <w:p w14:paraId="57A009C6">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bookmarkStart w:id="128" w:name="_Toc18691"/>
      <w:bookmarkStart w:id="129" w:name="_Toc28875"/>
      <w:r>
        <w:rPr>
          <w:rFonts w:hint="eastAsia" w:ascii="仿宋_GB2312" w:hAnsi="仿宋_GB2312" w:eastAsia="仿宋_GB2312" w:cs="仿宋_GB2312"/>
          <w:color w:val="auto"/>
          <w:sz w:val="32"/>
          <w:szCs w:val="32"/>
          <w:highlight w:val="none"/>
          <w:lang w:val="en-US" w:eastAsia="zh-CN"/>
        </w:rPr>
        <w:t>截至2024年9月30日，项目实际支出</w:t>
      </w:r>
      <w:r>
        <w:rPr>
          <w:rFonts w:hint="eastAsia" w:ascii="仿宋_GB2312" w:hAnsi="仿宋_GB2312" w:eastAsia="仿宋_GB2312" w:cs="仿宋_GB2312"/>
          <w:b w:val="0"/>
          <w:bCs w:val="0"/>
          <w:color w:val="auto"/>
          <w:sz w:val="32"/>
          <w:szCs w:val="32"/>
          <w:highlight w:val="none"/>
          <w:lang w:val="en-US" w:eastAsia="zh-CN"/>
        </w:rPr>
        <w:t>339.54</w:t>
      </w:r>
      <w:r>
        <w:rPr>
          <w:rFonts w:hint="eastAsia" w:ascii="仿宋_GB2312" w:hAnsi="仿宋_GB2312" w:eastAsia="仿宋_GB2312" w:cs="仿宋_GB2312"/>
          <w:color w:val="auto"/>
          <w:sz w:val="32"/>
          <w:szCs w:val="32"/>
          <w:highlight w:val="none"/>
          <w:lang w:val="en-US" w:eastAsia="zh-CN"/>
        </w:rPr>
        <w:t>万元。</w:t>
      </w:r>
    </w:p>
    <w:p w14:paraId="145D1B2F">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预算执行率=（</w:t>
      </w:r>
      <w:r>
        <w:rPr>
          <w:rFonts w:hint="eastAsia" w:ascii="仿宋_GB2312" w:hAnsi="仿宋_GB2312" w:eastAsia="仿宋_GB2312" w:cs="仿宋_GB2312"/>
          <w:color w:val="auto"/>
          <w:sz w:val="32"/>
          <w:szCs w:val="32"/>
          <w:highlight w:val="none"/>
          <w:lang w:val="en-US" w:eastAsia="zh-CN"/>
        </w:rPr>
        <w:t>339.54万元</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339.54万元</w:t>
      </w:r>
      <w:r>
        <w:rPr>
          <w:rFonts w:hint="eastAsia" w:ascii="仿宋_GB2312" w:hAnsi="仿宋_GB2312" w:eastAsia="仿宋_GB2312" w:cs="仿宋_GB2312"/>
          <w:color w:val="auto"/>
          <w:sz w:val="32"/>
          <w:szCs w:val="32"/>
          <w:highlight w:val="none"/>
          <w:lang w:eastAsia="zh-CN"/>
        </w:rPr>
        <w:t>）×100%。</w:t>
      </w:r>
      <w:r>
        <w:rPr>
          <w:rFonts w:hint="eastAsia" w:ascii="仿宋_GB2312" w:hAnsi="仿宋_GB2312" w:eastAsia="仿宋_GB2312" w:cs="仿宋_GB2312"/>
          <w:b/>
          <w:bCs/>
          <w:color w:val="auto"/>
          <w:sz w:val="32"/>
          <w:szCs w:val="32"/>
          <w:highlight w:val="none"/>
          <w:lang w:val="en-US" w:eastAsia="zh-CN"/>
        </w:rPr>
        <w:t>=100%</w:t>
      </w:r>
    </w:p>
    <w:p w14:paraId="787AF4B6">
      <w:pPr>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3CE32C3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3.资金使用合规性</w:t>
      </w:r>
      <w:bookmarkEnd w:id="128"/>
      <w:bookmarkEnd w:id="129"/>
    </w:p>
    <w:p w14:paraId="748CE1C0">
      <w:pPr>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auto"/>
          <w:sz w:val="32"/>
          <w:szCs w:val="32"/>
          <w:highlight w:val="none"/>
        </w:rPr>
      </w:pPr>
      <w:r>
        <w:rPr>
          <w:rFonts w:hint="eastAsia" w:ascii="仿宋_GB2312" w:hAnsi="仿宋_GB2312" w:eastAsia="仿宋_GB2312" w:cs="仿宋_GB2312"/>
          <w:color w:val="auto"/>
          <w:sz w:val="32"/>
          <w:szCs w:val="32"/>
          <w:highlight w:val="none"/>
          <w:lang w:eastAsia="zh-CN"/>
        </w:rPr>
        <w:t>①本项目资金支出符合国家财经法规、《政府会计制度》《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单位资金管理办法》《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专项资金管理办法》；</w:t>
      </w:r>
    </w:p>
    <w:p w14:paraId="01948C8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②资金的拨付有完整的审批程序和手续；</w:t>
      </w:r>
    </w:p>
    <w:p w14:paraId="7F6A78E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③符合项目预算批复或合同规定的用途；</w:t>
      </w:r>
    </w:p>
    <w:p w14:paraId="6800A0E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lang w:eastAsia="zh-CN"/>
        </w:rPr>
        <w:t>存在截留、挤占、挪用、虚列支出等情况。</w:t>
      </w:r>
    </w:p>
    <w:p w14:paraId="212799AF">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本项目的资金使用是合规的、安全的，既符合国家相关法律法规与财务制度的要求，又满足了项目实施的实际需要。资金使用的合规性为项目的成功实施提供了有力的保障，也为项目的绩效评价奠定了坚实的基础。</w:t>
      </w:r>
      <w:r>
        <w:rPr>
          <w:rFonts w:hint="eastAsia" w:ascii="Times New Roman" w:hAnsi="Times New Roman" w:eastAsia="仿宋_GB2312" w:cs="Times New Roman"/>
          <w:color w:val="auto"/>
          <w:sz w:val="32"/>
          <w:szCs w:val="32"/>
          <w:highlight w:val="none"/>
          <w:lang w:val="en-US" w:eastAsia="zh-CN"/>
        </w:rPr>
        <w:t xml:space="preserve"> </w:t>
      </w:r>
    </w:p>
    <w:p w14:paraId="0FC9A0B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3E844FDB">
      <w:pPr>
        <w:pageBreakBefore w:val="0"/>
        <w:numPr>
          <w:ilvl w:val="0"/>
          <w:numId w:val="0"/>
        </w:numPr>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kern w:val="2"/>
          <w:sz w:val="32"/>
          <w:szCs w:val="32"/>
          <w:lang w:val="en-US" w:eastAsia="zh-CN" w:bidi="ar-SA"/>
        </w:rPr>
        <w:t>4.</w:t>
      </w:r>
      <w:r>
        <w:rPr>
          <w:rFonts w:hint="eastAsia" w:ascii="仿宋_GB2312" w:hAnsi="仿宋_GB2312" w:eastAsia="仿宋_GB2312" w:cs="仿宋_GB2312"/>
          <w:b/>
          <w:bCs/>
          <w:sz w:val="32"/>
          <w:szCs w:val="32"/>
          <w:lang w:val="en-US" w:eastAsia="zh-CN"/>
        </w:rPr>
        <w:t>管理制度健全性</w:t>
      </w:r>
    </w:p>
    <w:p w14:paraId="2ADC977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30" w:name="_Toc31684"/>
      <w:bookmarkStart w:id="131" w:name="_Toc13984"/>
      <w:r>
        <w:rPr>
          <w:rFonts w:hint="eastAsia" w:ascii="仿宋_GB2312" w:hAnsi="仿宋_GB2312" w:eastAsia="仿宋_GB2312" w:cs="仿宋_GB2312"/>
          <w:color w:val="auto"/>
          <w:sz w:val="32"/>
          <w:szCs w:val="32"/>
          <w:highlight w:val="none"/>
          <w:lang w:val="en-US" w:eastAsia="zh-CN"/>
        </w:rPr>
        <w:t>①</w:t>
      </w:r>
      <w:r>
        <w:rPr>
          <w:rFonts w:hint="eastAsia" w:ascii="仿宋_GB2312" w:hAnsi="仿宋_GB2312" w:eastAsia="仿宋_GB2312" w:cs="仿宋_GB2312"/>
          <w:color w:val="auto"/>
          <w:sz w:val="32"/>
          <w:szCs w:val="32"/>
          <w:highlight w:val="none"/>
          <w:lang w:eastAsia="zh-CN"/>
        </w:rPr>
        <w:t>我单位已制定《</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收支业务管理制度》《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政府采购业务管理制度》《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合同管理制度》，</w:t>
      </w:r>
      <w:r>
        <w:rPr>
          <w:rFonts w:hint="eastAsia" w:ascii="仿宋_GB2312" w:hAnsi="仿宋_GB2312" w:eastAsia="仿宋_GB2312" w:cs="仿宋_GB2312"/>
          <w:color w:val="auto"/>
          <w:sz w:val="32"/>
          <w:szCs w:val="32"/>
          <w:highlight w:val="none"/>
          <w:lang w:val="en-US" w:eastAsia="zh-CN"/>
        </w:rPr>
        <w:t>相关</w:t>
      </w:r>
      <w:r>
        <w:rPr>
          <w:rFonts w:hint="eastAsia" w:ascii="仿宋_GB2312" w:hAnsi="仿宋_GB2312" w:eastAsia="仿宋_GB2312" w:cs="仿宋_GB2312"/>
          <w:color w:val="auto"/>
          <w:sz w:val="32"/>
          <w:szCs w:val="32"/>
          <w:highlight w:val="none"/>
          <w:lang w:eastAsia="zh-CN"/>
        </w:rPr>
        <w:t>制度均符合行政事业单位内控管理要求；</w:t>
      </w:r>
    </w:p>
    <w:p w14:paraId="3953F9A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②已制定的</w:t>
      </w:r>
      <w:r>
        <w:rPr>
          <w:rFonts w:hint="eastAsia" w:ascii="仿宋_GB2312" w:hAnsi="仿宋_GB2312" w:eastAsia="仿宋_GB2312" w:cs="仿宋_GB2312"/>
          <w:color w:val="auto"/>
          <w:sz w:val="32"/>
          <w:szCs w:val="32"/>
          <w:highlight w:val="none"/>
          <w:lang w:eastAsia="zh-CN"/>
        </w:rPr>
        <w:t>财务和业务管理制度合法、合规、完整，本项目执行符合上述制度规定。</w:t>
      </w:r>
    </w:p>
    <w:p w14:paraId="0C7A6AB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3C498E6E">
      <w:pPr>
        <w:pageBreakBefore w:val="0"/>
        <w:kinsoku/>
        <w:wordWrap/>
        <w:overflowPunct/>
        <w:topLinePunct w:val="0"/>
        <w:autoSpaceDE/>
        <w:autoSpaceDN/>
        <w:bidi w:val="0"/>
        <w:spacing w:line="560" w:lineRule="exact"/>
        <w:ind w:left="1524" w:leftChars="200" w:hanging="964" w:hangingChars="300"/>
        <w:textAlignment w:val="auto"/>
        <w:outlineLvl w:val="2"/>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5.制度执行有效性</w:t>
      </w:r>
      <w:bookmarkEnd w:id="130"/>
      <w:bookmarkEnd w:id="131"/>
    </w:p>
    <w:p w14:paraId="0E60FD8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32" w:name="_Toc2441"/>
      <w:r>
        <w:rPr>
          <w:rFonts w:hint="eastAsia" w:ascii="仿宋_GB2312" w:hAnsi="仿宋_GB2312" w:eastAsia="仿宋_GB2312" w:cs="仿宋_GB2312"/>
          <w:color w:val="auto"/>
          <w:sz w:val="32"/>
          <w:szCs w:val="32"/>
          <w:highlight w:val="none"/>
          <w:lang w:eastAsia="zh-CN"/>
        </w:rPr>
        <w:t>①</w:t>
      </w:r>
      <w:r>
        <w:rPr>
          <w:rFonts w:hint="eastAsia" w:ascii="仿宋_GB2312" w:hAnsi="仿宋_GB2312" w:eastAsia="仿宋_GB2312" w:cs="仿宋_GB2312"/>
          <w:color w:val="auto"/>
          <w:sz w:val="32"/>
          <w:szCs w:val="32"/>
          <w:highlight w:val="none"/>
        </w:rPr>
        <w:t>项目的实施</w:t>
      </w:r>
      <w:r>
        <w:rPr>
          <w:rFonts w:hint="eastAsia" w:ascii="仿宋_GB2312" w:hAnsi="仿宋_GB2312" w:eastAsia="仿宋_GB2312" w:cs="仿宋_GB2312"/>
          <w:color w:val="auto"/>
          <w:sz w:val="32"/>
          <w:szCs w:val="32"/>
          <w:highlight w:val="none"/>
          <w:lang w:eastAsia="zh-CN"/>
        </w:rPr>
        <w:t>遵守相关法律法规</w:t>
      </w:r>
      <w:r>
        <w:rPr>
          <w:rFonts w:hint="eastAsia" w:ascii="仿宋_GB2312" w:hAnsi="仿宋_GB2312" w:eastAsia="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lang w:eastAsia="zh-CN"/>
        </w:rPr>
        <w:t>相关管理规定，</w:t>
      </w:r>
      <w:r>
        <w:rPr>
          <w:rFonts w:hint="eastAsia" w:ascii="仿宋_GB2312" w:hAnsi="仿宋_GB2312" w:eastAsia="仿宋_GB2312" w:cs="仿宋_GB2312"/>
          <w:color w:val="auto"/>
          <w:sz w:val="32"/>
          <w:szCs w:val="32"/>
          <w:highlight w:val="none"/>
        </w:rPr>
        <w:t>符合</w:t>
      </w:r>
      <w:r>
        <w:rPr>
          <w:rFonts w:hint="eastAsia" w:ascii="仿宋_GB2312" w:hAnsi="仿宋_GB2312" w:eastAsia="仿宋_GB2312" w:cs="仿宋_GB2312"/>
          <w:color w:val="auto"/>
          <w:sz w:val="32"/>
          <w:szCs w:val="32"/>
          <w:highlight w:val="none"/>
          <w:lang w:eastAsia="zh-CN"/>
        </w:rPr>
        <w:t>《政府会计制度》《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单位资金管理办法》《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专项资金管理办法》</w:t>
      </w:r>
      <w:r>
        <w:rPr>
          <w:rFonts w:hint="eastAsia" w:ascii="仿宋_GB2312" w:hAnsi="仿宋_GB2312" w:eastAsia="仿宋_GB2312" w:cs="仿宋_GB2312"/>
          <w:color w:val="auto"/>
          <w:sz w:val="32"/>
          <w:szCs w:val="32"/>
          <w:highlight w:val="none"/>
        </w:rPr>
        <w:t>等管理规定</w:t>
      </w:r>
      <w:r>
        <w:rPr>
          <w:rFonts w:hint="eastAsia" w:ascii="仿宋_GB2312" w:hAnsi="仿宋_GB2312" w:eastAsia="仿宋_GB2312" w:cs="仿宋_GB2312"/>
          <w:color w:val="auto"/>
          <w:sz w:val="32"/>
          <w:szCs w:val="32"/>
          <w:highlight w:val="none"/>
          <w:lang w:eastAsia="zh-CN"/>
        </w:rPr>
        <w:t>；</w:t>
      </w:r>
    </w:p>
    <w:p w14:paraId="4907036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w:t>
      </w:r>
      <w:r>
        <w:rPr>
          <w:rFonts w:hint="eastAsia" w:ascii="仿宋_GB2312" w:hAnsi="仿宋_GB2312" w:eastAsia="仿宋_GB2312" w:cs="仿宋_GB2312"/>
          <w:color w:val="auto"/>
          <w:sz w:val="32"/>
          <w:szCs w:val="32"/>
          <w:highlight w:val="none"/>
        </w:rPr>
        <w:t>项目</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rPr>
        <w:t>存在调整</w:t>
      </w:r>
      <w:r>
        <w:rPr>
          <w:rFonts w:hint="eastAsia" w:ascii="仿宋_GB2312" w:hAnsi="仿宋_GB2312" w:eastAsia="仿宋_GB2312" w:cs="仿宋_GB2312"/>
          <w:color w:val="auto"/>
          <w:sz w:val="32"/>
          <w:szCs w:val="32"/>
          <w:highlight w:val="none"/>
          <w:lang w:eastAsia="zh-CN"/>
        </w:rPr>
        <w:t>。</w:t>
      </w:r>
    </w:p>
    <w:p w14:paraId="602EAFC7">
      <w:pPr>
        <w:pageBreakBefore w:val="0"/>
        <w:widowControl w:val="0"/>
        <w:kinsoku/>
        <w:wordWrap/>
        <w:topLinePunct w:val="0"/>
        <w:autoSpaceDE/>
        <w:autoSpaceDN/>
        <w:bidi w:val="0"/>
        <w:spacing w:line="560" w:lineRule="exact"/>
        <w:ind w:left="0" w:leftChars="0" w:firstLine="643"/>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③</w:t>
      </w:r>
      <w:r>
        <w:rPr>
          <w:rFonts w:hint="eastAsia" w:ascii="仿宋_GB2312" w:hAnsi="仿宋_GB2312" w:eastAsia="仿宋_GB2312" w:cs="仿宋_GB2312"/>
          <w:color w:val="auto"/>
          <w:sz w:val="32"/>
          <w:szCs w:val="32"/>
          <w:highlight w:val="none"/>
        </w:rPr>
        <w:t>项目合同书、验收评审表、财务支付凭证等资料齐全并及时归档。</w:t>
      </w:r>
    </w:p>
    <w:p w14:paraId="5C0A331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实施所需要的项目人员和场地设备均已落实到位，具体涉及内容包括：项目资金支出严格按照自治区、地区以及本单位资金管理办法执行，项目启动实施后，为了加快本项目的实施，成立了2023年中央农业生产发展资金（第二批）重点作物绿色高产高效行动工作领导小组，由</w:t>
      </w:r>
      <w:r>
        <w:rPr>
          <w:rFonts w:hint="eastAsia" w:ascii="仿宋_GB2312" w:hAnsi="仿宋_GB2312" w:eastAsia="仿宋_GB2312" w:cs="仿宋_GB2312"/>
          <w:color w:val="auto"/>
          <w:sz w:val="32"/>
          <w:szCs w:val="32"/>
          <w:highlight w:val="none"/>
          <w:lang w:val="en-US" w:eastAsia="zh-CN"/>
        </w:rPr>
        <w:t>局长</w:t>
      </w:r>
      <w:r>
        <w:rPr>
          <w:rFonts w:hint="eastAsia" w:ascii="仿宋_GB2312" w:hAnsi="仿宋_GB2312" w:eastAsia="仿宋_GB2312" w:cs="仿宋_GB2312"/>
          <w:color w:val="auto"/>
          <w:sz w:val="32"/>
          <w:szCs w:val="32"/>
          <w:highlight w:val="none"/>
          <w:lang w:eastAsia="zh-CN"/>
        </w:rPr>
        <w:t>任组长，负责项目的组织工作；</w:t>
      </w:r>
      <w:r>
        <w:rPr>
          <w:rFonts w:hint="eastAsia" w:ascii="仿宋_GB2312" w:hAnsi="仿宋_GB2312" w:eastAsia="仿宋_GB2312" w:cs="仿宋_GB2312"/>
          <w:color w:val="auto"/>
          <w:sz w:val="32"/>
          <w:szCs w:val="32"/>
          <w:highlight w:val="none"/>
          <w:lang w:val="en-US" w:eastAsia="zh-CN"/>
        </w:rPr>
        <w:t>方勇</w:t>
      </w:r>
      <w:r>
        <w:rPr>
          <w:rFonts w:hint="eastAsia" w:ascii="仿宋_GB2312" w:hAnsi="仿宋_GB2312" w:eastAsia="仿宋_GB2312" w:cs="仿宋_GB2312"/>
          <w:color w:val="auto"/>
          <w:sz w:val="32"/>
          <w:szCs w:val="32"/>
          <w:highlight w:val="none"/>
          <w:lang w:eastAsia="zh-CN"/>
        </w:rPr>
        <w:t>任副组长，负责项目的实施工作；组员：</w:t>
      </w:r>
      <w:r>
        <w:rPr>
          <w:rFonts w:hint="eastAsia" w:ascii="仿宋_GB2312" w:hAnsi="仿宋_GB2312" w:eastAsia="仿宋_GB2312" w:cs="仿宋_GB2312"/>
          <w:color w:val="auto"/>
          <w:sz w:val="32"/>
          <w:szCs w:val="32"/>
          <w:highlight w:val="none"/>
          <w:lang w:val="en-US" w:eastAsia="zh-CN"/>
        </w:rPr>
        <w:t>徐永琪</w:t>
      </w:r>
      <w:r>
        <w:rPr>
          <w:rFonts w:hint="eastAsia" w:ascii="仿宋_GB2312" w:hAnsi="仿宋_GB2312" w:eastAsia="仿宋_GB2312" w:cs="仿宋_GB2312"/>
          <w:color w:val="auto"/>
          <w:sz w:val="32"/>
          <w:szCs w:val="32"/>
          <w:highlight w:val="none"/>
          <w:lang w:eastAsia="zh-CN"/>
        </w:rPr>
        <w:t>和</w:t>
      </w:r>
      <w:r>
        <w:rPr>
          <w:rFonts w:hint="eastAsia" w:ascii="仿宋_GB2312" w:hAnsi="仿宋_GB2312" w:eastAsia="仿宋_GB2312" w:cs="仿宋_GB2312"/>
          <w:color w:val="auto"/>
          <w:sz w:val="32"/>
          <w:szCs w:val="32"/>
          <w:highlight w:val="none"/>
          <w:lang w:val="en-US" w:eastAsia="zh-CN"/>
        </w:rPr>
        <w:t>董文玉</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徐永琪</w:t>
      </w:r>
      <w:r>
        <w:rPr>
          <w:rFonts w:hint="eastAsia" w:ascii="仿宋_GB2312" w:hAnsi="仿宋_GB2312" w:eastAsia="仿宋_GB2312" w:cs="仿宋_GB2312"/>
          <w:color w:val="auto"/>
          <w:sz w:val="32"/>
          <w:szCs w:val="32"/>
          <w:highlight w:val="none"/>
          <w:lang w:eastAsia="zh-CN"/>
        </w:rPr>
        <w:t>主要负责项目监督管理、验收，</w:t>
      </w:r>
      <w:r>
        <w:rPr>
          <w:rFonts w:hint="eastAsia" w:ascii="仿宋_GB2312" w:hAnsi="仿宋_GB2312" w:eastAsia="仿宋_GB2312" w:cs="仿宋_GB2312"/>
          <w:color w:val="auto"/>
          <w:sz w:val="32"/>
          <w:szCs w:val="32"/>
          <w:highlight w:val="none"/>
          <w:lang w:val="en-US" w:eastAsia="zh-CN"/>
        </w:rPr>
        <w:t>董文玉负责</w:t>
      </w:r>
      <w:r>
        <w:rPr>
          <w:rFonts w:hint="eastAsia" w:ascii="仿宋_GB2312" w:hAnsi="仿宋_GB2312" w:eastAsia="仿宋_GB2312" w:cs="仿宋_GB2312"/>
          <w:color w:val="auto"/>
          <w:sz w:val="32"/>
          <w:szCs w:val="32"/>
          <w:highlight w:val="none"/>
          <w:lang w:eastAsia="zh-CN"/>
        </w:rPr>
        <w:t>资金核拨等工作。</w:t>
      </w:r>
    </w:p>
    <w:p w14:paraId="668FA8A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284C7EC7">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highlight w:val="none"/>
          <w:lang w:val="en-US" w:eastAsia="zh-CN"/>
        </w:rPr>
      </w:pPr>
      <w:r>
        <w:rPr>
          <w:rFonts w:hint="eastAsia" w:ascii="Times New Roman" w:hAnsi="Times New Roman" w:eastAsia="楷体_GB2312" w:cs="Times New Roman"/>
          <w:kern w:val="28"/>
          <w:sz w:val="32"/>
          <w:highlight w:val="none"/>
          <w:lang w:val="en-US" w:eastAsia="zh-CN"/>
        </w:rPr>
        <w:t>（三）项目产出情况</w:t>
      </w:r>
      <w:bookmarkEnd w:id="132"/>
    </w:p>
    <w:p w14:paraId="7AF31173">
      <w:pPr>
        <w:pageBreakBefore w:val="0"/>
        <w:widowControl w:val="0"/>
        <w:kinsoku/>
        <w:wordWrap/>
        <w:overflowPunct/>
        <w:topLinePunct w:val="0"/>
        <w:autoSpaceDE/>
        <w:autoSpaceDN/>
        <w:bidi w:val="0"/>
        <w:adjustRightInd/>
        <w:spacing w:line="560" w:lineRule="exact"/>
        <w:ind w:firstLine="560"/>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bookmarkStart w:id="133" w:name="_Toc14255"/>
      <w:bookmarkStart w:id="134" w:name="_Toc31739"/>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lang w:val="en-US" w:eastAsia="zh-CN"/>
        </w:rPr>
        <w:t>产出</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color w:val="auto"/>
          <w:sz w:val="32"/>
          <w:szCs w:val="32"/>
          <w:highlight w:val="none"/>
          <w:lang w:val="en-US" w:eastAsia="zh-CN"/>
        </w:rPr>
        <w:t>包括产出数量、产出质量、产出时效、产出成本四方面的内容，</w:t>
      </w:r>
      <w:r>
        <w:rPr>
          <w:rFonts w:hint="eastAsia" w:ascii="Times New Roman" w:hAnsi="Times New Roman" w:eastAsia="仿宋_GB2312" w:cs="Times New Roman"/>
          <w:color w:val="auto"/>
          <w:sz w:val="32"/>
          <w:szCs w:val="32"/>
          <w:highlight w:val="none"/>
          <w:lang w:val="en-US" w:eastAsia="zh-CN"/>
        </w:rPr>
        <w:t>共3</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6</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40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39.8</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w:t>
      </w:r>
      <w:r>
        <w:rPr>
          <w:rFonts w:hint="eastAsia" w:ascii="仿宋_GB2312" w:hAnsi="仿宋_GB2312" w:eastAsia="仿宋_GB2312" w:cs="仿宋_GB2312"/>
          <w:color w:val="auto"/>
          <w:kern w:val="2"/>
          <w:sz w:val="32"/>
          <w:szCs w:val="32"/>
          <w:highlight w:val="none"/>
          <w:u w:color="000000"/>
          <w:shd w:val="clear" w:color="auto" w:fill="auto"/>
          <w:lang w:val="en-US" w:eastAsia="zh-CN"/>
        </w:rPr>
        <w:t>3</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6AF4ABB4">
      <w:pPr>
        <w:keepNext w:val="0"/>
        <w:keepLines w:val="0"/>
        <w:pageBreakBefore w:val="0"/>
        <w:widowControl/>
        <w:tabs>
          <w:tab w:val="center" w:pos="4213"/>
          <w:tab w:val="left" w:pos="7328"/>
        </w:tabs>
        <w:kinsoku/>
        <w:wordWrap/>
        <w:overflowPunct/>
        <w:topLinePunct w:val="0"/>
        <w:autoSpaceDE/>
        <w:autoSpaceDN/>
        <w:bidi w:val="0"/>
        <w:adjustRightInd/>
        <w:snapToGrid w:val="0"/>
        <w:spacing w:line="560" w:lineRule="exact"/>
        <w:ind w:firstLine="0" w:firstLineChars="0"/>
        <w:jc w:val="left"/>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cs="宋体"/>
          <w:b/>
          <w:bCs/>
          <w:color w:val="auto"/>
          <w:kern w:val="0"/>
          <w:sz w:val="28"/>
          <w:szCs w:val="28"/>
          <w:highlight w:val="none"/>
          <w:shd w:val="clear" w:color="auto" w:fill="auto"/>
          <w:lang w:val="zh-TW" w:eastAsia="zh-CN"/>
        </w:rPr>
        <w:tab/>
      </w: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4-3项目产出</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r>
        <w:rPr>
          <w:rFonts w:hint="eastAsia" w:cs="宋体"/>
          <w:b/>
          <w:bCs/>
          <w:color w:val="auto"/>
          <w:kern w:val="0"/>
          <w:sz w:val="28"/>
          <w:szCs w:val="28"/>
          <w:highlight w:val="none"/>
          <w:shd w:val="clear" w:color="auto" w:fill="auto"/>
          <w:lang w:val="en-US" w:eastAsia="zh-CN"/>
        </w:rPr>
        <w:tab/>
      </w:r>
    </w:p>
    <w:tbl>
      <w:tblPr>
        <w:tblStyle w:val="16"/>
        <w:tblW w:w="0" w:type="auto"/>
        <w:tblInd w:w="0" w:type="dxa"/>
        <w:shd w:val="clear" w:color="auto" w:fill="auto"/>
        <w:tblLayout w:type="autofit"/>
        <w:tblCellMar>
          <w:top w:w="0" w:type="dxa"/>
          <w:left w:w="0" w:type="dxa"/>
          <w:bottom w:w="0" w:type="dxa"/>
          <w:right w:w="0" w:type="dxa"/>
        </w:tblCellMar>
      </w:tblPr>
      <w:tblGrid>
        <w:gridCol w:w="660"/>
        <w:gridCol w:w="554"/>
        <w:gridCol w:w="3070"/>
        <w:gridCol w:w="1975"/>
        <w:gridCol w:w="514"/>
        <w:gridCol w:w="969"/>
        <w:gridCol w:w="594"/>
      </w:tblGrid>
      <w:tr w14:paraId="73423655">
        <w:tblPrEx>
          <w:shd w:val="clear" w:color="auto" w:fill="auto"/>
          <w:tblCellMar>
            <w:top w:w="0" w:type="dxa"/>
            <w:left w:w="0" w:type="dxa"/>
            <w:bottom w:w="0" w:type="dxa"/>
            <w:right w:w="0" w:type="dxa"/>
          </w:tblCellMar>
        </w:tblPrEx>
        <w:trPr>
          <w:trHeight w:val="750"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4444EBA">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一级指标</w:t>
            </w:r>
          </w:p>
        </w:tc>
        <w:tc>
          <w:tcPr>
            <w:tcW w:w="0" w:type="auto"/>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3D3DB78">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二级指标</w:t>
            </w:r>
          </w:p>
        </w:tc>
        <w:tc>
          <w:tcPr>
            <w:tcW w:w="307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7AA95BF">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三级指标</w:t>
            </w:r>
          </w:p>
        </w:tc>
        <w:tc>
          <w:tcPr>
            <w:tcW w:w="197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B7EF736">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CBAA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标杆分值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35449">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全年实际完成值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A4AD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b/>
                <w:bCs/>
                <w:color w:val="auto"/>
                <w:kern w:val="0"/>
                <w:sz w:val="18"/>
                <w:szCs w:val="18"/>
                <w:highlight w:val="none"/>
                <w:shd w:val="clear" w:color="auto" w:fill="auto"/>
                <w:lang w:val="en-US" w:eastAsia="zh-CN"/>
              </w:rPr>
            </w:pPr>
            <w:r>
              <w:rPr>
                <w:rFonts w:hint="eastAsia" w:ascii="宋体" w:hAnsi="宋体" w:eastAsia="宋体" w:cs="宋体"/>
                <w:b/>
                <w:bCs/>
                <w:color w:val="auto"/>
                <w:kern w:val="0"/>
                <w:sz w:val="18"/>
                <w:szCs w:val="18"/>
                <w:highlight w:val="none"/>
                <w:shd w:val="clear" w:color="auto" w:fill="auto"/>
                <w:lang w:val="en-US" w:eastAsia="zh-CN"/>
              </w:rPr>
              <w:t>指标得分</w:t>
            </w:r>
          </w:p>
        </w:tc>
      </w:tr>
      <w:tr w14:paraId="5136F8B8">
        <w:tblPrEx>
          <w:shd w:val="clear" w:color="auto" w:fill="auto"/>
          <w:tblCellMar>
            <w:top w:w="0" w:type="dxa"/>
            <w:left w:w="0" w:type="dxa"/>
            <w:bottom w:w="0" w:type="dxa"/>
            <w:right w:w="0" w:type="dxa"/>
          </w:tblCellMar>
        </w:tblPrEx>
        <w:trPr>
          <w:trHeight w:val="415" w:hRule="atLeast"/>
        </w:trPr>
        <w:tc>
          <w:tcPr>
            <w:tcW w:w="660"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9D6B13">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产</w:t>
            </w:r>
            <w:r>
              <w:rPr>
                <w:rFonts w:hint="eastAsia" w:cs="宋体"/>
                <w:color w:val="auto"/>
                <w:kern w:val="0"/>
                <w:sz w:val="18"/>
                <w:szCs w:val="18"/>
                <w:highlight w:val="none"/>
                <w:shd w:val="clear" w:color="auto" w:fill="auto"/>
                <w:lang w:val="en-US" w:eastAsia="zh-CN"/>
              </w:rPr>
              <w:t>出</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4F07E2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数量指标</w:t>
            </w: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AA91E42">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打造小麦千亩方（个）</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B429497">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default"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≧10</w:t>
            </w:r>
            <w:r>
              <w:rPr>
                <w:rFonts w:hint="eastAsia" w:cs="宋体"/>
                <w:i w:val="0"/>
                <w:iCs w:val="0"/>
                <w:color w:val="000000"/>
                <w:kern w:val="0"/>
                <w:sz w:val="18"/>
                <w:szCs w:val="18"/>
                <w:highlight w:val="none"/>
                <w:u w:val="none"/>
                <w:lang w:val="en-US" w:eastAsia="zh-CN" w:bidi="ar"/>
              </w:rPr>
              <w:t>个</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C995FF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3FE026">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bidi="ar-SA"/>
              </w:rPr>
            </w:pPr>
            <w:r>
              <w:rPr>
                <w:rFonts w:hint="eastAsia" w:cs="宋体"/>
                <w:color w:val="auto"/>
                <w:kern w:val="0"/>
                <w:sz w:val="18"/>
                <w:szCs w:val="18"/>
                <w:highlight w:val="none"/>
                <w:shd w:val="clear" w:color="auto" w:fill="auto"/>
                <w:lang w:val="en-US" w:eastAsia="zh-CN"/>
              </w:rPr>
              <w:t>10个</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529EC">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r>
      <w:tr w14:paraId="0D2ACC28">
        <w:tblPrEx>
          <w:shd w:val="clear" w:color="auto" w:fill="auto"/>
          <w:tblCellMar>
            <w:top w:w="0" w:type="dxa"/>
            <w:left w:w="0" w:type="dxa"/>
            <w:bottom w:w="0" w:type="dxa"/>
            <w:right w:w="0" w:type="dxa"/>
          </w:tblCellMar>
        </w:tblPrEx>
        <w:trPr>
          <w:trHeight w:val="415"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9CACC2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0DAC84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5521860">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打造万亩示范片（个）</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D1E0F8">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default"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≧2</w:t>
            </w:r>
            <w:r>
              <w:rPr>
                <w:rFonts w:hint="eastAsia" w:cs="宋体"/>
                <w:i w:val="0"/>
                <w:iCs w:val="0"/>
                <w:color w:val="000000"/>
                <w:kern w:val="0"/>
                <w:sz w:val="18"/>
                <w:szCs w:val="18"/>
                <w:highlight w:val="none"/>
                <w:u w:val="none"/>
                <w:lang w:val="en-US" w:eastAsia="zh-CN" w:bidi="ar"/>
              </w:rPr>
              <w:t>个</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B9E2C4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BAE4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bidi="ar-SA"/>
              </w:rPr>
            </w:pPr>
            <w:r>
              <w:rPr>
                <w:rFonts w:hint="eastAsia" w:cs="宋体"/>
                <w:color w:val="auto"/>
                <w:kern w:val="0"/>
                <w:sz w:val="18"/>
                <w:szCs w:val="18"/>
                <w:highlight w:val="none"/>
                <w:shd w:val="clear" w:color="auto" w:fill="auto"/>
                <w:lang w:val="en-US" w:eastAsia="zh-CN"/>
              </w:rPr>
              <w:t>2个</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E254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6</w:t>
            </w:r>
          </w:p>
        </w:tc>
      </w:tr>
      <w:tr w14:paraId="75CDB11D">
        <w:tblPrEx>
          <w:shd w:val="clear" w:color="auto" w:fill="auto"/>
          <w:tblCellMar>
            <w:top w:w="0" w:type="dxa"/>
            <w:left w:w="0" w:type="dxa"/>
            <w:bottom w:w="0" w:type="dxa"/>
            <w:right w:w="0" w:type="dxa"/>
          </w:tblCellMar>
        </w:tblPrEx>
        <w:trPr>
          <w:trHeight w:val="825"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644F2C9">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A60CA3">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29B421">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完成重点作物绿色高产创建县（个）</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1FDAA72">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default"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≧1</w:t>
            </w:r>
            <w:r>
              <w:rPr>
                <w:rFonts w:hint="eastAsia" w:cs="宋体"/>
                <w:i w:val="0"/>
                <w:iCs w:val="0"/>
                <w:color w:val="000000"/>
                <w:kern w:val="0"/>
                <w:sz w:val="18"/>
                <w:szCs w:val="18"/>
                <w:highlight w:val="none"/>
                <w:u w:val="none"/>
                <w:lang w:val="en-US" w:eastAsia="zh-CN" w:bidi="ar"/>
              </w:rPr>
              <w:t>个</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3EE2442">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5B6BF">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bidi="ar-SA"/>
              </w:rPr>
            </w:pPr>
            <w:r>
              <w:rPr>
                <w:rFonts w:hint="eastAsia" w:cs="宋体"/>
                <w:color w:val="auto"/>
                <w:kern w:val="0"/>
                <w:sz w:val="18"/>
                <w:szCs w:val="18"/>
                <w:highlight w:val="none"/>
                <w:shd w:val="clear" w:color="auto" w:fill="auto"/>
                <w:lang w:val="en-US" w:eastAsia="zh-CN"/>
              </w:rPr>
              <w:t>1套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AD0B5">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r>
      <w:tr w14:paraId="5E6F6120">
        <w:tblPrEx>
          <w:shd w:val="clear" w:color="auto" w:fill="auto"/>
          <w:tblCellMar>
            <w:top w:w="0" w:type="dxa"/>
            <w:left w:w="0" w:type="dxa"/>
            <w:bottom w:w="0" w:type="dxa"/>
            <w:right w:w="0" w:type="dxa"/>
          </w:tblCellMar>
        </w:tblPrEx>
        <w:trPr>
          <w:trHeight w:val="390"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644CE9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EC3DF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质量指标</w:t>
            </w: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9D7D9F4">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小麦“一喷三防”效果</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3273BA3">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i w:val="0"/>
                <w:iCs w:val="0"/>
                <w:color w:val="000000"/>
                <w:kern w:val="0"/>
                <w:sz w:val="18"/>
                <w:szCs w:val="18"/>
                <w:highlight w:val="none"/>
                <w:u w:val="none"/>
                <w:lang w:val="en-US" w:eastAsia="zh-CN" w:bidi="ar"/>
              </w:rPr>
              <w:t>有效延长灌浆期增加粒重</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114070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0524BF">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bidi="ar-SA"/>
              </w:rPr>
            </w:pPr>
            <w:r>
              <w:rPr>
                <w:rFonts w:hint="eastAsia" w:cs="宋体"/>
                <w:color w:val="auto"/>
                <w:kern w:val="0"/>
                <w:sz w:val="18"/>
                <w:szCs w:val="18"/>
                <w:highlight w:val="none"/>
                <w:shd w:val="clear" w:color="auto" w:fill="auto"/>
                <w:lang w:val="en-US" w:eastAsia="zh-CN" w:bidi="ar-SA"/>
              </w:rPr>
              <w:t>达到预期目标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52673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4</w:t>
            </w:r>
          </w:p>
        </w:tc>
      </w:tr>
      <w:tr w14:paraId="6FE79409">
        <w:tblPrEx>
          <w:shd w:val="clear" w:color="auto" w:fill="auto"/>
          <w:tblCellMar>
            <w:top w:w="0" w:type="dxa"/>
            <w:left w:w="0" w:type="dxa"/>
            <w:bottom w:w="0" w:type="dxa"/>
            <w:right w:w="0" w:type="dxa"/>
          </w:tblCellMar>
        </w:tblPrEx>
        <w:trPr>
          <w:trHeight w:val="390"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4BB5A5D">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07FFE15">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9FAF32D">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良种覆盖率（%）</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98A96AA">
            <w:pPr>
              <w:keepNext w:val="0"/>
              <w:keepLines w:val="0"/>
              <w:pageBreakBefore w:val="0"/>
              <w:widowControl/>
              <w:suppressLineNumbers w:val="0"/>
              <w:kinsoku/>
              <w:wordWrap/>
              <w:overflowPunct/>
              <w:topLinePunct w:val="0"/>
              <w:autoSpaceDE/>
              <w:autoSpaceDN/>
              <w:bidi w:val="0"/>
              <w:adjustRightInd/>
              <w:spacing w:line="240" w:lineRule="exact"/>
              <w:ind w:firstLine="0" w:firstLineChars="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≧100%</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93114AC">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DA151">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D6A28D">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r>
      <w:tr w14:paraId="6A6BCAAD">
        <w:tblPrEx>
          <w:shd w:val="clear" w:color="auto" w:fill="auto"/>
          <w:tblCellMar>
            <w:top w:w="0" w:type="dxa"/>
            <w:left w:w="0" w:type="dxa"/>
            <w:bottom w:w="0" w:type="dxa"/>
            <w:right w:w="0" w:type="dxa"/>
          </w:tblCellMar>
        </w:tblPrEx>
        <w:trPr>
          <w:trHeight w:val="410"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EFC167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AA663A0">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时效指标</w:t>
            </w: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0C0D1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项目及时完成率</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447D12C">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2024</w:t>
            </w:r>
            <w:r>
              <w:rPr>
                <w:rFonts w:hint="eastAsia" w:cs="宋体"/>
                <w:color w:val="auto"/>
                <w:kern w:val="0"/>
                <w:sz w:val="18"/>
                <w:szCs w:val="18"/>
                <w:highlight w:val="none"/>
                <w:shd w:val="clear" w:color="auto" w:fill="auto"/>
                <w:lang w:val="en-US" w:eastAsia="zh-CN"/>
              </w:rPr>
              <w:t>年9月30日</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E9DA2A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0CD3F">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bidi="ar-SA"/>
              </w:rPr>
            </w:pPr>
            <w:r>
              <w:rPr>
                <w:rFonts w:hint="eastAsia" w:ascii="宋体" w:hAnsi="宋体" w:eastAsia="宋体" w:cs="宋体"/>
                <w:color w:val="auto"/>
                <w:kern w:val="0"/>
                <w:sz w:val="18"/>
                <w:szCs w:val="18"/>
                <w:highlight w:val="none"/>
                <w:shd w:val="clear" w:color="auto" w:fill="auto"/>
                <w:lang w:val="en-US" w:eastAsia="zh-CN"/>
              </w:rPr>
              <w:t>2024</w:t>
            </w:r>
            <w:r>
              <w:rPr>
                <w:rFonts w:hint="eastAsia" w:cs="宋体"/>
                <w:color w:val="auto"/>
                <w:kern w:val="0"/>
                <w:sz w:val="18"/>
                <w:szCs w:val="18"/>
                <w:highlight w:val="none"/>
                <w:shd w:val="clear" w:color="auto" w:fill="auto"/>
                <w:lang w:val="en-US" w:eastAsia="zh-CN"/>
              </w:rPr>
              <w:t>年9月30日</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6509C">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r>
      <w:tr w14:paraId="7B31874F">
        <w:tblPrEx>
          <w:shd w:val="clear" w:color="auto" w:fill="auto"/>
          <w:tblCellMar>
            <w:top w:w="0" w:type="dxa"/>
            <w:left w:w="0" w:type="dxa"/>
            <w:bottom w:w="0" w:type="dxa"/>
            <w:right w:w="0" w:type="dxa"/>
          </w:tblCellMar>
        </w:tblPrEx>
        <w:trPr>
          <w:trHeight w:val="410"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37FDD7C">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bookmarkStart w:id="135" w:name="_Toc26689"/>
            <w:bookmarkStart w:id="136" w:name="_Toc11067"/>
          </w:p>
        </w:tc>
        <w:tc>
          <w:tcPr>
            <w:tcW w:w="55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145DDB2">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成本指标</w:t>
            </w: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944EAB1">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default" w:ascii="宋体" w:hAnsi="宋体" w:eastAsia="宋体" w:cs="宋体"/>
                <w:color w:val="auto"/>
                <w:kern w:val="0"/>
                <w:sz w:val="18"/>
                <w:szCs w:val="18"/>
                <w:highlight w:val="none"/>
                <w:shd w:val="clear" w:color="auto" w:fill="auto"/>
                <w:lang w:val="en-US" w:eastAsia="zh-CN"/>
              </w:rPr>
              <w:t>重点农作物节本增效水平</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8FF911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增加</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18A497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2EFF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达到预期指标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A1FCC">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r>
      <w:tr w14:paraId="0E5B1712">
        <w:tblPrEx>
          <w:shd w:val="clear" w:color="auto" w:fill="auto"/>
          <w:tblCellMar>
            <w:top w:w="0" w:type="dxa"/>
            <w:left w:w="0" w:type="dxa"/>
            <w:bottom w:w="0" w:type="dxa"/>
            <w:right w:w="0" w:type="dxa"/>
          </w:tblCellMar>
        </w:tblPrEx>
        <w:trPr>
          <w:trHeight w:val="410"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44AE4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55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1D03060">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cs="宋体"/>
                <w:color w:val="auto"/>
                <w:kern w:val="0"/>
                <w:sz w:val="18"/>
                <w:szCs w:val="18"/>
                <w:highlight w:val="none"/>
                <w:shd w:val="clear" w:color="auto" w:fill="auto"/>
                <w:lang w:val="en-US" w:eastAsia="zh-CN"/>
              </w:rPr>
            </w:pP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55566E">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default" w:ascii="宋体" w:hAnsi="宋体" w:eastAsia="宋体" w:cs="宋体"/>
                <w:color w:val="auto"/>
                <w:kern w:val="0"/>
                <w:sz w:val="18"/>
                <w:szCs w:val="18"/>
                <w:highlight w:val="none"/>
                <w:shd w:val="clear" w:color="auto" w:fill="auto"/>
                <w:lang w:val="en-US" w:eastAsia="zh-CN"/>
              </w:rPr>
              <w:t>核心区增产幅度</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83FAC3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≥5%</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FBA31B3">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7735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3AE1D">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4.8</w:t>
            </w:r>
          </w:p>
        </w:tc>
      </w:tr>
      <w:tr w14:paraId="17DAA8E4">
        <w:tblPrEx>
          <w:shd w:val="clear" w:color="auto" w:fill="auto"/>
          <w:tblCellMar>
            <w:top w:w="0" w:type="dxa"/>
            <w:left w:w="0" w:type="dxa"/>
            <w:bottom w:w="0" w:type="dxa"/>
            <w:right w:w="0" w:type="dxa"/>
          </w:tblCellMar>
        </w:tblPrEx>
        <w:trPr>
          <w:trHeight w:val="410" w:hRule="atLeast"/>
        </w:trPr>
        <w:tc>
          <w:tcPr>
            <w:tcW w:w="66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D33820F">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55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7833B83">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cs="宋体"/>
                <w:color w:val="auto"/>
                <w:kern w:val="0"/>
                <w:sz w:val="18"/>
                <w:szCs w:val="18"/>
                <w:highlight w:val="none"/>
                <w:shd w:val="clear" w:color="auto" w:fill="auto"/>
                <w:lang w:val="en-US" w:eastAsia="zh-CN"/>
              </w:rPr>
            </w:pPr>
          </w:p>
        </w:tc>
        <w:tc>
          <w:tcPr>
            <w:tcW w:w="307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044F519">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合计</w:t>
            </w:r>
          </w:p>
        </w:tc>
        <w:tc>
          <w:tcPr>
            <w:tcW w:w="19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7A0072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6DA1C19">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0911F">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DA40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default"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39.8</w:t>
            </w:r>
          </w:p>
        </w:tc>
      </w:tr>
    </w:tbl>
    <w:p w14:paraId="46F676D4">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b/>
          <w:bCs/>
          <w:color w:val="auto"/>
          <w:sz w:val="32"/>
          <w:szCs w:val="32"/>
          <w:highlight w:val="none"/>
          <w:lang w:val="en-US" w:eastAsia="zh-CN"/>
        </w:rPr>
        <w:t>1.数量指标完</w:t>
      </w:r>
      <w:bookmarkEnd w:id="135"/>
      <w:bookmarkEnd w:id="136"/>
    </w:p>
    <w:p w14:paraId="011E6F5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“打造小麦千亩方”指标，预期目标值为10个；</w:t>
      </w:r>
    </w:p>
    <w:p w14:paraId="04D0A47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auto"/>
          <w:sz w:val="32"/>
          <w:szCs w:val="32"/>
          <w:highlight w:val="none"/>
          <w:lang w:val="en-US" w:eastAsia="zh-CN"/>
        </w:rPr>
        <w:t>实际完成为10个，实际完成率=（10个/10个）×100%=100%。</w:t>
      </w:r>
    </w:p>
    <w:p w14:paraId="286D741A">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“打造万亩片”指标，预期目标值为2个；</w:t>
      </w:r>
    </w:p>
    <w:p w14:paraId="6737771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auto"/>
          <w:sz w:val="32"/>
          <w:szCs w:val="32"/>
          <w:highlight w:val="none"/>
          <w:lang w:val="en-US" w:eastAsia="zh-CN"/>
        </w:rPr>
        <w:t>实际完成为2个，实际完成率=（2个/2个）×100%=100%。</w:t>
      </w:r>
    </w:p>
    <w:p w14:paraId="7A38B974">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“作物绿色高产高效创建县”指标，预期目标值为1个；</w:t>
      </w:r>
      <w:r>
        <w:rPr>
          <w:rFonts w:hint="eastAsia" w:ascii="仿宋_GB2312" w:hAnsi="仿宋_GB2312" w:eastAsia="仿宋_GB2312" w:cs="仿宋_GB2312"/>
          <w:color w:val="auto"/>
          <w:sz w:val="32"/>
          <w:szCs w:val="32"/>
          <w:highlight w:val="none"/>
          <w:lang w:val="en-US" w:eastAsia="zh-CN"/>
        </w:rPr>
        <w:t>实际完成为1个，完成率=（1个/1个）×100%=100%。</w:t>
      </w:r>
    </w:p>
    <w:p w14:paraId="486C3EF9">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综上，该项指标满分16分，得分16分。</w:t>
      </w:r>
    </w:p>
    <w:p w14:paraId="14C9BDB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b/>
          <w:bCs/>
          <w:sz w:val="32"/>
          <w:szCs w:val="32"/>
          <w:highlight w:val="none"/>
          <w:lang w:val="en-US" w:eastAsia="zh-CN"/>
        </w:rPr>
        <w:t>2.质量指标完成情况</w:t>
      </w:r>
    </w:p>
    <w:p w14:paraId="1D452BF4">
      <w:pPr>
        <w:pageBreakBefore w:val="0"/>
        <w:widowControl w:val="0"/>
        <w:kinsoku/>
        <w:wordWrap/>
        <w:overflowPunct/>
        <w:topLinePunct w:val="0"/>
        <w:autoSpaceDE/>
        <w:autoSpaceDN/>
        <w:bidi w:val="0"/>
        <w:adjustRightInd/>
        <w:snapToGrid/>
        <w:spacing w:line="560" w:lineRule="exact"/>
        <w:textAlignment w:val="auto"/>
        <w:rPr>
          <w:rFonts w:hint="eastAsia"/>
          <w:highlight w:val="none"/>
          <w:lang w:val="en-US" w:eastAsia="zh-CN"/>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“小麦一喷三防”指标，预期目标值为有效延长灌浆期，遏制病虫爆发流行、增加粒重，</w:t>
      </w:r>
      <w:r>
        <w:rPr>
          <w:rFonts w:hint="eastAsia" w:ascii="仿宋_GB2312" w:hAnsi="仿宋_GB2312" w:eastAsia="仿宋_GB2312" w:cs="仿宋_GB2312"/>
          <w:color w:val="auto"/>
          <w:sz w:val="32"/>
          <w:szCs w:val="32"/>
          <w:highlight w:val="none"/>
          <w:lang w:val="en-US" w:eastAsia="zh-CN"/>
        </w:rPr>
        <w:t>实际完成率100%。</w:t>
      </w:r>
    </w:p>
    <w:p w14:paraId="29ADE535">
      <w:pPr>
        <w:pageBreakBefore w:val="0"/>
        <w:widowControl w:val="0"/>
        <w:kinsoku/>
        <w:wordWrap/>
        <w:overflowPunct/>
        <w:topLinePunct w:val="0"/>
        <w:autoSpaceDE/>
        <w:autoSpaceDN/>
        <w:bidi w:val="0"/>
        <w:adjustRightInd/>
        <w:snapToGrid/>
        <w:spacing w:line="560" w:lineRule="exact"/>
        <w:textAlignment w:val="auto"/>
        <w:rPr>
          <w:rFonts w:hint="eastAsia" w:ascii="微软雅黑" w:hAnsi="微软雅黑" w:eastAsia="微软雅黑" w:cs="微软雅黑"/>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“良种覆盖率”指标，预期目标值为100%，</w:t>
      </w:r>
      <w:r>
        <w:rPr>
          <w:rFonts w:hint="eastAsia" w:ascii="仿宋_GB2312" w:hAnsi="仿宋_GB2312" w:eastAsia="仿宋_GB2312" w:cs="仿宋_GB2312"/>
          <w:color w:val="auto"/>
          <w:sz w:val="32"/>
          <w:szCs w:val="32"/>
          <w:highlight w:val="none"/>
          <w:lang w:val="en-US" w:eastAsia="zh-CN"/>
        </w:rPr>
        <w:t>实际完成率（100%/100%个）×100%=100%。</w:t>
      </w:r>
    </w:p>
    <w:p w14:paraId="0DCF0AF8">
      <w:pPr>
        <w:pageBreakBefore w:val="0"/>
        <w:widowControl w:val="0"/>
        <w:kinsoku/>
        <w:wordWrap/>
        <w:overflowPunct/>
        <w:topLinePunct w:val="0"/>
        <w:autoSpaceDE/>
        <w:autoSpaceDN/>
        <w:bidi w:val="0"/>
        <w:adjustRightInd/>
        <w:snapToGrid/>
        <w:spacing w:line="560" w:lineRule="exact"/>
        <w:textAlignment w:val="auto"/>
        <w:rPr>
          <w:rFonts w:hint="eastAsia" w:ascii="微软雅黑" w:hAnsi="微软雅黑" w:eastAsia="微软雅黑" w:cs="微软雅黑"/>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b/>
          <w:bCs/>
          <w:color w:val="auto"/>
          <w:sz w:val="32"/>
          <w:szCs w:val="32"/>
          <w:highlight w:val="none"/>
          <w:lang w:val="en-US" w:eastAsia="zh-CN"/>
        </w:rPr>
        <w:t>综上，该项指标满分9分，得分9分。</w:t>
      </w:r>
    </w:p>
    <w:p w14:paraId="303A4A42">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2"/>
        <w:rPr>
          <w:rFonts w:hint="default"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3、时效指标完成情况</w:t>
      </w:r>
    </w:p>
    <w:p w14:paraId="1643ADE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（1）时效指标</w:t>
      </w:r>
    </w:p>
    <w:p w14:paraId="6516306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“当年完成项目支付时间”指标，预期目标值为2024年9月30日；实际完成时间为2024年9月30日。</w:t>
      </w:r>
      <w:r>
        <w:rPr>
          <w:rFonts w:hint="eastAsia" w:ascii="仿宋_GB2312" w:hAnsi="仿宋_GB2312" w:eastAsia="仿宋_GB2312" w:cs="仿宋_GB2312"/>
          <w:color w:val="auto"/>
          <w:sz w:val="32"/>
          <w:szCs w:val="32"/>
          <w:highlight w:val="none"/>
          <w:lang w:val="en-US" w:eastAsia="zh-CN"/>
        </w:rPr>
        <w:t>实际完成率（100%/100%个）×100%=100%。</w:t>
      </w:r>
    </w:p>
    <w:p w14:paraId="5157FC8B">
      <w:pPr>
        <w:pStyle w:val="6"/>
        <w:keepNext w:val="0"/>
        <w:keepLines w:val="0"/>
        <w:pageBreakBefore w:val="0"/>
        <w:widowControl w:val="0"/>
        <w:kinsoku/>
        <w:wordWrap/>
        <w:overflowPunct/>
        <w:topLinePunct w:val="0"/>
        <w:autoSpaceDE/>
        <w:autoSpaceDN/>
        <w:bidi w:val="0"/>
        <w:adjustRightInd/>
        <w:snapToGrid/>
        <w:spacing w:before="0" w:after="0" w:line="560" w:lineRule="exact"/>
        <w:ind w:firstLine="643" w:firstLineChars="200"/>
        <w:jc w:val="both"/>
        <w:textAlignment w:val="auto"/>
        <w:rPr>
          <w:rFonts w:hint="eastAsia"/>
          <w:highlight w:val="none"/>
          <w:lang w:val="en-US" w:eastAsia="zh-CN"/>
        </w:rPr>
      </w:pPr>
      <w:r>
        <w:rPr>
          <w:rFonts w:hint="eastAsia" w:ascii="仿宋_GB2312" w:hAnsi="仿宋_GB2312" w:eastAsia="仿宋_GB2312" w:cs="仿宋_GB2312"/>
          <w:b/>
          <w:bCs/>
          <w:color w:val="auto"/>
          <w:sz w:val="32"/>
          <w:szCs w:val="32"/>
          <w:highlight w:val="none"/>
          <w:lang w:val="en-US" w:eastAsia="zh-CN"/>
        </w:rPr>
        <w:t>该项指标满分5分，得分5分。</w:t>
      </w:r>
    </w:p>
    <w:p w14:paraId="12ACE96B">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宋体" w:hAnsi="宋体" w:eastAsia="宋体" w:cs="宋体"/>
          <w:b/>
          <w:bCs/>
          <w:color w:val="auto"/>
          <w:kern w:val="0"/>
          <w:sz w:val="28"/>
          <w:szCs w:val="28"/>
          <w:highlight w:val="none"/>
          <w:shd w:val="clear" w:color="auto" w:fill="auto"/>
          <w:lang w:val="zh-TW" w:eastAsia="zh-TW"/>
        </w:rPr>
      </w:pPr>
      <w:r>
        <w:rPr>
          <w:rFonts w:hint="eastAsia" w:ascii="仿宋_GB2312" w:hAnsi="仿宋_GB2312" w:eastAsia="仿宋_GB2312" w:cs="仿宋_GB2312"/>
          <w:b/>
          <w:bCs/>
          <w:color w:val="000000" w:themeColor="text1"/>
          <w:sz w:val="32"/>
          <w:szCs w:val="32"/>
          <w:highlight w:val="none"/>
          <w:shd w:val="clear" w:color="auto" w:fill="auto"/>
          <w:lang w:val="en-US" w:eastAsia="zh-CN"/>
          <w14:textFill>
            <w14:solidFill>
              <w14:schemeClr w14:val="tx1"/>
            </w14:solidFill>
          </w14:textFill>
        </w:rPr>
        <w:t>4、成本指标完成情况</w:t>
      </w:r>
    </w:p>
    <w:p w14:paraId="2FC6F32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（1）经济成本指标</w:t>
      </w:r>
    </w:p>
    <w:p w14:paraId="29F32F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“重点农作物节本增效水平”指标，预期目标值为增加；</w:t>
      </w:r>
    </w:p>
    <w:p w14:paraId="77A7095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auto"/>
          <w:sz w:val="32"/>
          <w:szCs w:val="32"/>
          <w:highlight w:val="none"/>
          <w:lang w:val="en-US" w:eastAsia="zh-CN"/>
        </w:rPr>
        <w:t>实际完成率（100%/100%个）×100%=100%</w:t>
      </w:r>
    </w:p>
    <w:p w14:paraId="0C1E23A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（2）经济成本指标</w:t>
      </w:r>
    </w:p>
    <w:p w14:paraId="6C36F0B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“核心区增产幅度”指标，预期目标值为</w:t>
      </w:r>
      <w:r>
        <w:rPr>
          <w:rFonts w:hint="default" w:ascii="Arial" w:hAnsi="Arial" w:eastAsia="仿宋_GB2312" w:cs="Arial"/>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5%；</w:t>
      </w:r>
    </w:p>
    <w:p w14:paraId="6BCCF58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实际完成率（5.2%/5%个）×100%=104%</w:t>
      </w:r>
    </w:p>
    <w:p w14:paraId="62149835">
      <w:pPr>
        <w:pStyle w:val="3"/>
        <w:rPr>
          <w:rFonts w:hint="default"/>
          <w:b w:val="0"/>
          <w:bCs/>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偏差原因：核心区采用先进集成配套技术，增产幅度超额完成。</w:t>
      </w:r>
    </w:p>
    <w:p w14:paraId="7FBD8762">
      <w:pPr>
        <w:pageBreakBefore w:val="0"/>
        <w:widowControl w:val="0"/>
        <w:kinsoku/>
        <w:wordWrap/>
        <w:overflowPunct/>
        <w:topLinePunct w:val="0"/>
        <w:autoSpaceDE/>
        <w:autoSpaceDN/>
        <w:bidi w:val="0"/>
        <w:adjustRightInd/>
        <w:snapToGrid/>
        <w:spacing w:line="560" w:lineRule="exact"/>
        <w:textAlignment w:val="auto"/>
        <w:rPr>
          <w:rFonts w:hint="eastAsia"/>
          <w:b/>
          <w:bCs/>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综上，该项指标满分10分，得分9.8分。</w:t>
      </w:r>
    </w:p>
    <w:bookmarkEnd w:id="133"/>
    <w:bookmarkEnd w:id="134"/>
    <w:p w14:paraId="68F89FD8">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highlight w:val="none"/>
          <w:lang w:val="en-US" w:eastAsia="zh-CN"/>
        </w:rPr>
      </w:pPr>
      <w:bookmarkStart w:id="137" w:name="_Toc19424"/>
      <w:r>
        <w:rPr>
          <w:rFonts w:hint="eastAsia" w:ascii="Times New Roman" w:hAnsi="Times New Roman" w:eastAsia="楷体_GB2312" w:cs="Times New Roman"/>
          <w:kern w:val="28"/>
          <w:sz w:val="32"/>
          <w:highlight w:val="none"/>
          <w:lang w:val="en-US" w:eastAsia="zh-CN"/>
        </w:rPr>
        <w:t>（四）项目效益情况</w:t>
      </w:r>
      <w:bookmarkEnd w:id="137"/>
    </w:p>
    <w:p w14:paraId="2356E6AC">
      <w:pPr>
        <w:pageBreakBefore w:val="0"/>
        <w:widowControl w:val="0"/>
        <w:kinsoku/>
        <w:wordWrap/>
        <w:overflowPunct/>
        <w:topLinePunct w:val="0"/>
        <w:autoSpaceDE/>
        <w:autoSpaceDN/>
        <w:bidi w:val="0"/>
        <w:adjustRightInd/>
        <w:spacing w:line="560" w:lineRule="exact"/>
        <w:ind w:firstLine="560"/>
        <w:jc w:val="left"/>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bookmarkStart w:id="138" w:name="_Toc8010"/>
      <w:bookmarkStart w:id="139" w:name="_Toc5170"/>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lang w:val="en-US" w:eastAsia="zh-CN"/>
        </w:rPr>
        <w:t>效益</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color w:val="auto"/>
          <w:sz w:val="32"/>
          <w:szCs w:val="32"/>
          <w:highlight w:val="none"/>
          <w:lang w:val="en-US" w:eastAsia="zh-CN"/>
        </w:rPr>
        <w:t>包括项目实施效益面的内容，</w:t>
      </w:r>
      <w:r>
        <w:rPr>
          <w:rFonts w:hint="eastAsia" w:ascii="Times New Roman" w:hAnsi="Times New Roman" w:eastAsia="仿宋_GB2312" w:cs="Times New Roman"/>
          <w:color w:val="auto"/>
          <w:sz w:val="32"/>
          <w:szCs w:val="32"/>
          <w:highlight w:val="none"/>
          <w:lang w:val="zh-TW" w:eastAsia="zh-TW"/>
        </w:rPr>
        <w:t>由</w:t>
      </w:r>
      <w:r>
        <w:rPr>
          <w:rFonts w:hint="eastAsia" w:ascii="Times New Roman" w:hAnsi="Times New Roman" w:eastAsia="仿宋_GB2312" w:cs="Times New Roman"/>
          <w:color w:val="auto"/>
          <w:sz w:val="32"/>
          <w:szCs w:val="32"/>
          <w:highlight w:val="none"/>
          <w:lang w:val="en-US" w:eastAsia="zh-CN"/>
        </w:rPr>
        <w:t>2</w:t>
      </w:r>
      <w:r>
        <w:rPr>
          <w:rFonts w:hint="eastAsia" w:ascii="Times New Roman" w:hAnsi="Times New Roman" w:eastAsia="仿宋_GB2312" w:cs="Times New Roman"/>
          <w:color w:val="auto"/>
          <w:sz w:val="32"/>
          <w:szCs w:val="32"/>
          <w:highlight w:val="none"/>
          <w:lang w:val="zh-TW" w:eastAsia="zh-TW"/>
        </w:rPr>
        <w:t>个</w:t>
      </w:r>
      <w:r>
        <w:rPr>
          <w:rFonts w:hint="eastAsia" w:ascii="Times New Roman" w:hAnsi="Times New Roman" w:eastAsia="仿宋_GB2312" w:cs="Times New Roman"/>
          <w:color w:val="auto"/>
          <w:sz w:val="32"/>
          <w:szCs w:val="32"/>
          <w:highlight w:val="none"/>
          <w:lang w:val="zh-TW" w:eastAsia="zh-CN"/>
        </w:rPr>
        <w:t>二</w:t>
      </w:r>
      <w:r>
        <w:rPr>
          <w:rFonts w:hint="eastAsia" w:ascii="Times New Roman" w:hAnsi="Times New Roman" w:eastAsia="仿宋_GB2312" w:cs="Times New Roman"/>
          <w:color w:val="auto"/>
          <w:sz w:val="32"/>
          <w:szCs w:val="32"/>
          <w:highlight w:val="none"/>
          <w:lang w:val="zh-TW" w:eastAsia="zh-TW"/>
        </w:rPr>
        <w:t>级指标和</w:t>
      </w:r>
      <w:r>
        <w:rPr>
          <w:rFonts w:hint="eastAsia" w:ascii="Times New Roman" w:hAnsi="Times New Roman" w:eastAsia="仿宋_GB2312" w:cs="Times New Roman"/>
          <w:color w:val="auto"/>
          <w:sz w:val="32"/>
          <w:szCs w:val="32"/>
          <w:highlight w:val="none"/>
          <w:lang w:val="en-US" w:eastAsia="zh-CN"/>
        </w:rPr>
        <w:t>2</w:t>
      </w:r>
      <w:r>
        <w:rPr>
          <w:rFonts w:hint="eastAsia" w:ascii="Times New Roman" w:hAnsi="Times New Roman" w:eastAsia="仿宋_GB2312" w:cs="Times New Roman"/>
          <w:color w:val="auto"/>
          <w:sz w:val="32"/>
          <w:szCs w:val="32"/>
          <w:highlight w:val="none"/>
          <w:lang w:val="zh-TW" w:eastAsia="zh-TW"/>
        </w:rPr>
        <w:t>个</w:t>
      </w:r>
      <w:r>
        <w:rPr>
          <w:rFonts w:hint="eastAsia" w:ascii="Times New Roman" w:hAnsi="Times New Roman" w:eastAsia="仿宋_GB2312" w:cs="Times New Roman"/>
          <w:color w:val="auto"/>
          <w:sz w:val="32"/>
          <w:szCs w:val="32"/>
          <w:highlight w:val="none"/>
          <w:lang w:val="en-US" w:eastAsia="zh-CN"/>
        </w:rPr>
        <w:t>三</w:t>
      </w:r>
      <w:r>
        <w:rPr>
          <w:rFonts w:hint="eastAsia" w:ascii="Times New Roman" w:hAnsi="Times New Roman" w:eastAsia="仿宋_GB2312" w:cs="Times New Roman"/>
          <w:color w:val="auto"/>
          <w:sz w:val="32"/>
          <w:szCs w:val="32"/>
          <w:highlight w:val="none"/>
          <w:lang w:val="zh-TW" w:eastAsia="zh-TW"/>
        </w:rPr>
        <w:t>级指标构成，权重分</w:t>
      </w:r>
      <w:r>
        <w:rPr>
          <w:rFonts w:hint="eastAsia" w:ascii="Times New Roman" w:hAnsi="Times New Roman" w:eastAsia="仿宋_GB2312" w:cs="Times New Roman"/>
          <w:color w:val="auto"/>
          <w:sz w:val="32"/>
          <w:szCs w:val="32"/>
          <w:highlight w:val="none"/>
          <w:lang w:val="en-US" w:eastAsia="zh-CN"/>
        </w:rPr>
        <w:t>20</w:t>
      </w:r>
      <w:r>
        <w:rPr>
          <w:rFonts w:hint="eastAsia" w:ascii="Times New Roman" w:hAnsi="Times New Roman" w:eastAsia="仿宋_GB2312" w:cs="Times New Roman"/>
          <w:color w:val="auto"/>
          <w:sz w:val="32"/>
          <w:szCs w:val="32"/>
          <w:highlight w:val="none"/>
          <w:lang w:val="zh-TW" w:eastAsia="zh-TW"/>
        </w:rPr>
        <w:t>分，实际得分</w:t>
      </w:r>
      <w:r>
        <w:rPr>
          <w:rFonts w:hint="eastAsia" w:ascii="Times New Roman" w:hAnsi="Times New Roman" w:eastAsia="仿宋_GB2312" w:cs="Times New Roman"/>
          <w:color w:val="auto"/>
          <w:sz w:val="32"/>
          <w:szCs w:val="32"/>
          <w:highlight w:val="none"/>
          <w:lang w:val="en-US" w:eastAsia="zh-CN"/>
        </w:rPr>
        <w:t>20</w:t>
      </w:r>
      <w:r>
        <w:rPr>
          <w:rFonts w:hint="eastAsia" w:ascii="Times New Roman" w:hAnsi="Times New Roman" w:eastAsia="仿宋_GB2312" w:cs="Times New Roman"/>
          <w:color w:val="auto"/>
          <w:sz w:val="32"/>
          <w:szCs w:val="32"/>
          <w:highlight w:val="none"/>
          <w:lang w:val="zh-TW" w:eastAsia="zh-TW"/>
        </w:rPr>
        <w:t>分</w:t>
      </w:r>
      <w:r>
        <w:rPr>
          <w:rFonts w:hint="eastAsia" w:ascii="Times New Roman" w:hAnsi="Times New Roman" w:eastAsia="仿宋_GB2312" w:cs="Times New Roman"/>
          <w:color w:val="auto"/>
          <w:sz w:val="32"/>
          <w:szCs w:val="32"/>
          <w:highlight w:val="none"/>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2798298D">
      <w:pPr>
        <w:pageBreakBefore w:val="0"/>
        <w:widowControl w:val="0"/>
        <w:kinsoku/>
        <w:wordWrap/>
        <w:overflowPunct/>
        <w:topLinePunct w:val="0"/>
        <w:autoSpaceDE/>
        <w:autoSpaceDN/>
        <w:bidi w:val="0"/>
        <w:adjustRightInd/>
        <w:spacing w:line="560" w:lineRule="exact"/>
        <w:ind w:firstLine="56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w:t>
      </w:r>
      <w:r>
        <w:rPr>
          <w:rFonts w:hint="eastAsia" w:cs="宋体"/>
          <w:b/>
          <w:bCs/>
          <w:color w:val="auto"/>
          <w:kern w:val="0"/>
          <w:sz w:val="28"/>
          <w:szCs w:val="28"/>
          <w:highlight w:val="none"/>
          <w:shd w:val="clear" w:color="auto" w:fill="auto"/>
          <w:lang w:val="en-US" w:eastAsia="zh-CN"/>
        </w:rPr>
        <w:t>4</w:t>
      </w:r>
      <w:r>
        <w:rPr>
          <w:rFonts w:hint="eastAsia" w:ascii="宋体" w:hAnsi="宋体" w:eastAsia="宋体" w:cs="宋体"/>
          <w:b/>
          <w:bCs/>
          <w:color w:val="auto"/>
          <w:kern w:val="0"/>
          <w:sz w:val="28"/>
          <w:szCs w:val="28"/>
          <w:highlight w:val="none"/>
          <w:shd w:val="clear" w:color="auto" w:fill="auto"/>
          <w:lang w:val="en-US" w:eastAsia="zh-CN"/>
        </w:rPr>
        <w:t>项目效益</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0" w:type="auto"/>
        <w:tblInd w:w="0" w:type="dxa"/>
        <w:shd w:val="clear" w:color="auto" w:fill="auto"/>
        <w:tblLayout w:type="autofit"/>
        <w:tblCellMar>
          <w:top w:w="0" w:type="dxa"/>
          <w:left w:w="0" w:type="dxa"/>
          <w:bottom w:w="0" w:type="dxa"/>
          <w:right w:w="0" w:type="dxa"/>
        </w:tblCellMar>
      </w:tblPr>
      <w:tblGrid>
        <w:gridCol w:w="660"/>
        <w:gridCol w:w="1179"/>
        <w:gridCol w:w="3069"/>
        <w:gridCol w:w="1449"/>
        <w:gridCol w:w="583"/>
        <w:gridCol w:w="607"/>
        <w:gridCol w:w="789"/>
      </w:tblGrid>
      <w:tr w14:paraId="1B7EEEA1">
        <w:tblPrEx>
          <w:shd w:val="clear" w:color="auto" w:fill="auto"/>
          <w:tblCellMar>
            <w:top w:w="0" w:type="dxa"/>
            <w:left w:w="0" w:type="dxa"/>
            <w:bottom w:w="0" w:type="dxa"/>
            <w:right w:w="0" w:type="dxa"/>
          </w:tblCellMar>
        </w:tblPrEx>
        <w:trPr>
          <w:trHeight w:val="750"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9E2E8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65F0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3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A055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EAC4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年度指标值</w:t>
            </w:r>
          </w:p>
        </w:tc>
        <w:tc>
          <w:tcPr>
            <w:tcW w:w="5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6B0F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标杆分值</w:t>
            </w:r>
          </w:p>
        </w:tc>
        <w:tc>
          <w:tcPr>
            <w:tcW w:w="6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0FC1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全年实际完成值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C479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指标得分</w:t>
            </w:r>
          </w:p>
        </w:tc>
      </w:tr>
      <w:tr w14:paraId="7D9C357A">
        <w:tblPrEx>
          <w:shd w:val="clear" w:color="auto" w:fill="auto"/>
          <w:tblCellMar>
            <w:top w:w="0" w:type="dxa"/>
            <w:left w:w="0" w:type="dxa"/>
            <w:bottom w:w="0" w:type="dxa"/>
            <w:right w:w="0" w:type="dxa"/>
          </w:tblCellMar>
        </w:tblPrEx>
        <w:trPr>
          <w:trHeight w:val="465" w:hRule="atLeast"/>
        </w:trPr>
        <w:tc>
          <w:tcPr>
            <w:tcW w:w="660" w:type="dxa"/>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14:paraId="399D5D6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效益指标</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6D79AF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社会效益指标</w:t>
            </w:r>
          </w:p>
        </w:tc>
        <w:tc>
          <w:tcPr>
            <w:tcW w:w="3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E761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重点作物绿色高产高效模式</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DB9E7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1套</w:t>
            </w:r>
          </w:p>
        </w:tc>
        <w:tc>
          <w:tcPr>
            <w:tcW w:w="5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A931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c>
          <w:tcPr>
            <w:tcW w:w="6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C12F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1套</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0918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r>
      <w:tr w14:paraId="37A5B5AB">
        <w:tblPrEx>
          <w:tblCellMar>
            <w:top w:w="0" w:type="dxa"/>
            <w:left w:w="0" w:type="dxa"/>
            <w:bottom w:w="0" w:type="dxa"/>
            <w:right w:w="0" w:type="dxa"/>
          </w:tblCellMar>
        </w:tblPrEx>
        <w:trPr>
          <w:trHeight w:val="410" w:hRule="atLeast"/>
        </w:trPr>
        <w:tc>
          <w:tcPr>
            <w:tcW w:w="660" w:type="dxa"/>
            <w:vMerge w:val="continue"/>
            <w:tcBorders>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3E70E0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3A1548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生态效益指标</w:t>
            </w:r>
          </w:p>
        </w:tc>
        <w:tc>
          <w:tcPr>
            <w:tcW w:w="3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0701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重点作物绿色高产高效项目区病虫害损失率</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5242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ascii="微软雅黑" w:hAnsi="微软雅黑" w:eastAsia="微软雅黑" w:cs="微软雅黑"/>
                <w:color w:val="auto"/>
                <w:kern w:val="0"/>
                <w:sz w:val="18"/>
                <w:szCs w:val="18"/>
                <w:highlight w:val="none"/>
                <w:shd w:val="clear" w:color="auto" w:fill="auto"/>
                <w:lang w:val="en-US" w:eastAsia="zh-CN"/>
              </w:rPr>
              <w:t>≤</w:t>
            </w:r>
            <w:r>
              <w:rPr>
                <w:rFonts w:hint="eastAsia" w:cs="宋体"/>
                <w:color w:val="auto"/>
                <w:kern w:val="0"/>
                <w:sz w:val="18"/>
                <w:szCs w:val="18"/>
                <w:highlight w:val="none"/>
                <w:shd w:val="clear" w:color="auto" w:fill="auto"/>
                <w:lang w:val="en-US" w:eastAsia="zh-CN"/>
              </w:rPr>
              <w:t>5%</w:t>
            </w:r>
          </w:p>
        </w:tc>
        <w:tc>
          <w:tcPr>
            <w:tcW w:w="5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1CC88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c>
          <w:tcPr>
            <w:tcW w:w="6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A4FB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93EA61">
            <w:pPr>
              <w:keepNext w:val="0"/>
              <w:keepLines w:val="0"/>
              <w:pageBreakBefore w:val="0"/>
              <w:widowControl/>
              <w:kinsoku/>
              <w:wordWrap/>
              <w:overflowPunct/>
              <w:topLinePunct w:val="0"/>
              <w:autoSpaceDE/>
              <w:autoSpaceDN/>
              <w:bidi w:val="0"/>
              <w:adjustRightInd/>
              <w:snapToGrid w:val="0"/>
              <w:spacing w:line="300" w:lineRule="exact"/>
              <w:ind w:firstLine="350" w:firstLineChars="175"/>
              <w:jc w:val="both"/>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r>
      <w:tr w14:paraId="04B2F4A1">
        <w:tblPrEx>
          <w:shd w:val="clear" w:color="auto" w:fill="auto"/>
          <w:tblCellMar>
            <w:top w:w="0" w:type="dxa"/>
            <w:left w:w="0" w:type="dxa"/>
            <w:bottom w:w="0" w:type="dxa"/>
            <w:right w:w="0" w:type="dxa"/>
          </w:tblCellMar>
        </w:tblPrEx>
        <w:trPr>
          <w:trHeight w:val="410" w:hRule="atLeast"/>
        </w:trPr>
        <w:tc>
          <w:tcPr>
            <w:tcW w:w="6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54220A8">
            <w:pPr>
              <w:keepNext w:val="0"/>
              <w:keepLines w:val="0"/>
              <w:pageBreakBefore w:val="0"/>
              <w:widowControl/>
              <w:kinsoku/>
              <w:wordWrap/>
              <w:overflowPunct/>
              <w:topLinePunct w:val="0"/>
              <w:autoSpaceDE/>
              <w:autoSpaceDN/>
              <w:bidi w:val="0"/>
              <w:adjustRightInd/>
              <w:snapToGrid w:val="0"/>
              <w:spacing w:line="300" w:lineRule="exact"/>
              <w:ind w:firstLine="0" w:firstLineChars="0"/>
              <w:jc w:val="both"/>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满意度指标</w:t>
            </w: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2A3A42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服务对象满意度</w:t>
            </w:r>
          </w:p>
        </w:tc>
        <w:tc>
          <w:tcPr>
            <w:tcW w:w="3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44E5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服务群众满意度</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A9EE5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微软雅黑" w:hAnsi="微软雅黑" w:eastAsia="微软雅黑" w:cs="微软雅黑"/>
                <w:color w:val="auto"/>
                <w:kern w:val="0"/>
                <w:sz w:val="20"/>
                <w:szCs w:val="20"/>
                <w:highlight w:val="none"/>
                <w:shd w:val="clear" w:color="auto" w:fill="auto"/>
                <w:lang w:val="en-US" w:eastAsia="zh-CN"/>
              </w:rPr>
              <w:t>≥</w:t>
            </w:r>
            <w:r>
              <w:rPr>
                <w:rFonts w:hint="eastAsia" w:cs="宋体"/>
                <w:color w:val="auto"/>
                <w:kern w:val="0"/>
                <w:sz w:val="20"/>
                <w:szCs w:val="20"/>
                <w:highlight w:val="none"/>
                <w:shd w:val="clear" w:color="auto" w:fill="auto"/>
                <w:lang w:val="en-US" w:eastAsia="zh-CN"/>
              </w:rPr>
              <w:t>85%</w:t>
            </w:r>
          </w:p>
        </w:tc>
        <w:tc>
          <w:tcPr>
            <w:tcW w:w="5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AFC7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6</w:t>
            </w:r>
          </w:p>
        </w:tc>
        <w:tc>
          <w:tcPr>
            <w:tcW w:w="6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D9DA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18"/>
                <w:szCs w:val="18"/>
                <w:highlight w:val="none"/>
                <w:shd w:val="clear" w:color="auto" w:fill="auto"/>
                <w:lang w:val="en-US" w:eastAsia="zh-CN"/>
              </w:rPr>
            </w:pPr>
            <w:r>
              <w:rPr>
                <w:rFonts w:hint="eastAsia" w:cs="宋体"/>
                <w:color w:val="auto"/>
                <w:kern w:val="0"/>
                <w:sz w:val="18"/>
                <w:szCs w:val="18"/>
                <w:highlight w:val="none"/>
                <w:shd w:val="clear" w:color="auto" w:fill="auto"/>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D814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6</w:t>
            </w:r>
          </w:p>
        </w:tc>
      </w:tr>
      <w:tr w14:paraId="40EA85C1">
        <w:tblPrEx>
          <w:shd w:val="clear" w:color="auto" w:fill="auto"/>
          <w:tblCellMar>
            <w:top w:w="0" w:type="dxa"/>
            <w:left w:w="0" w:type="dxa"/>
            <w:bottom w:w="0" w:type="dxa"/>
            <w:right w:w="0" w:type="dxa"/>
          </w:tblCellMar>
        </w:tblPrEx>
        <w:trPr>
          <w:trHeight w:val="410" w:hRule="atLeast"/>
        </w:trPr>
        <w:tc>
          <w:tcPr>
            <w:tcW w:w="6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CC49F8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0" w:type="auto"/>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F0724D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合计</w:t>
            </w:r>
          </w:p>
        </w:tc>
        <w:tc>
          <w:tcPr>
            <w:tcW w:w="3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74AB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2138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5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D922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c>
          <w:tcPr>
            <w:tcW w:w="6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390B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18"/>
                <w:szCs w:val="18"/>
                <w:highlight w:val="none"/>
                <w:shd w:val="clear" w:color="auto" w:fill="auto"/>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66C2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70A53C3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1.社会效益指标</w:t>
      </w:r>
      <w:bookmarkEnd w:id="138"/>
      <w:r>
        <w:rPr>
          <w:rFonts w:hint="eastAsia" w:ascii="仿宋_GB2312" w:hAnsi="仿宋_GB2312" w:eastAsia="仿宋_GB2312" w:cs="仿宋_GB2312"/>
          <w:b/>
          <w:bCs/>
          <w:color w:val="auto"/>
          <w:sz w:val="32"/>
          <w:szCs w:val="32"/>
          <w:highlight w:val="none"/>
          <w:lang w:val="en-US" w:eastAsia="zh-CN"/>
        </w:rPr>
        <w:t>完成情况</w:t>
      </w:r>
      <w:bookmarkEnd w:id="139"/>
    </w:p>
    <w:p w14:paraId="7660EA36">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bookmarkStart w:id="140" w:name="_Toc6622"/>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“集成推广绿色高质高效模式”指标，预期目标值为1套；</w:t>
      </w:r>
    </w:p>
    <w:p w14:paraId="6ECCC07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实际完成率（1套/1套）×100%=100%</w:t>
      </w:r>
    </w:p>
    <w:p w14:paraId="130770E2">
      <w:pPr>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通过项目的实施，建立多个高产示范基地，重点作物产量增加，项目区种植户效益得到提高。</w:t>
      </w:r>
    </w:p>
    <w:p w14:paraId="1BEA400E">
      <w:pPr>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2.生态效益指标完成情况</w:t>
      </w:r>
    </w:p>
    <w:p w14:paraId="793D811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“重点农作物绿色高产高效项目区病虫害损失率”指标，预期目标值</w:t>
      </w:r>
      <w:r>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5%；</w:t>
      </w:r>
    </w:p>
    <w:p w14:paraId="20211FC5">
      <w:pPr>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通过项目实施，项目区重点作物绿色高产高效项目区病虫害损失率低于5%。</w:t>
      </w:r>
    </w:p>
    <w:p w14:paraId="71D5B901">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shd w:val="clear" w:color="auto" w:fill="auto"/>
          <w:lang w:val="en-US" w:eastAsia="zh-CN"/>
          <w14:textFill>
            <w14:solidFill>
              <w14:schemeClr w14:val="tx1"/>
            </w14:solidFill>
          </w14:textFill>
        </w:rPr>
        <w:t>综上，该项指标满分14分，得分14分。</w:t>
      </w:r>
    </w:p>
    <w:p w14:paraId="1C613EEC">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kern w:val="28"/>
          <w:sz w:val="32"/>
          <w:highlight w:val="none"/>
          <w:lang w:val="en-US" w:eastAsia="zh-CN"/>
        </w:rPr>
      </w:pPr>
      <w:bookmarkStart w:id="141" w:name="_Toc23313"/>
      <w:r>
        <w:rPr>
          <w:rFonts w:hint="default" w:ascii="Times New Roman" w:hAnsi="Times New Roman" w:eastAsia="楷体_GB2312" w:cs="Times New Roman"/>
          <w:kern w:val="28"/>
          <w:sz w:val="32"/>
          <w:highlight w:val="none"/>
          <w:lang w:val="en-US" w:eastAsia="zh-CN"/>
        </w:rPr>
        <w:t>（五）满意度指标完成情况分析</w:t>
      </w:r>
      <w:bookmarkEnd w:id="141"/>
    </w:p>
    <w:p w14:paraId="3249E9B0">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服务群众满意度</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指标，预期目标值为≥</w:t>
      </w:r>
      <w:r>
        <w:rPr>
          <w:rFonts w:hint="eastAsia" w:ascii="Times New Roman" w:hAnsi="Times New Roman" w:eastAsia="仿宋_GB2312" w:cs="Times New Roman"/>
          <w:color w:val="auto"/>
          <w:sz w:val="32"/>
          <w:szCs w:val="32"/>
          <w:highlight w:val="none"/>
          <w:lang w:val="en-US" w:eastAsia="zh-CN"/>
        </w:rPr>
        <w:t>85</w:t>
      </w:r>
      <w:r>
        <w:rPr>
          <w:rFonts w:hint="default" w:ascii="Times New Roman" w:hAnsi="Times New Roman" w:eastAsia="仿宋_GB2312" w:cs="Times New Roman"/>
          <w:color w:val="auto"/>
          <w:sz w:val="32"/>
          <w:szCs w:val="32"/>
          <w:highlight w:val="none"/>
          <w:lang w:val="en-US" w:eastAsia="zh-CN"/>
        </w:rPr>
        <w:t>%，实际完成为</w:t>
      </w:r>
      <w:r>
        <w:rPr>
          <w:rFonts w:hint="eastAsia" w:ascii="Times New Roman" w:hAnsi="Times New Roman" w:eastAsia="仿宋_GB2312" w:cs="Times New Roman"/>
          <w:color w:val="auto"/>
          <w:sz w:val="32"/>
          <w:szCs w:val="32"/>
          <w:highlight w:val="none"/>
          <w:lang w:val="en-US" w:eastAsia="zh-CN"/>
        </w:rPr>
        <w:t>85</w:t>
      </w:r>
      <w:r>
        <w:rPr>
          <w:rFonts w:hint="default" w:ascii="Times New Roman" w:hAnsi="Times New Roman" w:eastAsia="仿宋_GB2312" w:cs="Times New Roman"/>
          <w:color w:val="auto"/>
          <w:sz w:val="32"/>
          <w:szCs w:val="32"/>
          <w:highlight w:val="none"/>
          <w:lang w:val="en-US" w:eastAsia="zh-CN"/>
        </w:rPr>
        <w:t>%。</w:t>
      </w:r>
    </w:p>
    <w:p w14:paraId="5C5656A3">
      <w:pPr>
        <w:pageBreakBefore w:val="0"/>
        <w:kinsoku/>
        <w:wordWrap/>
        <w:overflowPunct/>
        <w:topLinePunct w:val="0"/>
        <w:autoSpaceDE/>
        <w:autoSpaceDN/>
        <w:bidi w:val="0"/>
        <w:spacing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default" w:ascii="Times New Roman" w:hAnsi="Times New Roman" w:eastAsia="仿宋_GB2312" w:cs="Times New Roman"/>
          <w:b/>
          <w:bCs/>
          <w:color w:val="auto"/>
          <w:sz w:val="32"/>
          <w:szCs w:val="32"/>
          <w:highlight w:val="none"/>
          <w:lang w:val="en-US" w:eastAsia="zh-CN"/>
        </w:rPr>
        <w:t>综上，该项指标满分分，得分</w:t>
      </w:r>
      <w:r>
        <w:rPr>
          <w:rFonts w:hint="eastAsia" w:ascii="Times New Roman" w:hAnsi="Times New Roman" w:eastAsia="仿宋_GB2312" w:cs="Times New Roman"/>
          <w:b/>
          <w:bCs/>
          <w:color w:val="auto"/>
          <w:sz w:val="32"/>
          <w:szCs w:val="32"/>
          <w:highlight w:val="none"/>
          <w:lang w:val="en-US" w:eastAsia="zh-CN"/>
        </w:rPr>
        <w:t>6</w:t>
      </w:r>
      <w:r>
        <w:rPr>
          <w:rFonts w:hint="default" w:ascii="Times New Roman" w:hAnsi="Times New Roman" w:eastAsia="仿宋_GB2312" w:cs="Times New Roman"/>
          <w:b/>
          <w:bCs/>
          <w:color w:val="auto"/>
          <w:sz w:val="32"/>
          <w:szCs w:val="32"/>
          <w:highlight w:val="none"/>
          <w:lang w:val="en-US" w:eastAsia="zh-CN"/>
        </w:rPr>
        <w:t>分。</w:t>
      </w:r>
    </w:p>
    <w:p w14:paraId="1C0D4CB9">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t>五、主要经验及做法、存在的问题及原因分析</w:t>
      </w:r>
      <w:bookmarkEnd w:id="140"/>
    </w:p>
    <w:p w14:paraId="4BFF1AF6">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kern w:val="28"/>
          <w:sz w:val="32"/>
          <w:lang w:val="en-US" w:eastAsia="zh-CN"/>
        </w:rPr>
      </w:pPr>
      <w:bookmarkStart w:id="142" w:name="_Toc15449"/>
      <w:bookmarkStart w:id="143" w:name="_Toc1921"/>
      <w:bookmarkStart w:id="144" w:name="_Toc28290"/>
      <w:r>
        <w:rPr>
          <w:rFonts w:hint="eastAsia" w:ascii="Times New Roman" w:hAnsi="Times New Roman" w:eastAsia="楷体_GB2312" w:cs="Times New Roman"/>
          <w:kern w:val="28"/>
          <w:sz w:val="32"/>
          <w:lang w:val="en-US" w:eastAsia="zh-CN"/>
        </w:rPr>
        <w:t>（一）主要经验及做法</w:t>
      </w:r>
      <w:bookmarkEnd w:id="142"/>
    </w:p>
    <w:bookmarkEnd w:id="143"/>
    <w:bookmarkEnd w:id="144"/>
    <w:p w14:paraId="5669EA0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bookmarkStart w:id="145" w:name="_Toc29168"/>
      <w:r>
        <w:rPr>
          <w:rFonts w:hint="eastAsia" w:ascii="仿宋_GB2312" w:hAnsi="仿宋_GB2312" w:eastAsia="仿宋_GB2312" w:cs="仿宋_GB2312"/>
          <w:color w:val="auto"/>
          <w:sz w:val="32"/>
          <w:szCs w:val="32"/>
          <w:highlight w:val="none"/>
          <w:lang w:val="en-US" w:eastAsia="zh-CN"/>
        </w:rPr>
        <w:t>2023年中央农业生产发展资金（第二批）重点作物绿色高产高效行动项目</w:t>
      </w:r>
      <w:r>
        <w:rPr>
          <w:rFonts w:hint="eastAsia" w:ascii="仿宋_GB2312" w:hAnsi="仿宋_GB2312" w:eastAsia="仿宋_GB2312" w:cs="仿宋_GB2312"/>
          <w:color w:val="auto"/>
          <w:sz w:val="32"/>
          <w:szCs w:val="32"/>
          <w:highlight w:val="none"/>
          <w:lang w:eastAsia="zh-CN"/>
        </w:rPr>
        <w:t>20</w:t>
      </w:r>
      <w:r>
        <w:rPr>
          <w:rFonts w:hint="eastAsia" w:ascii="仿宋_GB2312" w:hAnsi="仿宋_GB2312" w:eastAsia="仿宋_GB2312" w:cs="仿宋_GB2312"/>
          <w:color w:val="auto"/>
          <w:sz w:val="32"/>
          <w:szCs w:val="32"/>
          <w:highlight w:val="none"/>
          <w:lang w:val="en-US" w:eastAsia="zh-CN"/>
        </w:rPr>
        <w:t>23</w:t>
      </w:r>
      <w:r>
        <w:rPr>
          <w:rFonts w:hint="eastAsia" w:ascii="仿宋_GB2312" w:hAnsi="仿宋_GB2312" w:eastAsia="仿宋_GB2312" w:cs="仿宋_GB2312"/>
          <w:color w:val="auto"/>
          <w:sz w:val="32"/>
          <w:szCs w:val="32"/>
          <w:highlight w:val="none"/>
          <w:lang w:eastAsia="zh-CN"/>
        </w:rPr>
        <w:t>年预算</w:t>
      </w:r>
      <w:r>
        <w:rPr>
          <w:rFonts w:hint="eastAsia" w:ascii="仿宋_GB2312" w:hAnsi="仿宋_GB2312" w:eastAsia="仿宋_GB2312" w:cs="仿宋_GB2312"/>
          <w:color w:val="auto"/>
          <w:sz w:val="32"/>
          <w:szCs w:val="32"/>
          <w:highlight w:val="none"/>
          <w:lang w:val="en-US" w:eastAsia="zh-CN"/>
        </w:rPr>
        <w:t>数</w:t>
      </w:r>
      <w:r>
        <w:rPr>
          <w:rFonts w:hint="eastAsia" w:ascii="仿宋_GB2312" w:hAnsi="仿宋_GB2312" w:eastAsia="仿宋_GB2312" w:cs="仿宋_GB2312"/>
          <w:color w:val="auto"/>
          <w:sz w:val="32"/>
          <w:szCs w:val="32"/>
          <w:highlight w:val="none"/>
          <w:lang w:eastAsia="zh-CN"/>
        </w:rPr>
        <w:t>为</w:t>
      </w:r>
      <w:r>
        <w:rPr>
          <w:rFonts w:hint="eastAsia" w:ascii="仿宋_GB2312" w:hAnsi="仿宋_GB2312" w:eastAsia="仿宋_GB2312" w:cs="仿宋_GB2312"/>
          <w:color w:val="auto"/>
          <w:sz w:val="32"/>
          <w:szCs w:val="32"/>
          <w:highlight w:val="none"/>
          <w:lang w:val="en-US" w:eastAsia="zh-CN"/>
        </w:rPr>
        <w:t>339.54</w:t>
      </w:r>
      <w:r>
        <w:rPr>
          <w:rFonts w:hint="eastAsia" w:ascii="仿宋_GB2312" w:hAnsi="仿宋_GB2312" w:eastAsia="仿宋_GB2312" w:cs="仿宋_GB2312"/>
          <w:color w:val="auto"/>
          <w:sz w:val="32"/>
          <w:szCs w:val="32"/>
          <w:highlight w:val="none"/>
          <w:lang w:eastAsia="zh-CN"/>
        </w:rPr>
        <w:t>万元，</w:t>
      </w:r>
      <w:r>
        <w:rPr>
          <w:rFonts w:hint="eastAsia" w:ascii="仿宋_GB2312" w:hAnsi="仿宋_GB2312" w:eastAsia="仿宋_GB2312" w:cs="仿宋_GB2312"/>
          <w:color w:val="auto"/>
          <w:sz w:val="32"/>
          <w:szCs w:val="32"/>
          <w:highlight w:val="none"/>
          <w:lang w:val="en-US" w:eastAsia="zh-CN"/>
        </w:rPr>
        <w:t>截至2024年9月30日共</w:t>
      </w:r>
      <w:r>
        <w:rPr>
          <w:rFonts w:hint="eastAsia" w:ascii="仿宋_GB2312" w:hAnsi="仿宋_GB2312" w:eastAsia="仿宋_GB2312" w:cs="仿宋_GB2312"/>
          <w:color w:val="auto"/>
          <w:sz w:val="32"/>
          <w:szCs w:val="32"/>
          <w:highlight w:val="none"/>
          <w:lang w:eastAsia="zh-CN"/>
        </w:rPr>
        <w:t>支出</w:t>
      </w:r>
      <w:r>
        <w:rPr>
          <w:rFonts w:hint="eastAsia" w:ascii="仿宋_GB2312" w:hAnsi="仿宋_GB2312" w:eastAsia="仿宋_GB2312" w:cs="仿宋_GB2312"/>
          <w:color w:val="auto"/>
          <w:sz w:val="32"/>
          <w:szCs w:val="32"/>
          <w:highlight w:val="none"/>
          <w:lang w:val="en-US" w:eastAsia="zh-CN"/>
        </w:rPr>
        <w:t>339.54</w:t>
      </w:r>
      <w:r>
        <w:rPr>
          <w:rFonts w:hint="eastAsia" w:ascii="仿宋_GB2312" w:hAnsi="仿宋_GB2312" w:eastAsia="仿宋_GB2312" w:cs="仿宋_GB2312"/>
          <w:color w:val="auto"/>
          <w:sz w:val="32"/>
          <w:szCs w:val="32"/>
          <w:highlight w:val="none"/>
          <w:lang w:eastAsia="zh-CN"/>
        </w:rPr>
        <w:t>万元，预算</w:t>
      </w:r>
      <w:r>
        <w:rPr>
          <w:rFonts w:hint="eastAsia" w:ascii="仿宋_GB2312" w:hAnsi="仿宋_GB2312" w:eastAsia="仿宋_GB2312" w:cs="仿宋_GB2312"/>
          <w:color w:val="auto"/>
          <w:sz w:val="32"/>
          <w:szCs w:val="32"/>
          <w:highlight w:val="none"/>
          <w:lang w:val="en-US" w:eastAsia="zh-CN"/>
        </w:rPr>
        <w:t>执行</w:t>
      </w:r>
      <w:r>
        <w:rPr>
          <w:rFonts w:hint="eastAsia" w:ascii="仿宋_GB2312" w:hAnsi="仿宋_GB2312" w:eastAsia="仿宋_GB2312" w:cs="仿宋_GB2312"/>
          <w:color w:val="auto"/>
          <w:sz w:val="32"/>
          <w:szCs w:val="32"/>
          <w:highlight w:val="none"/>
          <w:lang w:eastAsia="zh-CN"/>
        </w:rPr>
        <w:t>率为</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p>
    <w:p w14:paraId="061B985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阜康市动农牧业技术推广中心</w:t>
      </w:r>
      <w:r>
        <w:rPr>
          <w:rFonts w:hint="eastAsia" w:ascii="仿宋_GB2312" w:hAnsi="仿宋_GB2312" w:eastAsia="仿宋_GB2312" w:cs="仿宋_GB2312"/>
          <w:color w:val="auto"/>
          <w:sz w:val="32"/>
          <w:szCs w:val="32"/>
          <w:highlight w:val="none"/>
          <w:lang w:eastAsia="zh-CN"/>
        </w:rPr>
        <w:t>建立健全了预算管理规章制度，各部门严格按照预算编制的原则和要求做好当年预算编制工作，在预算绩效管理工作中，做到合理安排各项资金，重点保障基本支出，按轻重缓急顺序原则，优先安排了</w:t>
      </w:r>
      <w:r>
        <w:rPr>
          <w:rFonts w:hint="eastAsia" w:ascii="仿宋_GB2312" w:hAnsi="仿宋_GB2312" w:eastAsia="仿宋_GB2312" w:cs="仿宋_GB2312"/>
          <w:color w:val="auto"/>
          <w:sz w:val="32"/>
          <w:szCs w:val="32"/>
          <w:highlight w:val="none"/>
          <w:lang w:val="en-US" w:eastAsia="zh-CN"/>
        </w:rPr>
        <w:t>阜康市农牧业技术推广中心</w:t>
      </w:r>
      <w:r>
        <w:rPr>
          <w:rFonts w:hint="eastAsia" w:ascii="仿宋_GB2312" w:hAnsi="仿宋_GB2312" w:eastAsia="仿宋_GB2312" w:cs="仿宋_GB2312"/>
          <w:color w:val="auto"/>
          <w:sz w:val="32"/>
          <w:szCs w:val="32"/>
          <w:highlight w:val="none"/>
          <w:lang w:eastAsia="zh-CN"/>
        </w:rPr>
        <w:t>事业发展中关系民生与稳定的项目，切实优化资源配置，提高了资金使用的效率和效果。</w:t>
      </w:r>
    </w:p>
    <w:p w14:paraId="064FC9AC">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b/>
          <w:bCs/>
          <w:kern w:val="28"/>
          <w:sz w:val="32"/>
          <w:highlight w:val="none"/>
          <w:lang w:val="en-US" w:eastAsia="zh-CN"/>
        </w:rPr>
      </w:pPr>
      <w:r>
        <w:rPr>
          <w:rFonts w:hint="eastAsia" w:ascii="Times New Roman" w:hAnsi="Times New Roman" w:eastAsia="楷体_GB2312" w:cs="Times New Roman"/>
          <w:b/>
          <w:bCs/>
          <w:kern w:val="28"/>
          <w:sz w:val="32"/>
          <w:highlight w:val="none"/>
          <w:lang w:val="en-US" w:eastAsia="zh-CN"/>
        </w:rPr>
        <w:t>（二）存在的问题及原因分析</w:t>
      </w:r>
      <w:bookmarkEnd w:id="145"/>
    </w:p>
    <w:p w14:paraId="216AAAC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bookmarkStart w:id="146" w:name="_Toc3333"/>
      <w:r>
        <w:rPr>
          <w:rFonts w:hint="eastAsia" w:ascii="仿宋_GB2312" w:hAnsi="仿宋_GB2312" w:eastAsia="仿宋_GB2312" w:cs="仿宋_GB2312"/>
          <w:color w:val="auto"/>
          <w:sz w:val="32"/>
          <w:szCs w:val="32"/>
          <w:highlight w:val="none"/>
          <w:lang w:val="en-US" w:eastAsia="zh-CN"/>
        </w:rPr>
        <w:t>1.示范基地创建工作不够深入，辐射带动作用效果不显著。</w:t>
      </w:r>
    </w:p>
    <w:p w14:paraId="7B284C34">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2、先进种植技术推广到位率低，先进的种植技术，如精准施肥、节水灌溉、病虫害绿色防控等，在生产中得到应用率不高。部分农户仍然采用传统的种植方式，导致资源利用效率低下，病虫害发生较为严重。</w:t>
      </w:r>
    </w:p>
    <w:p w14:paraId="648E961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3、产业化发展水平较低，小麦生产产业链较短，产品附加值不高。</w:t>
      </w:r>
    </w:p>
    <w:p w14:paraId="2E369C7C">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eastAsia"/>
        </w:rPr>
        <w:t xml:space="preserve"> </w:t>
      </w:r>
      <w:r>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t>六、有关建议</w:t>
      </w:r>
      <w:bookmarkEnd w:id="146"/>
    </w:p>
    <w:p w14:paraId="7D117F46">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bookmarkStart w:id="147" w:name="_Toc14256"/>
      <w:r>
        <w:rPr>
          <w:rFonts w:hint="eastAsia" w:ascii="仿宋_GB2312" w:hAnsi="仿宋_GB2312" w:eastAsia="仿宋_GB2312" w:cs="仿宋_GB2312"/>
          <w:color w:val="auto"/>
          <w:sz w:val="32"/>
          <w:szCs w:val="32"/>
          <w:highlight w:val="none"/>
          <w:lang w:val="en-US" w:eastAsia="zh-CN"/>
        </w:rPr>
        <w:t>（一）加强主推品种指导</w:t>
      </w:r>
    </w:p>
    <w:p w14:paraId="73E2FA4C">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 组织农业专家深入田间地头，根据阜康市不同区域的土壤、气候条件，制定科学的小麦主推品种，并通过多种渠道向农户宣传。</w:t>
      </w:r>
    </w:p>
    <w:p w14:paraId="42864658">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 加强种子销售市场监管，引导农户科学选种。</w:t>
      </w:r>
    </w:p>
    <w:p w14:paraId="3DFECC5F">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 建立高产示范基地，展示不同品种小麦的生长情况和产量表现，让农户直观感受新品种的优势，提高农户对新品种的接受度。</w:t>
      </w:r>
    </w:p>
    <w:p w14:paraId="74051730">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（二）强化种植技术推广</w:t>
      </w:r>
    </w:p>
    <w:p w14:paraId="21E1976B">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 丰富技术培训形式，采用现场示范、线上线下结合等方式，为农户提供全方位、多层次的技术培训服务。培训内容要注重实用性和针对性，让农户能够熟练掌握先进种植技术。</w:t>
      </w:r>
    </w:p>
    <w:p w14:paraId="74783F49">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 加强技术推广队伍建设，充实专业技术人员，定期开展业务培训，提高其技术水平和服务能力。同时，鼓励科技特派员深入基层，为农户提供一对一的技术指导。</w:t>
      </w:r>
    </w:p>
    <w:p w14:paraId="7121AA3C">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 建立技术推广激励机制，对采用新技术并取得良好效果的农户给予一定的物质奖励，如种子、化肥补贴等，降低农户采用新技术的风险，提高其积极性。</w:t>
      </w:r>
    </w:p>
    <w:p w14:paraId="3C3149D2">
      <w:pPr>
        <w:pageBreakBefore w:val="0"/>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（三）加大产业化发展力度。政策倾斜重点作物绿色高产高效发展，保障国家粮食安全。</w:t>
      </w:r>
    </w:p>
    <w:p w14:paraId="6DBC6F16">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t>七、其他需要说明的问题</w:t>
      </w:r>
      <w:bookmarkEnd w:id="147"/>
    </w:p>
    <w:p w14:paraId="398C638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lang w:val="en-US" w:eastAsia="zh-CN"/>
        </w:rPr>
        <w:sectPr>
          <w:footerReference r:id="rId5" w:type="default"/>
          <w:pgSz w:w="11906" w:h="16838"/>
          <w:pgMar w:top="1440" w:right="1800" w:bottom="1440" w:left="1800" w:header="737" w:footer="851" w:gutter="0"/>
          <w:pgNumType w:fmt="decimal"/>
          <w:cols w:space="720" w:num="1"/>
          <w:docGrid w:type="lines" w:linePitch="408" w:charSpace="0"/>
        </w:sectPr>
      </w:pPr>
      <w:r>
        <w:rPr>
          <w:rFonts w:hint="eastAsia" w:ascii="仿宋_GB2312" w:hAnsi="仿宋_GB2312" w:eastAsia="仿宋_GB2312" w:cs="仿宋_GB2312"/>
          <w:sz w:val="32"/>
          <w:szCs w:val="32"/>
          <w:lang w:val="en-US" w:eastAsia="zh-CN"/>
        </w:rPr>
        <w:t>无其他需要说明的问题</w:t>
      </w:r>
    </w:p>
    <w:p w14:paraId="024D3283">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pPr>
      <w:r>
        <w:rPr>
          <w:rFonts w:hint="eastAsia" w:ascii="黑体" w:hAnsi="黑体" w:eastAsia="黑体" w:cs="黑体"/>
          <w:b w:val="0"/>
          <w:bCs w:val="0"/>
          <w:color w:val="000000" w:themeColor="text1"/>
          <w:highlight w:val="none"/>
          <w:shd w:val="clear" w:color="auto" w:fill="auto"/>
          <w:lang w:val="en-US" w:eastAsia="zh-CN"/>
          <w14:textFill>
            <w14:solidFill>
              <w14:schemeClr w14:val="tx1"/>
            </w14:solidFill>
          </w14:textFill>
        </w:rPr>
        <w:t>附件一、项目支出绩效自评表</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905"/>
        <w:gridCol w:w="905"/>
        <w:gridCol w:w="905"/>
        <w:gridCol w:w="905"/>
        <w:gridCol w:w="1239"/>
        <w:gridCol w:w="1239"/>
        <w:gridCol w:w="1155"/>
        <w:gridCol w:w="988"/>
        <w:gridCol w:w="1155"/>
        <w:gridCol w:w="905"/>
        <w:gridCol w:w="905"/>
        <w:gridCol w:w="906"/>
        <w:gridCol w:w="906"/>
        <w:gridCol w:w="1156"/>
      </w:tblGrid>
      <w:tr w14:paraId="6D250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5000" w:type="pct"/>
            <w:gridSpan w:val="14"/>
            <w:tcBorders>
              <w:top w:val="nil"/>
              <w:left w:val="nil"/>
              <w:bottom w:val="nil"/>
              <w:right w:val="nil"/>
            </w:tcBorders>
            <w:shd w:val="clear"/>
            <w:vAlign w:val="center"/>
          </w:tcPr>
          <w:p w14:paraId="6FB1F415">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项目支出绩效自评表</w:t>
            </w:r>
          </w:p>
        </w:tc>
      </w:tr>
      <w:tr w14:paraId="1FE9C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5000" w:type="pct"/>
            <w:gridSpan w:val="14"/>
            <w:tcBorders>
              <w:top w:val="nil"/>
              <w:left w:val="nil"/>
              <w:bottom w:val="single" w:color="auto" w:sz="4" w:space="0"/>
              <w:right w:val="nil"/>
            </w:tcBorders>
            <w:shd w:val="clear"/>
            <w:vAlign w:val="center"/>
          </w:tcPr>
          <w:p w14:paraId="2B8044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(2024年度)</w:t>
            </w:r>
          </w:p>
        </w:tc>
      </w:tr>
      <w:tr w14:paraId="5C16A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8" w:type="pct"/>
            <w:gridSpan w:val="2"/>
            <w:tcBorders>
              <w:top w:val="single" w:color="auto" w:sz="4" w:space="0"/>
              <w:left w:val="single" w:color="000000" w:sz="4" w:space="0"/>
              <w:bottom w:val="single" w:color="000000" w:sz="4" w:space="0"/>
              <w:right w:val="single" w:color="000000" w:sz="4" w:space="0"/>
            </w:tcBorders>
            <w:shd w:val="clear"/>
            <w:vAlign w:val="center"/>
          </w:tcPr>
          <w:p w14:paraId="5880FFC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项目名称</w:t>
            </w:r>
          </w:p>
        </w:tc>
        <w:tc>
          <w:tcPr>
            <w:tcW w:w="4591" w:type="pct"/>
            <w:gridSpan w:val="12"/>
            <w:tcBorders>
              <w:top w:val="single" w:color="auto" w:sz="4" w:space="0"/>
              <w:left w:val="single" w:color="000000" w:sz="4" w:space="0"/>
              <w:bottom w:val="single" w:color="000000" w:sz="4" w:space="0"/>
              <w:right w:val="single" w:color="000000" w:sz="4" w:space="0"/>
            </w:tcBorders>
            <w:shd w:val="clear"/>
            <w:vAlign w:val="center"/>
          </w:tcPr>
          <w:p w14:paraId="4A8371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2023年中央农业生产发展资金（第二批）重点作物绿色高产高效行动</w:t>
            </w:r>
          </w:p>
        </w:tc>
      </w:tr>
      <w:tr w14:paraId="399EB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8" w:type="pct"/>
            <w:gridSpan w:val="2"/>
            <w:tcBorders>
              <w:top w:val="single" w:color="000000" w:sz="4" w:space="0"/>
              <w:left w:val="single" w:color="000000" w:sz="4" w:space="0"/>
              <w:bottom w:val="single" w:color="000000" w:sz="4" w:space="0"/>
              <w:right w:val="single" w:color="000000" w:sz="4" w:space="0"/>
            </w:tcBorders>
            <w:shd w:val="clear"/>
            <w:vAlign w:val="center"/>
          </w:tcPr>
          <w:p w14:paraId="66F3DC0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主管部门</w:t>
            </w:r>
          </w:p>
        </w:tc>
        <w:tc>
          <w:tcPr>
            <w:tcW w:w="1740" w:type="pct"/>
            <w:gridSpan w:val="5"/>
            <w:tcBorders>
              <w:top w:val="single" w:color="000000" w:sz="4" w:space="0"/>
              <w:left w:val="single" w:color="000000" w:sz="4" w:space="0"/>
              <w:bottom w:val="single" w:color="000000" w:sz="4" w:space="0"/>
              <w:right w:val="single" w:color="000000" w:sz="4" w:space="0"/>
            </w:tcBorders>
            <w:shd w:val="clear"/>
            <w:vAlign w:val="center"/>
          </w:tcPr>
          <w:p w14:paraId="28AA20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阜康市农业农村局</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006DE6B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实施单位</w:t>
            </w:r>
          </w:p>
        </w:tc>
        <w:tc>
          <w:tcPr>
            <w:tcW w:w="2199" w:type="pct"/>
            <w:gridSpan w:val="5"/>
            <w:tcBorders>
              <w:top w:val="single" w:color="000000" w:sz="4" w:space="0"/>
              <w:left w:val="single" w:color="000000" w:sz="4" w:space="0"/>
              <w:bottom w:val="single" w:color="000000" w:sz="4" w:space="0"/>
              <w:right w:val="single" w:color="000000" w:sz="4" w:space="0"/>
            </w:tcBorders>
            <w:shd w:val="clear"/>
            <w:vAlign w:val="center"/>
          </w:tcPr>
          <w:p w14:paraId="11255F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阜康市农牧业技术推广中心</w:t>
            </w:r>
          </w:p>
        </w:tc>
      </w:tr>
      <w:tr w14:paraId="6DA7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8" w:type="pct"/>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7F089A7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项目资金</w:t>
            </w:r>
            <w:r>
              <w:rPr>
                <w:rFonts w:hint="eastAsia" w:ascii="宋体" w:hAnsi="宋体" w:eastAsia="宋体" w:cs="宋体"/>
                <w:b/>
                <w:bCs/>
                <w:i w:val="0"/>
                <w:iCs w:val="0"/>
                <w:color w:val="000000"/>
                <w:kern w:val="0"/>
                <w:sz w:val="18"/>
                <w:szCs w:val="18"/>
                <w:u w:val="none"/>
                <w:bdr w:val="none" w:color="auto" w:sz="0" w:space="0"/>
                <w:lang w:val="en-US" w:eastAsia="zh-CN" w:bidi="ar"/>
              </w:rPr>
              <w:br w:type="textWrapping"/>
            </w:r>
            <w:r>
              <w:rPr>
                <w:rFonts w:hint="eastAsia" w:ascii="宋体" w:hAnsi="宋体" w:eastAsia="宋体" w:cs="宋体"/>
                <w:b/>
                <w:bCs/>
                <w:i w:val="0"/>
                <w:iCs w:val="0"/>
                <w:color w:val="000000"/>
                <w:kern w:val="0"/>
                <w:sz w:val="18"/>
                <w:szCs w:val="18"/>
                <w:u w:val="none"/>
                <w:bdr w:val="none" w:color="auto" w:sz="0" w:space="0"/>
                <w:lang w:val="en-US" w:eastAsia="zh-CN" w:bidi="ar"/>
              </w:rPr>
              <w:t>（万元）</w:t>
            </w:r>
          </w:p>
        </w:tc>
        <w:tc>
          <w:tcPr>
            <w:tcW w:w="729" w:type="pct"/>
            <w:gridSpan w:val="2"/>
            <w:tcBorders>
              <w:top w:val="single" w:color="000000" w:sz="4" w:space="0"/>
              <w:left w:val="single" w:color="000000" w:sz="4" w:space="0"/>
              <w:bottom w:val="single" w:color="000000" w:sz="4" w:space="0"/>
              <w:right w:val="single" w:color="000000" w:sz="4" w:space="0"/>
            </w:tcBorders>
            <w:shd w:val="clear"/>
            <w:vAlign w:val="center"/>
          </w:tcPr>
          <w:p w14:paraId="7CA560FE">
            <w:pPr>
              <w:jc w:val="center"/>
              <w:rPr>
                <w:rFonts w:hint="eastAsia" w:ascii="宋体" w:hAnsi="宋体" w:eastAsia="宋体" w:cs="宋体"/>
                <w:b/>
                <w:bCs/>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267010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年初预算数</w:t>
            </w:r>
          </w:p>
        </w:tc>
        <w:tc>
          <w:tcPr>
            <w:tcW w:w="685" w:type="pct"/>
            <w:gridSpan w:val="2"/>
            <w:tcBorders>
              <w:top w:val="single" w:color="000000" w:sz="4" w:space="0"/>
              <w:left w:val="single" w:color="000000" w:sz="4" w:space="0"/>
              <w:bottom w:val="single" w:color="000000" w:sz="4" w:space="0"/>
              <w:right w:val="single" w:color="000000" w:sz="4" w:space="0"/>
            </w:tcBorders>
            <w:shd w:val="clear"/>
            <w:vAlign w:val="center"/>
          </w:tcPr>
          <w:p w14:paraId="61D49EE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全年预算数</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7CB39F2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全年执行数</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7A35AD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分值</w:t>
            </w:r>
          </w:p>
        </w:tc>
        <w:tc>
          <w:tcPr>
            <w:tcW w:w="739" w:type="pct"/>
            <w:gridSpan w:val="2"/>
            <w:tcBorders>
              <w:top w:val="single" w:color="000000" w:sz="4" w:space="0"/>
              <w:left w:val="single" w:color="000000" w:sz="4" w:space="0"/>
              <w:bottom w:val="single" w:color="000000" w:sz="4" w:space="0"/>
              <w:right w:val="single" w:color="000000" w:sz="4" w:space="0"/>
            </w:tcBorders>
            <w:shd w:val="clear"/>
            <w:vAlign w:val="center"/>
          </w:tcPr>
          <w:p w14:paraId="5D07D65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执行率</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285D717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得分</w:t>
            </w:r>
          </w:p>
        </w:tc>
      </w:tr>
      <w:tr w14:paraId="186AE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8"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6B29F25">
            <w:pPr>
              <w:jc w:val="center"/>
              <w:rPr>
                <w:rFonts w:hint="eastAsia" w:ascii="宋体" w:hAnsi="宋体" w:eastAsia="宋体" w:cs="宋体"/>
                <w:b/>
                <w:bCs/>
                <w:i w:val="0"/>
                <w:iCs w:val="0"/>
                <w:color w:val="000000"/>
                <w:sz w:val="18"/>
                <w:szCs w:val="18"/>
                <w:u w:val="none"/>
              </w:rPr>
            </w:pPr>
          </w:p>
        </w:tc>
        <w:tc>
          <w:tcPr>
            <w:tcW w:w="729" w:type="pct"/>
            <w:gridSpan w:val="2"/>
            <w:tcBorders>
              <w:top w:val="single" w:color="000000" w:sz="4" w:space="0"/>
              <w:left w:val="single" w:color="000000" w:sz="4" w:space="0"/>
              <w:bottom w:val="single" w:color="000000" w:sz="4" w:space="0"/>
              <w:right w:val="single" w:color="000000" w:sz="4" w:space="0"/>
            </w:tcBorders>
            <w:shd w:val="clear"/>
            <w:vAlign w:val="center"/>
          </w:tcPr>
          <w:p w14:paraId="2E2B30B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年度资金总额</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0EEE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339.54</w:t>
            </w:r>
          </w:p>
        </w:tc>
        <w:tc>
          <w:tcPr>
            <w:tcW w:w="685" w:type="pct"/>
            <w:gridSpan w:val="2"/>
            <w:tcBorders>
              <w:top w:val="single" w:color="000000" w:sz="4" w:space="0"/>
              <w:left w:val="single" w:color="000000" w:sz="4" w:space="0"/>
              <w:bottom w:val="single" w:color="000000" w:sz="4" w:space="0"/>
              <w:right w:val="single" w:color="000000" w:sz="4" w:space="0"/>
            </w:tcBorders>
            <w:shd w:val="clear"/>
            <w:vAlign w:val="center"/>
          </w:tcPr>
          <w:p w14:paraId="5D3A8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339.54</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44ED8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339.54</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71BC05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739" w:type="pct"/>
            <w:gridSpan w:val="2"/>
            <w:tcBorders>
              <w:top w:val="single" w:color="000000" w:sz="4" w:space="0"/>
              <w:left w:val="single" w:color="000000" w:sz="4" w:space="0"/>
              <w:bottom w:val="single" w:color="000000" w:sz="4" w:space="0"/>
              <w:right w:val="single" w:color="000000" w:sz="4" w:space="0"/>
            </w:tcBorders>
            <w:shd w:val="clear"/>
            <w:vAlign w:val="center"/>
          </w:tcPr>
          <w:p w14:paraId="5B88A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32F049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w:t>
            </w:r>
          </w:p>
        </w:tc>
      </w:tr>
      <w:tr w14:paraId="7DD4C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8"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6A25A09">
            <w:pPr>
              <w:jc w:val="center"/>
              <w:rPr>
                <w:rFonts w:hint="eastAsia" w:ascii="宋体" w:hAnsi="宋体" w:eastAsia="宋体" w:cs="宋体"/>
                <w:b/>
                <w:bCs/>
                <w:i w:val="0"/>
                <w:iCs w:val="0"/>
                <w:color w:val="000000"/>
                <w:sz w:val="18"/>
                <w:szCs w:val="18"/>
                <w:u w:val="none"/>
              </w:rPr>
            </w:pPr>
          </w:p>
        </w:tc>
        <w:tc>
          <w:tcPr>
            <w:tcW w:w="729" w:type="pct"/>
            <w:gridSpan w:val="2"/>
            <w:tcBorders>
              <w:top w:val="single" w:color="000000" w:sz="4" w:space="0"/>
              <w:left w:val="single" w:color="000000" w:sz="4" w:space="0"/>
              <w:bottom w:val="single" w:color="000000" w:sz="4" w:space="0"/>
              <w:right w:val="single" w:color="000000" w:sz="4" w:space="0"/>
            </w:tcBorders>
            <w:shd w:val="clear"/>
            <w:vAlign w:val="center"/>
          </w:tcPr>
          <w:p w14:paraId="4905277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其中：当年财政拨款</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054F0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339.54</w:t>
            </w:r>
          </w:p>
        </w:tc>
        <w:tc>
          <w:tcPr>
            <w:tcW w:w="685" w:type="pct"/>
            <w:gridSpan w:val="2"/>
            <w:tcBorders>
              <w:top w:val="single" w:color="000000" w:sz="4" w:space="0"/>
              <w:left w:val="single" w:color="000000" w:sz="4" w:space="0"/>
              <w:bottom w:val="single" w:color="000000" w:sz="4" w:space="0"/>
              <w:right w:val="single" w:color="000000" w:sz="4" w:space="0"/>
            </w:tcBorders>
            <w:shd w:val="clear"/>
            <w:vAlign w:val="center"/>
          </w:tcPr>
          <w:p w14:paraId="535A48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339.54</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22B24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339.54</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5CBD1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39" w:type="pct"/>
            <w:gridSpan w:val="2"/>
            <w:tcBorders>
              <w:top w:val="single" w:color="000000" w:sz="4" w:space="0"/>
              <w:left w:val="single" w:color="000000" w:sz="4" w:space="0"/>
              <w:bottom w:val="single" w:color="000000" w:sz="4" w:space="0"/>
              <w:right w:val="single" w:color="000000" w:sz="4" w:space="0"/>
            </w:tcBorders>
            <w:shd w:val="clear"/>
            <w:vAlign w:val="center"/>
          </w:tcPr>
          <w:p w14:paraId="7B20A4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62D90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19E50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08"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EB099D0">
            <w:pPr>
              <w:jc w:val="center"/>
              <w:rPr>
                <w:rFonts w:hint="eastAsia" w:ascii="宋体" w:hAnsi="宋体" w:eastAsia="宋体" w:cs="宋体"/>
                <w:b/>
                <w:bCs/>
                <w:i w:val="0"/>
                <w:iCs w:val="0"/>
                <w:color w:val="000000"/>
                <w:sz w:val="18"/>
                <w:szCs w:val="18"/>
                <w:u w:val="none"/>
              </w:rPr>
            </w:pPr>
          </w:p>
        </w:tc>
        <w:tc>
          <w:tcPr>
            <w:tcW w:w="729" w:type="pct"/>
            <w:gridSpan w:val="2"/>
            <w:tcBorders>
              <w:top w:val="single" w:color="000000" w:sz="4" w:space="0"/>
              <w:left w:val="single" w:color="000000" w:sz="4" w:space="0"/>
              <w:bottom w:val="single" w:color="000000" w:sz="4" w:space="0"/>
              <w:right w:val="single" w:color="000000" w:sz="4" w:space="0"/>
            </w:tcBorders>
            <w:shd w:val="clear"/>
            <w:vAlign w:val="center"/>
          </w:tcPr>
          <w:p w14:paraId="3BA5062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 xml:space="preserve">  其他资金</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6E27E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85" w:type="pct"/>
            <w:gridSpan w:val="2"/>
            <w:tcBorders>
              <w:top w:val="single" w:color="000000" w:sz="4" w:space="0"/>
              <w:left w:val="single" w:color="000000" w:sz="4" w:space="0"/>
              <w:bottom w:val="single" w:color="000000" w:sz="4" w:space="0"/>
              <w:right w:val="single" w:color="000000" w:sz="4" w:space="0"/>
            </w:tcBorders>
            <w:shd w:val="clear"/>
            <w:vAlign w:val="center"/>
          </w:tcPr>
          <w:p w14:paraId="1CBF8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03081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1" w:type="pct"/>
            <w:gridSpan w:val="2"/>
            <w:tcBorders>
              <w:top w:val="single" w:color="000000" w:sz="4" w:space="0"/>
              <w:left w:val="single" w:color="000000" w:sz="4" w:space="0"/>
              <w:bottom w:val="single" w:color="000000" w:sz="4" w:space="0"/>
              <w:right w:val="single" w:color="000000" w:sz="4" w:space="0"/>
            </w:tcBorders>
            <w:shd w:val="clear"/>
            <w:vAlign w:val="center"/>
          </w:tcPr>
          <w:p w14:paraId="75BCC7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39" w:type="pct"/>
            <w:gridSpan w:val="2"/>
            <w:tcBorders>
              <w:top w:val="single" w:color="000000" w:sz="4" w:space="0"/>
              <w:left w:val="single" w:color="000000" w:sz="4" w:space="0"/>
              <w:bottom w:val="single" w:color="000000" w:sz="4" w:space="0"/>
              <w:right w:val="single" w:color="000000" w:sz="4" w:space="0"/>
            </w:tcBorders>
            <w:shd w:val="clear"/>
            <w:vAlign w:val="center"/>
          </w:tcPr>
          <w:p w14:paraId="7AB620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5E209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13873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7BF4AA3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年度总体目标</w:t>
            </w:r>
          </w:p>
        </w:tc>
        <w:tc>
          <w:tcPr>
            <w:tcW w:w="1945" w:type="pct"/>
            <w:gridSpan w:val="6"/>
            <w:tcBorders>
              <w:top w:val="single" w:color="000000" w:sz="4" w:space="0"/>
              <w:left w:val="single" w:color="000000" w:sz="4" w:space="0"/>
              <w:bottom w:val="single" w:color="000000" w:sz="4" w:space="0"/>
              <w:right w:val="single" w:color="000000" w:sz="4" w:space="0"/>
            </w:tcBorders>
            <w:shd w:val="clear"/>
            <w:vAlign w:val="center"/>
          </w:tcPr>
          <w:p w14:paraId="78873D4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预期目标</w:t>
            </w:r>
          </w:p>
        </w:tc>
        <w:tc>
          <w:tcPr>
            <w:tcW w:w="2850" w:type="pct"/>
            <w:gridSpan w:val="7"/>
            <w:tcBorders>
              <w:top w:val="single" w:color="000000" w:sz="4" w:space="0"/>
              <w:left w:val="single" w:color="000000" w:sz="4" w:space="0"/>
              <w:bottom w:val="single" w:color="000000" w:sz="4" w:space="0"/>
              <w:right w:val="single" w:color="000000" w:sz="4" w:space="0"/>
            </w:tcBorders>
            <w:shd w:val="clear"/>
            <w:vAlign w:val="center"/>
          </w:tcPr>
          <w:p w14:paraId="5854B28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实际完成情况</w:t>
            </w:r>
          </w:p>
        </w:tc>
      </w:tr>
      <w:tr w14:paraId="5EEBB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4446CAA">
            <w:pPr>
              <w:jc w:val="center"/>
              <w:rPr>
                <w:rFonts w:hint="eastAsia" w:ascii="宋体" w:hAnsi="宋体" w:eastAsia="宋体" w:cs="宋体"/>
                <w:b/>
                <w:bCs/>
                <w:i w:val="0"/>
                <w:iCs w:val="0"/>
                <w:color w:val="000000"/>
                <w:sz w:val="18"/>
                <w:szCs w:val="18"/>
                <w:u w:val="none"/>
              </w:rPr>
            </w:pPr>
          </w:p>
        </w:tc>
        <w:tc>
          <w:tcPr>
            <w:tcW w:w="1945" w:type="pct"/>
            <w:gridSpan w:val="6"/>
            <w:tcBorders>
              <w:top w:val="single" w:color="000000" w:sz="4" w:space="0"/>
              <w:left w:val="single" w:color="000000" w:sz="4" w:space="0"/>
              <w:bottom w:val="single" w:color="000000" w:sz="4" w:space="0"/>
              <w:right w:val="single" w:color="000000" w:sz="4" w:space="0"/>
            </w:tcBorders>
            <w:shd w:val="clear"/>
            <w:vAlign w:val="center"/>
          </w:tcPr>
          <w:p w14:paraId="3184A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市打造10个小麦千亩方和2个万亩片，2024年计划完成作物绿色高产高效创建县，项目区良种覆盖率100%，小麦一喷三防效果显著，集成推广绿色高质高效模式1套，重点作物节本增效增加，重点农作物绿色高产高效项目区病虫害损失率5%，带动全市小麦示范区节本增效5%以上，指导广大农牧民满意度达到85%。</w:t>
            </w:r>
          </w:p>
        </w:tc>
        <w:tc>
          <w:tcPr>
            <w:tcW w:w="2850" w:type="pct"/>
            <w:gridSpan w:val="7"/>
            <w:tcBorders>
              <w:top w:val="single" w:color="000000" w:sz="4" w:space="0"/>
              <w:left w:val="single" w:color="000000" w:sz="4" w:space="0"/>
              <w:bottom w:val="single" w:color="000000" w:sz="4" w:space="0"/>
              <w:right w:val="single" w:color="000000" w:sz="4" w:space="0"/>
            </w:tcBorders>
            <w:shd w:val="clear"/>
            <w:vAlign w:val="center"/>
          </w:tcPr>
          <w:p w14:paraId="16FDC3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市打造小麦千亩方10个，打造万亩片2个，2024年完成作物绿色高产高效创建县1个，项目区良种覆盖率100%，集成推广绿色高质高效模式1套，重点作物节本增效增加，通过项目的实施，达到重点农作物绿色高产高效项目区病虫害损失率1.1%的预期效益，服务群众满意度达到85%。</w:t>
            </w:r>
          </w:p>
        </w:tc>
      </w:tr>
      <w:tr w14:paraId="08F8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21B3F195">
            <w:pPr>
              <w:jc w:val="center"/>
              <w:rPr>
                <w:rFonts w:hint="eastAsia" w:ascii="宋体" w:hAnsi="宋体" w:eastAsia="宋体" w:cs="宋体"/>
                <w:i w:val="0"/>
                <w:iCs w:val="0"/>
                <w:color w:val="000000"/>
                <w:sz w:val="18"/>
                <w:szCs w:val="18"/>
                <w:u w:val="none"/>
              </w:rPr>
            </w:pPr>
          </w:p>
        </w:tc>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4EF9E05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一级指标</w:t>
            </w:r>
          </w:p>
        </w:tc>
        <w:tc>
          <w:tcPr>
            <w:tcW w:w="271" w:type="pct"/>
            <w:vMerge w:val="restart"/>
            <w:tcBorders>
              <w:top w:val="single" w:color="000000" w:sz="4" w:space="0"/>
              <w:left w:val="single" w:color="000000" w:sz="4" w:space="0"/>
              <w:bottom w:val="single" w:color="000000" w:sz="4" w:space="0"/>
              <w:right w:val="single" w:color="000000" w:sz="4" w:space="0"/>
            </w:tcBorders>
            <w:shd w:val="clear"/>
            <w:vAlign w:val="center"/>
          </w:tcPr>
          <w:p w14:paraId="237A63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二级指标</w:t>
            </w:r>
          </w:p>
        </w:tc>
        <w:tc>
          <w:tcPr>
            <w:tcW w:w="457" w:type="pct"/>
            <w:vMerge w:val="restart"/>
            <w:tcBorders>
              <w:top w:val="single" w:color="000000" w:sz="4" w:space="0"/>
              <w:left w:val="single" w:color="000000" w:sz="4" w:space="0"/>
              <w:bottom w:val="single" w:color="000000" w:sz="4" w:space="0"/>
              <w:right w:val="single" w:color="000000" w:sz="4" w:space="0"/>
            </w:tcBorders>
            <w:shd w:val="clear"/>
            <w:vAlign w:val="center"/>
          </w:tcPr>
          <w:p w14:paraId="159A507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三级指标</w:t>
            </w:r>
          </w:p>
        </w:tc>
        <w:tc>
          <w:tcPr>
            <w:tcW w:w="3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8C897A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权重</w:t>
            </w:r>
          </w:p>
        </w:tc>
        <w:tc>
          <w:tcPr>
            <w:tcW w:w="358" w:type="pct"/>
            <w:vMerge w:val="restart"/>
            <w:tcBorders>
              <w:top w:val="single" w:color="000000" w:sz="4" w:space="0"/>
              <w:left w:val="single" w:color="000000" w:sz="4" w:space="0"/>
              <w:bottom w:val="single" w:color="000000" w:sz="4" w:space="0"/>
              <w:right w:val="single" w:color="000000" w:sz="4" w:space="0"/>
            </w:tcBorders>
            <w:shd w:val="clear"/>
            <w:vAlign w:val="center"/>
          </w:tcPr>
          <w:p w14:paraId="60FD3DA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目标值</w:t>
            </w:r>
          </w:p>
        </w:tc>
        <w:tc>
          <w:tcPr>
            <w:tcW w:w="326" w:type="pct"/>
            <w:vMerge w:val="restart"/>
            <w:tcBorders>
              <w:top w:val="single" w:color="000000" w:sz="4" w:space="0"/>
              <w:left w:val="single" w:color="000000" w:sz="4" w:space="0"/>
              <w:bottom w:val="single" w:color="000000" w:sz="4" w:space="0"/>
              <w:right w:val="single" w:color="000000" w:sz="4" w:space="0"/>
            </w:tcBorders>
            <w:shd w:val="clear"/>
            <w:vAlign w:val="center"/>
          </w:tcPr>
          <w:p w14:paraId="6FD3F00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业绩值</w:t>
            </w:r>
          </w:p>
        </w:tc>
        <w:tc>
          <w:tcPr>
            <w:tcW w:w="3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5CB45C7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完成率</w:t>
            </w:r>
          </w:p>
        </w:tc>
        <w:tc>
          <w:tcPr>
            <w:tcW w:w="3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66342B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指标得分</w:t>
            </w:r>
          </w:p>
        </w:tc>
        <w:tc>
          <w:tcPr>
            <w:tcW w:w="3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723809A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指标值设定依据</w:t>
            </w:r>
          </w:p>
        </w:tc>
        <w:tc>
          <w:tcPr>
            <w:tcW w:w="32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DF0D2A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上年完成情况</w:t>
            </w:r>
          </w:p>
        </w:tc>
        <w:tc>
          <w:tcPr>
            <w:tcW w:w="391" w:type="pct"/>
            <w:vMerge w:val="restart"/>
            <w:tcBorders>
              <w:top w:val="single" w:color="000000" w:sz="4" w:space="0"/>
              <w:left w:val="single" w:color="000000" w:sz="4" w:space="0"/>
              <w:bottom w:val="single" w:color="000000" w:sz="4" w:space="0"/>
              <w:right w:val="single" w:color="000000" w:sz="4" w:space="0"/>
            </w:tcBorders>
            <w:shd w:val="clear"/>
            <w:vAlign w:val="center"/>
          </w:tcPr>
          <w:p w14:paraId="6C5635F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赋分规则</w:t>
            </w:r>
          </w:p>
        </w:tc>
        <w:tc>
          <w:tcPr>
            <w:tcW w:w="34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E45B7E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佐证资料</w:t>
            </w:r>
          </w:p>
        </w:tc>
        <w:tc>
          <w:tcPr>
            <w:tcW w:w="808" w:type="pct"/>
            <w:vMerge w:val="restart"/>
            <w:tcBorders>
              <w:top w:val="single" w:color="000000" w:sz="4" w:space="0"/>
              <w:left w:val="single" w:color="000000" w:sz="4" w:space="0"/>
              <w:bottom w:val="single" w:color="000000" w:sz="4" w:space="0"/>
              <w:right w:val="single" w:color="000000" w:sz="4" w:space="0"/>
            </w:tcBorders>
            <w:shd w:val="clear"/>
            <w:vAlign w:val="center"/>
          </w:tcPr>
          <w:p w14:paraId="0B9111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偏差原因分析及改进措施</w:t>
            </w:r>
          </w:p>
        </w:tc>
      </w:tr>
      <w:tr w14:paraId="196EB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13A592C">
            <w:pPr>
              <w:jc w:val="center"/>
              <w:rPr>
                <w:rFonts w:hint="eastAsia" w:ascii="宋体" w:hAnsi="宋体" w:eastAsia="宋体" w:cs="宋体"/>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32E0B3D">
            <w:pPr>
              <w:jc w:val="center"/>
              <w:rPr>
                <w:rFonts w:hint="eastAsia" w:ascii="宋体" w:hAnsi="宋体" w:eastAsia="宋体" w:cs="宋体"/>
                <w:b/>
                <w:bCs/>
                <w:i w:val="0"/>
                <w:iCs w:val="0"/>
                <w:color w:val="000000"/>
                <w:sz w:val="18"/>
                <w:szCs w:val="18"/>
                <w:u w:val="none"/>
              </w:rPr>
            </w:pPr>
          </w:p>
        </w:tc>
        <w:tc>
          <w:tcPr>
            <w:tcW w:w="27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BF42713">
            <w:pPr>
              <w:jc w:val="center"/>
              <w:rPr>
                <w:rFonts w:hint="eastAsia" w:ascii="宋体" w:hAnsi="宋体" w:eastAsia="宋体" w:cs="宋体"/>
                <w:b/>
                <w:bCs/>
                <w:i w:val="0"/>
                <w:iCs w:val="0"/>
                <w:color w:val="000000"/>
                <w:sz w:val="18"/>
                <w:szCs w:val="18"/>
                <w:u w:val="none"/>
              </w:rPr>
            </w:pPr>
          </w:p>
        </w:tc>
        <w:tc>
          <w:tcPr>
            <w:tcW w:w="45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F06A2FF">
            <w:pPr>
              <w:jc w:val="center"/>
              <w:rPr>
                <w:rFonts w:hint="eastAsia" w:ascii="宋体" w:hAnsi="宋体" w:eastAsia="宋体" w:cs="宋体"/>
                <w:b/>
                <w:bCs/>
                <w:i w:val="0"/>
                <w:iCs w:val="0"/>
                <w:color w:val="000000"/>
                <w:sz w:val="18"/>
                <w:szCs w:val="18"/>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5E21877">
            <w:pPr>
              <w:jc w:val="center"/>
              <w:rPr>
                <w:rFonts w:hint="eastAsia" w:ascii="宋体" w:hAnsi="宋体" w:eastAsia="宋体" w:cs="宋体"/>
                <w:b/>
                <w:bCs/>
                <w:i w:val="0"/>
                <w:iCs w:val="0"/>
                <w:color w:val="000000"/>
                <w:sz w:val="18"/>
                <w:szCs w:val="18"/>
                <w:u w:val="none"/>
              </w:rPr>
            </w:pPr>
          </w:p>
        </w:tc>
        <w:tc>
          <w:tcPr>
            <w:tcW w:w="35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6B1257B">
            <w:pPr>
              <w:jc w:val="center"/>
              <w:rPr>
                <w:rFonts w:hint="eastAsia" w:ascii="宋体" w:hAnsi="宋体" w:eastAsia="宋体" w:cs="宋体"/>
                <w:b/>
                <w:bCs/>
                <w:i w:val="0"/>
                <w:iCs w:val="0"/>
                <w:color w:val="000000"/>
                <w:sz w:val="18"/>
                <w:szCs w:val="18"/>
                <w:u w:val="none"/>
              </w:rPr>
            </w:pPr>
          </w:p>
        </w:tc>
        <w:tc>
          <w:tcPr>
            <w:tcW w:w="32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91DCDF8">
            <w:pPr>
              <w:jc w:val="center"/>
              <w:rPr>
                <w:rFonts w:hint="eastAsia" w:ascii="宋体" w:hAnsi="宋体" w:eastAsia="宋体" w:cs="宋体"/>
                <w:b/>
                <w:bCs/>
                <w:i w:val="0"/>
                <w:iCs w:val="0"/>
                <w:color w:val="000000"/>
                <w:sz w:val="18"/>
                <w:szCs w:val="18"/>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A60159">
            <w:pPr>
              <w:jc w:val="center"/>
              <w:rPr>
                <w:rFonts w:hint="eastAsia" w:ascii="宋体" w:hAnsi="宋体" w:eastAsia="宋体" w:cs="宋体"/>
                <w:b/>
                <w:bCs/>
                <w:i w:val="0"/>
                <w:iCs w:val="0"/>
                <w:color w:val="000000"/>
                <w:sz w:val="18"/>
                <w:szCs w:val="18"/>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42E3BB0">
            <w:pPr>
              <w:jc w:val="center"/>
              <w:rPr>
                <w:rFonts w:hint="eastAsia" w:ascii="宋体" w:hAnsi="宋体" w:eastAsia="宋体" w:cs="宋体"/>
                <w:b/>
                <w:bCs/>
                <w:i w:val="0"/>
                <w:iCs w:val="0"/>
                <w:color w:val="000000"/>
                <w:sz w:val="18"/>
                <w:szCs w:val="18"/>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A30CD86">
            <w:pPr>
              <w:jc w:val="center"/>
              <w:rPr>
                <w:rFonts w:hint="eastAsia" w:ascii="宋体" w:hAnsi="宋体" w:eastAsia="宋体" w:cs="宋体"/>
                <w:b/>
                <w:bCs/>
                <w:i w:val="0"/>
                <w:iCs w:val="0"/>
                <w:color w:val="000000"/>
                <w:sz w:val="18"/>
                <w:szCs w:val="18"/>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EBD331B">
            <w:pPr>
              <w:jc w:val="center"/>
              <w:rPr>
                <w:rFonts w:hint="eastAsia" w:ascii="宋体" w:hAnsi="宋体" w:eastAsia="宋体" w:cs="宋体"/>
                <w:b/>
                <w:bCs/>
                <w:i w:val="0"/>
                <w:iCs w:val="0"/>
                <w:color w:val="000000"/>
                <w:sz w:val="18"/>
                <w:szCs w:val="18"/>
                <w:u w:val="none"/>
              </w:rPr>
            </w:pPr>
          </w:p>
        </w:tc>
        <w:tc>
          <w:tcPr>
            <w:tcW w:w="39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34B8FA">
            <w:pPr>
              <w:jc w:val="center"/>
              <w:rPr>
                <w:rFonts w:hint="eastAsia" w:ascii="宋体" w:hAnsi="宋体" w:eastAsia="宋体" w:cs="宋体"/>
                <w:b/>
                <w:bCs/>
                <w:i w:val="0"/>
                <w:iCs w:val="0"/>
                <w:color w:val="000000"/>
                <w:sz w:val="18"/>
                <w:szCs w:val="18"/>
                <w:u w:val="none"/>
              </w:rPr>
            </w:pPr>
          </w:p>
        </w:tc>
        <w:tc>
          <w:tcPr>
            <w:tcW w:w="34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7040CEC">
            <w:pPr>
              <w:jc w:val="center"/>
              <w:rPr>
                <w:rFonts w:hint="eastAsia" w:ascii="宋体" w:hAnsi="宋体" w:eastAsia="宋体" w:cs="宋体"/>
                <w:b/>
                <w:bCs/>
                <w:i w:val="0"/>
                <w:iCs w:val="0"/>
                <w:color w:val="000000"/>
                <w:sz w:val="18"/>
                <w:szCs w:val="18"/>
                <w:u w:val="none"/>
              </w:rPr>
            </w:pPr>
          </w:p>
        </w:tc>
        <w:tc>
          <w:tcPr>
            <w:tcW w:w="80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B3A1F1B">
            <w:pPr>
              <w:jc w:val="center"/>
              <w:rPr>
                <w:rFonts w:hint="eastAsia" w:ascii="宋体" w:hAnsi="宋体" w:eastAsia="宋体" w:cs="宋体"/>
                <w:b/>
                <w:bCs/>
                <w:i w:val="0"/>
                <w:iCs w:val="0"/>
                <w:color w:val="000000"/>
                <w:sz w:val="18"/>
                <w:szCs w:val="18"/>
                <w:u w:val="none"/>
              </w:rPr>
            </w:pPr>
          </w:p>
        </w:tc>
      </w:tr>
      <w:tr w14:paraId="2A9B7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5E40DB7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年度绩效指标完成情况</w:t>
            </w:r>
          </w:p>
        </w:tc>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0D96C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36171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66BFD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打造小麦千亩方（个）</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9E566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742320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&gt;=10个</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5886BE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=10个</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FE3D7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E144B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0ADD1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4BF37FB">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4C5C47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12FF34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0C6CCF18">
            <w:pPr>
              <w:jc w:val="center"/>
              <w:rPr>
                <w:rFonts w:hint="eastAsia" w:ascii="宋体" w:hAnsi="宋体" w:eastAsia="宋体" w:cs="宋体"/>
                <w:i w:val="0"/>
                <w:iCs w:val="0"/>
                <w:color w:val="000000"/>
                <w:sz w:val="18"/>
                <w:szCs w:val="18"/>
                <w:u w:val="none"/>
              </w:rPr>
            </w:pPr>
          </w:p>
        </w:tc>
      </w:tr>
      <w:tr w14:paraId="694E4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2D43B00">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B6F85A">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6EB72B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210BCA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打造万亩片（个）</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62343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390A0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&gt;=2个</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178704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=2个</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0F2A2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B448E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2E9F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EA6E435">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70EC6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20C7E0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3B27FE4A">
            <w:pPr>
              <w:jc w:val="center"/>
              <w:rPr>
                <w:rFonts w:hint="eastAsia" w:ascii="宋体" w:hAnsi="宋体" w:eastAsia="宋体" w:cs="宋体"/>
                <w:i w:val="0"/>
                <w:iCs w:val="0"/>
                <w:color w:val="000000"/>
                <w:sz w:val="18"/>
                <w:szCs w:val="18"/>
                <w:u w:val="none"/>
              </w:rPr>
            </w:pPr>
          </w:p>
        </w:tc>
      </w:tr>
      <w:tr w14:paraId="712FD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28CD1AE">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9CC4C9A">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1AB2F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74B1E2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完成作物绿色高产高效创建县</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928A4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2C716A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&gt;=1个</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394F90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=1个</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7C7A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3110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C9C0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900A9D6">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32EE6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44C8C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45176890">
            <w:pPr>
              <w:jc w:val="center"/>
              <w:rPr>
                <w:rFonts w:hint="eastAsia" w:ascii="宋体" w:hAnsi="宋体" w:eastAsia="宋体" w:cs="宋体"/>
                <w:i w:val="0"/>
                <w:iCs w:val="0"/>
                <w:color w:val="000000"/>
                <w:sz w:val="18"/>
                <w:szCs w:val="18"/>
                <w:u w:val="none"/>
              </w:rPr>
            </w:pPr>
          </w:p>
        </w:tc>
      </w:tr>
      <w:tr w14:paraId="71E64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61293D3">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7B5353">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408035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5963F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小麦“一喷三防”效果</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0B68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544A0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有效延长灌浆期、遏制病虫爆发流行、增加粒重</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352DD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达到预期指标</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3E4A3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499D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B18C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E210429">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4F6F1E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584CB2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3305CA45">
            <w:pPr>
              <w:jc w:val="center"/>
              <w:rPr>
                <w:rFonts w:hint="eastAsia" w:ascii="宋体" w:hAnsi="宋体" w:eastAsia="宋体" w:cs="宋体"/>
                <w:i w:val="0"/>
                <w:iCs w:val="0"/>
                <w:color w:val="000000"/>
                <w:sz w:val="18"/>
                <w:szCs w:val="18"/>
                <w:u w:val="none"/>
              </w:rPr>
            </w:pPr>
          </w:p>
        </w:tc>
      </w:tr>
      <w:tr w14:paraId="5B237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638B83C">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18A9191">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150DFE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17C47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良种覆盖率%</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AD0A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08593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&gt;=100%</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629CF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2808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5D2D4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E1F69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F6D481E">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05979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63504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754651FC">
            <w:pPr>
              <w:jc w:val="center"/>
              <w:rPr>
                <w:rFonts w:hint="eastAsia" w:ascii="宋体" w:hAnsi="宋体" w:eastAsia="宋体" w:cs="宋体"/>
                <w:i w:val="0"/>
                <w:iCs w:val="0"/>
                <w:color w:val="000000"/>
                <w:sz w:val="18"/>
                <w:szCs w:val="18"/>
                <w:u w:val="none"/>
              </w:rPr>
            </w:pPr>
          </w:p>
        </w:tc>
      </w:tr>
      <w:tr w14:paraId="4E37E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ACCFAB8">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6BCFC4C">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4B7CEF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1C20A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当年项目完成支付时间</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BFFA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7F905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2024年9月30日</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1F3304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=2024年9月30日</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2B79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8BB1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0FBE3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3A7ECC2">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453696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2014D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5CD9CE87">
            <w:pPr>
              <w:jc w:val="center"/>
              <w:rPr>
                <w:rFonts w:hint="eastAsia" w:ascii="宋体" w:hAnsi="宋体" w:eastAsia="宋体" w:cs="宋体"/>
                <w:i w:val="0"/>
                <w:iCs w:val="0"/>
                <w:color w:val="000000"/>
                <w:sz w:val="18"/>
                <w:szCs w:val="18"/>
                <w:u w:val="none"/>
              </w:rPr>
            </w:pPr>
          </w:p>
        </w:tc>
      </w:tr>
      <w:tr w14:paraId="15ED3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31D4565">
            <w:pPr>
              <w:jc w:val="center"/>
              <w:rPr>
                <w:rFonts w:hint="eastAsia" w:ascii="宋体" w:hAnsi="宋体" w:eastAsia="宋体" w:cs="宋体"/>
                <w:b/>
                <w:bCs/>
                <w:i w:val="0"/>
                <w:iCs w:val="0"/>
                <w:color w:val="000000"/>
                <w:sz w:val="18"/>
                <w:szCs w:val="18"/>
                <w:u w:val="none"/>
              </w:rPr>
            </w:pPr>
          </w:p>
        </w:tc>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558B8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53B02F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0C746A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重点农作物节本增效水平</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ED77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17A48E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增加</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2D4794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达到预期指标</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05909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736B1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DCE72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6F4CCF8">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1E293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03D4BE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79DB6976">
            <w:pPr>
              <w:jc w:val="center"/>
              <w:rPr>
                <w:rFonts w:hint="eastAsia" w:ascii="宋体" w:hAnsi="宋体" w:eastAsia="宋体" w:cs="宋体"/>
                <w:i w:val="0"/>
                <w:iCs w:val="0"/>
                <w:color w:val="000000"/>
                <w:sz w:val="18"/>
                <w:szCs w:val="18"/>
                <w:u w:val="none"/>
              </w:rPr>
            </w:pPr>
          </w:p>
        </w:tc>
      </w:tr>
      <w:tr w14:paraId="4A37E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FD3F033">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0306071">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6941A7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4DC387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核心区节本增效(%)</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0CF6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034BC4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&gt;=5%</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0C7D79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=5.2%</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1C97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104</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C4EDE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11.52</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C295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7385BF1">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34ABA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68470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4FF52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核心区增产幅度超额完成。</w:t>
            </w:r>
          </w:p>
        </w:tc>
      </w:tr>
      <w:tr w14:paraId="52893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8FF39D7">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7A01489">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285E4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53999108">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425D48D">
            <w:pPr>
              <w:jc w:val="center"/>
              <w:rPr>
                <w:rFonts w:hint="eastAsia" w:ascii="宋体" w:hAnsi="宋体" w:eastAsia="宋体" w:cs="宋体"/>
                <w:i w:val="0"/>
                <w:iCs w:val="0"/>
                <w:color w:val="000000"/>
                <w:sz w:val="18"/>
                <w:szCs w:val="18"/>
                <w:u w:val="none"/>
              </w:rPr>
            </w:pP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35BE0406">
            <w:pPr>
              <w:jc w:val="center"/>
              <w:rPr>
                <w:rFonts w:hint="eastAsia" w:ascii="宋体" w:hAnsi="宋体" w:eastAsia="宋体" w:cs="宋体"/>
                <w:i w:val="0"/>
                <w:iCs w:val="0"/>
                <w:color w:val="000000"/>
                <w:sz w:val="18"/>
                <w:szCs w:val="18"/>
                <w:u w:val="none"/>
              </w:rPr>
            </w:pP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06993ECD">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36791C4">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0F4EBB15">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DF49F2B">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F0910FF">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2061E9C6">
            <w:pPr>
              <w:jc w:val="center"/>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3A352F3F">
            <w:pPr>
              <w:jc w:val="center"/>
              <w:rPr>
                <w:rFonts w:hint="eastAsia" w:ascii="宋体" w:hAnsi="宋体" w:eastAsia="宋体" w:cs="宋体"/>
                <w:i w:val="0"/>
                <w:iCs w:val="0"/>
                <w:color w:val="000000"/>
                <w:sz w:val="18"/>
                <w:szCs w:val="18"/>
                <w:u w:val="none"/>
              </w:rPr>
            </w:pP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6693342E">
            <w:pPr>
              <w:jc w:val="center"/>
              <w:rPr>
                <w:rFonts w:hint="eastAsia" w:ascii="宋体" w:hAnsi="宋体" w:eastAsia="宋体" w:cs="宋体"/>
                <w:i w:val="0"/>
                <w:iCs w:val="0"/>
                <w:color w:val="000000"/>
                <w:sz w:val="18"/>
                <w:szCs w:val="18"/>
                <w:u w:val="none"/>
              </w:rPr>
            </w:pPr>
          </w:p>
        </w:tc>
      </w:tr>
      <w:tr w14:paraId="72F7A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9DEDA98">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0C6157D">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490E69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26D58D74">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C6C4F4A">
            <w:pPr>
              <w:jc w:val="center"/>
              <w:rPr>
                <w:rFonts w:hint="eastAsia" w:ascii="宋体" w:hAnsi="宋体" w:eastAsia="宋体" w:cs="宋体"/>
                <w:i w:val="0"/>
                <w:iCs w:val="0"/>
                <w:color w:val="000000"/>
                <w:sz w:val="18"/>
                <w:szCs w:val="18"/>
                <w:u w:val="none"/>
              </w:rPr>
            </w:pP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4474F825">
            <w:pPr>
              <w:jc w:val="center"/>
              <w:rPr>
                <w:rFonts w:hint="eastAsia" w:ascii="宋体" w:hAnsi="宋体" w:eastAsia="宋体" w:cs="宋体"/>
                <w:i w:val="0"/>
                <w:iCs w:val="0"/>
                <w:color w:val="000000"/>
                <w:sz w:val="18"/>
                <w:szCs w:val="18"/>
                <w:u w:val="none"/>
              </w:rPr>
            </w:pP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7CB37515">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62D4031">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BE81265">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14DBF87">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E2A8F1C">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1A9039A1">
            <w:pPr>
              <w:jc w:val="center"/>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2656EB6B">
            <w:pPr>
              <w:jc w:val="center"/>
              <w:rPr>
                <w:rFonts w:hint="eastAsia" w:ascii="宋体" w:hAnsi="宋体" w:eastAsia="宋体" w:cs="宋体"/>
                <w:i w:val="0"/>
                <w:iCs w:val="0"/>
                <w:color w:val="000000"/>
                <w:sz w:val="18"/>
                <w:szCs w:val="18"/>
                <w:u w:val="none"/>
              </w:rPr>
            </w:pP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4B6E6F38">
            <w:pPr>
              <w:jc w:val="center"/>
              <w:rPr>
                <w:rFonts w:hint="eastAsia" w:ascii="宋体" w:hAnsi="宋体" w:eastAsia="宋体" w:cs="宋体"/>
                <w:i w:val="0"/>
                <w:iCs w:val="0"/>
                <w:color w:val="000000"/>
                <w:sz w:val="18"/>
                <w:szCs w:val="18"/>
                <w:u w:val="none"/>
              </w:rPr>
            </w:pPr>
          </w:p>
        </w:tc>
      </w:tr>
      <w:tr w14:paraId="48338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592C971">
            <w:pPr>
              <w:jc w:val="center"/>
              <w:rPr>
                <w:rFonts w:hint="eastAsia" w:ascii="宋体" w:hAnsi="宋体" w:eastAsia="宋体" w:cs="宋体"/>
                <w:b/>
                <w:bCs/>
                <w:i w:val="0"/>
                <w:iCs w:val="0"/>
                <w:color w:val="000000"/>
                <w:sz w:val="18"/>
                <w:szCs w:val="18"/>
                <w:u w:val="none"/>
              </w:rPr>
            </w:pPr>
          </w:p>
        </w:tc>
        <w:tc>
          <w:tcPr>
            <w:tcW w:w="204" w:type="pct"/>
            <w:vMerge w:val="restart"/>
            <w:tcBorders>
              <w:top w:val="single" w:color="000000" w:sz="4" w:space="0"/>
              <w:left w:val="single" w:color="000000" w:sz="4" w:space="0"/>
              <w:bottom w:val="single" w:color="000000" w:sz="4" w:space="0"/>
              <w:right w:val="single" w:color="000000" w:sz="4" w:space="0"/>
            </w:tcBorders>
            <w:shd w:val="clear"/>
            <w:vAlign w:val="center"/>
          </w:tcPr>
          <w:p w14:paraId="7D60EF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53C7FE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3E2B67FD">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7EDD78E">
            <w:pPr>
              <w:jc w:val="center"/>
              <w:rPr>
                <w:rFonts w:hint="eastAsia" w:ascii="宋体" w:hAnsi="宋体" w:eastAsia="宋体" w:cs="宋体"/>
                <w:i w:val="0"/>
                <w:iCs w:val="0"/>
                <w:color w:val="000000"/>
                <w:sz w:val="18"/>
                <w:szCs w:val="18"/>
                <w:u w:val="none"/>
              </w:rPr>
            </w:pP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767FCE0B">
            <w:pPr>
              <w:jc w:val="center"/>
              <w:rPr>
                <w:rFonts w:hint="eastAsia" w:ascii="宋体" w:hAnsi="宋体" w:eastAsia="宋体" w:cs="宋体"/>
                <w:i w:val="0"/>
                <w:iCs w:val="0"/>
                <w:color w:val="000000"/>
                <w:sz w:val="18"/>
                <w:szCs w:val="18"/>
                <w:u w:val="none"/>
              </w:rPr>
            </w:pP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4E7B57C6">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20B11FC">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015D3CEA">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1551E296">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C871B57">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036F6917">
            <w:pPr>
              <w:jc w:val="center"/>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51AA5E96">
            <w:pPr>
              <w:jc w:val="center"/>
              <w:rPr>
                <w:rFonts w:hint="eastAsia" w:ascii="宋体" w:hAnsi="宋体" w:eastAsia="宋体" w:cs="宋体"/>
                <w:i w:val="0"/>
                <w:iCs w:val="0"/>
                <w:color w:val="000000"/>
                <w:sz w:val="18"/>
                <w:szCs w:val="18"/>
                <w:u w:val="none"/>
              </w:rPr>
            </w:pP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12461C44">
            <w:pPr>
              <w:jc w:val="center"/>
              <w:rPr>
                <w:rFonts w:hint="eastAsia" w:ascii="宋体" w:hAnsi="宋体" w:eastAsia="宋体" w:cs="宋体"/>
                <w:i w:val="0"/>
                <w:iCs w:val="0"/>
                <w:color w:val="000000"/>
                <w:sz w:val="18"/>
                <w:szCs w:val="18"/>
                <w:u w:val="none"/>
              </w:rPr>
            </w:pPr>
          </w:p>
        </w:tc>
      </w:tr>
      <w:tr w14:paraId="7AEE8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A00B735">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E7F22EF">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66EE9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7C49E2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集成推广绿色高质高效模式（套）</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7EC84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411EFA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1套</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7361B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=1套</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485F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B579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D053E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59F2E41">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065A1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7FBC52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1F005F31">
            <w:pPr>
              <w:jc w:val="center"/>
              <w:rPr>
                <w:rFonts w:hint="eastAsia" w:ascii="宋体" w:hAnsi="宋体" w:eastAsia="宋体" w:cs="宋体"/>
                <w:i w:val="0"/>
                <w:iCs w:val="0"/>
                <w:color w:val="000000"/>
                <w:sz w:val="18"/>
                <w:szCs w:val="18"/>
                <w:u w:val="none"/>
              </w:rPr>
            </w:pPr>
          </w:p>
        </w:tc>
      </w:tr>
      <w:tr w14:paraId="603E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9496788">
            <w:pPr>
              <w:jc w:val="center"/>
              <w:rPr>
                <w:rFonts w:hint="eastAsia" w:ascii="宋体" w:hAnsi="宋体" w:eastAsia="宋体" w:cs="宋体"/>
                <w:b/>
                <w:bCs/>
                <w:i w:val="0"/>
                <w:iCs w:val="0"/>
                <w:color w:val="000000"/>
                <w:sz w:val="18"/>
                <w:szCs w:val="18"/>
                <w:u w:val="none"/>
              </w:rPr>
            </w:pPr>
          </w:p>
        </w:tc>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6796FB9">
            <w:pPr>
              <w:jc w:val="center"/>
              <w:rPr>
                <w:rFonts w:hint="eastAsia" w:ascii="宋体" w:hAnsi="宋体" w:eastAsia="宋体" w:cs="宋体"/>
                <w:i w:val="0"/>
                <w:iCs w:val="0"/>
                <w:color w:val="000000"/>
                <w:sz w:val="18"/>
                <w:szCs w:val="18"/>
                <w:u w:val="none"/>
              </w:rPr>
            </w:pP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564EB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03952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重点农作物绿色高产高效项目区病虫害损失率%</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3C460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72AB8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&lt;=5%</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00D5C6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D0A40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A89FA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D2AC3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D134314">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5D7CD3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739D8A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0ADA7BC1">
            <w:pPr>
              <w:jc w:val="center"/>
              <w:rPr>
                <w:rFonts w:hint="eastAsia" w:ascii="宋体" w:hAnsi="宋体" w:eastAsia="宋体" w:cs="宋体"/>
                <w:i w:val="0"/>
                <w:iCs w:val="0"/>
                <w:color w:val="000000"/>
                <w:sz w:val="18"/>
                <w:szCs w:val="18"/>
                <w:u w:val="none"/>
              </w:rPr>
            </w:pPr>
          </w:p>
        </w:tc>
      </w:tr>
      <w:tr w14:paraId="6235B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C17929">
            <w:pPr>
              <w:jc w:val="center"/>
              <w:rPr>
                <w:rFonts w:hint="eastAsia" w:ascii="宋体" w:hAnsi="宋体" w:eastAsia="宋体" w:cs="宋体"/>
                <w:b/>
                <w:bCs/>
                <w:i w:val="0"/>
                <w:iCs w:val="0"/>
                <w:color w:val="000000"/>
                <w:sz w:val="18"/>
                <w:szCs w:val="18"/>
                <w:u w:val="none"/>
              </w:rPr>
            </w:pPr>
          </w:p>
        </w:tc>
        <w:tc>
          <w:tcPr>
            <w:tcW w:w="204" w:type="pct"/>
            <w:tcBorders>
              <w:top w:val="single" w:color="000000" w:sz="4" w:space="0"/>
              <w:left w:val="single" w:color="000000" w:sz="4" w:space="0"/>
              <w:bottom w:val="single" w:color="000000" w:sz="4" w:space="0"/>
              <w:right w:val="single" w:color="000000" w:sz="4" w:space="0"/>
            </w:tcBorders>
            <w:shd w:val="clear"/>
            <w:vAlign w:val="center"/>
          </w:tcPr>
          <w:p w14:paraId="53E8CC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271" w:type="pct"/>
            <w:tcBorders>
              <w:top w:val="single" w:color="000000" w:sz="4" w:space="0"/>
              <w:left w:val="single" w:color="000000" w:sz="4" w:space="0"/>
              <w:bottom w:val="single" w:color="000000" w:sz="4" w:space="0"/>
              <w:right w:val="single" w:color="000000" w:sz="4" w:space="0"/>
            </w:tcBorders>
            <w:shd w:val="clear"/>
            <w:vAlign w:val="center"/>
          </w:tcPr>
          <w:p w14:paraId="267A0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457" w:type="pct"/>
            <w:tcBorders>
              <w:top w:val="single" w:color="000000" w:sz="4" w:space="0"/>
              <w:left w:val="single" w:color="000000" w:sz="4" w:space="0"/>
              <w:bottom w:val="single" w:color="000000" w:sz="4" w:space="0"/>
              <w:right w:val="single" w:color="000000" w:sz="4" w:space="0"/>
            </w:tcBorders>
            <w:shd w:val="clear"/>
            <w:vAlign w:val="center"/>
          </w:tcPr>
          <w:p w14:paraId="403D26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服务群众满意度（%）</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132A8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58" w:type="pct"/>
            <w:tcBorders>
              <w:top w:val="single" w:color="000000" w:sz="4" w:space="0"/>
              <w:left w:val="single" w:color="000000" w:sz="4" w:space="0"/>
              <w:bottom w:val="single" w:color="000000" w:sz="4" w:space="0"/>
              <w:right w:val="single" w:color="000000" w:sz="4" w:space="0"/>
            </w:tcBorders>
            <w:shd w:val="clear"/>
            <w:vAlign w:val="center"/>
          </w:tcPr>
          <w:p w14:paraId="46B65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&gt;=85%</w:t>
            </w: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6C42B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=85%</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099D25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5043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59240A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365B2ABC">
            <w:pPr>
              <w:jc w:val="cente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630045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065E4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3A515E5D">
            <w:pPr>
              <w:jc w:val="center"/>
              <w:rPr>
                <w:rFonts w:hint="eastAsia" w:ascii="宋体" w:hAnsi="宋体" w:eastAsia="宋体" w:cs="宋体"/>
                <w:i w:val="0"/>
                <w:iCs w:val="0"/>
                <w:color w:val="000000"/>
                <w:sz w:val="18"/>
                <w:szCs w:val="18"/>
                <w:u w:val="none"/>
              </w:rPr>
            </w:pPr>
          </w:p>
        </w:tc>
      </w:tr>
      <w:tr w14:paraId="11BE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1138" w:type="pct"/>
            <w:gridSpan w:val="4"/>
            <w:tcBorders>
              <w:top w:val="single" w:color="000000" w:sz="4" w:space="0"/>
              <w:left w:val="single" w:color="000000" w:sz="4" w:space="0"/>
              <w:bottom w:val="single" w:color="000000" w:sz="4" w:space="0"/>
              <w:right w:val="nil"/>
            </w:tcBorders>
            <w:shd w:val="clear"/>
            <w:vAlign w:val="center"/>
          </w:tcPr>
          <w:p w14:paraId="0E58B0F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总分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76B7E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58" w:type="pct"/>
            <w:tcBorders>
              <w:top w:val="single" w:color="000000" w:sz="4" w:space="0"/>
              <w:left w:val="nil"/>
              <w:bottom w:val="single" w:color="000000" w:sz="4" w:space="0"/>
              <w:right w:val="single" w:color="000000" w:sz="4" w:space="0"/>
            </w:tcBorders>
            <w:shd w:val="clear"/>
            <w:vAlign w:val="center"/>
          </w:tcPr>
          <w:p w14:paraId="1120C2B2">
            <w:pPr>
              <w:rPr>
                <w:rFonts w:hint="eastAsia" w:ascii="宋体" w:hAnsi="宋体" w:eastAsia="宋体" w:cs="宋体"/>
                <w:b/>
                <w:bCs/>
                <w:i w:val="0"/>
                <w:iCs w:val="0"/>
                <w:color w:val="000000"/>
                <w:sz w:val="18"/>
                <w:szCs w:val="18"/>
                <w:u w:val="none"/>
              </w:rPr>
            </w:pPr>
          </w:p>
        </w:tc>
        <w:tc>
          <w:tcPr>
            <w:tcW w:w="326" w:type="pct"/>
            <w:tcBorders>
              <w:top w:val="single" w:color="000000" w:sz="4" w:space="0"/>
              <w:left w:val="single" w:color="000000" w:sz="4" w:space="0"/>
              <w:bottom w:val="single" w:color="000000" w:sz="4" w:space="0"/>
              <w:right w:val="single" w:color="000000" w:sz="4" w:space="0"/>
            </w:tcBorders>
            <w:shd w:val="clear"/>
            <w:vAlign w:val="center"/>
          </w:tcPr>
          <w:p w14:paraId="4CCCE012">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05C01A3">
            <w:pPr>
              <w:jc w:val="cente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686E3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99.52分</w:t>
            </w: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4C288074">
            <w:pPr>
              <w:rPr>
                <w:rFonts w:hint="eastAsia" w:ascii="宋体" w:hAnsi="宋体" w:eastAsia="宋体" w:cs="宋体"/>
                <w:i w:val="0"/>
                <w:iCs w:val="0"/>
                <w:color w:val="000000"/>
                <w:sz w:val="18"/>
                <w:szCs w:val="18"/>
                <w:u w:val="none"/>
              </w:rPr>
            </w:pPr>
          </w:p>
        </w:tc>
        <w:tc>
          <w:tcPr>
            <w:tcW w:w="325" w:type="pct"/>
            <w:tcBorders>
              <w:top w:val="single" w:color="000000" w:sz="4" w:space="0"/>
              <w:left w:val="single" w:color="000000" w:sz="4" w:space="0"/>
              <w:bottom w:val="single" w:color="000000" w:sz="4" w:space="0"/>
              <w:right w:val="single" w:color="000000" w:sz="4" w:space="0"/>
            </w:tcBorders>
            <w:shd w:val="clear"/>
            <w:vAlign w:val="center"/>
          </w:tcPr>
          <w:p w14:paraId="22C4E1BF">
            <w:pPr>
              <w:rPr>
                <w:rFonts w:hint="eastAsia" w:ascii="宋体" w:hAnsi="宋体" w:eastAsia="宋体" w:cs="宋体"/>
                <w:i w:val="0"/>
                <w:iCs w:val="0"/>
                <w:color w:val="000000"/>
                <w:sz w:val="18"/>
                <w:szCs w:val="18"/>
                <w:u w:val="none"/>
              </w:rPr>
            </w:pPr>
          </w:p>
        </w:tc>
        <w:tc>
          <w:tcPr>
            <w:tcW w:w="391" w:type="pct"/>
            <w:tcBorders>
              <w:top w:val="single" w:color="000000" w:sz="4" w:space="0"/>
              <w:left w:val="single" w:color="000000" w:sz="4" w:space="0"/>
              <w:bottom w:val="single" w:color="000000" w:sz="4" w:space="0"/>
              <w:right w:val="single" w:color="000000" w:sz="4" w:space="0"/>
            </w:tcBorders>
            <w:shd w:val="clear"/>
            <w:vAlign w:val="center"/>
          </w:tcPr>
          <w:p w14:paraId="34DB6CC1">
            <w:pPr>
              <w:rPr>
                <w:rFonts w:hint="eastAsia" w:ascii="宋体" w:hAnsi="宋体" w:eastAsia="宋体" w:cs="宋体"/>
                <w:i w:val="0"/>
                <w:iCs w:val="0"/>
                <w:color w:val="000000"/>
                <w:sz w:val="18"/>
                <w:szCs w:val="18"/>
                <w:u w:val="none"/>
              </w:rPr>
            </w:pPr>
          </w:p>
        </w:tc>
        <w:tc>
          <w:tcPr>
            <w:tcW w:w="347" w:type="pct"/>
            <w:tcBorders>
              <w:top w:val="single" w:color="000000" w:sz="4" w:space="0"/>
              <w:left w:val="single" w:color="000000" w:sz="4" w:space="0"/>
              <w:bottom w:val="single" w:color="000000" w:sz="4" w:space="0"/>
              <w:right w:val="single" w:color="000000" w:sz="4" w:space="0"/>
            </w:tcBorders>
            <w:shd w:val="clear"/>
            <w:vAlign w:val="center"/>
          </w:tcPr>
          <w:p w14:paraId="79AD441D">
            <w:pPr>
              <w:rPr>
                <w:rFonts w:hint="eastAsia" w:ascii="宋体" w:hAnsi="宋体" w:eastAsia="宋体" w:cs="宋体"/>
                <w:i w:val="0"/>
                <w:iCs w:val="0"/>
                <w:color w:val="000000"/>
                <w:sz w:val="18"/>
                <w:szCs w:val="18"/>
                <w:u w:val="none"/>
              </w:rPr>
            </w:pPr>
          </w:p>
        </w:tc>
        <w:tc>
          <w:tcPr>
            <w:tcW w:w="808" w:type="pct"/>
            <w:tcBorders>
              <w:top w:val="single" w:color="000000" w:sz="4" w:space="0"/>
              <w:left w:val="single" w:color="000000" w:sz="4" w:space="0"/>
              <w:bottom w:val="single" w:color="000000" w:sz="4" w:space="0"/>
              <w:right w:val="single" w:color="000000" w:sz="4" w:space="0"/>
            </w:tcBorders>
            <w:shd w:val="clear"/>
            <w:vAlign w:val="center"/>
          </w:tcPr>
          <w:p w14:paraId="6B13FE5F">
            <w:pPr>
              <w:rPr>
                <w:rFonts w:hint="eastAsia" w:ascii="宋体" w:hAnsi="宋体" w:eastAsia="宋体" w:cs="宋体"/>
                <w:i w:val="0"/>
                <w:iCs w:val="0"/>
                <w:color w:val="000000"/>
                <w:sz w:val="18"/>
                <w:szCs w:val="18"/>
                <w:u w:val="none"/>
              </w:rPr>
            </w:pPr>
          </w:p>
        </w:tc>
      </w:tr>
    </w:tbl>
    <w:p w14:paraId="1D2850D5">
      <w:pP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br w:type="page"/>
      </w:r>
    </w:p>
    <w:p w14:paraId="349B003E">
      <w:pPr>
        <w:pStyle w:val="2"/>
        <w:pageBreakBefore w:val="0"/>
        <w:numPr>
          <w:ilvl w:val="0"/>
          <w:numId w:val="0"/>
        </w:numPr>
        <w:kinsoku/>
        <w:wordWrap/>
        <w:overflowPunct/>
        <w:topLinePunct w:val="0"/>
        <w:autoSpaceDE/>
        <w:autoSpaceDN/>
        <w:bidi w:val="0"/>
        <w:adjustRightInd/>
        <w:spacing w:beforeLines="0" w:afterLines="0" w:line="560" w:lineRule="exact"/>
        <w:textAlignment w:val="auto"/>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highlight w:val="none"/>
          <w:shd w:val="clear" w:color="auto" w:fill="auto"/>
          <w:lang w:val="en-US" w:eastAsia="zh-CN"/>
          <w14:textFill>
            <w14:solidFill>
              <w14:schemeClr w14:val="tx1"/>
            </w14:solidFill>
          </w14:textFill>
        </w:rPr>
        <w:t>附件二、项目支出绩效评价指标体系打分表</w:t>
      </w:r>
    </w:p>
    <w:tbl>
      <w:tblPr>
        <w:tblStyle w:val="16"/>
        <w:tblpPr w:leftFromText="180" w:rightFromText="180" w:vertAnchor="text" w:horzAnchor="page" w:tblpXSpec="center" w:tblpY="2881"/>
        <w:tblOverlap w:val="neve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598"/>
        <w:gridCol w:w="651"/>
        <w:gridCol w:w="1838"/>
        <w:gridCol w:w="3756"/>
        <w:gridCol w:w="6102"/>
        <w:gridCol w:w="573"/>
        <w:gridCol w:w="656"/>
      </w:tblGrid>
      <w:tr w14:paraId="03202E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650" w:hRule="atLeast"/>
          <w:tblHeader/>
          <w:jc w:val="center"/>
        </w:trPr>
        <w:tc>
          <w:tcPr>
            <w:tcW w:w="0" w:type="auto"/>
            <w:shd w:val="clear" w:color="auto" w:fill="auto"/>
            <w:noWrap w:val="0"/>
            <w:vAlign w:val="center"/>
          </w:tcPr>
          <w:p w14:paraId="6217093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rPr>
            </w:pPr>
            <w:bookmarkStart w:id="148" w:name="_Toc11223"/>
            <w:bookmarkStart w:id="149" w:name="_Toc15067"/>
            <w:bookmarkStart w:id="150" w:name="_GoBack"/>
            <w:r>
              <w:rPr>
                <w:rFonts w:hint="eastAsia" w:ascii="宋体" w:hAnsi="宋体" w:eastAsia="宋体" w:cs="宋体"/>
                <w:b/>
                <w:bCs/>
                <w:color w:val="000000"/>
                <w:kern w:val="0"/>
                <w:sz w:val="22"/>
                <w:szCs w:val="22"/>
              </w:rPr>
              <w:t>一级指标</w:t>
            </w:r>
          </w:p>
        </w:tc>
        <w:tc>
          <w:tcPr>
            <w:tcW w:w="0" w:type="auto"/>
            <w:shd w:val="clear" w:color="auto" w:fill="auto"/>
            <w:noWrap w:val="0"/>
            <w:vAlign w:val="center"/>
          </w:tcPr>
          <w:p w14:paraId="1C494DB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二级指标</w:t>
            </w:r>
          </w:p>
        </w:tc>
        <w:tc>
          <w:tcPr>
            <w:tcW w:w="0" w:type="auto"/>
            <w:shd w:val="clear" w:color="auto" w:fill="auto"/>
            <w:noWrap w:val="0"/>
            <w:vAlign w:val="center"/>
          </w:tcPr>
          <w:p w14:paraId="4226FC5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三级指标</w:t>
            </w:r>
          </w:p>
        </w:tc>
        <w:tc>
          <w:tcPr>
            <w:tcW w:w="0" w:type="auto"/>
            <w:shd w:val="clear" w:color="auto" w:fill="auto"/>
            <w:noWrap w:val="0"/>
            <w:vAlign w:val="center"/>
          </w:tcPr>
          <w:p w14:paraId="1A455E6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指标解释</w:t>
            </w:r>
          </w:p>
        </w:tc>
        <w:tc>
          <w:tcPr>
            <w:tcW w:w="0" w:type="auto"/>
            <w:shd w:val="clear" w:color="auto" w:fill="auto"/>
            <w:noWrap w:val="0"/>
            <w:vAlign w:val="center"/>
          </w:tcPr>
          <w:p w14:paraId="5779050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指标说明</w:t>
            </w:r>
          </w:p>
        </w:tc>
        <w:tc>
          <w:tcPr>
            <w:tcW w:w="0" w:type="auto"/>
            <w:shd w:val="clear" w:color="auto" w:fill="auto"/>
            <w:noWrap w:val="0"/>
            <w:vAlign w:val="center"/>
          </w:tcPr>
          <w:p w14:paraId="40ADFE3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分值</w:t>
            </w:r>
          </w:p>
        </w:tc>
        <w:tc>
          <w:tcPr>
            <w:tcW w:w="0" w:type="auto"/>
            <w:shd w:val="clear" w:color="auto" w:fill="auto"/>
            <w:noWrap w:val="0"/>
            <w:vAlign w:val="center"/>
          </w:tcPr>
          <w:p w14:paraId="42D2FD9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得分</w:t>
            </w:r>
          </w:p>
        </w:tc>
      </w:tr>
      <w:tr w14:paraId="2FF78A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871" w:hRule="atLeast"/>
          <w:jc w:val="center"/>
        </w:trPr>
        <w:tc>
          <w:tcPr>
            <w:tcW w:w="0" w:type="auto"/>
            <w:vMerge w:val="restart"/>
            <w:shd w:val="clear" w:color="auto" w:fill="auto"/>
            <w:noWrap w:val="0"/>
            <w:vAlign w:val="center"/>
          </w:tcPr>
          <w:p w14:paraId="49186E3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决策　</w:t>
            </w:r>
          </w:p>
          <w:p w14:paraId="2F9A0AC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p w14:paraId="0161D8C3">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0" w:type="auto"/>
            <w:vMerge w:val="restart"/>
            <w:shd w:val="clear" w:color="auto" w:fill="auto"/>
            <w:noWrap w:val="0"/>
            <w:vAlign w:val="center"/>
          </w:tcPr>
          <w:p w14:paraId="6D677CA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项目立项　</w:t>
            </w:r>
          </w:p>
        </w:tc>
        <w:tc>
          <w:tcPr>
            <w:tcW w:w="0" w:type="auto"/>
            <w:shd w:val="clear" w:color="auto" w:fill="auto"/>
            <w:noWrap w:val="0"/>
            <w:vAlign w:val="center"/>
          </w:tcPr>
          <w:p w14:paraId="0952FFA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立项依据</w:t>
            </w:r>
          </w:p>
          <w:p w14:paraId="399C229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充分性</w:t>
            </w:r>
          </w:p>
        </w:tc>
        <w:tc>
          <w:tcPr>
            <w:tcW w:w="0" w:type="auto"/>
            <w:shd w:val="clear" w:color="auto" w:fill="auto"/>
            <w:noWrap w:val="0"/>
            <w:vAlign w:val="center"/>
          </w:tcPr>
          <w:p w14:paraId="58A462B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项目立项是否符合法律法规、相关政策、发展规划以及部门职责，用以反映和考核项目立项依据情况。</w:t>
            </w:r>
          </w:p>
        </w:tc>
        <w:tc>
          <w:tcPr>
            <w:tcW w:w="0" w:type="auto"/>
            <w:shd w:val="clear" w:color="auto" w:fill="auto"/>
            <w:noWrap w:val="0"/>
            <w:vAlign w:val="center"/>
          </w:tcPr>
          <w:p w14:paraId="30D5BB9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0130B5B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①项目立项是否符合国家法律法规、国民经济发展规划和相关政策；</w:t>
            </w:r>
          </w:p>
          <w:p w14:paraId="72E0A50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②项目立项是否符合行业发展规划和政策要求；</w:t>
            </w:r>
          </w:p>
          <w:p w14:paraId="03ACDA2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③项目立项是否与部门职责范围相符，属于部门履职所需；</w:t>
            </w:r>
          </w:p>
          <w:p w14:paraId="12E473C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④项目是否属于公共财政支持范围，是否符合中央、地方事权支出责任划分原则；</w:t>
            </w:r>
          </w:p>
          <w:p w14:paraId="649D837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⑤项目是否与相关部门同类项目或部门内部相关项目重复。</w:t>
            </w:r>
          </w:p>
        </w:tc>
        <w:tc>
          <w:tcPr>
            <w:tcW w:w="0" w:type="auto"/>
            <w:shd w:val="clear" w:color="auto" w:fill="auto"/>
            <w:noWrap w:val="0"/>
            <w:vAlign w:val="center"/>
          </w:tcPr>
          <w:p w14:paraId="2747A325">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2</w:t>
            </w:r>
          </w:p>
        </w:tc>
        <w:tc>
          <w:tcPr>
            <w:tcW w:w="0" w:type="auto"/>
            <w:shd w:val="clear" w:color="auto" w:fill="auto"/>
            <w:noWrap w:val="0"/>
            <w:vAlign w:val="center"/>
          </w:tcPr>
          <w:p w14:paraId="6CF997A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2</w:t>
            </w:r>
          </w:p>
        </w:tc>
      </w:tr>
      <w:tr w14:paraId="7460E6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650" w:hRule="atLeast"/>
          <w:jc w:val="center"/>
        </w:trPr>
        <w:tc>
          <w:tcPr>
            <w:tcW w:w="0" w:type="auto"/>
            <w:vMerge w:val="continue"/>
            <w:shd w:val="clear" w:color="auto" w:fill="auto"/>
            <w:noWrap w:val="0"/>
            <w:vAlign w:val="center"/>
          </w:tcPr>
          <w:p w14:paraId="58255ABA">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vMerge w:val="continue"/>
            <w:shd w:val="clear" w:color="auto" w:fill="auto"/>
            <w:noWrap w:val="0"/>
            <w:vAlign w:val="center"/>
          </w:tcPr>
          <w:p w14:paraId="70C125C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3E9094B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立项程序</w:t>
            </w:r>
          </w:p>
          <w:p w14:paraId="37AA371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规范性</w:t>
            </w:r>
          </w:p>
        </w:tc>
        <w:tc>
          <w:tcPr>
            <w:tcW w:w="0" w:type="auto"/>
            <w:shd w:val="clear" w:color="auto" w:fill="auto"/>
            <w:noWrap w:val="0"/>
            <w:vAlign w:val="center"/>
          </w:tcPr>
          <w:p w14:paraId="4B8110C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项目申请、设立过程是否符合相关要求，用以反映和考核项目立项的规范情况。</w:t>
            </w:r>
          </w:p>
        </w:tc>
        <w:tc>
          <w:tcPr>
            <w:tcW w:w="0" w:type="auto"/>
            <w:shd w:val="clear" w:color="auto" w:fill="auto"/>
            <w:noWrap w:val="0"/>
            <w:vAlign w:val="center"/>
          </w:tcPr>
          <w:p w14:paraId="49F9B226">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6E419C1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①项目是否按照规定的程序申请设立；</w:t>
            </w:r>
          </w:p>
          <w:p w14:paraId="45BB7D36">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②审批文件、材料是否符合相关要求；</w:t>
            </w:r>
          </w:p>
          <w:p w14:paraId="0F1FFEB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③事前是否已经过必要的可行性研究、专家论证、风险评估、绩效评估、集体决策。</w:t>
            </w:r>
          </w:p>
        </w:tc>
        <w:tc>
          <w:tcPr>
            <w:tcW w:w="0" w:type="auto"/>
            <w:shd w:val="clear" w:color="auto" w:fill="auto"/>
            <w:noWrap w:val="0"/>
            <w:vAlign w:val="center"/>
          </w:tcPr>
          <w:p w14:paraId="1D8512DD">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3</w:t>
            </w:r>
          </w:p>
        </w:tc>
        <w:tc>
          <w:tcPr>
            <w:tcW w:w="0" w:type="auto"/>
            <w:shd w:val="clear" w:color="auto" w:fill="auto"/>
            <w:noWrap w:val="0"/>
            <w:vAlign w:val="center"/>
          </w:tcPr>
          <w:p w14:paraId="42E5A4E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2</w:t>
            </w:r>
          </w:p>
        </w:tc>
      </w:tr>
      <w:tr w14:paraId="07E74D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464" w:hRule="atLeast"/>
          <w:jc w:val="center"/>
        </w:trPr>
        <w:tc>
          <w:tcPr>
            <w:tcW w:w="0" w:type="auto"/>
            <w:vMerge w:val="continue"/>
            <w:shd w:val="clear" w:color="auto" w:fill="auto"/>
            <w:noWrap w:val="0"/>
            <w:vAlign w:val="center"/>
          </w:tcPr>
          <w:p w14:paraId="1819B94D">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48A61B4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绩效目标　</w:t>
            </w:r>
          </w:p>
        </w:tc>
        <w:tc>
          <w:tcPr>
            <w:tcW w:w="0" w:type="auto"/>
            <w:shd w:val="clear" w:color="auto" w:fill="auto"/>
            <w:noWrap w:val="0"/>
            <w:vAlign w:val="center"/>
          </w:tcPr>
          <w:p w14:paraId="3764CF6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绩效目标</w:t>
            </w:r>
          </w:p>
          <w:p w14:paraId="0B900F7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合理性</w:t>
            </w:r>
          </w:p>
        </w:tc>
        <w:tc>
          <w:tcPr>
            <w:tcW w:w="0" w:type="auto"/>
            <w:shd w:val="clear" w:color="auto" w:fill="auto"/>
            <w:noWrap w:val="0"/>
            <w:vAlign w:val="center"/>
          </w:tcPr>
          <w:p w14:paraId="658EC5E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项目所设定的绩效目标是否依据充分，是否符合客观实际，用以反映和考核项目绩效目标与项目实施的相符情况。</w:t>
            </w:r>
          </w:p>
        </w:tc>
        <w:tc>
          <w:tcPr>
            <w:tcW w:w="0" w:type="auto"/>
            <w:shd w:val="clear" w:color="auto" w:fill="auto"/>
            <w:noWrap w:val="0"/>
            <w:vAlign w:val="center"/>
          </w:tcPr>
          <w:p w14:paraId="6DF2C09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613CC48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（如未设定预算绩效目标，也可考核其他工作任务目标）</w:t>
            </w:r>
          </w:p>
          <w:p w14:paraId="6D291D4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①项目是否有绩效目标；</w:t>
            </w:r>
          </w:p>
          <w:p w14:paraId="77EEC47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②项目绩效目标与实际工作内容是否具有相关性；</w:t>
            </w:r>
          </w:p>
          <w:p w14:paraId="2D696AF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③项目预期产出效益和效果是否符合正常的业绩水平；</w:t>
            </w:r>
          </w:p>
          <w:p w14:paraId="32BA9F8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④是否与预算确定的项目投资额或资金量相匹配。</w:t>
            </w:r>
          </w:p>
        </w:tc>
        <w:tc>
          <w:tcPr>
            <w:tcW w:w="0" w:type="auto"/>
            <w:shd w:val="clear" w:color="auto" w:fill="auto"/>
            <w:noWrap w:val="0"/>
            <w:vAlign w:val="center"/>
          </w:tcPr>
          <w:p w14:paraId="5FE1FDD6">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5</w:t>
            </w:r>
          </w:p>
        </w:tc>
        <w:tc>
          <w:tcPr>
            <w:tcW w:w="0" w:type="auto"/>
            <w:shd w:val="clear" w:color="auto" w:fill="auto"/>
            <w:noWrap w:val="0"/>
            <w:vAlign w:val="center"/>
          </w:tcPr>
          <w:p w14:paraId="29B2A98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r>
      <w:tr w14:paraId="7F6C3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057" w:hRule="atLeast"/>
          <w:jc w:val="center"/>
        </w:trPr>
        <w:tc>
          <w:tcPr>
            <w:tcW w:w="0" w:type="auto"/>
            <w:vMerge w:val="restart"/>
            <w:shd w:val="clear" w:color="auto" w:fill="auto"/>
            <w:noWrap w:val="0"/>
            <w:vAlign w:val="center"/>
          </w:tcPr>
          <w:p w14:paraId="64573A2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决策　</w:t>
            </w:r>
          </w:p>
        </w:tc>
        <w:tc>
          <w:tcPr>
            <w:tcW w:w="0" w:type="auto"/>
            <w:shd w:val="clear" w:color="auto" w:fill="auto"/>
            <w:noWrap w:val="0"/>
            <w:vAlign w:val="center"/>
          </w:tcPr>
          <w:p w14:paraId="0CB70A2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绩效目标</w:t>
            </w:r>
          </w:p>
        </w:tc>
        <w:tc>
          <w:tcPr>
            <w:tcW w:w="0" w:type="auto"/>
            <w:shd w:val="clear" w:color="auto" w:fill="auto"/>
            <w:noWrap w:val="0"/>
            <w:vAlign w:val="center"/>
          </w:tcPr>
          <w:p w14:paraId="1E17CEF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绩效指标</w:t>
            </w:r>
          </w:p>
          <w:p w14:paraId="3497737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明确性</w:t>
            </w:r>
          </w:p>
        </w:tc>
        <w:tc>
          <w:tcPr>
            <w:tcW w:w="0" w:type="auto"/>
            <w:shd w:val="clear" w:color="auto" w:fill="auto"/>
            <w:noWrap w:val="0"/>
            <w:vAlign w:val="center"/>
          </w:tcPr>
          <w:p w14:paraId="2A667AE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依据绩效目标设定的绩效指标是否清晰、细化、可衡量等，用以反映和考核项目绩效目标的明细化情况。</w:t>
            </w:r>
          </w:p>
        </w:tc>
        <w:tc>
          <w:tcPr>
            <w:tcW w:w="0" w:type="auto"/>
            <w:shd w:val="clear" w:color="auto" w:fill="auto"/>
            <w:noWrap w:val="0"/>
            <w:vAlign w:val="center"/>
          </w:tcPr>
          <w:p w14:paraId="68C5089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6651AE66">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①是否将项目绩效目标细化分解为具体的绩效指标；</w:t>
            </w:r>
          </w:p>
          <w:p w14:paraId="599B4F9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②是否通过清晰、可衡量的指标值予以体现；</w:t>
            </w:r>
          </w:p>
          <w:p w14:paraId="1797DFF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③是否与项目目标任务数或计划数相对应。</w:t>
            </w:r>
          </w:p>
          <w:p w14:paraId="7AC0463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p>
        </w:tc>
        <w:tc>
          <w:tcPr>
            <w:tcW w:w="0" w:type="auto"/>
            <w:shd w:val="clear" w:color="auto" w:fill="auto"/>
            <w:noWrap w:val="0"/>
            <w:vAlign w:val="center"/>
          </w:tcPr>
          <w:p w14:paraId="17F08629">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5</w:t>
            </w:r>
          </w:p>
        </w:tc>
        <w:tc>
          <w:tcPr>
            <w:tcW w:w="0" w:type="auto"/>
            <w:shd w:val="clear" w:color="auto" w:fill="auto"/>
            <w:noWrap w:val="0"/>
            <w:vAlign w:val="center"/>
          </w:tcPr>
          <w:p w14:paraId="03AC934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r>
      <w:tr w14:paraId="691976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057" w:hRule="atLeast"/>
          <w:jc w:val="center"/>
        </w:trPr>
        <w:tc>
          <w:tcPr>
            <w:tcW w:w="0" w:type="auto"/>
            <w:vMerge w:val="continue"/>
            <w:shd w:val="clear" w:color="auto" w:fill="auto"/>
            <w:noWrap w:val="0"/>
            <w:vAlign w:val="center"/>
          </w:tcPr>
          <w:p w14:paraId="5F28F0D3">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vMerge w:val="restart"/>
            <w:shd w:val="clear" w:color="auto" w:fill="auto"/>
            <w:noWrap w:val="0"/>
            <w:vAlign w:val="center"/>
          </w:tcPr>
          <w:p w14:paraId="2814B51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资金投入</w:t>
            </w:r>
          </w:p>
          <w:p w14:paraId="2BF5312C">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0" w:type="auto"/>
            <w:shd w:val="clear" w:color="auto" w:fill="auto"/>
            <w:noWrap w:val="0"/>
            <w:vAlign w:val="center"/>
          </w:tcPr>
          <w:p w14:paraId="6822829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预算编制</w:t>
            </w:r>
          </w:p>
          <w:p w14:paraId="1AE1ABC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科学性</w:t>
            </w:r>
          </w:p>
        </w:tc>
        <w:tc>
          <w:tcPr>
            <w:tcW w:w="0" w:type="auto"/>
            <w:shd w:val="clear" w:color="auto" w:fill="auto"/>
            <w:noWrap w:val="0"/>
            <w:vAlign w:val="center"/>
          </w:tcPr>
          <w:p w14:paraId="23EBAC3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项目预算编制是否经过科学论证、有明确标准，资金额度与年度目标是否相适应，用以反映和考核项目预算编制的科学性、合理性情况。</w:t>
            </w:r>
          </w:p>
        </w:tc>
        <w:tc>
          <w:tcPr>
            <w:tcW w:w="0" w:type="auto"/>
            <w:shd w:val="clear" w:color="auto" w:fill="auto"/>
            <w:noWrap w:val="0"/>
            <w:vAlign w:val="center"/>
          </w:tcPr>
          <w:p w14:paraId="02203D1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323EEDB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①预算编制是否经过科学论证；</w:t>
            </w:r>
          </w:p>
          <w:p w14:paraId="2D652FD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②预算内容与项目内容是否匹配；</w:t>
            </w:r>
          </w:p>
          <w:p w14:paraId="59E3BFE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③预算额度测算依据是否充分，是否按照标准编制；</w:t>
            </w:r>
          </w:p>
          <w:p w14:paraId="118E532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④预算确定的项目投资额或资金量是否与工作任务相匹配。</w:t>
            </w:r>
          </w:p>
        </w:tc>
        <w:tc>
          <w:tcPr>
            <w:tcW w:w="0" w:type="auto"/>
            <w:shd w:val="clear" w:color="auto" w:fill="auto"/>
            <w:noWrap w:val="0"/>
            <w:vAlign w:val="center"/>
          </w:tcPr>
          <w:p w14:paraId="02E93B1E">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2</w:t>
            </w:r>
          </w:p>
        </w:tc>
        <w:tc>
          <w:tcPr>
            <w:tcW w:w="0" w:type="auto"/>
            <w:shd w:val="clear" w:color="auto" w:fill="auto"/>
            <w:noWrap w:val="0"/>
            <w:vAlign w:val="center"/>
          </w:tcPr>
          <w:p w14:paraId="5662D68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2</w:t>
            </w:r>
          </w:p>
        </w:tc>
      </w:tr>
      <w:tr w14:paraId="65D76A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242" w:hRule="atLeast"/>
          <w:jc w:val="center"/>
        </w:trPr>
        <w:tc>
          <w:tcPr>
            <w:tcW w:w="0" w:type="auto"/>
            <w:vMerge w:val="continue"/>
            <w:shd w:val="clear" w:color="auto" w:fill="auto"/>
            <w:noWrap w:val="0"/>
            <w:vAlign w:val="center"/>
          </w:tcPr>
          <w:p w14:paraId="5959B08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vMerge w:val="continue"/>
            <w:shd w:val="clear" w:color="auto" w:fill="auto"/>
            <w:noWrap w:val="0"/>
            <w:vAlign w:val="center"/>
          </w:tcPr>
          <w:p w14:paraId="26F2C09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07EE465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资金分配</w:t>
            </w:r>
          </w:p>
          <w:p w14:paraId="28AAE89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合理性</w:t>
            </w:r>
          </w:p>
        </w:tc>
        <w:tc>
          <w:tcPr>
            <w:tcW w:w="0" w:type="auto"/>
            <w:shd w:val="clear" w:color="auto" w:fill="auto"/>
            <w:noWrap w:val="0"/>
            <w:vAlign w:val="center"/>
          </w:tcPr>
          <w:p w14:paraId="5A4F7B6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项目预算资金分配是否有测算依据，与补助单位或地方实际是否相适应，用以反映和考核项目预算资金分配的科学性、合理性情况。</w:t>
            </w:r>
          </w:p>
        </w:tc>
        <w:tc>
          <w:tcPr>
            <w:tcW w:w="0" w:type="auto"/>
            <w:shd w:val="clear" w:color="auto" w:fill="auto"/>
            <w:noWrap w:val="0"/>
            <w:vAlign w:val="center"/>
          </w:tcPr>
          <w:p w14:paraId="2D917DB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57D357B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①预算资金分配依据是否充分；</w:t>
            </w:r>
          </w:p>
          <w:p w14:paraId="6B5B863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②资金分配额度是否合理，与项目单位或地方实际是否相适应。</w:t>
            </w:r>
          </w:p>
        </w:tc>
        <w:tc>
          <w:tcPr>
            <w:tcW w:w="0" w:type="auto"/>
            <w:shd w:val="clear" w:color="auto" w:fill="auto"/>
            <w:noWrap w:val="0"/>
            <w:vAlign w:val="center"/>
          </w:tcPr>
          <w:p w14:paraId="3B598F61">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3</w:t>
            </w:r>
          </w:p>
        </w:tc>
        <w:tc>
          <w:tcPr>
            <w:tcW w:w="0" w:type="auto"/>
            <w:shd w:val="clear" w:color="auto" w:fill="auto"/>
            <w:noWrap w:val="0"/>
            <w:vAlign w:val="center"/>
          </w:tcPr>
          <w:p w14:paraId="497FCB6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2</w:t>
            </w:r>
          </w:p>
        </w:tc>
      </w:tr>
      <w:tr w14:paraId="6AA5B0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696" w:hRule="atLeast"/>
          <w:jc w:val="center"/>
        </w:trPr>
        <w:tc>
          <w:tcPr>
            <w:tcW w:w="0" w:type="auto"/>
            <w:vMerge w:val="restart"/>
            <w:shd w:val="clear" w:color="auto" w:fill="auto"/>
            <w:noWrap w:val="0"/>
            <w:vAlign w:val="center"/>
          </w:tcPr>
          <w:p w14:paraId="7C0C4357">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过程</w:t>
            </w:r>
          </w:p>
        </w:tc>
        <w:tc>
          <w:tcPr>
            <w:tcW w:w="0" w:type="auto"/>
            <w:vMerge w:val="restart"/>
            <w:shd w:val="clear" w:color="auto" w:fill="auto"/>
            <w:noWrap w:val="0"/>
            <w:vAlign w:val="center"/>
          </w:tcPr>
          <w:p w14:paraId="5F952C4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资金管理</w:t>
            </w:r>
          </w:p>
        </w:tc>
        <w:tc>
          <w:tcPr>
            <w:tcW w:w="0" w:type="auto"/>
            <w:shd w:val="clear" w:color="auto" w:fill="auto"/>
            <w:noWrap w:val="0"/>
            <w:vAlign w:val="center"/>
          </w:tcPr>
          <w:p w14:paraId="29EAB0F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资金到位率</w:t>
            </w:r>
          </w:p>
        </w:tc>
        <w:tc>
          <w:tcPr>
            <w:tcW w:w="0" w:type="auto"/>
            <w:shd w:val="clear" w:color="auto" w:fill="auto"/>
            <w:noWrap w:val="0"/>
            <w:vAlign w:val="center"/>
          </w:tcPr>
          <w:p w14:paraId="19C0EE6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实际到位资金与预算资金的比率，用以反映和考核资金落实情况对项目实施的总体保障程度。</w:t>
            </w:r>
          </w:p>
        </w:tc>
        <w:tc>
          <w:tcPr>
            <w:tcW w:w="0" w:type="auto"/>
            <w:shd w:val="clear" w:color="auto" w:fill="auto"/>
            <w:noWrap w:val="0"/>
            <w:vAlign w:val="center"/>
          </w:tcPr>
          <w:p w14:paraId="0D3B3D3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资金到位率=（</w:t>
            </w:r>
          </w:p>
          <w:p w14:paraId="24A3C3C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实际到位资金/预算资金）×100%。</w:t>
            </w:r>
          </w:p>
          <w:p w14:paraId="0D8256D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实际到位资金：一定时期（本年度或项目期）内落实到具体项目的资金。</w:t>
            </w:r>
          </w:p>
          <w:p w14:paraId="54A2A98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预算资金：一定时期（本年度或项目期）内预算安排到具体项目的资金。</w:t>
            </w:r>
          </w:p>
        </w:tc>
        <w:tc>
          <w:tcPr>
            <w:tcW w:w="0" w:type="auto"/>
            <w:shd w:val="clear" w:color="auto" w:fill="auto"/>
            <w:noWrap w:val="0"/>
            <w:vAlign w:val="center"/>
          </w:tcPr>
          <w:p w14:paraId="78E8B99B">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0" w:type="auto"/>
            <w:shd w:val="clear" w:color="auto" w:fill="auto"/>
            <w:noWrap w:val="0"/>
            <w:vAlign w:val="center"/>
          </w:tcPr>
          <w:p w14:paraId="0E7B506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r>
      <w:tr w14:paraId="632901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835" w:hRule="atLeast"/>
          <w:jc w:val="center"/>
        </w:trPr>
        <w:tc>
          <w:tcPr>
            <w:tcW w:w="0" w:type="auto"/>
            <w:vMerge w:val="continue"/>
            <w:shd w:val="clear" w:color="auto" w:fill="auto"/>
            <w:noWrap w:val="0"/>
            <w:vAlign w:val="center"/>
          </w:tcPr>
          <w:p w14:paraId="63CDABC2">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p>
        </w:tc>
        <w:tc>
          <w:tcPr>
            <w:tcW w:w="0" w:type="auto"/>
            <w:vMerge w:val="continue"/>
            <w:shd w:val="clear" w:color="auto" w:fill="auto"/>
            <w:noWrap w:val="0"/>
            <w:vAlign w:val="center"/>
          </w:tcPr>
          <w:p w14:paraId="58D1256C">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p>
        </w:tc>
        <w:tc>
          <w:tcPr>
            <w:tcW w:w="0" w:type="auto"/>
            <w:shd w:val="clear" w:color="auto" w:fill="auto"/>
            <w:noWrap w:val="0"/>
            <w:vAlign w:val="center"/>
          </w:tcPr>
          <w:p w14:paraId="0620C08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预算执行率</w:t>
            </w:r>
          </w:p>
        </w:tc>
        <w:tc>
          <w:tcPr>
            <w:tcW w:w="0" w:type="auto"/>
            <w:shd w:val="clear" w:color="auto" w:fill="auto"/>
            <w:noWrap w:val="0"/>
            <w:vAlign w:val="center"/>
          </w:tcPr>
          <w:p w14:paraId="675797C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项目预算资金是否按照计划执行，用以反映或考核项目预算执行情况。</w:t>
            </w:r>
          </w:p>
        </w:tc>
        <w:tc>
          <w:tcPr>
            <w:tcW w:w="0" w:type="auto"/>
            <w:shd w:val="clear" w:color="auto" w:fill="auto"/>
            <w:noWrap w:val="0"/>
            <w:vAlign w:val="center"/>
          </w:tcPr>
          <w:p w14:paraId="6C3B821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预算执行率=（实际支出资金/实际到位资金）×100%。</w:t>
            </w:r>
          </w:p>
          <w:p w14:paraId="3A0FCEC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实际支出资金：一定时期（本年度或项目期）内项目实际拨付的资金。</w:t>
            </w:r>
          </w:p>
        </w:tc>
        <w:tc>
          <w:tcPr>
            <w:tcW w:w="0" w:type="auto"/>
            <w:shd w:val="clear" w:color="auto" w:fill="auto"/>
            <w:noWrap w:val="0"/>
            <w:vAlign w:val="center"/>
          </w:tcPr>
          <w:p w14:paraId="3F6B42B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0" w:type="auto"/>
            <w:shd w:val="clear" w:color="auto" w:fill="auto"/>
            <w:noWrap w:val="0"/>
            <w:vAlign w:val="center"/>
          </w:tcPr>
          <w:p w14:paraId="6784B5AB">
            <w:pPr>
              <w:keepNext w:val="0"/>
              <w:keepLines w:val="0"/>
              <w:pageBreakBefore w:val="0"/>
              <w:widowControl/>
              <w:tabs>
                <w:tab w:val="left" w:pos="245"/>
              </w:tabs>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r>
      <w:tr w14:paraId="4B871D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2464" w:hRule="atLeast"/>
          <w:jc w:val="center"/>
        </w:trPr>
        <w:tc>
          <w:tcPr>
            <w:tcW w:w="0" w:type="auto"/>
            <w:vMerge w:val="restart"/>
            <w:shd w:val="clear" w:color="auto" w:fill="auto"/>
            <w:noWrap w:val="0"/>
            <w:vAlign w:val="center"/>
          </w:tcPr>
          <w:p w14:paraId="7082A4F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p w14:paraId="41C04E58">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过程　</w:t>
            </w:r>
          </w:p>
        </w:tc>
        <w:tc>
          <w:tcPr>
            <w:tcW w:w="0" w:type="auto"/>
            <w:shd w:val="clear" w:color="auto" w:fill="auto"/>
            <w:noWrap w:val="0"/>
            <w:vAlign w:val="center"/>
          </w:tcPr>
          <w:p w14:paraId="703FCFE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资金管理</w:t>
            </w:r>
          </w:p>
        </w:tc>
        <w:tc>
          <w:tcPr>
            <w:tcW w:w="0" w:type="auto"/>
            <w:shd w:val="clear" w:color="auto" w:fill="auto"/>
            <w:noWrap w:val="0"/>
            <w:vAlign w:val="center"/>
          </w:tcPr>
          <w:p w14:paraId="1DC5D77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资金使用</w:t>
            </w:r>
          </w:p>
          <w:p w14:paraId="5B4C5F6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合规性</w:t>
            </w:r>
          </w:p>
        </w:tc>
        <w:tc>
          <w:tcPr>
            <w:tcW w:w="0" w:type="auto"/>
            <w:shd w:val="clear" w:color="auto" w:fill="auto"/>
            <w:noWrap w:val="0"/>
            <w:vAlign w:val="center"/>
          </w:tcPr>
          <w:p w14:paraId="50FD4CF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项目资金使用是否符合相关的财务管理制度规定，用以反映和考核项目资金的规范运行情况。</w:t>
            </w:r>
          </w:p>
        </w:tc>
        <w:tc>
          <w:tcPr>
            <w:tcW w:w="0" w:type="auto"/>
            <w:shd w:val="clear" w:color="auto" w:fill="auto"/>
            <w:noWrap w:val="0"/>
            <w:vAlign w:val="center"/>
          </w:tcPr>
          <w:p w14:paraId="076C0DA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541CB0D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①是否符合国家财经法规和财务管理制度以及有关专项资金管理办法的规定；</w:t>
            </w:r>
          </w:p>
          <w:p w14:paraId="06F1FB7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②资金的拨付是否有完整的审批程序和手续；</w:t>
            </w:r>
          </w:p>
          <w:p w14:paraId="5A95051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③是否符合项目预算批复或合同规定的用途；</w:t>
            </w:r>
          </w:p>
          <w:p w14:paraId="6BB3AA2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④是否存在截留、挤占、挪用、虚列支出等情况。</w:t>
            </w:r>
          </w:p>
        </w:tc>
        <w:tc>
          <w:tcPr>
            <w:tcW w:w="0" w:type="auto"/>
            <w:shd w:val="clear" w:color="auto" w:fill="auto"/>
            <w:noWrap w:val="0"/>
            <w:vAlign w:val="center"/>
          </w:tcPr>
          <w:p w14:paraId="2C363067">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0" w:type="auto"/>
            <w:shd w:val="clear" w:color="auto" w:fill="auto"/>
            <w:noWrap w:val="0"/>
            <w:vAlign w:val="center"/>
          </w:tcPr>
          <w:p w14:paraId="16500446">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r>
      <w:tr w14:paraId="7828A4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242" w:hRule="atLeast"/>
          <w:jc w:val="center"/>
        </w:trPr>
        <w:tc>
          <w:tcPr>
            <w:tcW w:w="0" w:type="auto"/>
            <w:vMerge w:val="continue"/>
            <w:shd w:val="clear" w:color="auto" w:fill="auto"/>
            <w:noWrap w:val="0"/>
            <w:vAlign w:val="center"/>
          </w:tcPr>
          <w:p w14:paraId="4F06D604">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vMerge w:val="restart"/>
            <w:shd w:val="clear" w:color="auto" w:fill="auto"/>
            <w:noWrap w:val="0"/>
            <w:vAlign w:val="center"/>
          </w:tcPr>
          <w:p w14:paraId="74FCF1E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组织实施</w:t>
            </w:r>
          </w:p>
          <w:p w14:paraId="742E470F">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0" w:type="auto"/>
            <w:shd w:val="clear" w:color="auto" w:fill="auto"/>
            <w:noWrap w:val="0"/>
            <w:vAlign w:val="center"/>
          </w:tcPr>
          <w:p w14:paraId="7DEFD81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管理制度</w:t>
            </w:r>
          </w:p>
          <w:p w14:paraId="29BE4AE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健全性</w:t>
            </w:r>
          </w:p>
        </w:tc>
        <w:tc>
          <w:tcPr>
            <w:tcW w:w="0" w:type="auto"/>
            <w:shd w:val="clear" w:color="auto" w:fill="auto"/>
            <w:noWrap w:val="0"/>
            <w:vAlign w:val="center"/>
          </w:tcPr>
          <w:p w14:paraId="6E08F5B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项目实施单位的财务和业务管理制度是否健全，用以反映和考核财务和业务管理制度对项目顺利实施的保障情况。</w:t>
            </w:r>
          </w:p>
        </w:tc>
        <w:tc>
          <w:tcPr>
            <w:tcW w:w="0" w:type="auto"/>
            <w:shd w:val="clear" w:color="auto" w:fill="auto"/>
            <w:noWrap w:val="0"/>
            <w:vAlign w:val="center"/>
          </w:tcPr>
          <w:p w14:paraId="38FEC39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57FE8E6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①是否已制定或具有相应的财务和业务管理制度；</w:t>
            </w:r>
          </w:p>
          <w:p w14:paraId="1EED859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②财务和业务管理制度是否合法、合规、完整。</w:t>
            </w:r>
          </w:p>
        </w:tc>
        <w:tc>
          <w:tcPr>
            <w:tcW w:w="0" w:type="auto"/>
            <w:shd w:val="clear" w:color="auto" w:fill="auto"/>
            <w:noWrap w:val="0"/>
            <w:vAlign w:val="center"/>
          </w:tcPr>
          <w:p w14:paraId="377E7C63">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0" w:type="auto"/>
            <w:shd w:val="clear" w:color="auto" w:fill="auto"/>
            <w:noWrap w:val="0"/>
            <w:vAlign w:val="center"/>
          </w:tcPr>
          <w:p w14:paraId="258C8E2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r>
      <w:tr w14:paraId="436D8C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242" w:hRule="atLeast"/>
          <w:jc w:val="center"/>
        </w:trPr>
        <w:tc>
          <w:tcPr>
            <w:tcW w:w="0" w:type="auto"/>
            <w:vMerge w:val="continue"/>
            <w:shd w:val="clear" w:color="auto" w:fill="auto"/>
            <w:noWrap w:val="0"/>
            <w:vAlign w:val="center"/>
          </w:tcPr>
          <w:p w14:paraId="29EAAFD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vMerge w:val="continue"/>
            <w:shd w:val="clear" w:color="auto" w:fill="auto"/>
            <w:noWrap w:val="0"/>
            <w:vAlign w:val="center"/>
          </w:tcPr>
          <w:p w14:paraId="56F3296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p>
        </w:tc>
        <w:tc>
          <w:tcPr>
            <w:tcW w:w="0" w:type="auto"/>
            <w:shd w:val="clear" w:color="auto" w:fill="auto"/>
            <w:noWrap w:val="0"/>
            <w:vAlign w:val="center"/>
          </w:tcPr>
          <w:p w14:paraId="2A8C725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制度执行</w:t>
            </w:r>
          </w:p>
          <w:p w14:paraId="739E435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有效性</w:t>
            </w:r>
          </w:p>
        </w:tc>
        <w:tc>
          <w:tcPr>
            <w:tcW w:w="0" w:type="auto"/>
            <w:shd w:val="clear" w:color="auto" w:fill="auto"/>
            <w:noWrap w:val="0"/>
            <w:vAlign w:val="center"/>
          </w:tcPr>
          <w:p w14:paraId="356B9B5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项目实施是否符合相关管理规定，用以反映和考核相关管理制度的有效执行情况。</w:t>
            </w:r>
          </w:p>
        </w:tc>
        <w:tc>
          <w:tcPr>
            <w:tcW w:w="0" w:type="auto"/>
            <w:shd w:val="clear" w:color="auto" w:fill="auto"/>
            <w:noWrap w:val="0"/>
            <w:vAlign w:val="center"/>
          </w:tcPr>
          <w:p w14:paraId="39ECC8B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评价要点：</w:t>
            </w:r>
          </w:p>
          <w:p w14:paraId="77D508D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①是否遵守相关法律法规和相关管理规定；</w:t>
            </w:r>
          </w:p>
          <w:p w14:paraId="1696F23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②项目调整及支出调整手续是否完备；</w:t>
            </w:r>
          </w:p>
          <w:p w14:paraId="7CC88BC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③项目合同书、验收报告、技术鉴定等资料是否齐全并及时归档；</w:t>
            </w:r>
          </w:p>
          <w:p w14:paraId="01DD821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④项目实施的人员条件、场地设备、信息支撑等是否落实到位。</w:t>
            </w:r>
          </w:p>
        </w:tc>
        <w:tc>
          <w:tcPr>
            <w:tcW w:w="0" w:type="auto"/>
            <w:shd w:val="clear" w:color="auto" w:fill="auto"/>
            <w:noWrap w:val="0"/>
            <w:vAlign w:val="center"/>
          </w:tcPr>
          <w:p w14:paraId="4E56F5F4">
            <w:pPr>
              <w:keepNext w:val="0"/>
              <w:keepLines w:val="0"/>
              <w:pageBreakBefore w:val="0"/>
              <w:widowControl/>
              <w:kinsoku/>
              <w:wordWrap/>
              <w:overflowPunct/>
              <w:topLinePunct w:val="0"/>
              <w:autoSpaceDE/>
              <w:autoSpaceDN/>
              <w:bidi w:val="0"/>
              <w:adjustRightInd/>
              <w:snapToGrid w:val="0"/>
              <w:spacing w:line="24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bidi="ar-SA"/>
              </w:rPr>
            </w:pPr>
            <w:r>
              <w:rPr>
                <w:rFonts w:hint="eastAsia" w:ascii="宋体" w:hAnsi="宋体" w:eastAsia="宋体" w:cs="宋体"/>
                <w:color w:val="auto"/>
                <w:kern w:val="0"/>
                <w:sz w:val="20"/>
                <w:szCs w:val="20"/>
                <w:highlight w:val="none"/>
                <w:shd w:val="clear" w:color="auto" w:fill="auto"/>
                <w:lang w:val="en-US" w:eastAsia="zh-CN"/>
              </w:rPr>
              <w:t>4</w:t>
            </w:r>
          </w:p>
        </w:tc>
        <w:tc>
          <w:tcPr>
            <w:tcW w:w="0" w:type="auto"/>
            <w:shd w:val="clear" w:color="auto" w:fill="auto"/>
            <w:noWrap w:val="0"/>
            <w:vAlign w:val="center"/>
          </w:tcPr>
          <w:p w14:paraId="04A18EF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r>
      <w:tr w14:paraId="3E33C8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48" w:hRule="atLeast"/>
          <w:jc w:val="center"/>
        </w:trPr>
        <w:tc>
          <w:tcPr>
            <w:tcW w:w="0" w:type="auto"/>
            <w:vMerge w:val="restart"/>
            <w:shd w:val="clear" w:color="auto" w:fill="auto"/>
            <w:noWrap w:val="0"/>
            <w:vAlign w:val="center"/>
          </w:tcPr>
          <w:p w14:paraId="6949908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w:t>
            </w:r>
          </w:p>
          <w:p w14:paraId="407B8B7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restart"/>
            <w:shd w:val="clear" w:color="auto" w:fill="auto"/>
            <w:noWrap w:val="0"/>
            <w:vAlign w:val="center"/>
          </w:tcPr>
          <w:p w14:paraId="4A40C19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产出数量</w:t>
            </w:r>
          </w:p>
          <w:p w14:paraId="2E7D90E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44AFF48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rPr>
              <w:t>打造千亩示范方(个)</w:t>
            </w:r>
          </w:p>
        </w:tc>
        <w:tc>
          <w:tcPr>
            <w:tcW w:w="0" w:type="auto"/>
            <w:shd w:val="clear" w:color="auto" w:fill="auto"/>
            <w:noWrap w:val="0"/>
            <w:vAlign w:val="center"/>
          </w:tcPr>
          <w:p w14:paraId="63FBDC0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项目实施的实际产出数与计划产出数的比率，用以反映和考核项目产出数量目标的实现程度。</w:t>
            </w:r>
          </w:p>
        </w:tc>
        <w:tc>
          <w:tcPr>
            <w:tcW w:w="0" w:type="auto"/>
            <w:shd w:val="clear" w:color="auto" w:fill="auto"/>
            <w:noWrap w:val="0"/>
            <w:vAlign w:val="center"/>
          </w:tcPr>
          <w:p w14:paraId="3BA6ABC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实际完成率=（实际产出数/计划产出数）×100%。</w:t>
            </w:r>
          </w:p>
          <w:p w14:paraId="2E78EFD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实际产出数：一定时期（本年度或项目期）内项目实际产出的产品或提供的服务数量。</w:t>
            </w:r>
          </w:p>
          <w:p w14:paraId="643271E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计划产出数：项目绩效目标确定的在一定时期（本年度或项目期）内计划产出的产品或提供的服务数量。</w:t>
            </w:r>
          </w:p>
        </w:tc>
        <w:tc>
          <w:tcPr>
            <w:tcW w:w="0" w:type="auto"/>
            <w:shd w:val="clear" w:color="auto" w:fill="auto"/>
            <w:noWrap w:val="0"/>
            <w:vAlign w:val="center"/>
          </w:tcPr>
          <w:p w14:paraId="0C3DB43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5</w:t>
            </w:r>
          </w:p>
        </w:tc>
        <w:tc>
          <w:tcPr>
            <w:tcW w:w="0" w:type="auto"/>
            <w:shd w:val="clear" w:color="auto" w:fill="auto"/>
            <w:noWrap w:val="0"/>
            <w:vAlign w:val="center"/>
          </w:tcPr>
          <w:p w14:paraId="4653C2E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5</w:t>
            </w:r>
          </w:p>
        </w:tc>
      </w:tr>
      <w:tr w14:paraId="020673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05" w:hRule="atLeast"/>
          <w:jc w:val="center"/>
        </w:trPr>
        <w:tc>
          <w:tcPr>
            <w:tcW w:w="0" w:type="auto"/>
            <w:vMerge w:val="continue"/>
            <w:shd w:val="clear" w:color="auto" w:fill="auto"/>
            <w:noWrap w:val="0"/>
            <w:vAlign w:val="center"/>
          </w:tcPr>
          <w:p w14:paraId="7A77B14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continue"/>
            <w:shd w:val="clear" w:color="auto" w:fill="auto"/>
            <w:noWrap w:val="0"/>
            <w:vAlign w:val="center"/>
          </w:tcPr>
          <w:p w14:paraId="373766A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val="en-US" w:eastAsia="zh-CN" w:bidi="ar-SA"/>
              </w:rPr>
            </w:pPr>
          </w:p>
        </w:tc>
        <w:tc>
          <w:tcPr>
            <w:tcW w:w="0" w:type="auto"/>
            <w:shd w:val="clear" w:color="auto" w:fill="auto"/>
            <w:noWrap w:val="0"/>
            <w:vAlign w:val="center"/>
          </w:tcPr>
          <w:p w14:paraId="7CEB582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cs="宋体"/>
                <w:color w:val="000000"/>
                <w:kern w:val="0"/>
                <w:sz w:val="22"/>
                <w:szCs w:val="22"/>
                <w:highlight w:val="none"/>
                <w:lang w:eastAsia="zh-CN"/>
              </w:rPr>
              <w:t>打造万亩示范片（个）</w:t>
            </w:r>
          </w:p>
        </w:tc>
        <w:tc>
          <w:tcPr>
            <w:tcW w:w="0" w:type="auto"/>
            <w:shd w:val="clear" w:color="auto" w:fill="auto"/>
            <w:noWrap w:val="0"/>
            <w:vAlign w:val="center"/>
          </w:tcPr>
          <w:p w14:paraId="3517EB9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项目实施的实际产出数与计划产出数的比率，用以反映和考核项目产出数量目标的实现程度。</w:t>
            </w:r>
          </w:p>
        </w:tc>
        <w:tc>
          <w:tcPr>
            <w:tcW w:w="0" w:type="auto"/>
            <w:shd w:val="clear" w:color="auto" w:fill="auto"/>
            <w:noWrap w:val="0"/>
            <w:vAlign w:val="center"/>
          </w:tcPr>
          <w:p w14:paraId="185D492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实际完成率=（实际产出数/计划产出数）×100%。</w:t>
            </w:r>
          </w:p>
          <w:p w14:paraId="67AA339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实际产出数：一定时期（本年度或项目期）内项目实际产出的产品或提供的服务数量。</w:t>
            </w:r>
          </w:p>
          <w:p w14:paraId="5C4B7D2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计划产出数：项目绩效目标确定的在一定时期（本年度或项目期）内计划产出的产品或提供的服务数量。</w:t>
            </w:r>
          </w:p>
        </w:tc>
        <w:tc>
          <w:tcPr>
            <w:tcW w:w="0" w:type="auto"/>
            <w:shd w:val="clear" w:color="auto" w:fill="auto"/>
            <w:noWrap w:val="0"/>
            <w:vAlign w:val="center"/>
          </w:tcPr>
          <w:p w14:paraId="7B8D8B0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cs="宋体"/>
                <w:color w:val="000000"/>
                <w:kern w:val="0"/>
                <w:sz w:val="22"/>
                <w:szCs w:val="22"/>
                <w:lang w:val="en-US" w:eastAsia="zh-CN"/>
              </w:rPr>
              <w:t>6</w:t>
            </w:r>
          </w:p>
        </w:tc>
        <w:tc>
          <w:tcPr>
            <w:tcW w:w="0" w:type="auto"/>
            <w:shd w:val="clear" w:color="auto" w:fill="auto"/>
            <w:noWrap w:val="0"/>
            <w:vAlign w:val="center"/>
          </w:tcPr>
          <w:p w14:paraId="0B8539E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cs="宋体"/>
                <w:color w:val="000000"/>
                <w:kern w:val="0"/>
                <w:sz w:val="22"/>
                <w:szCs w:val="22"/>
                <w:lang w:val="en-US" w:eastAsia="zh-CN"/>
              </w:rPr>
              <w:t>6</w:t>
            </w:r>
          </w:p>
        </w:tc>
      </w:tr>
      <w:tr w14:paraId="66E426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715" w:hRule="atLeast"/>
          <w:jc w:val="center"/>
        </w:trPr>
        <w:tc>
          <w:tcPr>
            <w:tcW w:w="0" w:type="auto"/>
            <w:vMerge w:val="continue"/>
            <w:shd w:val="clear" w:color="auto" w:fill="auto"/>
            <w:noWrap w:val="0"/>
            <w:vAlign w:val="center"/>
          </w:tcPr>
          <w:p w14:paraId="7FD246F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continue"/>
            <w:shd w:val="clear" w:color="auto" w:fill="auto"/>
            <w:noWrap w:val="0"/>
            <w:vAlign w:val="center"/>
          </w:tcPr>
          <w:p w14:paraId="358AA5D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566EDC0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r>
              <w:rPr>
                <w:rFonts w:hint="eastAsia" w:cs="宋体"/>
                <w:color w:val="000000"/>
                <w:kern w:val="0"/>
                <w:sz w:val="22"/>
                <w:szCs w:val="22"/>
                <w:highlight w:val="none"/>
                <w:lang w:eastAsia="zh-CN"/>
              </w:rPr>
              <w:t>完成重点作物绿色高产创建县（个）</w:t>
            </w:r>
          </w:p>
        </w:tc>
        <w:tc>
          <w:tcPr>
            <w:tcW w:w="0" w:type="auto"/>
            <w:shd w:val="clear" w:color="auto" w:fill="auto"/>
            <w:noWrap w:val="0"/>
            <w:vAlign w:val="center"/>
          </w:tcPr>
          <w:p w14:paraId="2D45709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项目实施的实际产出数与计划产出数的比率，用以反映和考核项目产出数量目标的实现程度。</w:t>
            </w:r>
          </w:p>
        </w:tc>
        <w:tc>
          <w:tcPr>
            <w:tcW w:w="0" w:type="auto"/>
            <w:shd w:val="clear" w:color="auto" w:fill="auto"/>
            <w:noWrap w:val="0"/>
            <w:vAlign w:val="center"/>
          </w:tcPr>
          <w:p w14:paraId="25136C2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实际完成率=（实际产出数/计划产出数）×100%。</w:t>
            </w:r>
          </w:p>
          <w:p w14:paraId="4DB4357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实际产出数：一定时期（本年度或项目期）内项目实际产出的产品或提供的服务数量。</w:t>
            </w:r>
          </w:p>
          <w:p w14:paraId="5B92101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yellow"/>
                <w:lang w:val="en-US" w:eastAsia="zh-CN" w:bidi="ar-SA"/>
              </w:rPr>
            </w:pPr>
            <w:r>
              <w:rPr>
                <w:rFonts w:hint="eastAsia" w:ascii="宋体" w:hAnsi="宋体" w:eastAsia="宋体" w:cs="宋体"/>
                <w:color w:val="000000"/>
                <w:kern w:val="0"/>
                <w:sz w:val="22"/>
                <w:szCs w:val="22"/>
              </w:rPr>
              <w:t>计划产出数：项目绩效目标确定的在一定时期（本年度或项目期）内计划产出的产品或提供的服务数量。</w:t>
            </w:r>
          </w:p>
        </w:tc>
        <w:tc>
          <w:tcPr>
            <w:tcW w:w="0" w:type="auto"/>
            <w:shd w:val="clear" w:color="auto" w:fill="auto"/>
            <w:noWrap w:val="0"/>
            <w:vAlign w:val="center"/>
          </w:tcPr>
          <w:p w14:paraId="10C26E4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c>
          <w:tcPr>
            <w:tcW w:w="0" w:type="auto"/>
            <w:shd w:val="clear" w:color="auto" w:fill="auto"/>
            <w:noWrap w:val="0"/>
            <w:vAlign w:val="center"/>
          </w:tcPr>
          <w:p w14:paraId="3AD2338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r>
      <w:tr w14:paraId="0C8AA1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05" w:hRule="atLeast"/>
          <w:jc w:val="center"/>
        </w:trPr>
        <w:tc>
          <w:tcPr>
            <w:tcW w:w="0" w:type="auto"/>
            <w:vMerge w:val="continue"/>
            <w:shd w:val="clear" w:color="auto" w:fill="auto"/>
            <w:noWrap w:val="0"/>
            <w:vAlign w:val="center"/>
          </w:tcPr>
          <w:p w14:paraId="73BD27A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restart"/>
            <w:shd w:val="clear" w:color="auto" w:fill="auto"/>
            <w:noWrap w:val="0"/>
            <w:vAlign w:val="center"/>
          </w:tcPr>
          <w:p w14:paraId="3D5738D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产出质量</w:t>
            </w:r>
          </w:p>
        </w:tc>
        <w:tc>
          <w:tcPr>
            <w:tcW w:w="0" w:type="auto"/>
            <w:shd w:val="clear" w:color="auto" w:fill="auto"/>
            <w:noWrap w:val="0"/>
            <w:vAlign w:val="center"/>
          </w:tcPr>
          <w:p w14:paraId="7AE262F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小麦一喷三防效果</w:t>
            </w:r>
          </w:p>
        </w:tc>
        <w:tc>
          <w:tcPr>
            <w:tcW w:w="0" w:type="auto"/>
            <w:shd w:val="clear" w:color="auto" w:fill="auto"/>
            <w:noWrap w:val="0"/>
            <w:vAlign w:val="center"/>
          </w:tcPr>
          <w:p w14:paraId="7545EBC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项目完成的质量达标产出数与实际产出数的比率，用以反映和考核项目产出质量目标的实现程度。</w:t>
            </w:r>
          </w:p>
        </w:tc>
        <w:tc>
          <w:tcPr>
            <w:tcW w:w="0" w:type="auto"/>
            <w:shd w:val="clear" w:color="auto" w:fill="auto"/>
            <w:noWrap w:val="0"/>
            <w:vAlign w:val="center"/>
          </w:tcPr>
          <w:p w14:paraId="7AB0298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质量达标率=（质量达标产出数/实际产出数）×100%。</w:t>
            </w:r>
          </w:p>
          <w:p w14:paraId="27BDA05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0" w:type="auto"/>
            <w:shd w:val="clear" w:color="auto" w:fill="auto"/>
            <w:noWrap w:val="0"/>
            <w:vAlign w:val="center"/>
          </w:tcPr>
          <w:p w14:paraId="0D4D72E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c>
          <w:tcPr>
            <w:tcW w:w="0" w:type="auto"/>
            <w:shd w:val="clear" w:color="auto" w:fill="auto"/>
            <w:noWrap w:val="0"/>
            <w:vAlign w:val="center"/>
          </w:tcPr>
          <w:p w14:paraId="618EC44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4</w:t>
            </w:r>
          </w:p>
        </w:tc>
      </w:tr>
      <w:tr w14:paraId="434BF1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05" w:hRule="atLeast"/>
          <w:jc w:val="center"/>
        </w:trPr>
        <w:tc>
          <w:tcPr>
            <w:tcW w:w="0" w:type="auto"/>
            <w:vMerge w:val="continue"/>
            <w:shd w:val="clear" w:color="auto" w:fill="auto"/>
            <w:noWrap w:val="0"/>
            <w:vAlign w:val="center"/>
          </w:tcPr>
          <w:p w14:paraId="119AC29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continue"/>
            <w:shd w:val="clear" w:color="auto" w:fill="auto"/>
            <w:noWrap w:val="0"/>
            <w:vAlign w:val="center"/>
          </w:tcPr>
          <w:p w14:paraId="1CAF607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492C69F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良种覆盖率（%）</w:t>
            </w:r>
          </w:p>
        </w:tc>
        <w:tc>
          <w:tcPr>
            <w:tcW w:w="0" w:type="auto"/>
            <w:shd w:val="clear" w:color="auto" w:fill="auto"/>
            <w:noWrap w:val="0"/>
            <w:vAlign w:val="center"/>
          </w:tcPr>
          <w:p w14:paraId="63A5B86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项目完成的质量达标产出数与实际产出数的比率，用以反映和考核项目产出质量目标的实现程度。</w:t>
            </w:r>
          </w:p>
        </w:tc>
        <w:tc>
          <w:tcPr>
            <w:tcW w:w="0" w:type="auto"/>
            <w:shd w:val="clear" w:color="auto" w:fill="auto"/>
            <w:noWrap w:val="0"/>
            <w:vAlign w:val="center"/>
          </w:tcPr>
          <w:p w14:paraId="7E4DC5F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质量达标率=（质量达标产出数/实际产出数）×100%。</w:t>
            </w:r>
          </w:p>
          <w:p w14:paraId="6D5F3E1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0" w:type="auto"/>
            <w:shd w:val="clear" w:color="auto" w:fill="auto"/>
            <w:noWrap w:val="0"/>
            <w:vAlign w:val="center"/>
          </w:tcPr>
          <w:p w14:paraId="7B33CCC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cs="宋体"/>
                <w:color w:val="000000"/>
                <w:kern w:val="0"/>
                <w:sz w:val="22"/>
                <w:szCs w:val="22"/>
                <w:lang w:val="en-US" w:eastAsia="zh-CN"/>
              </w:rPr>
              <w:t>5</w:t>
            </w:r>
          </w:p>
        </w:tc>
        <w:tc>
          <w:tcPr>
            <w:tcW w:w="0" w:type="auto"/>
            <w:shd w:val="clear" w:color="auto" w:fill="auto"/>
            <w:noWrap w:val="0"/>
            <w:vAlign w:val="center"/>
          </w:tcPr>
          <w:p w14:paraId="6A32F31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cs="宋体"/>
                <w:color w:val="000000"/>
                <w:kern w:val="0"/>
                <w:sz w:val="22"/>
                <w:szCs w:val="22"/>
                <w:lang w:val="en-US" w:eastAsia="zh-CN"/>
              </w:rPr>
              <w:t>5</w:t>
            </w:r>
          </w:p>
        </w:tc>
      </w:tr>
      <w:tr w14:paraId="6FF662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650" w:hRule="atLeast"/>
          <w:jc w:val="center"/>
        </w:trPr>
        <w:tc>
          <w:tcPr>
            <w:tcW w:w="0" w:type="auto"/>
            <w:vMerge w:val="continue"/>
            <w:shd w:val="clear" w:color="auto" w:fill="auto"/>
            <w:noWrap w:val="0"/>
            <w:vAlign w:val="center"/>
          </w:tcPr>
          <w:p w14:paraId="7113CA0F">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p>
        </w:tc>
        <w:tc>
          <w:tcPr>
            <w:tcW w:w="0" w:type="auto"/>
            <w:shd w:val="clear" w:color="auto" w:fill="auto"/>
            <w:noWrap w:val="0"/>
            <w:vAlign w:val="center"/>
          </w:tcPr>
          <w:p w14:paraId="066EF122">
            <w:pPr>
              <w:keepNext w:val="0"/>
              <w:keepLines w:val="0"/>
              <w:pageBreakBefore w:val="0"/>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产出时效</w:t>
            </w:r>
          </w:p>
        </w:tc>
        <w:tc>
          <w:tcPr>
            <w:tcW w:w="0" w:type="auto"/>
            <w:shd w:val="clear" w:color="auto" w:fill="auto"/>
            <w:noWrap w:val="0"/>
            <w:vAlign w:val="center"/>
          </w:tcPr>
          <w:p w14:paraId="17AE1BB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资金</w:t>
            </w:r>
            <w:r>
              <w:rPr>
                <w:rFonts w:hint="eastAsia" w:cs="宋体"/>
                <w:color w:val="000000"/>
                <w:kern w:val="0"/>
                <w:sz w:val="22"/>
                <w:szCs w:val="22"/>
                <w:highlight w:val="none"/>
                <w:lang w:val="en-US" w:eastAsia="zh-CN"/>
              </w:rPr>
              <w:t>按</w:t>
            </w:r>
            <w:r>
              <w:rPr>
                <w:rFonts w:hint="eastAsia" w:ascii="宋体" w:hAnsi="宋体" w:eastAsia="宋体" w:cs="宋体"/>
                <w:color w:val="000000"/>
                <w:kern w:val="0"/>
                <w:sz w:val="22"/>
                <w:szCs w:val="22"/>
                <w:highlight w:val="none"/>
              </w:rPr>
              <w:t>时拨付</w:t>
            </w:r>
          </w:p>
        </w:tc>
        <w:tc>
          <w:tcPr>
            <w:tcW w:w="0" w:type="auto"/>
            <w:shd w:val="clear" w:color="auto" w:fill="auto"/>
            <w:noWrap w:val="0"/>
            <w:vAlign w:val="center"/>
          </w:tcPr>
          <w:p w14:paraId="676EB65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项目实际完成时间与计划完成时间的比较，用以反映和考核项目产出时效目标的实现程度。</w:t>
            </w:r>
          </w:p>
        </w:tc>
        <w:tc>
          <w:tcPr>
            <w:tcW w:w="0" w:type="auto"/>
            <w:shd w:val="clear" w:color="auto" w:fill="auto"/>
            <w:noWrap w:val="0"/>
            <w:vAlign w:val="center"/>
          </w:tcPr>
          <w:p w14:paraId="4B87DB2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实际完成时间：项目实施单位完成该项目实际所耗用的时间。</w:t>
            </w:r>
          </w:p>
          <w:p w14:paraId="3356877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计划完成时间：按照项目实施计划或相关规定完成该项目所需的时间。</w:t>
            </w:r>
          </w:p>
        </w:tc>
        <w:tc>
          <w:tcPr>
            <w:tcW w:w="0" w:type="auto"/>
            <w:shd w:val="clear" w:color="auto" w:fill="auto"/>
            <w:noWrap w:val="0"/>
            <w:vAlign w:val="center"/>
          </w:tcPr>
          <w:p w14:paraId="1304F96A">
            <w:pPr>
              <w:keepNext w:val="0"/>
              <w:keepLines w:val="0"/>
              <w:pageBreakBefore w:val="0"/>
              <w:widowControl/>
              <w:tabs>
                <w:tab w:val="left" w:pos="273"/>
              </w:tabs>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c>
          <w:tcPr>
            <w:tcW w:w="0" w:type="auto"/>
            <w:shd w:val="clear" w:color="auto" w:fill="auto"/>
            <w:noWrap w:val="0"/>
            <w:vAlign w:val="center"/>
          </w:tcPr>
          <w:p w14:paraId="75F0F13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r>
      <w:tr w14:paraId="1607B9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835" w:hRule="atLeast"/>
          <w:jc w:val="center"/>
        </w:trPr>
        <w:tc>
          <w:tcPr>
            <w:tcW w:w="0" w:type="auto"/>
            <w:vMerge w:val="continue"/>
            <w:shd w:val="clear" w:color="auto" w:fill="auto"/>
            <w:noWrap w:val="0"/>
            <w:vAlign w:val="center"/>
          </w:tcPr>
          <w:p w14:paraId="47E59DA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p>
        </w:tc>
        <w:tc>
          <w:tcPr>
            <w:tcW w:w="0" w:type="auto"/>
            <w:vMerge w:val="restart"/>
            <w:shd w:val="clear" w:color="auto" w:fill="auto"/>
            <w:noWrap w:val="0"/>
            <w:vAlign w:val="center"/>
          </w:tcPr>
          <w:p w14:paraId="637EF0C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产出成本</w:t>
            </w:r>
          </w:p>
          <w:p w14:paraId="55C0AC9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61D6663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rPr>
              <w:t>重点作物节本增效水平</w:t>
            </w:r>
          </w:p>
        </w:tc>
        <w:tc>
          <w:tcPr>
            <w:tcW w:w="0" w:type="auto"/>
            <w:shd w:val="clear" w:color="auto" w:fill="auto"/>
            <w:noWrap w:val="0"/>
            <w:vAlign w:val="center"/>
          </w:tcPr>
          <w:p w14:paraId="58EE29D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完成项目计划工作目标的实际节约成本与计划成本的比率，用以反映和考核项目的成本节约程度。</w:t>
            </w:r>
          </w:p>
        </w:tc>
        <w:tc>
          <w:tcPr>
            <w:tcW w:w="0" w:type="auto"/>
            <w:shd w:val="clear" w:color="auto" w:fill="auto"/>
            <w:noWrap w:val="0"/>
            <w:vAlign w:val="center"/>
          </w:tcPr>
          <w:p w14:paraId="0688785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p>
          <w:p w14:paraId="726FB09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成本节约率=[（计划成本-实际成本）/计划成本]×100%。</w:t>
            </w:r>
          </w:p>
          <w:p w14:paraId="69FE580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实际成本：项目实施单位如期、保质、保量完成既定工作目标实际所耗费的支出。</w:t>
            </w:r>
          </w:p>
          <w:p w14:paraId="7F5C532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计划成本：项目实施单位为完成工作目标计划安排的支出，一般以项目预算为参考。</w:t>
            </w:r>
          </w:p>
        </w:tc>
        <w:tc>
          <w:tcPr>
            <w:tcW w:w="0" w:type="auto"/>
            <w:shd w:val="clear" w:color="auto" w:fill="auto"/>
            <w:noWrap w:val="0"/>
            <w:vAlign w:val="center"/>
          </w:tcPr>
          <w:p w14:paraId="6706953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c>
          <w:tcPr>
            <w:tcW w:w="0" w:type="auto"/>
            <w:shd w:val="clear" w:color="auto" w:fill="auto"/>
            <w:noWrap w:val="0"/>
            <w:vAlign w:val="center"/>
          </w:tcPr>
          <w:p w14:paraId="2899B98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5</w:t>
            </w:r>
          </w:p>
        </w:tc>
      </w:tr>
      <w:tr w14:paraId="2B8F51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835" w:hRule="atLeast"/>
          <w:jc w:val="center"/>
        </w:trPr>
        <w:tc>
          <w:tcPr>
            <w:tcW w:w="0" w:type="auto"/>
            <w:shd w:val="clear" w:color="auto" w:fill="auto"/>
            <w:noWrap w:val="0"/>
            <w:vAlign w:val="center"/>
          </w:tcPr>
          <w:p w14:paraId="197A60E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p>
        </w:tc>
        <w:tc>
          <w:tcPr>
            <w:tcW w:w="0" w:type="auto"/>
            <w:vMerge w:val="continue"/>
            <w:shd w:val="clear" w:color="auto" w:fill="auto"/>
            <w:noWrap w:val="0"/>
            <w:vAlign w:val="center"/>
          </w:tcPr>
          <w:p w14:paraId="4E9133B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35F1A36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highlight w:val="none"/>
                <w:lang w:val="en-US"/>
              </w:rPr>
            </w:pPr>
            <w:r>
              <w:rPr>
                <w:rFonts w:hint="eastAsia" w:cs="宋体"/>
                <w:color w:val="000000"/>
                <w:kern w:val="0"/>
                <w:sz w:val="22"/>
                <w:szCs w:val="22"/>
                <w:highlight w:val="none"/>
                <w:lang w:val="en-US" w:eastAsia="zh-CN"/>
              </w:rPr>
              <w:t>核心区增产幅度</w:t>
            </w:r>
          </w:p>
        </w:tc>
        <w:tc>
          <w:tcPr>
            <w:tcW w:w="0" w:type="auto"/>
            <w:shd w:val="clear" w:color="auto" w:fill="auto"/>
            <w:noWrap w:val="0"/>
            <w:vAlign w:val="center"/>
          </w:tcPr>
          <w:p w14:paraId="05D9F77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完成项目计划工作目标的实际节约成本与计划成本的比率，用以反映和考核项目的成本节约程度。</w:t>
            </w:r>
          </w:p>
        </w:tc>
        <w:tc>
          <w:tcPr>
            <w:tcW w:w="0" w:type="auto"/>
            <w:shd w:val="clear" w:color="auto" w:fill="auto"/>
            <w:noWrap w:val="0"/>
            <w:vAlign w:val="center"/>
          </w:tcPr>
          <w:p w14:paraId="1570FA5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eastAsia="zh-CN"/>
              </w:rPr>
            </w:pPr>
          </w:p>
          <w:p w14:paraId="0B46D5B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rPr>
              <w:t>成本节约率=[（计划成本-实际成本）/计划成本]×100%。</w:t>
            </w:r>
          </w:p>
          <w:p w14:paraId="047ADFF8">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eastAsia="zh-CN"/>
              </w:rPr>
            </w:pPr>
            <w:r>
              <w:rPr>
                <w:rFonts w:hint="eastAsia" w:ascii="宋体" w:hAnsi="宋体" w:eastAsia="宋体" w:cs="宋体"/>
                <w:color w:val="000000"/>
                <w:kern w:val="0"/>
                <w:sz w:val="22"/>
                <w:szCs w:val="22"/>
                <w:highlight w:val="none"/>
              </w:rPr>
              <w:t>实际成本：项目实施单位如期、保质、保量完成既定工作目标实际所耗费的支出。</w:t>
            </w:r>
          </w:p>
          <w:p w14:paraId="060062A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rPr>
              <w:t>计划成本：项目实施单位为完成工作目标计划安排的支出，一般以项目预算为参考。</w:t>
            </w:r>
          </w:p>
        </w:tc>
        <w:tc>
          <w:tcPr>
            <w:tcW w:w="0" w:type="auto"/>
            <w:shd w:val="clear" w:color="auto" w:fill="auto"/>
            <w:noWrap w:val="0"/>
            <w:vAlign w:val="center"/>
          </w:tcPr>
          <w:p w14:paraId="4041333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highlight w:val="none"/>
                <w:lang w:val="en-US" w:eastAsia="zh-CN"/>
              </w:rPr>
            </w:pPr>
            <w:r>
              <w:rPr>
                <w:rFonts w:hint="eastAsia" w:cs="宋体"/>
                <w:color w:val="000000"/>
                <w:kern w:val="0"/>
                <w:sz w:val="22"/>
                <w:szCs w:val="22"/>
                <w:highlight w:val="none"/>
                <w:lang w:val="en-US" w:eastAsia="zh-CN"/>
              </w:rPr>
              <w:t>5</w:t>
            </w:r>
          </w:p>
        </w:tc>
        <w:tc>
          <w:tcPr>
            <w:tcW w:w="0" w:type="auto"/>
            <w:shd w:val="clear" w:color="auto" w:fill="auto"/>
            <w:noWrap w:val="0"/>
            <w:vAlign w:val="center"/>
          </w:tcPr>
          <w:p w14:paraId="66248AE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highlight w:val="none"/>
                <w:lang w:val="en-US" w:eastAsia="zh-CN"/>
              </w:rPr>
            </w:pPr>
            <w:r>
              <w:rPr>
                <w:rFonts w:hint="eastAsia" w:cs="宋体"/>
                <w:color w:val="000000"/>
                <w:kern w:val="0"/>
                <w:sz w:val="22"/>
                <w:szCs w:val="22"/>
                <w:highlight w:val="none"/>
                <w:lang w:val="en-US" w:eastAsia="zh-CN"/>
              </w:rPr>
              <w:t>4.8</w:t>
            </w:r>
          </w:p>
        </w:tc>
      </w:tr>
      <w:tr w14:paraId="64B18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835" w:hRule="atLeast"/>
          <w:jc w:val="center"/>
        </w:trPr>
        <w:tc>
          <w:tcPr>
            <w:tcW w:w="0" w:type="auto"/>
            <w:shd w:val="clear" w:color="auto" w:fill="auto"/>
            <w:noWrap w:val="0"/>
            <w:vAlign w:val="center"/>
          </w:tcPr>
          <w:p w14:paraId="79901B4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效益</w:t>
            </w:r>
          </w:p>
        </w:tc>
        <w:tc>
          <w:tcPr>
            <w:tcW w:w="0" w:type="auto"/>
            <w:vMerge w:val="restart"/>
            <w:shd w:val="clear" w:color="auto" w:fill="auto"/>
            <w:noWrap w:val="0"/>
            <w:vAlign w:val="center"/>
          </w:tcPr>
          <w:p w14:paraId="65500474">
            <w:pPr>
              <w:keepNext w:val="0"/>
              <w:keepLines w:val="0"/>
              <w:pageBreakBefore w:val="0"/>
              <w:widowControl/>
              <w:kinsoku/>
              <w:wordWrap/>
              <w:overflowPunct/>
              <w:topLinePunct w:val="0"/>
              <w:autoSpaceDE/>
              <w:autoSpaceDN/>
              <w:bidi w:val="0"/>
              <w:adjustRightInd/>
              <w:spacing w:line="240" w:lineRule="exact"/>
              <w:ind w:firstLine="0" w:firstLineChars="0"/>
              <w:jc w:val="both"/>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项目效益</w:t>
            </w:r>
          </w:p>
        </w:tc>
        <w:tc>
          <w:tcPr>
            <w:tcW w:w="0" w:type="auto"/>
            <w:shd w:val="clear" w:color="auto" w:fill="auto"/>
            <w:noWrap w:val="0"/>
            <w:vAlign w:val="center"/>
          </w:tcPr>
          <w:p w14:paraId="321A247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cs="宋体"/>
                <w:color w:val="000000"/>
                <w:kern w:val="0"/>
                <w:sz w:val="22"/>
                <w:szCs w:val="22"/>
                <w:highlight w:val="none"/>
                <w:lang w:val="en-US" w:eastAsia="zh-CN"/>
              </w:rPr>
            </w:pPr>
            <w:r>
              <w:rPr>
                <w:rFonts w:hint="eastAsia" w:cs="宋体"/>
                <w:color w:val="000000"/>
                <w:kern w:val="0"/>
                <w:sz w:val="22"/>
                <w:szCs w:val="22"/>
                <w:highlight w:val="none"/>
                <w:lang w:val="en-US" w:eastAsia="zh-CN"/>
              </w:rPr>
              <w:t>集成推广绿色高产高效模式</w:t>
            </w:r>
          </w:p>
        </w:tc>
        <w:tc>
          <w:tcPr>
            <w:tcW w:w="0" w:type="auto"/>
            <w:shd w:val="clear" w:color="auto" w:fill="auto"/>
            <w:noWrap w:val="0"/>
            <w:vAlign w:val="center"/>
          </w:tcPr>
          <w:p w14:paraId="1697F0A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项目完成的质量达标产出数与实际产出数的比率，用以反映和考核项目产出质量目标的实现程度</w:t>
            </w:r>
          </w:p>
        </w:tc>
        <w:tc>
          <w:tcPr>
            <w:tcW w:w="0" w:type="auto"/>
            <w:shd w:val="clear" w:color="auto" w:fill="auto"/>
            <w:noWrap w:val="0"/>
            <w:vAlign w:val="center"/>
          </w:tcPr>
          <w:p w14:paraId="13568501">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成本节约率=[（计划成本-实际成本）/计划成本]×100%。</w:t>
            </w:r>
          </w:p>
          <w:p w14:paraId="0606CAF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实际成本：项目实施单位如期、保质、保量完成既定工作目标实际所耗费的支出。</w:t>
            </w:r>
          </w:p>
          <w:p w14:paraId="1F2917B0">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计划成本：项目实施单位为完成工作目标计划安排的支出，一般以项目预算为参考。</w:t>
            </w:r>
          </w:p>
        </w:tc>
        <w:tc>
          <w:tcPr>
            <w:tcW w:w="0" w:type="auto"/>
            <w:shd w:val="clear" w:color="auto" w:fill="auto"/>
            <w:noWrap w:val="0"/>
            <w:vAlign w:val="center"/>
          </w:tcPr>
          <w:p w14:paraId="088AF99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lang w:val="en-US" w:eastAsia="zh-CN"/>
              </w:rPr>
            </w:pPr>
            <w:r>
              <w:rPr>
                <w:rFonts w:hint="eastAsia" w:cs="宋体"/>
                <w:color w:val="000000"/>
                <w:kern w:val="0"/>
                <w:sz w:val="22"/>
                <w:szCs w:val="22"/>
                <w:lang w:val="en-US" w:eastAsia="zh-CN"/>
              </w:rPr>
              <w:t>7</w:t>
            </w:r>
          </w:p>
        </w:tc>
        <w:tc>
          <w:tcPr>
            <w:tcW w:w="0" w:type="auto"/>
            <w:shd w:val="clear" w:color="auto" w:fill="auto"/>
            <w:noWrap w:val="0"/>
            <w:vAlign w:val="center"/>
          </w:tcPr>
          <w:p w14:paraId="3ABFE30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lang w:val="en-US" w:eastAsia="zh-CN"/>
              </w:rPr>
            </w:pPr>
            <w:r>
              <w:rPr>
                <w:rFonts w:hint="eastAsia" w:cs="宋体"/>
                <w:color w:val="000000"/>
                <w:kern w:val="0"/>
                <w:sz w:val="22"/>
                <w:szCs w:val="22"/>
                <w:lang w:val="en-US" w:eastAsia="zh-CN"/>
              </w:rPr>
              <w:t>7</w:t>
            </w:r>
          </w:p>
        </w:tc>
      </w:tr>
      <w:tr w14:paraId="53A92A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983" w:hRule="atLeast"/>
          <w:jc w:val="center"/>
        </w:trPr>
        <w:tc>
          <w:tcPr>
            <w:tcW w:w="0" w:type="auto"/>
            <w:vMerge w:val="restart"/>
            <w:shd w:val="clear" w:color="auto" w:fill="auto"/>
            <w:noWrap w:val="0"/>
            <w:vAlign w:val="center"/>
          </w:tcPr>
          <w:p w14:paraId="49FDB07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vMerge w:val="continue"/>
            <w:shd w:val="clear" w:color="auto" w:fill="auto"/>
            <w:noWrap w:val="0"/>
            <w:vAlign w:val="center"/>
          </w:tcPr>
          <w:p w14:paraId="29F73C7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p>
        </w:tc>
        <w:tc>
          <w:tcPr>
            <w:tcW w:w="0" w:type="auto"/>
            <w:shd w:val="clear" w:color="auto" w:fill="auto"/>
            <w:noWrap w:val="0"/>
            <w:vAlign w:val="center"/>
          </w:tcPr>
          <w:p w14:paraId="74CAEA77">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highlight w:val="none"/>
              </w:rPr>
            </w:pPr>
            <w:r>
              <w:rPr>
                <w:rFonts w:hint="eastAsia" w:cs="宋体"/>
                <w:color w:val="000000"/>
                <w:kern w:val="0"/>
                <w:sz w:val="22"/>
                <w:szCs w:val="22"/>
                <w:highlight w:val="none"/>
                <w:lang w:eastAsia="zh-CN"/>
              </w:rPr>
              <w:t>重点农作物绿色高产高效项目区病虫害发生减轻</w:t>
            </w:r>
          </w:p>
        </w:tc>
        <w:tc>
          <w:tcPr>
            <w:tcW w:w="0" w:type="auto"/>
            <w:shd w:val="clear" w:color="auto" w:fill="auto"/>
            <w:noWrap w:val="0"/>
            <w:vAlign w:val="center"/>
          </w:tcPr>
          <w:p w14:paraId="23652025">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项目实施所产生的效益。</w:t>
            </w:r>
          </w:p>
        </w:tc>
        <w:tc>
          <w:tcPr>
            <w:tcW w:w="0" w:type="auto"/>
            <w:shd w:val="clear" w:color="auto" w:fill="auto"/>
            <w:noWrap w:val="0"/>
            <w:vAlign w:val="center"/>
          </w:tcPr>
          <w:p w14:paraId="0412201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rPr>
              <w:t>项目实施所产生的社会效益、经济效益、生态效益、可持续影响等。可根据项目实际情况有选择地设置和细化。</w:t>
            </w:r>
          </w:p>
        </w:tc>
        <w:tc>
          <w:tcPr>
            <w:tcW w:w="0" w:type="auto"/>
            <w:shd w:val="clear" w:color="auto" w:fill="auto"/>
            <w:noWrap w:val="0"/>
            <w:vAlign w:val="center"/>
          </w:tcPr>
          <w:p w14:paraId="3A12550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lang w:val="en-US" w:eastAsia="zh-CN"/>
              </w:rPr>
            </w:pPr>
            <w:r>
              <w:rPr>
                <w:rFonts w:hint="eastAsia" w:cs="宋体"/>
                <w:color w:val="000000"/>
                <w:kern w:val="0"/>
                <w:sz w:val="22"/>
                <w:szCs w:val="22"/>
                <w:lang w:val="en-US" w:eastAsia="zh-CN"/>
              </w:rPr>
              <w:t>7</w:t>
            </w:r>
          </w:p>
        </w:tc>
        <w:tc>
          <w:tcPr>
            <w:tcW w:w="0" w:type="auto"/>
            <w:shd w:val="clear" w:color="auto" w:fill="auto"/>
            <w:noWrap w:val="0"/>
            <w:vAlign w:val="center"/>
          </w:tcPr>
          <w:p w14:paraId="3BBD0434">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lang w:val="en-US" w:eastAsia="zh-CN"/>
              </w:rPr>
            </w:pPr>
            <w:r>
              <w:rPr>
                <w:rFonts w:hint="eastAsia" w:cs="宋体"/>
                <w:color w:val="000000"/>
                <w:kern w:val="0"/>
                <w:sz w:val="22"/>
                <w:szCs w:val="22"/>
                <w:lang w:val="en-US" w:eastAsia="zh-CN"/>
              </w:rPr>
              <w:t>7</w:t>
            </w:r>
          </w:p>
        </w:tc>
      </w:tr>
      <w:tr w14:paraId="143BAA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242" w:hRule="atLeast"/>
          <w:jc w:val="center"/>
        </w:trPr>
        <w:tc>
          <w:tcPr>
            <w:tcW w:w="0" w:type="auto"/>
            <w:vMerge w:val="continue"/>
            <w:shd w:val="clear" w:color="auto" w:fill="auto"/>
            <w:noWrap w:val="0"/>
            <w:vAlign w:val="center"/>
          </w:tcPr>
          <w:p w14:paraId="3AEE1D7F">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highlight w:val="none"/>
              </w:rPr>
            </w:pPr>
          </w:p>
        </w:tc>
        <w:tc>
          <w:tcPr>
            <w:tcW w:w="0" w:type="auto"/>
            <w:shd w:val="clear" w:color="auto" w:fill="auto"/>
            <w:noWrap w:val="0"/>
            <w:vAlign w:val="center"/>
          </w:tcPr>
          <w:p w14:paraId="157CEEEC">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满意度指标</w:t>
            </w:r>
          </w:p>
        </w:tc>
        <w:tc>
          <w:tcPr>
            <w:tcW w:w="0" w:type="auto"/>
            <w:shd w:val="clear" w:color="auto" w:fill="auto"/>
            <w:noWrap w:val="0"/>
            <w:vAlign w:val="center"/>
          </w:tcPr>
          <w:p w14:paraId="6AFD2F5A">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highlight w:val="none"/>
                <w:lang w:val="en-US" w:eastAsia="zh-CN"/>
              </w:rPr>
            </w:pPr>
            <w:r>
              <w:rPr>
                <w:rFonts w:hint="eastAsia" w:cs="宋体"/>
                <w:color w:val="000000"/>
                <w:kern w:val="0"/>
                <w:sz w:val="22"/>
                <w:szCs w:val="22"/>
                <w:highlight w:val="none"/>
                <w:lang w:val="en-US" w:eastAsia="zh-CN"/>
              </w:rPr>
              <w:t>服务群众满意度</w:t>
            </w:r>
          </w:p>
        </w:tc>
        <w:tc>
          <w:tcPr>
            <w:tcW w:w="0" w:type="auto"/>
            <w:shd w:val="clear" w:color="auto" w:fill="auto"/>
            <w:noWrap w:val="0"/>
            <w:vAlign w:val="center"/>
          </w:tcPr>
          <w:p w14:paraId="0B6DF649">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社会公众或服务对象对项目实施效果的满意程度。</w:t>
            </w:r>
          </w:p>
        </w:tc>
        <w:tc>
          <w:tcPr>
            <w:tcW w:w="0" w:type="auto"/>
            <w:shd w:val="clear" w:color="auto" w:fill="auto"/>
            <w:noWrap w:val="0"/>
            <w:vAlign w:val="center"/>
          </w:tcPr>
          <w:p w14:paraId="34EF2CC2">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ascii="宋体" w:hAnsi="宋体" w:eastAsia="宋体" w:cs="宋体"/>
                <w:color w:val="000000"/>
                <w:kern w:val="0"/>
                <w:sz w:val="22"/>
                <w:szCs w:val="22"/>
              </w:rPr>
            </w:pPr>
            <w:r>
              <w:rPr>
                <w:rFonts w:hint="eastAsia" w:ascii="宋体" w:hAnsi="宋体" w:eastAsia="宋体" w:cs="宋体"/>
                <w:color w:val="000000"/>
                <w:kern w:val="0"/>
                <w:sz w:val="22"/>
                <w:szCs w:val="22"/>
              </w:rPr>
              <w:t>社会公众或服务对象是指因该项目实施而受到影响的部门（单位）、群体或个人。一般采取社会调查的方式。</w:t>
            </w:r>
          </w:p>
        </w:tc>
        <w:tc>
          <w:tcPr>
            <w:tcW w:w="0" w:type="auto"/>
            <w:shd w:val="clear" w:color="auto" w:fill="auto"/>
            <w:noWrap w:val="0"/>
            <w:vAlign w:val="center"/>
          </w:tcPr>
          <w:p w14:paraId="31649E16">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6</w:t>
            </w:r>
          </w:p>
        </w:tc>
        <w:tc>
          <w:tcPr>
            <w:tcW w:w="0" w:type="auto"/>
            <w:shd w:val="clear" w:color="auto" w:fill="auto"/>
            <w:noWrap w:val="0"/>
            <w:vAlign w:val="center"/>
          </w:tcPr>
          <w:p w14:paraId="6952F2C3">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ascii="宋体" w:hAnsi="宋体" w:eastAsia="宋体" w:cs="宋体"/>
                <w:color w:val="000000"/>
                <w:kern w:val="0"/>
                <w:sz w:val="22"/>
                <w:szCs w:val="22"/>
                <w:lang w:val="en-US" w:eastAsia="zh-CN"/>
              </w:rPr>
            </w:pPr>
            <w:r>
              <w:rPr>
                <w:rFonts w:hint="eastAsia" w:cs="宋体"/>
                <w:color w:val="000000"/>
                <w:kern w:val="0"/>
                <w:sz w:val="22"/>
                <w:szCs w:val="22"/>
                <w:lang w:val="en-US" w:eastAsia="zh-CN"/>
              </w:rPr>
              <w:t>6</w:t>
            </w:r>
          </w:p>
        </w:tc>
      </w:tr>
      <w:tr w14:paraId="70465B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48" w:hRule="atLeast"/>
          <w:jc w:val="center"/>
        </w:trPr>
        <w:tc>
          <w:tcPr>
            <w:tcW w:w="0" w:type="auto"/>
            <w:gridSpan w:val="4"/>
            <w:shd w:val="clear" w:color="auto" w:fill="auto"/>
            <w:noWrap w:val="0"/>
            <w:vAlign w:val="center"/>
          </w:tcPr>
          <w:p w14:paraId="26BF8E26">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lang w:val="en-US" w:eastAsia="zh-CN"/>
              </w:rPr>
              <w:t>合计</w:t>
            </w:r>
          </w:p>
        </w:tc>
        <w:tc>
          <w:tcPr>
            <w:tcW w:w="0" w:type="auto"/>
            <w:shd w:val="clear" w:color="auto" w:fill="auto"/>
            <w:noWrap w:val="0"/>
            <w:vAlign w:val="center"/>
          </w:tcPr>
          <w:p w14:paraId="798FA07B">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eastAsia" w:cs="宋体"/>
                <w:color w:val="000000"/>
                <w:kern w:val="0"/>
                <w:sz w:val="22"/>
                <w:szCs w:val="22"/>
                <w:lang w:val="en-US" w:eastAsia="zh-CN"/>
              </w:rPr>
            </w:pPr>
          </w:p>
        </w:tc>
        <w:tc>
          <w:tcPr>
            <w:tcW w:w="0" w:type="auto"/>
            <w:shd w:val="clear" w:color="auto" w:fill="auto"/>
            <w:noWrap w:val="0"/>
            <w:vAlign w:val="center"/>
          </w:tcPr>
          <w:p w14:paraId="237A690D">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lang w:val="en-US" w:eastAsia="zh-CN"/>
              </w:rPr>
            </w:pPr>
            <w:r>
              <w:rPr>
                <w:rFonts w:hint="eastAsia" w:cs="宋体"/>
                <w:color w:val="000000"/>
                <w:kern w:val="0"/>
                <w:sz w:val="22"/>
                <w:szCs w:val="22"/>
                <w:lang w:val="en-US" w:eastAsia="zh-CN"/>
              </w:rPr>
              <w:t>100</w:t>
            </w:r>
          </w:p>
        </w:tc>
        <w:tc>
          <w:tcPr>
            <w:tcW w:w="0" w:type="auto"/>
            <w:shd w:val="clear" w:color="auto" w:fill="auto"/>
            <w:noWrap w:val="0"/>
            <w:vAlign w:val="center"/>
          </w:tcPr>
          <w:p w14:paraId="288CB67E">
            <w:pPr>
              <w:keepNext w:val="0"/>
              <w:keepLines w:val="0"/>
              <w:pageBreakBefore w:val="0"/>
              <w:widowControl/>
              <w:kinsoku/>
              <w:wordWrap/>
              <w:overflowPunct/>
              <w:topLinePunct w:val="0"/>
              <w:autoSpaceDE/>
              <w:autoSpaceDN/>
              <w:bidi w:val="0"/>
              <w:adjustRightInd/>
              <w:spacing w:line="240" w:lineRule="exact"/>
              <w:ind w:firstLine="0" w:firstLineChars="0"/>
              <w:jc w:val="center"/>
              <w:textAlignment w:val="auto"/>
              <w:rPr>
                <w:rFonts w:hint="default" w:cs="宋体"/>
                <w:color w:val="000000"/>
                <w:kern w:val="0"/>
                <w:sz w:val="22"/>
                <w:szCs w:val="22"/>
                <w:lang w:val="en-US" w:eastAsia="zh-CN"/>
              </w:rPr>
            </w:pPr>
            <w:r>
              <w:rPr>
                <w:rFonts w:hint="eastAsia" w:cs="宋体"/>
                <w:color w:val="000000"/>
                <w:kern w:val="0"/>
                <w:sz w:val="22"/>
                <w:szCs w:val="22"/>
                <w:lang w:val="en-US" w:eastAsia="zh-CN"/>
              </w:rPr>
              <w:t>97.8</w:t>
            </w:r>
          </w:p>
        </w:tc>
      </w:tr>
      <w:bookmarkEnd w:id="150"/>
      <w:bookmarkEnd w:id="148"/>
      <w:bookmarkEnd w:id="149"/>
    </w:tbl>
    <w:p w14:paraId="2E1D90CE">
      <w:pPr>
        <w:spacing w:line="240" w:lineRule="auto"/>
        <w:ind w:left="0" w:leftChars="0" w:firstLine="0" w:firstLineChars="0"/>
        <w:rPr>
          <w:rFonts w:hint="default"/>
          <w:lang w:val="en-US" w:eastAsia="zh-CN"/>
        </w:rPr>
      </w:pPr>
    </w:p>
    <w:sectPr>
      <w:pgSz w:w="16838" w:h="11906" w:orient="landscape"/>
      <w:pgMar w:top="1800" w:right="1440" w:bottom="1800" w:left="1440" w:header="737" w:footer="851" w:gutter="0"/>
      <w:pgNumType w:fmt="decimal"/>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E7EB">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-135890</wp:posOffset>
              </wp:positionV>
              <wp:extent cx="1828800" cy="23368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2336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70CCF8">
                          <w:pPr>
                            <w:pStyle w:val="8"/>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4</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0.7pt;height:18.4pt;width:144pt;mso-position-horizontal:outside;mso-position-horizontal-relative:margin;mso-wrap-style:none;z-index:251659264;mso-width-relative:page;mso-height-relative:page;" filled="f" stroked="f" coordsize="21600,21600" o:gfxdata="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KorNTXAAAABwEAAA8AAAAAAAAAAQAgAAAAIgAAAGRycy9kb3ducmV2Lnht&#10;bFBLAQIUABQAAAAIAIdO4kCL0LYDMwIAAGAEAAAOAAAAAAAAAAEAIAAAACYBAABkcnMvZTJvRG9j&#10;LnhtbFBLBQYAAAAABgAGAFkBAADLBQAAAAA=&#10;">
              <v:fill on="f" focussize="0,0"/>
              <v:stroke on="f" weight="0.5pt"/>
              <v:imagedata o:title=""/>
              <o:lock v:ext="edit" aspectratio="f"/>
              <v:textbox inset="0mm,0mm,0mm,0mm">
                <w:txbxContent>
                  <w:p w14:paraId="7670CCF8">
                    <w:pPr>
                      <w:pStyle w:val="8"/>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4</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 w:name="KSO_WPS_MARK_KEY" w:val="6e687d5b-2d56-4f98-a41f-73e8ab3da67c"/>
  </w:docVars>
  <w:rsids>
    <w:rsidRoot w:val="68291A1A"/>
    <w:rsid w:val="002E53ED"/>
    <w:rsid w:val="00591F0C"/>
    <w:rsid w:val="007D6A04"/>
    <w:rsid w:val="009B3537"/>
    <w:rsid w:val="00E23C81"/>
    <w:rsid w:val="01253350"/>
    <w:rsid w:val="01282E62"/>
    <w:rsid w:val="014029CF"/>
    <w:rsid w:val="01470C4C"/>
    <w:rsid w:val="01570814"/>
    <w:rsid w:val="01A544B3"/>
    <w:rsid w:val="02200440"/>
    <w:rsid w:val="02284B43"/>
    <w:rsid w:val="02B015E2"/>
    <w:rsid w:val="02D50DC8"/>
    <w:rsid w:val="02DC08FA"/>
    <w:rsid w:val="033B569D"/>
    <w:rsid w:val="039C3BA0"/>
    <w:rsid w:val="03A845BB"/>
    <w:rsid w:val="03B45AD1"/>
    <w:rsid w:val="04801326"/>
    <w:rsid w:val="04D12EE4"/>
    <w:rsid w:val="04D63993"/>
    <w:rsid w:val="063E0980"/>
    <w:rsid w:val="076C586C"/>
    <w:rsid w:val="07890F4F"/>
    <w:rsid w:val="08892439"/>
    <w:rsid w:val="08EB30F3"/>
    <w:rsid w:val="09237408"/>
    <w:rsid w:val="095073FA"/>
    <w:rsid w:val="095F13EB"/>
    <w:rsid w:val="09781BD6"/>
    <w:rsid w:val="09E174C5"/>
    <w:rsid w:val="09F33394"/>
    <w:rsid w:val="09F359DF"/>
    <w:rsid w:val="0A14368A"/>
    <w:rsid w:val="0A575E65"/>
    <w:rsid w:val="0ACA0AB6"/>
    <w:rsid w:val="0B05407B"/>
    <w:rsid w:val="0B977132"/>
    <w:rsid w:val="0C032502"/>
    <w:rsid w:val="0C27698C"/>
    <w:rsid w:val="0C2A3F33"/>
    <w:rsid w:val="0C6210D4"/>
    <w:rsid w:val="0CC86958"/>
    <w:rsid w:val="0D4452F3"/>
    <w:rsid w:val="0DBE6747"/>
    <w:rsid w:val="0E3E1F17"/>
    <w:rsid w:val="0EC721A1"/>
    <w:rsid w:val="0F197E76"/>
    <w:rsid w:val="0F5E5042"/>
    <w:rsid w:val="0FE95707"/>
    <w:rsid w:val="10510571"/>
    <w:rsid w:val="10787A20"/>
    <w:rsid w:val="108672DE"/>
    <w:rsid w:val="10EC685A"/>
    <w:rsid w:val="11FA6155"/>
    <w:rsid w:val="127F2EDB"/>
    <w:rsid w:val="12CF0947"/>
    <w:rsid w:val="12F1313F"/>
    <w:rsid w:val="136C678E"/>
    <w:rsid w:val="13EB2FF5"/>
    <w:rsid w:val="13F327C9"/>
    <w:rsid w:val="14720225"/>
    <w:rsid w:val="14ED4CAC"/>
    <w:rsid w:val="156D6C3E"/>
    <w:rsid w:val="15A46B04"/>
    <w:rsid w:val="15FE0523"/>
    <w:rsid w:val="162328BA"/>
    <w:rsid w:val="165825BC"/>
    <w:rsid w:val="16AD15C0"/>
    <w:rsid w:val="16BC5D73"/>
    <w:rsid w:val="16D86EAF"/>
    <w:rsid w:val="176F36D7"/>
    <w:rsid w:val="1795226D"/>
    <w:rsid w:val="17BC4C95"/>
    <w:rsid w:val="180D624C"/>
    <w:rsid w:val="18456B1E"/>
    <w:rsid w:val="19E7558B"/>
    <w:rsid w:val="19E86C1E"/>
    <w:rsid w:val="1AAF7837"/>
    <w:rsid w:val="1B323DD8"/>
    <w:rsid w:val="1BB11EE9"/>
    <w:rsid w:val="1BC912D2"/>
    <w:rsid w:val="1BCF2401"/>
    <w:rsid w:val="1C1171C5"/>
    <w:rsid w:val="1CB735C0"/>
    <w:rsid w:val="1CEB326A"/>
    <w:rsid w:val="1D265138"/>
    <w:rsid w:val="1D3938CE"/>
    <w:rsid w:val="1D3B3CD2"/>
    <w:rsid w:val="1D5A219E"/>
    <w:rsid w:val="1D7B6BCA"/>
    <w:rsid w:val="1DA41A79"/>
    <w:rsid w:val="1DBB41CE"/>
    <w:rsid w:val="1DF53469"/>
    <w:rsid w:val="1E2F24F2"/>
    <w:rsid w:val="1E58492F"/>
    <w:rsid w:val="1E5B6757"/>
    <w:rsid w:val="1E5F5ECF"/>
    <w:rsid w:val="1ED10AC6"/>
    <w:rsid w:val="1F86727A"/>
    <w:rsid w:val="1F89225F"/>
    <w:rsid w:val="1F900A1F"/>
    <w:rsid w:val="1FC0575D"/>
    <w:rsid w:val="20031C23"/>
    <w:rsid w:val="206132C7"/>
    <w:rsid w:val="20B56020"/>
    <w:rsid w:val="20E30167"/>
    <w:rsid w:val="210B71C8"/>
    <w:rsid w:val="21B00C1D"/>
    <w:rsid w:val="23031BEB"/>
    <w:rsid w:val="23917691"/>
    <w:rsid w:val="244D65B8"/>
    <w:rsid w:val="245E1E24"/>
    <w:rsid w:val="24D70DE9"/>
    <w:rsid w:val="25261D19"/>
    <w:rsid w:val="25AD5E5D"/>
    <w:rsid w:val="26151358"/>
    <w:rsid w:val="26FB6B55"/>
    <w:rsid w:val="2732478D"/>
    <w:rsid w:val="27661469"/>
    <w:rsid w:val="27900EAD"/>
    <w:rsid w:val="279B538A"/>
    <w:rsid w:val="27A91110"/>
    <w:rsid w:val="286F545C"/>
    <w:rsid w:val="28A349F9"/>
    <w:rsid w:val="28D91CE6"/>
    <w:rsid w:val="29314FBC"/>
    <w:rsid w:val="297C3C21"/>
    <w:rsid w:val="2A7374CD"/>
    <w:rsid w:val="2AA2081A"/>
    <w:rsid w:val="2B1343C2"/>
    <w:rsid w:val="2B3B360F"/>
    <w:rsid w:val="2C024B86"/>
    <w:rsid w:val="2C436713"/>
    <w:rsid w:val="2C927671"/>
    <w:rsid w:val="2CC6306F"/>
    <w:rsid w:val="2D7C5CD6"/>
    <w:rsid w:val="2D8A441E"/>
    <w:rsid w:val="2D9B2143"/>
    <w:rsid w:val="2E1A37E3"/>
    <w:rsid w:val="2E3704D4"/>
    <w:rsid w:val="2E483E7E"/>
    <w:rsid w:val="2E690493"/>
    <w:rsid w:val="2E9854BD"/>
    <w:rsid w:val="2F003C1C"/>
    <w:rsid w:val="2F0D407F"/>
    <w:rsid w:val="2F454B19"/>
    <w:rsid w:val="2FA52729"/>
    <w:rsid w:val="30BB321C"/>
    <w:rsid w:val="310224D9"/>
    <w:rsid w:val="315471D8"/>
    <w:rsid w:val="31A245B9"/>
    <w:rsid w:val="31B4621C"/>
    <w:rsid w:val="31E3230A"/>
    <w:rsid w:val="32456B21"/>
    <w:rsid w:val="330957E0"/>
    <w:rsid w:val="33356F64"/>
    <w:rsid w:val="33944516"/>
    <w:rsid w:val="34B62907"/>
    <w:rsid w:val="35170CF4"/>
    <w:rsid w:val="3560766E"/>
    <w:rsid w:val="35F84DD7"/>
    <w:rsid w:val="36BD137C"/>
    <w:rsid w:val="36E36A65"/>
    <w:rsid w:val="372A2624"/>
    <w:rsid w:val="38053EDF"/>
    <w:rsid w:val="380812A4"/>
    <w:rsid w:val="385D37E7"/>
    <w:rsid w:val="38782EDD"/>
    <w:rsid w:val="3A263172"/>
    <w:rsid w:val="3A5E327D"/>
    <w:rsid w:val="3B24701C"/>
    <w:rsid w:val="3B334302"/>
    <w:rsid w:val="3B42664A"/>
    <w:rsid w:val="3B5E0047"/>
    <w:rsid w:val="3BB638D7"/>
    <w:rsid w:val="3BE16CCB"/>
    <w:rsid w:val="3C9012E0"/>
    <w:rsid w:val="3CAD1E92"/>
    <w:rsid w:val="3D3E2AEA"/>
    <w:rsid w:val="3D836A4E"/>
    <w:rsid w:val="3D9B618F"/>
    <w:rsid w:val="3DA05553"/>
    <w:rsid w:val="3EA37E97"/>
    <w:rsid w:val="3EF15A34"/>
    <w:rsid w:val="3EFE13C0"/>
    <w:rsid w:val="3F94516E"/>
    <w:rsid w:val="3F9829AB"/>
    <w:rsid w:val="3FBE0BC5"/>
    <w:rsid w:val="4048103A"/>
    <w:rsid w:val="40736643"/>
    <w:rsid w:val="40833567"/>
    <w:rsid w:val="40B11FAC"/>
    <w:rsid w:val="40D24A7A"/>
    <w:rsid w:val="416B0F04"/>
    <w:rsid w:val="41847666"/>
    <w:rsid w:val="41871476"/>
    <w:rsid w:val="42582B0D"/>
    <w:rsid w:val="42621029"/>
    <w:rsid w:val="435241E2"/>
    <w:rsid w:val="43975C51"/>
    <w:rsid w:val="439E3FA7"/>
    <w:rsid w:val="43E443EC"/>
    <w:rsid w:val="443C175D"/>
    <w:rsid w:val="44996E9A"/>
    <w:rsid w:val="44B32266"/>
    <w:rsid w:val="44FC64F4"/>
    <w:rsid w:val="46362EF9"/>
    <w:rsid w:val="466969E3"/>
    <w:rsid w:val="467F4585"/>
    <w:rsid w:val="46A2058E"/>
    <w:rsid w:val="470628CB"/>
    <w:rsid w:val="4729480B"/>
    <w:rsid w:val="47555BD4"/>
    <w:rsid w:val="47811F51"/>
    <w:rsid w:val="47BC2DB1"/>
    <w:rsid w:val="47DB78B4"/>
    <w:rsid w:val="47E96399"/>
    <w:rsid w:val="47F76025"/>
    <w:rsid w:val="480031B8"/>
    <w:rsid w:val="485E04E5"/>
    <w:rsid w:val="486701DC"/>
    <w:rsid w:val="486E33F5"/>
    <w:rsid w:val="48715E9E"/>
    <w:rsid w:val="48757D08"/>
    <w:rsid w:val="48E12B50"/>
    <w:rsid w:val="499441BE"/>
    <w:rsid w:val="499A6C1C"/>
    <w:rsid w:val="49C01C51"/>
    <w:rsid w:val="4A121423"/>
    <w:rsid w:val="4A195607"/>
    <w:rsid w:val="4A2138F0"/>
    <w:rsid w:val="4A583887"/>
    <w:rsid w:val="4B9F6E02"/>
    <w:rsid w:val="4C080E93"/>
    <w:rsid w:val="4C461C46"/>
    <w:rsid w:val="4C89637B"/>
    <w:rsid w:val="4D3D2E1D"/>
    <w:rsid w:val="4DAA0C1F"/>
    <w:rsid w:val="4DAC4E52"/>
    <w:rsid w:val="4DCA28A4"/>
    <w:rsid w:val="4E6E48A8"/>
    <w:rsid w:val="4EEC036B"/>
    <w:rsid w:val="4F714FA1"/>
    <w:rsid w:val="4FB8497E"/>
    <w:rsid w:val="501D2673"/>
    <w:rsid w:val="50BE486A"/>
    <w:rsid w:val="50C80BF1"/>
    <w:rsid w:val="50DD469C"/>
    <w:rsid w:val="517C7214"/>
    <w:rsid w:val="51852833"/>
    <w:rsid w:val="519E4A9B"/>
    <w:rsid w:val="51F37E0E"/>
    <w:rsid w:val="52F11AC8"/>
    <w:rsid w:val="534F49D9"/>
    <w:rsid w:val="53555F0F"/>
    <w:rsid w:val="535D23D5"/>
    <w:rsid w:val="53BA6F17"/>
    <w:rsid w:val="558E065B"/>
    <w:rsid w:val="561623FF"/>
    <w:rsid w:val="5621327D"/>
    <w:rsid w:val="56F4341A"/>
    <w:rsid w:val="575A7321"/>
    <w:rsid w:val="57E427B4"/>
    <w:rsid w:val="57ED4DE3"/>
    <w:rsid w:val="580C3AB9"/>
    <w:rsid w:val="583C7AE0"/>
    <w:rsid w:val="58612082"/>
    <w:rsid w:val="586C1E9A"/>
    <w:rsid w:val="586E0800"/>
    <w:rsid w:val="58B57CAD"/>
    <w:rsid w:val="59216F96"/>
    <w:rsid w:val="59430787"/>
    <w:rsid w:val="59791E42"/>
    <w:rsid w:val="598C4145"/>
    <w:rsid w:val="59957D1B"/>
    <w:rsid w:val="59D4294E"/>
    <w:rsid w:val="59F42A57"/>
    <w:rsid w:val="5A1D7506"/>
    <w:rsid w:val="5A3C2C1D"/>
    <w:rsid w:val="5A7D28EF"/>
    <w:rsid w:val="5ADA7E8A"/>
    <w:rsid w:val="5ADA7E9F"/>
    <w:rsid w:val="5AE64A95"/>
    <w:rsid w:val="5B634312"/>
    <w:rsid w:val="5B9D2CCD"/>
    <w:rsid w:val="5B9E71EA"/>
    <w:rsid w:val="5BFC14FC"/>
    <w:rsid w:val="5C390BF5"/>
    <w:rsid w:val="5D6D4FFA"/>
    <w:rsid w:val="5DB70023"/>
    <w:rsid w:val="5DD52A57"/>
    <w:rsid w:val="5E226FBC"/>
    <w:rsid w:val="5E602D46"/>
    <w:rsid w:val="5E85103A"/>
    <w:rsid w:val="5F28287E"/>
    <w:rsid w:val="5FE72BD2"/>
    <w:rsid w:val="60120613"/>
    <w:rsid w:val="6089214B"/>
    <w:rsid w:val="61396F28"/>
    <w:rsid w:val="6148180F"/>
    <w:rsid w:val="618D5292"/>
    <w:rsid w:val="61A41994"/>
    <w:rsid w:val="622E78FA"/>
    <w:rsid w:val="629E17B2"/>
    <w:rsid w:val="62BA088A"/>
    <w:rsid w:val="63343F70"/>
    <w:rsid w:val="63877DF8"/>
    <w:rsid w:val="64296E1C"/>
    <w:rsid w:val="64386FCC"/>
    <w:rsid w:val="649E64A2"/>
    <w:rsid w:val="64F642EB"/>
    <w:rsid w:val="6563314B"/>
    <w:rsid w:val="65AE154C"/>
    <w:rsid w:val="65E5270A"/>
    <w:rsid w:val="663D3C54"/>
    <w:rsid w:val="666C6111"/>
    <w:rsid w:val="667A6962"/>
    <w:rsid w:val="66862C89"/>
    <w:rsid w:val="66BB486D"/>
    <w:rsid w:val="671B7875"/>
    <w:rsid w:val="67394C7D"/>
    <w:rsid w:val="677449F7"/>
    <w:rsid w:val="68126B38"/>
    <w:rsid w:val="68291A1A"/>
    <w:rsid w:val="68352BB8"/>
    <w:rsid w:val="691327EB"/>
    <w:rsid w:val="691B1594"/>
    <w:rsid w:val="693A016B"/>
    <w:rsid w:val="6A17429C"/>
    <w:rsid w:val="6A567EA3"/>
    <w:rsid w:val="6B465A01"/>
    <w:rsid w:val="6B4B4368"/>
    <w:rsid w:val="6B79100E"/>
    <w:rsid w:val="6C844C00"/>
    <w:rsid w:val="6CCB6814"/>
    <w:rsid w:val="6CF042E9"/>
    <w:rsid w:val="6D210471"/>
    <w:rsid w:val="6D561607"/>
    <w:rsid w:val="6D9B526C"/>
    <w:rsid w:val="6E10212C"/>
    <w:rsid w:val="6E10335D"/>
    <w:rsid w:val="6E43561A"/>
    <w:rsid w:val="6E557973"/>
    <w:rsid w:val="6E9568DB"/>
    <w:rsid w:val="6EA80AA2"/>
    <w:rsid w:val="6F0D6C22"/>
    <w:rsid w:val="6F47657F"/>
    <w:rsid w:val="6FAF23D9"/>
    <w:rsid w:val="70635CF6"/>
    <w:rsid w:val="70670707"/>
    <w:rsid w:val="70E631F6"/>
    <w:rsid w:val="71041C6E"/>
    <w:rsid w:val="715B330A"/>
    <w:rsid w:val="720E3691"/>
    <w:rsid w:val="7249173A"/>
    <w:rsid w:val="724E244C"/>
    <w:rsid w:val="72797556"/>
    <w:rsid w:val="72DA6946"/>
    <w:rsid w:val="732764B3"/>
    <w:rsid w:val="74026044"/>
    <w:rsid w:val="74325A77"/>
    <w:rsid w:val="74746410"/>
    <w:rsid w:val="74746816"/>
    <w:rsid w:val="756B7C19"/>
    <w:rsid w:val="75B96BD7"/>
    <w:rsid w:val="75C8506C"/>
    <w:rsid w:val="75E5007C"/>
    <w:rsid w:val="77275DC2"/>
    <w:rsid w:val="77636B63"/>
    <w:rsid w:val="77813724"/>
    <w:rsid w:val="77861774"/>
    <w:rsid w:val="789719A8"/>
    <w:rsid w:val="78F31435"/>
    <w:rsid w:val="79300B45"/>
    <w:rsid w:val="794D3E18"/>
    <w:rsid w:val="79F3729A"/>
    <w:rsid w:val="7A385073"/>
    <w:rsid w:val="7A880722"/>
    <w:rsid w:val="7ABE6120"/>
    <w:rsid w:val="7ACB0498"/>
    <w:rsid w:val="7AE04C06"/>
    <w:rsid w:val="7AED0B4D"/>
    <w:rsid w:val="7AF4165F"/>
    <w:rsid w:val="7C122B9D"/>
    <w:rsid w:val="7C1E4487"/>
    <w:rsid w:val="7C215E02"/>
    <w:rsid w:val="7C5232BC"/>
    <w:rsid w:val="7C6725C8"/>
    <w:rsid w:val="7CF23764"/>
    <w:rsid w:val="7D846007"/>
    <w:rsid w:val="7D851A94"/>
    <w:rsid w:val="7E797F74"/>
    <w:rsid w:val="7EE36A72"/>
    <w:rsid w:val="7F924011"/>
    <w:rsid w:val="7FBB179D"/>
    <w:rsid w:val="7FC52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3" w:firstLineChars="200"/>
      <w:jc w:val="both"/>
    </w:pPr>
    <w:rPr>
      <w:rFonts w:ascii="宋体" w:hAnsi="宋体" w:eastAsia="宋体" w:cs="宋体"/>
      <w:kern w:val="2"/>
      <w:sz w:val="28"/>
      <w:szCs w:val="28"/>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ind w:firstLine="964" w:firstLineChars="200"/>
      <w:outlineLvl w:val="0"/>
    </w:pPr>
    <w:rPr>
      <w:rFonts w:ascii="Times New Roman" w:hAnsi="Times New Roman" w:eastAsia="黑体"/>
      <w:kern w:val="44"/>
      <w:sz w:val="32"/>
      <w:szCs w:val="22"/>
    </w:rPr>
  </w:style>
  <w:style w:type="paragraph" w:styleId="3">
    <w:name w:val="heading 2"/>
    <w:basedOn w:val="1"/>
    <w:next w:val="1"/>
    <w:link w:val="19"/>
    <w:unhideWhenUsed/>
    <w:qFormat/>
    <w:uiPriority w:val="0"/>
    <w:pPr>
      <w:keepNext/>
      <w:keepLines/>
      <w:spacing w:beforeLines="0" w:beforeAutospacing="0" w:afterLines="0" w:afterAutospacing="0" w:line="560" w:lineRule="exact"/>
      <w:ind w:firstLine="964" w:firstLineChars="200"/>
      <w:outlineLvl w:val="1"/>
    </w:pPr>
    <w:rPr>
      <w:rFonts w:ascii="Arial" w:hAnsi="Arial" w:eastAsia="楷体"/>
      <w:b/>
      <w:sz w:val="32"/>
    </w:rPr>
  </w:style>
  <w:style w:type="paragraph" w:styleId="4">
    <w:name w:val="heading 3"/>
    <w:basedOn w:val="1"/>
    <w:next w:val="1"/>
    <w:qFormat/>
    <w:uiPriority w:val="99"/>
    <w:pPr>
      <w:keepNext/>
      <w:keepLines/>
      <w:spacing w:line="560" w:lineRule="exact"/>
      <w:ind w:firstLine="883" w:firstLineChars="200"/>
      <w:outlineLvl w:val="2"/>
    </w:pPr>
    <w:rPr>
      <w:rFonts w:ascii="仿宋_GB2312" w:hAnsi="仿宋_GB2312" w:eastAsia="仿宋_GB2312"/>
      <w:b/>
      <w:bCs/>
      <w:kern w:val="0"/>
      <w:sz w:val="28"/>
      <w:szCs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pPr>
      <w:spacing w:before="240" w:after="240" w:line="360" w:lineRule="auto"/>
      <w:jc w:val="center"/>
    </w:pPr>
    <w:rPr>
      <w:b/>
      <w:sz w:val="44"/>
    </w:r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Body Text 2"/>
    <w:basedOn w:val="1"/>
    <w:qFormat/>
    <w:uiPriority w:val="0"/>
    <w:pPr>
      <w:spacing w:after="120" w:line="480" w:lineRule="auto"/>
    </w:pPr>
    <w:rPr>
      <w:rFonts w:ascii="Times New Roman" w:hAnsi="Times New Roman" w:eastAsia="宋体" w:cs="Times New Roman"/>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paragraph" w:styleId="15">
    <w:name w:val="Body Text First Indent"/>
    <w:basedOn w:val="6"/>
    <w:qFormat/>
    <w:uiPriority w:val="0"/>
    <w:pPr>
      <w:spacing w:after="0"/>
      <w:ind w:firstLine="200" w:firstLineChars="200"/>
    </w:pPr>
  </w:style>
  <w:style w:type="paragraph" w:customStyle="1" w:styleId="18">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character" w:customStyle="1" w:styleId="19">
    <w:name w:val="标题 2 Char"/>
    <w:link w:val="3"/>
    <w:qFormat/>
    <w:uiPriority w:val="0"/>
    <w:rPr>
      <w:rFonts w:ascii="Arial" w:hAnsi="Arial" w:eastAsia="楷体"/>
      <w:b/>
      <w:sz w:val="32"/>
    </w:rPr>
  </w:style>
  <w:style w:type="paragraph" w:customStyle="1" w:styleId="20">
    <w:name w:val="WPSOffice手动目录 1"/>
    <w:qFormat/>
    <w:uiPriority w:val="0"/>
    <w:pPr>
      <w:ind w:leftChars="0"/>
    </w:pPr>
    <w:rPr>
      <w:rFonts w:ascii="Times New Roman" w:hAnsi="Times New Roman" w:eastAsia="宋体" w:cs="Times New Roman"/>
      <w:sz w:val="20"/>
      <w:szCs w:val="20"/>
    </w:rPr>
  </w:style>
  <w:style w:type="paragraph" w:customStyle="1" w:styleId="21">
    <w:name w:val="WPSOffice手动目录 2"/>
    <w:qFormat/>
    <w:uiPriority w:val="0"/>
    <w:pPr>
      <w:ind w:leftChars="200"/>
    </w:pPr>
    <w:rPr>
      <w:rFonts w:ascii="Times New Roman" w:hAnsi="Times New Roman" w:eastAsia="宋体" w:cs="Times New Roman"/>
      <w:sz w:val="20"/>
      <w:szCs w:val="20"/>
    </w:rPr>
  </w:style>
  <w:style w:type="paragraph" w:customStyle="1" w:styleId="22">
    <w:name w:val="WPSOffice手动目录 3"/>
    <w:qFormat/>
    <w:uiPriority w:val="0"/>
    <w:pPr>
      <w:ind w:leftChars="400"/>
    </w:pPr>
    <w:rPr>
      <w:rFonts w:ascii="Times New Roman" w:hAnsi="Times New Roman" w:eastAsia="宋体" w:cs="Times New Roman"/>
      <w:sz w:val="20"/>
      <w:szCs w:val="20"/>
    </w:rPr>
  </w:style>
  <w:style w:type="character" w:customStyle="1" w:styleId="23">
    <w:name w:val="NormalCharacter"/>
    <w:semiHidden/>
    <w:qFormat/>
    <w:uiPriority w:val="0"/>
    <w:rPr>
      <w:rFonts w:ascii="Calibri" w:hAnsi="Calibri"/>
      <w:kern w:val="2"/>
      <w:sz w:val="21"/>
      <w:szCs w:val="24"/>
      <w:lang w:val="en-US" w:eastAsia="zh-CN" w:bidi="ar-SA"/>
    </w:rPr>
  </w:style>
  <w:style w:type="character" w:customStyle="1" w:styleId="24">
    <w:name w:val="font71"/>
    <w:basedOn w:val="17"/>
    <w:qFormat/>
    <w:uiPriority w:val="0"/>
    <w:rPr>
      <w:rFonts w:ascii="宋体" w:hAnsi="宋体" w:eastAsia="宋体" w:cs="宋体"/>
      <w:color w:val="000000"/>
      <w:sz w:val="20"/>
      <w:szCs w:val="20"/>
      <w:u w:val="none"/>
    </w:rPr>
  </w:style>
  <w:style w:type="character" w:customStyle="1" w:styleId="25">
    <w:name w:val="font41"/>
    <w:basedOn w:val="17"/>
    <w:qFormat/>
    <w:uiPriority w:val="0"/>
    <w:rPr>
      <w:rFonts w:hint="eastAsia" w:ascii="宋体" w:hAnsi="宋体" w:eastAsia="宋体" w:cs="宋体"/>
      <w:color w:val="000000"/>
      <w:sz w:val="20"/>
      <w:szCs w:val="20"/>
      <w:u w:val="none"/>
    </w:rPr>
  </w:style>
  <w:style w:type="character" w:customStyle="1" w:styleId="26">
    <w:name w:val="font21"/>
    <w:basedOn w:val="17"/>
    <w:qFormat/>
    <w:uiPriority w:val="0"/>
    <w:rPr>
      <w:rFonts w:hint="eastAsia" w:ascii="宋体" w:hAnsi="宋体" w:eastAsia="宋体" w:cs="宋体"/>
      <w:color w:val="000000"/>
      <w:sz w:val="18"/>
      <w:szCs w:val="18"/>
      <w:u w:val="none"/>
    </w:rPr>
  </w:style>
  <w:style w:type="character" w:customStyle="1" w:styleId="27">
    <w:name w:val="font31"/>
    <w:basedOn w:val="1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3555</Words>
  <Characters>3766</Characters>
  <Lines>0</Lines>
  <Paragraphs>0</Paragraphs>
  <TotalTime>0</TotalTime>
  <ScaleCrop>false</ScaleCrop>
  <LinksUpToDate>false</LinksUpToDate>
  <CharactersWithSpaces>3838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2020-04-01T11:28:00Z</dcterms:created>
  <dc:creator>驰远天合-柴万顺-18690160103</dc:creator>
  <cp:lastModifiedBy>想不到的瑞</cp:lastModifiedBy>
  <cp:lastPrinted>2025-04-30T03:57:00Z</cp:lastPrinted>
  <dcterms:modified xsi:type="dcterms:W3CDTF">2025-10-09T04:02:22Z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4ED3E37EDB6F4B1EBDB9C578774714CE_13</vt:lpwstr>
  </property>
  <property fmtid="{D5CDD505-2E9C-101B-9397-08002B2CF9AE}" pid="4" name="KSOTemplateDocerSaveRecord">
    <vt:lpwstr>eyJoZGlkIjoiMzEwNTM5NzYwMDRjMzkwZTVkZjY2ODkwMGIxNGU0OTUiLCJ1c2VySWQiOiIxMDg5MDU4NzYyIn0=</vt:lpwstr>
  </property>
</Properties>
</file>