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45E70F">
      <w:pPr>
        <w:pageBreakBefore w:val="0"/>
        <w:kinsoku/>
        <w:wordWrap/>
        <w:overflowPunct/>
        <w:topLinePunct w:val="0"/>
        <w:autoSpaceDE/>
        <w:autoSpaceDN/>
        <w:bidi w:val="0"/>
        <w:adjustRightInd/>
        <w:spacing w:line="560" w:lineRule="exact"/>
        <w:ind w:firstLine="1142" w:firstLineChars="316"/>
        <w:jc w:val="center"/>
        <w:textAlignment w:val="auto"/>
        <w:rPr>
          <w:rFonts w:hint="eastAsia" w:ascii="宋体" w:hAnsi="宋体" w:eastAsia="宋体" w:cs="宋体"/>
          <w:b/>
          <w:bCs/>
          <w:color w:val="auto"/>
          <w:sz w:val="36"/>
          <w:szCs w:val="36"/>
          <w:highlight w:val="none"/>
          <w:shd w:val="clear" w:color="auto" w:fill="auto"/>
        </w:rPr>
      </w:pPr>
    </w:p>
    <w:p w14:paraId="6D0CF298">
      <w:pPr>
        <w:pageBreakBefore w:val="0"/>
        <w:kinsoku/>
        <w:wordWrap/>
        <w:overflowPunct/>
        <w:topLinePunct w:val="0"/>
        <w:autoSpaceDE/>
        <w:autoSpaceDN/>
        <w:bidi w:val="0"/>
        <w:adjustRightIn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577E6288">
      <w:pPr>
        <w:pageBreakBefore w:val="0"/>
        <w:kinsoku/>
        <w:wordWrap/>
        <w:overflowPunct/>
        <w:topLinePunct w:val="0"/>
        <w:autoSpaceDE/>
        <w:autoSpaceDN/>
        <w:bidi w:val="0"/>
        <w:adjustRightIn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52CEF69B">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color w:val="auto"/>
          <w:sz w:val="40"/>
          <w:szCs w:val="40"/>
          <w:highlight w:val="none"/>
          <w:shd w:val="clear" w:color="auto" w:fill="auto"/>
        </w:rPr>
      </w:pPr>
      <w:bookmarkStart w:id="0" w:name="_Toc15679"/>
      <w:bookmarkStart w:id="1" w:name="_Toc29123"/>
      <w:bookmarkStart w:id="2" w:name="_Toc1949"/>
      <w:bookmarkStart w:id="3" w:name="_Toc25575"/>
      <w:r>
        <w:rPr>
          <w:rFonts w:hint="eastAsia" w:ascii="宋体" w:hAnsi="宋体" w:eastAsia="宋体" w:cs="宋体"/>
          <w:b/>
          <w:bCs/>
          <w:color w:val="auto"/>
          <w:sz w:val="40"/>
          <w:szCs w:val="40"/>
          <w:highlight w:val="none"/>
          <w:shd w:val="clear" w:color="auto" w:fill="auto"/>
          <w:lang w:val="en-US" w:eastAsia="zh-CN"/>
        </w:rPr>
        <w:t>2024年农业经营主体能力提升项目</w:t>
      </w:r>
      <w:r>
        <w:rPr>
          <w:rFonts w:hint="eastAsia" w:ascii="宋体" w:hAnsi="宋体" w:eastAsia="宋体" w:cs="宋体"/>
          <w:b/>
          <w:bCs/>
          <w:color w:val="auto"/>
          <w:sz w:val="40"/>
          <w:szCs w:val="40"/>
          <w:highlight w:val="none"/>
          <w:shd w:val="clear" w:color="auto" w:fill="auto"/>
        </w:rPr>
        <w:t>支出绩效评价报告</w:t>
      </w:r>
      <w:bookmarkEnd w:id="0"/>
      <w:bookmarkEnd w:id="1"/>
      <w:bookmarkEnd w:id="2"/>
      <w:bookmarkEnd w:id="3"/>
    </w:p>
    <w:p w14:paraId="26A21699">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hint="eastAsia" w:ascii="宋体" w:hAnsi="宋体" w:eastAsia="宋体" w:cs="宋体"/>
          <w:b/>
          <w:bCs/>
          <w:color w:val="auto"/>
          <w:sz w:val="36"/>
          <w:szCs w:val="36"/>
          <w:highlight w:val="none"/>
          <w:shd w:val="clear" w:color="auto" w:fill="auto"/>
        </w:rPr>
      </w:pPr>
    </w:p>
    <w:p w14:paraId="3DDD8E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7C5008D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32C76B0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7E9326B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65A2F53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36"/>
          <w:szCs w:val="36"/>
          <w:highlight w:val="none"/>
          <w:shd w:val="clear" w:color="auto" w:fill="auto"/>
        </w:rPr>
      </w:pPr>
    </w:p>
    <w:p w14:paraId="08E1AF88">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hint="eastAsia" w:ascii="宋体" w:hAnsi="宋体" w:eastAsia="宋体" w:cs="宋体"/>
          <w:b/>
          <w:bCs/>
          <w:color w:val="auto"/>
          <w:sz w:val="36"/>
          <w:szCs w:val="36"/>
          <w:highlight w:val="none"/>
          <w:shd w:val="clear" w:color="auto" w:fill="auto"/>
        </w:rPr>
      </w:pPr>
    </w:p>
    <w:p w14:paraId="6AAADC36">
      <w:pPr>
        <w:spacing w:line="360" w:lineRule="auto"/>
        <w:ind w:firstLine="0" w:firstLineChars="0"/>
        <w:jc w:val="left"/>
        <w:rPr>
          <w:rFonts w:ascii="黑体" w:hAnsi="Times New Roman" w:eastAsia="黑体"/>
          <w:b w:val="0"/>
          <w:bCs/>
          <w:color w:val="auto"/>
          <w:sz w:val="30"/>
          <w:szCs w:val="30"/>
          <w:highlight w:val="none"/>
        </w:rPr>
      </w:pPr>
      <w:r>
        <w:rPr>
          <w:rFonts w:hint="eastAsia" w:ascii="黑体" w:hAnsi="Times New Roman" w:eastAsia="黑体"/>
          <w:b w:val="0"/>
          <w:bCs/>
          <w:color w:val="auto"/>
          <w:sz w:val="30"/>
          <w:szCs w:val="30"/>
          <w:highlight w:val="none"/>
        </w:rPr>
        <w:t>项目名称：2024年农业经营主体能力提升项目</w:t>
      </w:r>
    </w:p>
    <w:p w14:paraId="2DB4C6FE">
      <w:pPr>
        <w:spacing w:line="360" w:lineRule="auto"/>
        <w:ind w:firstLine="0" w:firstLineChars="0"/>
        <w:jc w:val="left"/>
        <w:rPr>
          <w:rFonts w:hint="eastAsia" w:ascii="黑体" w:hAnsi="Times New Roman" w:eastAsia="黑体"/>
          <w:b w:val="0"/>
          <w:bCs/>
          <w:color w:val="auto"/>
          <w:sz w:val="30"/>
          <w:szCs w:val="30"/>
          <w:highlight w:val="none"/>
        </w:rPr>
      </w:pPr>
      <w:r>
        <w:rPr>
          <w:rFonts w:hint="eastAsia" w:ascii="黑体" w:hAnsi="Times New Roman" w:eastAsia="黑体"/>
          <w:b w:val="0"/>
          <w:bCs/>
          <w:color w:val="auto"/>
          <w:sz w:val="30"/>
          <w:szCs w:val="30"/>
          <w:highlight w:val="none"/>
        </w:rPr>
        <w:t>实施单位：</w:t>
      </w:r>
      <w:r>
        <w:rPr>
          <w:rFonts w:hint="eastAsia" w:ascii="黑体" w:hAnsi="Times New Roman" w:eastAsia="黑体"/>
          <w:b w:val="0"/>
          <w:bCs/>
          <w:color w:val="auto"/>
          <w:sz w:val="30"/>
          <w:szCs w:val="30"/>
          <w:highlight w:val="none"/>
          <w:lang w:eastAsia="zh-CN"/>
        </w:rPr>
        <w:t>阜康市农村合作经济发展指导中心</w:t>
      </w:r>
    </w:p>
    <w:p w14:paraId="2EC45FE1">
      <w:pPr>
        <w:spacing w:line="360" w:lineRule="auto"/>
        <w:ind w:firstLine="0" w:firstLineChars="0"/>
        <w:jc w:val="left"/>
        <w:rPr>
          <w:rFonts w:hint="eastAsia" w:ascii="黑体" w:hAnsi="Times New Roman" w:eastAsia="黑体"/>
          <w:b w:val="0"/>
          <w:bCs/>
          <w:color w:val="auto"/>
          <w:sz w:val="30"/>
          <w:szCs w:val="30"/>
          <w:highlight w:val="none"/>
          <w:lang w:eastAsia="zh-CN"/>
        </w:rPr>
      </w:pPr>
      <w:r>
        <w:rPr>
          <w:rFonts w:hint="eastAsia" w:ascii="黑体" w:hAnsi="Times New Roman" w:eastAsia="黑体"/>
          <w:b w:val="0"/>
          <w:bCs/>
          <w:color w:val="auto"/>
          <w:sz w:val="30"/>
          <w:szCs w:val="30"/>
          <w:highlight w:val="none"/>
        </w:rPr>
        <w:t>主管部门：阜康市农业农村局</w:t>
      </w:r>
    </w:p>
    <w:p w14:paraId="065BEE39">
      <w:pPr>
        <w:spacing w:line="360" w:lineRule="auto"/>
        <w:ind w:firstLine="0" w:firstLineChars="0"/>
        <w:jc w:val="left"/>
        <w:rPr>
          <w:rFonts w:hint="eastAsia" w:ascii="黑体" w:hAnsi="Times New Roman" w:eastAsia="黑体"/>
          <w:b w:val="0"/>
          <w:bCs/>
          <w:color w:val="auto"/>
          <w:sz w:val="30"/>
          <w:szCs w:val="30"/>
          <w:highlight w:val="none"/>
          <w:lang w:eastAsia="zh-CN"/>
        </w:rPr>
      </w:pPr>
      <w:r>
        <w:rPr>
          <w:rFonts w:hint="eastAsia" w:ascii="黑体" w:hAnsi="Times New Roman" w:eastAsia="黑体"/>
          <w:b w:val="0"/>
          <w:bCs/>
          <w:color w:val="auto"/>
          <w:sz w:val="30"/>
          <w:szCs w:val="30"/>
          <w:highlight w:val="none"/>
          <w:lang w:eastAsia="zh-CN"/>
        </w:rPr>
        <w:t>项目负责人：白金星</w:t>
      </w:r>
    </w:p>
    <w:p w14:paraId="50706B4B">
      <w:pPr>
        <w:spacing w:line="360" w:lineRule="auto"/>
        <w:ind w:firstLine="0" w:firstLineChars="0"/>
        <w:jc w:val="left"/>
        <w:rPr>
          <w:rFonts w:hint="default"/>
          <w:b w:val="0"/>
          <w:bCs/>
          <w:color w:val="auto"/>
          <w:highlight w:val="none"/>
          <w:lang w:val="en-US" w:eastAsia="zh-CN"/>
        </w:rPr>
      </w:pPr>
      <w:r>
        <w:rPr>
          <w:rFonts w:hint="eastAsia" w:ascii="黑体" w:hAnsi="Times New Roman" w:eastAsia="黑体"/>
          <w:b w:val="0"/>
          <w:bCs/>
          <w:color w:val="auto"/>
          <w:sz w:val="30"/>
          <w:szCs w:val="30"/>
          <w:highlight w:val="none"/>
          <w:lang w:eastAsia="zh-CN"/>
        </w:rPr>
        <w:t>填报时间：</w:t>
      </w:r>
      <w:r>
        <w:rPr>
          <w:rFonts w:hint="eastAsia" w:ascii="黑体" w:hAnsi="Times New Roman" w:eastAsia="黑体"/>
          <w:b w:val="0"/>
          <w:bCs/>
          <w:color w:val="auto"/>
          <w:sz w:val="30"/>
          <w:szCs w:val="30"/>
          <w:highlight w:val="none"/>
          <w:lang w:val="en-US" w:eastAsia="zh-CN"/>
        </w:rPr>
        <w:t>2025年3月31日</w:t>
      </w:r>
    </w:p>
    <w:p w14:paraId="5E9F2796">
      <w:pPr>
        <w:pStyle w:val="14"/>
        <w:pageBreakBefore w:val="0"/>
        <w:kinsoku/>
        <w:wordWrap/>
        <w:overflowPunct/>
        <w:topLinePunct w:val="0"/>
        <w:autoSpaceDE/>
        <w:autoSpaceDN/>
        <w:bidi w:val="0"/>
        <w:spacing w:line="560" w:lineRule="exact"/>
        <w:textAlignment w:val="auto"/>
        <w:outlineLvl w:val="9"/>
        <w:rPr>
          <w:rFonts w:hint="eastAsia" w:ascii="宋体" w:hAnsi="宋体" w:eastAsia="宋体" w:cs="宋体"/>
          <w:b/>
          <w:color w:val="auto"/>
          <w:kern w:val="2"/>
          <w:sz w:val="28"/>
          <w:szCs w:val="28"/>
          <w:highlight w:val="none"/>
          <w:shd w:val="clear" w:color="auto" w:fill="auto"/>
          <w:lang w:val="en-US" w:eastAsia="zh-CN"/>
        </w:rPr>
      </w:pPr>
    </w:p>
    <w:p w14:paraId="172711C6">
      <w:pPr>
        <w:pageBreakBefore w:val="0"/>
        <w:kinsoku/>
        <w:wordWrap/>
        <w:overflowPunct/>
        <w:topLinePunct w:val="0"/>
        <w:autoSpaceDE/>
        <w:autoSpaceDN/>
        <w:bidi w:val="0"/>
        <w:spacing w:line="560" w:lineRule="exact"/>
        <w:textAlignment w:val="auto"/>
        <w:rPr>
          <w:rFonts w:hint="eastAsia"/>
          <w:color w:val="auto"/>
          <w:highlight w:val="none"/>
          <w:lang w:val="en-US" w:eastAsia="zh-CN"/>
        </w:rPr>
      </w:pPr>
      <w:r>
        <w:rPr>
          <w:rFonts w:hint="eastAsia"/>
          <w:color w:val="auto"/>
          <w:highlight w:val="none"/>
          <w:lang w:val="en-US" w:eastAsia="zh-CN"/>
        </w:rPr>
        <w:br w:type="page"/>
      </w:r>
    </w:p>
    <w:p w14:paraId="48C440DF">
      <w:pPr>
        <w:pageBreakBefore w:val="0"/>
        <w:kinsoku/>
        <w:wordWrap/>
        <w:overflowPunct/>
        <w:topLinePunct w:val="0"/>
        <w:autoSpaceDE/>
        <w:autoSpaceDN/>
        <w:bidi w:val="0"/>
        <w:spacing w:line="560" w:lineRule="exact"/>
        <w:textAlignment w:val="auto"/>
        <w:rPr>
          <w:rFonts w:hint="eastAsia"/>
          <w:color w:val="auto"/>
          <w:highlight w:val="none"/>
          <w:lang w:val="en-US" w:eastAsia="zh-CN"/>
        </w:rPr>
      </w:pPr>
    </w:p>
    <w:sdt>
      <w:sdtPr>
        <w:rPr>
          <w:rFonts w:ascii="宋体" w:hAnsi="宋体" w:eastAsia="宋体" w:cs="宋体"/>
          <w:b/>
          <w:bCs/>
          <w:color w:val="auto"/>
          <w:kern w:val="2"/>
          <w:sz w:val="28"/>
          <w:szCs w:val="40"/>
          <w:highlight w:val="none"/>
          <w:lang w:val="en-US" w:eastAsia="zh-CN" w:bidi="ar-SA"/>
        </w:rPr>
        <w:id w:val="147474046"/>
        <w15:color w:val="DBDBDB"/>
        <w:docPartObj>
          <w:docPartGallery w:val="Table of Contents"/>
          <w:docPartUnique/>
        </w:docPartObj>
      </w:sdtPr>
      <w:sdtEndPr>
        <w:rPr>
          <w:rFonts w:hint="eastAsia" w:ascii="宋体" w:hAnsi="宋体" w:eastAsia="宋体" w:cs="宋体"/>
          <w:b/>
          <w:bCs/>
          <w:color w:val="auto"/>
          <w:kern w:val="2"/>
          <w:sz w:val="28"/>
          <w:szCs w:val="28"/>
          <w:highlight w:val="none"/>
          <w:lang w:val="en-US" w:eastAsia="zh-CN" w:bidi="ar-SA"/>
        </w:rPr>
      </w:sdtEndPr>
      <w:sdtContent>
        <w:p w14:paraId="2C77D8D6">
          <w:pPr>
            <w:keepNext w:val="0"/>
            <w:keepLines w:val="0"/>
            <w:pageBreakBefore w:val="0"/>
            <w:shd w:val="clear"/>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rPr>
              <w:b/>
              <w:bCs/>
              <w:color w:val="auto"/>
              <w:sz w:val="40"/>
              <w:szCs w:val="40"/>
              <w:highlight w:val="none"/>
            </w:rPr>
          </w:pPr>
          <w:r>
            <w:rPr>
              <w:rFonts w:ascii="宋体" w:hAnsi="宋体" w:eastAsia="宋体"/>
              <w:b/>
              <w:bCs/>
              <w:color w:val="auto"/>
              <w:sz w:val="40"/>
              <w:szCs w:val="40"/>
              <w:highlight w:val="none"/>
            </w:rPr>
            <w:t>目录</w:t>
          </w:r>
        </w:p>
        <w:p w14:paraId="7A85C49B">
          <w:pPr>
            <w:pStyle w:val="10"/>
            <w:tabs>
              <w:tab w:val="right" w:leader="dot" w:pos="8844"/>
            </w:tabs>
            <w:rPr>
              <w:color w:val="auto"/>
              <w:highlight w:val="none"/>
            </w:rPr>
          </w:pPr>
          <w:r>
            <w:rPr>
              <w:rFonts w:hint="eastAsia"/>
              <w:color w:val="auto"/>
              <w:sz w:val="28"/>
              <w:szCs w:val="28"/>
              <w:highlight w:val="none"/>
              <w:lang w:val="en-US" w:eastAsia="zh-CN"/>
            </w:rPr>
            <w:fldChar w:fldCharType="begin"/>
          </w:r>
          <w:r>
            <w:rPr>
              <w:rFonts w:hint="eastAsia"/>
              <w:color w:val="auto"/>
              <w:sz w:val="28"/>
              <w:szCs w:val="28"/>
              <w:highlight w:val="none"/>
              <w:lang w:val="en-US" w:eastAsia="zh-CN"/>
            </w:rPr>
            <w:instrText xml:space="preserve">TOC \o "1-3" \h \u </w:instrText>
          </w:r>
          <w:r>
            <w:rPr>
              <w:rFonts w:hint="eastAsia"/>
              <w:color w:val="auto"/>
              <w:sz w:val="28"/>
              <w:szCs w:val="28"/>
              <w:highlight w:val="none"/>
              <w:lang w:val="en-US" w:eastAsia="zh-CN"/>
            </w:rPr>
            <w:fldChar w:fldCharType="separate"/>
          </w:r>
        </w:p>
        <w:p w14:paraId="2212584B">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_Toc18485 </w:instrText>
          </w:r>
          <w:r>
            <w:rPr>
              <w:rFonts w:hint="eastAsia"/>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rPr>
            <w:t>一、基本情况</w:t>
          </w:r>
          <w:r>
            <w:rPr>
              <w:color w:val="auto"/>
              <w:highlight w:val="none"/>
            </w:rPr>
            <w:tab/>
          </w:r>
          <w:r>
            <w:rPr>
              <w:color w:val="auto"/>
              <w:highlight w:val="none"/>
            </w:rPr>
            <w:fldChar w:fldCharType="begin"/>
          </w:r>
          <w:r>
            <w:rPr>
              <w:color w:val="auto"/>
              <w:highlight w:val="none"/>
            </w:rPr>
            <w:instrText xml:space="preserve"> PAGEREF _Toc18485 \h </w:instrText>
          </w:r>
          <w:r>
            <w:rPr>
              <w:color w:val="auto"/>
              <w:highlight w:val="none"/>
            </w:rPr>
            <w:fldChar w:fldCharType="separate"/>
          </w:r>
          <w:r>
            <w:rPr>
              <w:color w:val="auto"/>
              <w:highlight w:val="none"/>
            </w:rPr>
            <w:t>4</w:t>
          </w:r>
          <w:r>
            <w:rPr>
              <w:color w:val="auto"/>
              <w:highlight w:val="none"/>
            </w:rPr>
            <w:fldChar w:fldCharType="end"/>
          </w:r>
          <w:r>
            <w:rPr>
              <w:rFonts w:hint="eastAsia"/>
              <w:color w:val="auto"/>
              <w:szCs w:val="28"/>
              <w:highlight w:val="none"/>
              <w:lang w:val="en-US" w:eastAsia="zh-CN"/>
            </w:rPr>
            <w:fldChar w:fldCharType="end"/>
          </w:r>
        </w:p>
        <w:p w14:paraId="3912E34D">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_Toc23184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（一）项目概况</w:t>
          </w:r>
          <w:r>
            <w:rPr>
              <w:color w:val="auto"/>
              <w:highlight w:val="none"/>
            </w:rPr>
            <w:tab/>
          </w:r>
          <w:r>
            <w:rPr>
              <w:color w:val="auto"/>
              <w:highlight w:val="none"/>
            </w:rPr>
            <w:fldChar w:fldCharType="begin"/>
          </w:r>
          <w:r>
            <w:rPr>
              <w:color w:val="auto"/>
              <w:highlight w:val="none"/>
            </w:rPr>
            <w:instrText xml:space="preserve"> PAGEREF _Toc23184 \h </w:instrText>
          </w:r>
          <w:r>
            <w:rPr>
              <w:color w:val="auto"/>
              <w:highlight w:val="none"/>
            </w:rPr>
            <w:fldChar w:fldCharType="separate"/>
          </w:r>
          <w:r>
            <w:rPr>
              <w:color w:val="auto"/>
              <w:highlight w:val="none"/>
            </w:rPr>
            <w:t>4</w:t>
          </w:r>
          <w:r>
            <w:rPr>
              <w:color w:val="auto"/>
              <w:highlight w:val="none"/>
            </w:rPr>
            <w:fldChar w:fldCharType="end"/>
          </w:r>
          <w:r>
            <w:rPr>
              <w:rFonts w:hint="eastAsia"/>
              <w:color w:val="auto"/>
              <w:szCs w:val="28"/>
              <w:highlight w:val="none"/>
              <w:lang w:val="en-US" w:eastAsia="zh-CN"/>
            </w:rPr>
            <w:fldChar w:fldCharType="end"/>
          </w:r>
        </w:p>
        <w:p w14:paraId="17B41E73">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_Toc9109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（二）项目绩效目标</w:t>
          </w:r>
          <w:r>
            <w:rPr>
              <w:color w:val="auto"/>
              <w:highlight w:val="none"/>
            </w:rPr>
            <w:tab/>
          </w:r>
          <w:r>
            <w:rPr>
              <w:color w:val="auto"/>
              <w:highlight w:val="none"/>
            </w:rPr>
            <w:fldChar w:fldCharType="begin"/>
          </w:r>
          <w:r>
            <w:rPr>
              <w:color w:val="auto"/>
              <w:highlight w:val="none"/>
            </w:rPr>
            <w:instrText xml:space="preserve"> PAGEREF _Toc9109 \h </w:instrText>
          </w:r>
          <w:r>
            <w:rPr>
              <w:color w:val="auto"/>
              <w:highlight w:val="none"/>
            </w:rPr>
            <w:fldChar w:fldCharType="separate"/>
          </w:r>
          <w:r>
            <w:rPr>
              <w:color w:val="auto"/>
              <w:highlight w:val="none"/>
            </w:rPr>
            <w:t>6</w:t>
          </w:r>
          <w:r>
            <w:rPr>
              <w:color w:val="auto"/>
              <w:highlight w:val="none"/>
            </w:rPr>
            <w:fldChar w:fldCharType="end"/>
          </w:r>
          <w:r>
            <w:rPr>
              <w:rFonts w:hint="eastAsia"/>
              <w:color w:val="auto"/>
              <w:szCs w:val="28"/>
              <w:highlight w:val="none"/>
              <w:lang w:val="en-US" w:eastAsia="zh-CN"/>
            </w:rPr>
            <w:fldChar w:fldCharType="end"/>
          </w:r>
        </w:p>
        <w:p w14:paraId="37F756E6">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_Toc26567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color w:val="auto"/>
              <w:highlight w:val="none"/>
              <w:shd w:val="clear" w:color="auto" w:fill="auto"/>
            </w:rPr>
            <w:t>二、绩效评价工作开展情况</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_Toc26567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7</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4ED330E9">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_Toc22839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（一）绩效评价的目的、对象和范围</w:t>
          </w:r>
          <w:r>
            <w:rPr>
              <w:color w:val="auto"/>
              <w:highlight w:val="none"/>
            </w:rPr>
            <w:tab/>
          </w:r>
          <w:r>
            <w:rPr>
              <w:color w:val="auto"/>
              <w:highlight w:val="none"/>
            </w:rPr>
            <w:fldChar w:fldCharType="begin"/>
          </w:r>
          <w:r>
            <w:rPr>
              <w:color w:val="auto"/>
              <w:highlight w:val="none"/>
            </w:rPr>
            <w:instrText xml:space="preserve"> PAGEREF _Toc22839 \h </w:instrText>
          </w:r>
          <w:r>
            <w:rPr>
              <w:color w:val="auto"/>
              <w:highlight w:val="none"/>
            </w:rPr>
            <w:fldChar w:fldCharType="separate"/>
          </w:r>
          <w:r>
            <w:rPr>
              <w:color w:val="auto"/>
              <w:highlight w:val="none"/>
            </w:rPr>
            <w:t>7</w:t>
          </w:r>
          <w:r>
            <w:rPr>
              <w:color w:val="auto"/>
              <w:highlight w:val="none"/>
            </w:rPr>
            <w:fldChar w:fldCharType="end"/>
          </w:r>
          <w:r>
            <w:rPr>
              <w:rFonts w:hint="eastAsia"/>
              <w:color w:val="auto"/>
              <w:szCs w:val="28"/>
              <w:highlight w:val="none"/>
              <w:lang w:val="en-US" w:eastAsia="zh-CN"/>
            </w:rPr>
            <w:fldChar w:fldCharType="end"/>
          </w:r>
        </w:p>
        <w:p w14:paraId="41477607">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_Toc29785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（二）绩效评价原则、评价指标体系（</w:t>
          </w:r>
          <w:r>
            <w:rPr>
              <w:rFonts w:hint="default" w:ascii="Times New Roman" w:hAnsi="Times New Roman" w:eastAsia="楷体_GB2312" w:cs="Times New Roman"/>
              <w:color w:val="auto"/>
              <w:kern w:val="28"/>
              <w:highlight w:val="none"/>
              <w:lang w:val="en-US" w:eastAsia="zh-CN"/>
            </w:rPr>
            <w:t>详情见</w:t>
          </w:r>
          <w:r>
            <w:rPr>
              <w:rFonts w:hint="eastAsia" w:ascii="Times New Roman" w:hAnsi="Times New Roman" w:eastAsia="楷体_GB2312" w:cs="Times New Roman"/>
              <w:color w:val="auto"/>
              <w:kern w:val="28"/>
              <w:highlight w:val="none"/>
              <w:lang w:val="en-US" w:eastAsia="zh-CN"/>
            </w:rPr>
            <w:t>附件二）、评价方法、评价标准</w:t>
          </w:r>
          <w:r>
            <w:rPr>
              <w:color w:val="auto"/>
              <w:highlight w:val="none"/>
            </w:rPr>
            <w:tab/>
          </w:r>
          <w:r>
            <w:rPr>
              <w:color w:val="auto"/>
              <w:highlight w:val="none"/>
            </w:rPr>
            <w:fldChar w:fldCharType="begin"/>
          </w:r>
          <w:r>
            <w:rPr>
              <w:color w:val="auto"/>
              <w:highlight w:val="none"/>
            </w:rPr>
            <w:instrText xml:space="preserve"> PAGEREF _Toc29785 \h </w:instrText>
          </w:r>
          <w:r>
            <w:rPr>
              <w:color w:val="auto"/>
              <w:highlight w:val="none"/>
            </w:rPr>
            <w:fldChar w:fldCharType="separate"/>
          </w:r>
          <w:r>
            <w:rPr>
              <w:color w:val="auto"/>
              <w:highlight w:val="none"/>
            </w:rPr>
            <w:t>11</w:t>
          </w:r>
          <w:r>
            <w:rPr>
              <w:color w:val="auto"/>
              <w:highlight w:val="none"/>
            </w:rPr>
            <w:fldChar w:fldCharType="end"/>
          </w:r>
          <w:r>
            <w:rPr>
              <w:rFonts w:hint="eastAsia"/>
              <w:color w:val="auto"/>
              <w:szCs w:val="28"/>
              <w:highlight w:val="none"/>
              <w:lang w:val="en-US" w:eastAsia="zh-CN"/>
            </w:rPr>
            <w:fldChar w:fldCharType="end"/>
          </w:r>
        </w:p>
        <w:p w14:paraId="556FEB0C">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_Toc21435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（三）绩效评价工作过程</w:t>
          </w:r>
          <w:r>
            <w:rPr>
              <w:color w:val="auto"/>
              <w:highlight w:val="none"/>
            </w:rPr>
            <w:tab/>
          </w:r>
          <w:r>
            <w:rPr>
              <w:color w:val="auto"/>
              <w:highlight w:val="none"/>
            </w:rPr>
            <w:fldChar w:fldCharType="begin"/>
          </w:r>
          <w:r>
            <w:rPr>
              <w:color w:val="auto"/>
              <w:highlight w:val="none"/>
            </w:rPr>
            <w:instrText xml:space="preserve"> PAGEREF _Toc21435 \h </w:instrText>
          </w:r>
          <w:r>
            <w:rPr>
              <w:color w:val="auto"/>
              <w:highlight w:val="none"/>
            </w:rPr>
            <w:fldChar w:fldCharType="separate"/>
          </w:r>
          <w:r>
            <w:rPr>
              <w:color w:val="auto"/>
              <w:highlight w:val="none"/>
            </w:rPr>
            <w:t>14</w:t>
          </w:r>
          <w:r>
            <w:rPr>
              <w:color w:val="auto"/>
              <w:highlight w:val="none"/>
            </w:rPr>
            <w:fldChar w:fldCharType="end"/>
          </w:r>
          <w:r>
            <w:rPr>
              <w:rFonts w:hint="eastAsia"/>
              <w:color w:val="auto"/>
              <w:szCs w:val="28"/>
              <w:highlight w:val="none"/>
              <w:lang w:val="en-US" w:eastAsia="zh-CN"/>
            </w:rPr>
            <w:fldChar w:fldCharType="end"/>
          </w:r>
        </w:p>
        <w:p w14:paraId="3B815655">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_Toc19261 </w:instrText>
          </w:r>
          <w:r>
            <w:rPr>
              <w:rFonts w:hint="eastAsia"/>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lang w:val="en-US" w:eastAsia="zh-CN"/>
            </w:rPr>
            <w:t>三、</w:t>
          </w:r>
          <w:r>
            <w:rPr>
              <w:rFonts w:hint="eastAsia" w:ascii="黑体" w:hAnsi="黑体" w:eastAsia="黑体" w:cs="黑体"/>
              <w:bCs w:val="0"/>
              <w:color w:val="auto"/>
              <w:highlight w:val="none"/>
              <w:shd w:val="clear" w:color="auto" w:fill="auto"/>
            </w:rPr>
            <w:t>综合评价情况及评价结论</w:t>
          </w:r>
          <w:r>
            <w:rPr>
              <w:color w:val="auto"/>
              <w:highlight w:val="none"/>
            </w:rPr>
            <w:tab/>
          </w:r>
          <w:r>
            <w:rPr>
              <w:color w:val="auto"/>
              <w:highlight w:val="none"/>
            </w:rPr>
            <w:fldChar w:fldCharType="begin"/>
          </w:r>
          <w:r>
            <w:rPr>
              <w:color w:val="auto"/>
              <w:highlight w:val="none"/>
            </w:rPr>
            <w:instrText xml:space="preserve"> PAGEREF _Toc19261 \h </w:instrText>
          </w:r>
          <w:r>
            <w:rPr>
              <w:color w:val="auto"/>
              <w:highlight w:val="none"/>
            </w:rPr>
            <w:fldChar w:fldCharType="separate"/>
          </w:r>
          <w:r>
            <w:rPr>
              <w:color w:val="auto"/>
              <w:highlight w:val="none"/>
            </w:rPr>
            <w:t>16</w:t>
          </w:r>
          <w:r>
            <w:rPr>
              <w:color w:val="auto"/>
              <w:highlight w:val="none"/>
            </w:rPr>
            <w:fldChar w:fldCharType="end"/>
          </w:r>
          <w:r>
            <w:rPr>
              <w:rFonts w:hint="eastAsia"/>
              <w:color w:val="auto"/>
              <w:szCs w:val="28"/>
              <w:highlight w:val="none"/>
              <w:lang w:val="en-US" w:eastAsia="zh-CN"/>
            </w:rPr>
            <w:fldChar w:fldCharType="end"/>
          </w:r>
        </w:p>
        <w:p w14:paraId="0A9E6E01">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_Toc23319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（一）综合评价情况及评价结论</w:t>
          </w:r>
          <w:r>
            <w:rPr>
              <w:color w:val="auto"/>
              <w:highlight w:val="none"/>
            </w:rPr>
            <w:tab/>
          </w:r>
          <w:r>
            <w:rPr>
              <w:color w:val="auto"/>
              <w:highlight w:val="none"/>
            </w:rPr>
            <w:fldChar w:fldCharType="begin"/>
          </w:r>
          <w:r>
            <w:rPr>
              <w:color w:val="auto"/>
              <w:highlight w:val="none"/>
            </w:rPr>
            <w:instrText xml:space="preserve"> PAGEREF _Toc23319 \h </w:instrText>
          </w:r>
          <w:r>
            <w:rPr>
              <w:color w:val="auto"/>
              <w:highlight w:val="none"/>
            </w:rPr>
            <w:fldChar w:fldCharType="separate"/>
          </w:r>
          <w:r>
            <w:rPr>
              <w:color w:val="auto"/>
              <w:highlight w:val="none"/>
            </w:rPr>
            <w:t>16</w:t>
          </w:r>
          <w:r>
            <w:rPr>
              <w:color w:val="auto"/>
              <w:highlight w:val="none"/>
            </w:rPr>
            <w:fldChar w:fldCharType="end"/>
          </w:r>
          <w:r>
            <w:rPr>
              <w:rFonts w:hint="eastAsia"/>
              <w:color w:val="auto"/>
              <w:szCs w:val="28"/>
              <w:highlight w:val="none"/>
              <w:lang w:val="en-US" w:eastAsia="zh-CN"/>
            </w:rPr>
            <w:fldChar w:fldCharType="end"/>
          </w:r>
        </w:p>
        <w:p w14:paraId="59A17E56">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_Toc11863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（二）相关评分表</w:t>
          </w:r>
          <w:r>
            <w:rPr>
              <w:color w:val="auto"/>
              <w:highlight w:val="none"/>
            </w:rPr>
            <w:tab/>
          </w:r>
          <w:r>
            <w:rPr>
              <w:color w:val="auto"/>
              <w:highlight w:val="none"/>
            </w:rPr>
            <w:fldChar w:fldCharType="begin"/>
          </w:r>
          <w:r>
            <w:rPr>
              <w:color w:val="auto"/>
              <w:highlight w:val="none"/>
            </w:rPr>
            <w:instrText xml:space="preserve"> PAGEREF _Toc11863 \h </w:instrText>
          </w:r>
          <w:r>
            <w:rPr>
              <w:color w:val="auto"/>
              <w:highlight w:val="none"/>
            </w:rPr>
            <w:fldChar w:fldCharType="separate"/>
          </w:r>
          <w:r>
            <w:rPr>
              <w:color w:val="auto"/>
              <w:highlight w:val="none"/>
            </w:rPr>
            <w:t>17</w:t>
          </w:r>
          <w:r>
            <w:rPr>
              <w:color w:val="auto"/>
              <w:highlight w:val="none"/>
            </w:rPr>
            <w:fldChar w:fldCharType="end"/>
          </w:r>
          <w:r>
            <w:rPr>
              <w:rFonts w:hint="eastAsia"/>
              <w:color w:val="auto"/>
              <w:szCs w:val="28"/>
              <w:highlight w:val="none"/>
              <w:lang w:val="en-US" w:eastAsia="zh-CN"/>
            </w:rPr>
            <w:fldChar w:fldCharType="end"/>
          </w:r>
        </w:p>
        <w:p w14:paraId="41287B22">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_Toc14941 </w:instrText>
          </w:r>
          <w:r>
            <w:rPr>
              <w:rFonts w:hint="eastAsia"/>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lang w:val="en-US" w:eastAsia="zh-CN"/>
            </w:rPr>
            <w:t>四、绩效评价指标分析</w:t>
          </w:r>
          <w:r>
            <w:rPr>
              <w:color w:val="auto"/>
              <w:highlight w:val="none"/>
            </w:rPr>
            <w:tab/>
          </w:r>
          <w:r>
            <w:rPr>
              <w:color w:val="auto"/>
              <w:highlight w:val="none"/>
            </w:rPr>
            <w:fldChar w:fldCharType="begin"/>
          </w:r>
          <w:r>
            <w:rPr>
              <w:color w:val="auto"/>
              <w:highlight w:val="none"/>
            </w:rPr>
            <w:instrText xml:space="preserve"> PAGEREF _Toc14941 \h </w:instrText>
          </w:r>
          <w:r>
            <w:rPr>
              <w:color w:val="auto"/>
              <w:highlight w:val="none"/>
            </w:rPr>
            <w:fldChar w:fldCharType="separate"/>
          </w:r>
          <w:r>
            <w:rPr>
              <w:color w:val="auto"/>
              <w:highlight w:val="none"/>
            </w:rPr>
            <w:t>18</w:t>
          </w:r>
          <w:r>
            <w:rPr>
              <w:color w:val="auto"/>
              <w:highlight w:val="none"/>
            </w:rPr>
            <w:fldChar w:fldCharType="end"/>
          </w:r>
          <w:r>
            <w:rPr>
              <w:rFonts w:hint="eastAsia"/>
              <w:color w:val="auto"/>
              <w:szCs w:val="28"/>
              <w:highlight w:val="none"/>
              <w:lang w:val="en-US" w:eastAsia="zh-CN"/>
            </w:rPr>
            <w:fldChar w:fldCharType="end"/>
          </w:r>
        </w:p>
        <w:p w14:paraId="4403B4F1">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_Toc6759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rPr>
            <w:t>（一）项目决策情况</w:t>
          </w:r>
          <w:r>
            <w:rPr>
              <w:color w:val="auto"/>
              <w:highlight w:val="none"/>
            </w:rPr>
            <w:tab/>
          </w:r>
          <w:r>
            <w:rPr>
              <w:color w:val="auto"/>
              <w:highlight w:val="none"/>
            </w:rPr>
            <w:fldChar w:fldCharType="begin"/>
          </w:r>
          <w:r>
            <w:rPr>
              <w:color w:val="auto"/>
              <w:highlight w:val="none"/>
            </w:rPr>
            <w:instrText xml:space="preserve"> PAGEREF _Toc6759 \h </w:instrText>
          </w:r>
          <w:r>
            <w:rPr>
              <w:color w:val="auto"/>
              <w:highlight w:val="none"/>
            </w:rPr>
            <w:fldChar w:fldCharType="separate"/>
          </w:r>
          <w:r>
            <w:rPr>
              <w:color w:val="auto"/>
              <w:highlight w:val="none"/>
            </w:rPr>
            <w:t>18</w:t>
          </w:r>
          <w:r>
            <w:rPr>
              <w:color w:val="auto"/>
              <w:highlight w:val="none"/>
            </w:rPr>
            <w:fldChar w:fldCharType="end"/>
          </w:r>
          <w:r>
            <w:rPr>
              <w:rFonts w:hint="eastAsia"/>
              <w:color w:val="auto"/>
              <w:szCs w:val="28"/>
              <w:highlight w:val="none"/>
              <w:lang w:val="en-US" w:eastAsia="zh-CN"/>
            </w:rPr>
            <w:fldChar w:fldCharType="end"/>
          </w:r>
        </w:p>
        <w:p w14:paraId="5BC5DC5C">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_Toc10564 </w:instrText>
          </w:r>
          <w:r>
            <w:rPr>
              <w:rFonts w:hint="eastAsia"/>
              <w:color w:val="auto"/>
              <w:szCs w:val="28"/>
              <w:highlight w:val="none"/>
              <w:lang w:val="en-US" w:eastAsia="zh-CN"/>
            </w:rPr>
            <w:fldChar w:fldCharType="separate"/>
          </w:r>
          <w:r>
            <w:rPr>
              <w:rFonts w:hint="eastAsia" w:ascii="Times New Roman" w:hAnsi="Times New Roman" w:eastAsia="楷体" w:cs="Times New Roman"/>
              <w:color w:val="auto"/>
              <w:kern w:val="28"/>
              <w:highlight w:val="none"/>
              <w:lang w:eastAsia="zh-CN"/>
            </w:rPr>
            <w:t>（</w:t>
          </w:r>
          <w:r>
            <w:rPr>
              <w:rFonts w:hint="eastAsia" w:ascii="Times New Roman" w:hAnsi="Times New Roman" w:eastAsia="楷体" w:cs="Times New Roman"/>
              <w:color w:val="auto"/>
              <w:kern w:val="28"/>
              <w:highlight w:val="none"/>
              <w:lang w:val="en-US" w:eastAsia="zh-CN"/>
            </w:rPr>
            <w:t>二</w:t>
          </w:r>
          <w:r>
            <w:rPr>
              <w:rFonts w:hint="eastAsia" w:ascii="Times New Roman" w:hAnsi="Times New Roman" w:eastAsia="楷体" w:cs="Times New Roman"/>
              <w:color w:val="auto"/>
              <w:kern w:val="28"/>
              <w:highlight w:val="none"/>
              <w:lang w:eastAsia="zh-CN"/>
            </w:rPr>
            <w:t>）</w:t>
          </w:r>
          <w:r>
            <w:rPr>
              <w:rFonts w:hint="eastAsia" w:ascii="Times New Roman" w:hAnsi="Times New Roman" w:eastAsia="楷体" w:cs="Times New Roman"/>
              <w:color w:val="auto"/>
              <w:kern w:val="28"/>
              <w:highlight w:val="none"/>
            </w:rPr>
            <w:t>项目过程情况</w:t>
          </w:r>
          <w:r>
            <w:rPr>
              <w:color w:val="auto"/>
              <w:highlight w:val="none"/>
            </w:rPr>
            <w:tab/>
          </w:r>
          <w:r>
            <w:rPr>
              <w:color w:val="auto"/>
              <w:highlight w:val="none"/>
            </w:rPr>
            <w:fldChar w:fldCharType="begin"/>
          </w:r>
          <w:r>
            <w:rPr>
              <w:color w:val="auto"/>
              <w:highlight w:val="none"/>
            </w:rPr>
            <w:instrText xml:space="preserve"> PAGEREF _Toc10564 \h </w:instrText>
          </w:r>
          <w:r>
            <w:rPr>
              <w:color w:val="auto"/>
              <w:highlight w:val="none"/>
            </w:rPr>
            <w:fldChar w:fldCharType="separate"/>
          </w:r>
          <w:r>
            <w:rPr>
              <w:color w:val="auto"/>
              <w:highlight w:val="none"/>
            </w:rPr>
            <w:t>21</w:t>
          </w:r>
          <w:r>
            <w:rPr>
              <w:color w:val="auto"/>
              <w:highlight w:val="none"/>
            </w:rPr>
            <w:fldChar w:fldCharType="end"/>
          </w:r>
          <w:r>
            <w:rPr>
              <w:rFonts w:hint="eastAsia"/>
              <w:color w:val="auto"/>
              <w:szCs w:val="28"/>
              <w:highlight w:val="none"/>
              <w:lang w:val="en-US" w:eastAsia="zh-CN"/>
            </w:rPr>
            <w:fldChar w:fldCharType="end"/>
          </w:r>
        </w:p>
        <w:p w14:paraId="639A1B48">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_Toc2441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（三）项目产出情况</w:t>
          </w:r>
          <w:r>
            <w:rPr>
              <w:color w:val="auto"/>
              <w:highlight w:val="none"/>
            </w:rPr>
            <w:tab/>
          </w:r>
          <w:r>
            <w:rPr>
              <w:color w:val="auto"/>
              <w:highlight w:val="none"/>
            </w:rPr>
            <w:fldChar w:fldCharType="begin"/>
          </w:r>
          <w:r>
            <w:rPr>
              <w:color w:val="auto"/>
              <w:highlight w:val="none"/>
            </w:rPr>
            <w:instrText xml:space="preserve"> PAGEREF _Toc2441 \h </w:instrText>
          </w:r>
          <w:r>
            <w:rPr>
              <w:color w:val="auto"/>
              <w:highlight w:val="none"/>
            </w:rPr>
            <w:fldChar w:fldCharType="separate"/>
          </w:r>
          <w:r>
            <w:rPr>
              <w:color w:val="auto"/>
              <w:highlight w:val="none"/>
            </w:rPr>
            <w:t>24</w:t>
          </w:r>
          <w:r>
            <w:rPr>
              <w:color w:val="auto"/>
              <w:highlight w:val="none"/>
            </w:rPr>
            <w:fldChar w:fldCharType="end"/>
          </w:r>
          <w:r>
            <w:rPr>
              <w:rFonts w:hint="eastAsia"/>
              <w:color w:val="auto"/>
              <w:szCs w:val="28"/>
              <w:highlight w:val="none"/>
              <w:lang w:val="en-US" w:eastAsia="zh-CN"/>
            </w:rPr>
            <w:fldChar w:fldCharType="end"/>
          </w:r>
        </w:p>
        <w:p w14:paraId="285AC912">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_Toc19424 </w:instrText>
          </w:r>
          <w:r>
            <w:rPr>
              <w:rFonts w:hint="eastAsia"/>
              <w:color w:val="auto"/>
              <w:szCs w:val="28"/>
              <w:highlight w:val="none"/>
              <w:lang w:val="en-US" w:eastAsia="zh-CN"/>
            </w:rPr>
            <w:fldChar w:fldCharType="separate"/>
          </w:r>
          <w:r>
            <w:rPr>
              <w:rFonts w:hint="eastAsia" w:ascii="Times New Roman" w:hAnsi="Times New Roman" w:eastAsia="楷体_GB2312" w:cs="Times New Roman"/>
              <w:color w:val="auto"/>
              <w:kern w:val="28"/>
              <w:highlight w:val="none"/>
              <w:lang w:val="en-US" w:eastAsia="zh-CN"/>
            </w:rPr>
            <w:t>（四）项目效益情况</w:t>
          </w:r>
          <w:r>
            <w:rPr>
              <w:color w:val="auto"/>
              <w:highlight w:val="none"/>
            </w:rPr>
            <w:tab/>
          </w:r>
          <w:r>
            <w:rPr>
              <w:color w:val="auto"/>
              <w:highlight w:val="none"/>
            </w:rPr>
            <w:fldChar w:fldCharType="begin"/>
          </w:r>
          <w:r>
            <w:rPr>
              <w:color w:val="auto"/>
              <w:highlight w:val="none"/>
            </w:rPr>
            <w:instrText xml:space="preserve"> PAGEREF _Toc19424 \h </w:instrText>
          </w:r>
          <w:r>
            <w:rPr>
              <w:color w:val="auto"/>
              <w:highlight w:val="none"/>
            </w:rPr>
            <w:fldChar w:fldCharType="separate"/>
          </w:r>
          <w:r>
            <w:rPr>
              <w:color w:val="auto"/>
              <w:highlight w:val="none"/>
            </w:rPr>
            <w:t>25</w:t>
          </w:r>
          <w:r>
            <w:rPr>
              <w:color w:val="auto"/>
              <w:highlight w:val="none"/>
            </w:rPr>
            <w:fldChar w:fldCharType="end"/>
          </w:r>
          <w:r>
            <w:rPr>
              <w:rFonts w:hint="eastAsia"/>
              <w:color w:val="auto"/>
              <w:szCs w:val="28"/>
              <w:highlight w:val="none"/>
              <w:lang w:val="en-US" w:eastAsia="zh-CN"/>
            </w:rPr>
            <w:fldChar w:fldCharType="end"/>
          </w:r>
        </w:p>
        <w:p w14:paraId="28EABBB7">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_Toc23313 </w:instrText>
          </w:r>
          <w:r>
            <w:rPr>
              <w:rFonts w:hint="eastAsia"/>
              <w:color w:val="auto"/>
              <w:szCs w:val="28"/>
              <w:highlight w:val="none"/>
              <w:lang w:val="en-US" w:eastAsia="zh-CN"/>
            </w:rPr>
            <w:fldChar w:fldCharType="separate"/>
          </w:r>
          <w:r>
            <w:rPr>
              <w:rFonts w:hint="eastAsia" w:ascii="Times New Roman" w:hAnsi="Times New Roman" w:eastAsia="楷体_GB2312" w:cs="Times New Roman"/>
              <w:bCs/>
              <w:color w:val="auto"/>
              <w:kern w:val="28"/>
              <w:highlight w:val="none"/>
              <w:lang w:val="en-US" w:eastAsia="zh-CN"/>
            </w:rPr>
            <w:t>（五）满意度指标完成情况分析</w:t>
          </w:r>
          <w:r>
            <w:rPr>
              <w:color w:val="auto"/>
              <w:highlight w:val="none"/>
            </w:rPr>
            <w:tab/>
          </w:r>
          <w:r>
            <w:rPr>
              <w:color w:val="auto"/>
              <w:highlight w:val="none"/>
            </w:rPr>
            <w:fldChar w:fldCharType="begin"/>
          </w:r>
          <w:r>
            <w:rPr>
              <w:color w:val="auto"/>
              <w:highlight w:val="none"/>
            </w:rPr>
            <w:instrText xml:space="preserve"> PAGEREF _Toc23313 \h </w:instrText>
          </w:r>
          <w:r>
            <w:rPr>
              <w:color w:val="auto"/>
              <w:highlight w:val="none"/>
            </w:rPr>
            <w:fldChar w:fldCharType="separate"/>
          </w:r>
          <w:r>
            <w:rPr>
              <w:color w:val="auto"/>
              <w:highlight w:val="none"/>
            </w:rPr>
            <w:t>26</w:t>
          </w:r>
          <w:r>
            <w:rPr>
              <w:color w:val="auto"/>
              <w:highlight w:val="none"/>
            </w:rPr>
            <w:fldChar w:fldCharType="end"/>
          </w:r>
          <w:r>
            <w:rPr>
              <w:rFonts w:hint="eastAsia"/>
              <w:color w:val="auto"/>
              <w:szCs w:val="28"/>
              <w:highlight w:val="none"/>
              <w:lang w:val="en-US" w:eastAsia="zh-CN"/>
            </w:rPr>
            <w:fldChar w:fldCharType="end"/>
          </w:r>
        </w:p>
        <w:p w14:paraId="1E847F20">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_Toc6622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lang w:val="en-US" w:eastAsia="zh-CN"/>
            </w:rPr>
            <w:t>五、主要经验及做法、存在的问题及原因分析</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_Toc6622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26</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7F56B39E">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_Toc15449 </w:instrText>
          </w:r>
          <w:r>
            <w:rPr>
              <w:rFonts w:hint="eastAsia"/>
              <w:color w:val="auto"/>
              <w:szCs w:val="28"/>
              <w:highlight w:val="none"/>
              <w:lang w:val="en-US" w:eastAsia="zh-CN"/>
            </w:rPr>
            <w:fldChar w:fldCharType="separate"/>
          </w:r>
          <w:r>
            <w:rPr>
              <w:rFonts w:hint="eastAsia" w:ascii="Times New Roman" w:hAnsi="Times New Roman" w:eastAsia="楷体_GB2312" w:cs="Times New Roman"/>
              <w:bCs/>
              <w:color w:val="auto"/>
              <w:kern w:val="28"/>
              <w:highlight w:val="none"/>
              <w:lang w:val="en-US" w:eastAsia="zh-CN"/>
            </w:rPr>
            <w:t>（一）主要经验及做法</w:t>
          </w:r>
          <w:r>
            <w:rPr>
              <w:color w:val="auto"/>
              <w:highlight w:val="none"/>
            </w:rPr>
            <w:tab/>
          </w:r>
          <w:r>
            <w:rPr>
              <w:color w:val="auto"/>
              <w:highlight w:val="none"/>
            </w:rPr>
            <w:fldChar w:fldCharType="begin"/>
          </w:r>
          <w:r>
            <w:rPr>
              <w:color w:val="auto"/>
              <w:highlight w:val="none"/>
            </w:rPr>
            <w:instrText xml:space="preserve"> PAGEREF _Toc15449 \h </w:instrText>
          </w:r>
          <w:r>
            <w:rPr>
              <w:color w:val="auto"/>
              <w:highlight w:val="none"/>
            </w:rPr>
            <w:fldChar w:fldCharType="separate"/>
          </w:r>
          <w:r>
            <w:rPr>
              <w:color w:val="auto"/>
              <w:highlight w:val="none"/>
            </w:rPr>
            <w:t>26</w:t>
          </w:r>
          <w:r>
            <w:rPr>
              <w:color w:val="auto"/>
              <w:highlight w:val="none"/>
            </w:rPr>
            <w:fldChar w:fldCharType="end"/>
          </w:r>
          <w:r>
            <w:rPr>
              <w:rFonts w:hint="eastAsia"/>
              <w:color w:val="auto"/>
              <w:szCs w:val="28"/>
              <w:highlight w:val="none"/>
              <w:lang w:val="en-US" w:eastAsia="zh-CN"/>
            </w:rPr>
            <w:fldChar w:fldCharType="end"/>
          </w:r>
        </w:p>
        <w:p w14:paraId="1991B234">
          <w:pPr>
            <w:pStyle w:val="10"/>
            <w:tabs>
              <w:tab w:val="right" w:leader="dot" w:pos="8844"/>
            </w:tabs>
            <w:rPr>
              <w:color w:val="auto"/>
              <w:highlight w:val="none"/>
            </w:rPr>
          </w:pPr>
          <w:r>
            <w:rPr>
              <w:rFonts w:hint="eastAsia"/>
              <w:color w:val="auto"/>
              <w:szCs w:val="28"/>
              <w:highlight w:val="none"/>
              <w:lang w:val="en-US" w:eastAsia="zh-CN"/>
            </w:rPr>
            <w:fldChar w:fldCharType="begin"/>
          </w:r>
          <w:r>
            <w:rPr>
              <w:rFonts w:hint="eastAsia"/>
              <w:color w:val="auto"/>
              <w:szCs w:val="28"/>
              <w:highlight w:val="none"/>
              <w:lang w:val="en-US" w:eastAsia="zh-CN"/>
            </w:rPr>
            <w:instrText xml:space="preserve"> HYPERLINK \l _Toc29168 </w:instrText>
          </w:r>
          <w:r>
            <w:rPr>
              <w:rFonts w:hint="eastAsia"/>
              <w:color w:val="auto"/>
              <w:szCs w:val="28"/>
              <w:highlight w:val="none"/>
              <w:lang w:val="en-US" w:eastAsia="zh-CN"/>
            </w:rPr>
            <w:fldChar w:fldCharType="separate"/>
          </w:r>
          <w:r>
            <w:rPr>
              <w:rFonts w:hint="eastAsia" w:ascii="Times New Roman" w:hAnsi="Times New Roman" w:eastAsia="楷体_GB2312" w:cs="Times New Roman"/>
              <w:bCs/>
              <w:color w:val="auto"/>
              <w:kern w:val="28"/>
              <w:highlight w:val="none"/>
              <w:lang w:val="en-US" w:eastAsia="zh-CN"/>
            </w:rPr>
            <w:t>（二）存在的问题及原因分析</w:t>
          </w:r>
          <w:r>
            <w:rPr>
              <w:color w:val="auto"/>
              <w:highlight w:val="none"/>
            </w:rPr>
            <w:tab/>
          </w:r>
          <w:r>
            <w:rPr>
              <w:color w:val="auto"/>
              <w:highlight w:val="none"/>
            </w:rPr>
            <w:fldChar w:fldCharType="begin"/>
          </w:r>
          <w:r>
            <w:rPr>
              <w:color w:val="auto"/>
              <w:highlight w:val="none"/>
            </w:rPr>
            <w:instrText xml:space="preserve"> PAGEREF _Toc29168 \h </w:instrText>
          </w:r>
          <w:r>
            <w:rPr>
              <w:color w:val="auto"/>
              <w:highlight w:val="none"/>
            </w:rPr>
            <w:fldChar w:fldCharType="separate"/>
          </w:r>
          <w:r>
            <w:rPr>
              <w:color w:val="auto"/>
              <w:highlight w:val="none"/>
            </w:rPr>
            <w:t>27</w:t>
          </w:r>
          <w:r>
            <w:rPr>
              <w:color w:val="auto"/>
              <w:highlight w:val="none"/>
            </w:rPr>
            <w:fldChar w:fldCharType="end"/>
          </w:r>
          <w:r>
            <w:rPr>
              <w:rFonts w:hint="eastAsia"/>
              <w:color w:val="auto"/>
              <w:szCs w:val="28"/>
              <w:highlight w:val="none"/>
              <w:lang w:val="en-US" w:eastAsia="zh-CN"/>
            </w:rPr>
            <w:fldChar w:fldCharType="end"/>
          </w:r>
        </w:p>
        <w:p w14:paraId="740F1495">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_Toc3333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lang w:val="en-US" w:eastAsia="zh-CN"/>
            </w:rPr>
            <w:t>六、有关建议</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_Toc3333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27</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2DBAE4F1">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_Toc14256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val="0"/>
              <w:color w:val="auto"/>
              <w:highlight w:val="none"/>
              <w:shd w:val="clear" w:color="auto" w:fill="auto"/>
              <w:lang w:val="en-US" w:eastAsia="zh-CN"/>
            </w:rPr>
            <w:t>七、其他需要说明的问题</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_Toc14256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28</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57FE964F">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_Toc28971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color w:val="auto"/>
              <w:highlight w:val="none"/>
              <w:shd w:val="clear" w:color="auto" w:fill="auto"/>
              <w:lang w:val="en-US" w:eastAsia="zh-CN"/>
            </w:rPr>
            <w:t>附件一、项目支出绩效自评表</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_Toc28971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29</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792CC8F2">
          <w:pPr>
            <w:pStyle w:val="10"/>
            <w:tabs>
              <w:tab w:val="right" w:leader="dot" w:pos="8844"/>
            </w:tabs>
            <w:rPr>
              <w:rFonts w:hint="eastAsia" w:ascii="黑体" w:hAnsi="黑体" w:eastAsia="黑体" w:cs="黑体"/>
              <w:color w:val="auto"/>
              <w:highlight w:val="none"/>
            </w:rPr>
          </w:pPr>
          <w:r>
            <w:rPr>
              <w:rFonts w:hint="eastAsia" w:ascii="黑体" w:hAnsi="黑体" w:eastAsia="黑体" w:cs="黑体"/>
              <w:color w:val="auto"/>
              <w:szCs w:val="28"/>
              <w:highlight w:val="none"/>
              <w:lang w:val="en-US" w:eastAsia="zh-CN"/>
            </w:rPr>
            <w:fldChar w:fldCharType="begin"/>
          </w:r>
          <w:r>
            <w:rPr>
              <w:rFonts w:hint="eastAsia" w:ascii="黑体" w:hAnsi="黑体" w:eastAsia="黑体" w:cs="黑体"/>
              <w:color w:val="auto"/>
              <w:szCs w:val="28"/>
              <w:highlight w:val="none"/>
              <w:lang w:val="en-US" w:eastAsia="zh-CN"/>
            </w:rPr>
            <w:instrText xml:space="preserve"> HYPERLINK \l _Toc11223 </w:instrText>
          </w:r>
          <w:r>
            <w:rPr>
              <w:rFonts w:hint="eastAsia" w:ascii="黑体" w:hAnsi="黑体" w:eastAsia="黑体" w:cs="黑体"/>
              <w:color w:val="auto"/>
              <w:szCs w:val="28"/>
              <w:highlight w:val="none"/>
              <w:lang w:val="en-US" w:eastAsia="zh-CN"/>
            </w:rPr>
            <w:fldChar w:fldCharType="separate"/>
          </w:r>
          <w:r>
            <w:rPr>
              <w:rFonts w:hint="eastAsia" w:ascii="黑体" w:hAnsi="黑体" w:eastAsia="黑体" w:cs="黑体"/>
              <w:bCs/>
              <w:color w:val="auto"/>
              <w:highlight w:val="none"/>
              <w:shd w:val="clear" w:color="auto" w:fill="auto"/>
              <w:lang w:val="en-US" w:eastAsia="zh-CN"/>
            </w:rPr>
            <w:t>附件二、项目支出绩效评价指标体系打分表</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_Toc11223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34</w:t>
          </w:r>
          <w:r>
            <w:rPr>
              <w:rFonts w:hint="eastAsia" w:ascii="黑体" w:hAnsi="黑体" w:eastAsia="黑体" w:cs="黑体"/>
              <w:color w:val="auto"/>
              <w:highlight w:val="none"/>
            </w:rPr>
            <w:fldChar w:fldCharType="end"/>
          </w:r>
          <w:r>
            <w:rPr>
              <w:rFonts w:hint="eastAsia" w:ascii="黑体" w:hAnsi="黑体" w:eastAsia="黑体" w:cs="黑体"/>
              <w:color w:val="auto"/>
              <w:szCs w:val="28"/>
              <w:highlight w:val="none"/>
              <w:lang w:val="en-US" w:eastAsia="zh-CN"/>
            </w:rPr>
            <w:fldChar w:fldCharType="end"/>
          </w:r>
        </w:p>
        <w:p w14:paraId="61914C9A">
          <w:pPr>
            <w:keepNext w:val="0"/>
            <w:keepLines w:val="0"/>
            <w:pageBreakBefore w:val="0"/>
            <w:shd w:val="clear"/>
            <w:kinsoku/>
            <w:wordWrap/>
            <w:overflowPunct/>
            <w:topLinePunct w:val="0"/>
            <w:autoSpaceDE/>
            <w:autoSpaceDN/>
            <w:bidi w:val="0"/>
            <w:adjustRightInd/>
            <w:snapToGrid/>
            <w:spacing w:line="560" w:lineRule="exact"/>
            <w:textAlignment w:val="auto"/>
            <w:rPr>
              <w:rFonts w:hint="eastAsia"/>
              <w:color w:val="auto"/>
              <w:highlight w:val="none"/>
              <w:lang w:val="en-US" w:eastAsia="zh-CN"/>
            </w:rPr>
            <w:sectPr>
              <w:pgSz w:w="11906" w:h="16838"/>
              <w:pgMar w:top="1928" w:right="1531" w:bottom="1701" w:left="1531" w:header="737" w:footer="851" w:gutter="0"/>
              <w:cols w:space="720" w:num="1"/>
              <w:docGrid w:type="lines" w:linePitch="408" w:charSpace="0"/>
            </w:sectPr>
          </w:pPr>
          <w:r>
            <w:rPr>
              <w:rFonts w:hint="eastAsia"/>
              <w:color w:val="auto"/>
              <w:szCs w:val="28"/>
              <w:highlight w:val="none"/>
              <w:lang w:val="en-US" w:eastAsia="zh-CN"/>
            </w:rPr>
            <w:fldChar w:fldCharType="end"/>
          </w:r>
        </w:p>
      </w:sdtContent>
    </w:sdt>
    <w:p w14:paraId="58C84BEE">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color w:val="auto"/>
          <w:sz w:val="36"/>
          <w:szCs w:val="36"/>
          <w:highlight w:val="none"/>
          <w:shd w:val="clear" w:color="auto" w:fill="auto"/>
        </w:rPr>
      </w:pPr>
      <w:bookmarkStart w:id="4" w:name="_Toc20432"/>
      <w:bookmarkStart w:id="5" w:name="_Toc22946"/>
      <w:bookmarkStart w:id="6" w:name="_Toc3663"/>
      <w:bookmarkStart w:id="7" w:name="_Toc1194"/>
      <w:r>
        <w:rPr>
          <w:rFonts w:hint="eastAsia" w:ascii="宋体" w:hAnsi="宋体" w:eastAsia="宋体" w:cs="宋体"/>
          <w:b/>
          <w:bCs/>
          <w:color w:val="auto"/>
          <w:sz w:val="36"/>
          <w:szCs w:val="36"/>
          <w:highlight w:val="none"/>
          <w:shd w:val="clear" w:color="auto" w:fill="auto"/>
        </w:rPr>
        <w:t>2024年农业经营主体能力提升项目支出绩效</w:t>
      </w:r>
    </w:p>
    <w:p w14:paraId="7E69E18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36"/>
          <w:szCs w:val="36"/>
          <w:highlight w:val="none"/>
          <w:shd w:val="clear" w:color="auto" w:fill="auto"/>
        </w:rPr>
        <w:t>评价报告</w:t>
      </w:r>
      <w:bookmarkEnd w:id="4"/>
      <w:bookmarkEnd w:id="5"/>
      <w:bookmarkEnd w:id="6"/>
      <w:bookmarkEnd w:id="7"/>
    </w:p>
    <w:p w14:paraId="6F6F00AD">
      <w:pPr>
        <w:pStyle w:val="2"/>
        <w:pageBreakBefore w:val="0"/>
        <w:kinsoku/>
        <w:wordWrap/>
        <w:overflowPunct/>
        <w:topLinePunct w:val="0"/>
        <w:autoSpaceDE/>
        <w:autoSpaceDN/>
        <w:bidi w:val="0"/>
        <w:adjustRightInd/>
        <w:snapToGrid/>
        <w:spacing w:beforeLines="0" w:afterLines="0" w:line="560" w:lineRule="exact"/>
        <w:textAlignment w:val="auto"/>
        <w:rPr>
          <w:rFonts w:hint="eastAsia" w:ascii="黑体" w:hAnsi="黑体" w:eastAsia="黑体" w:cs="黑体"/>
          <w:b w:val="0"/>
          <w:bCs w:val="0"/>
          <w:color w:val="auto"/>
          <w:highlight w:val="none"/>
          <w:shd w:val="clear" w:color="auto" w:fill="auto"/>
        </w:rPr>
      </w:pPr>
      <w:bookmarkStart w:id="8" w:name="_Toc18485"/>
      <w:r>
        <w:rPr>
          <w:rFonts w:hint="eastAsia" w:ascii="黑体" w:hAnsi="黑体" w:eastAsia="黑体" w:cs="黑体"/>
          <w:b w:val="0"/>
          <w:bCs w:val="0"/>
          <w:color w:val="auto"/>
          <w:highlight w:val="none"/>
          <w:shd w:val="clear" w:color="auto" w:fill="auto"/>
        </w:rPr>
        <w:t>一、基本情况</w:t>
      </w:r>
      <w:bookmarkEnd w:id="8"/>
    </w:p>
    <w:p w14:paraId="57D21E5B">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9" w:name="_Toc23184"/>
      <w:r>
        <w:rPr>
          <w:rFonts w:hint="eastAsia" w:ascii="Times New Roman" w:hAnsi="Times New Roman" w:eastAsia="楷体_GB2312" w:cs="Times New Roman"/>
          <w:color w:val="auto"/>
          <w:kern w:val="28"/>
          <w:sz w:val="32"/>
          <w:highlight w:val="none"/>
          <w:lang w:val="en-US" w:eastAsia="zh-CN"/>
        </w:rPr>
        <w:t>（一）项目概况</w:t>
      </w:r>
      <w:bookmarkEnd w:id="9"/>
    </w:p>
    <w:p w14:paraId="625E81A0">
      <w:pPr>
        <w:pStyle w:val="4"/>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eastAsia="zh-CN"/>
        </w:rPr>
      </w:pPr>
      <w:bookmarkStart w:id="10" w:name="_Toc5043"/>
      <w:bookmarkStart w:id="11" w:name="_Toc10645"/>
      <w:bookmarkStart w:id="12" w:name="_Toc29812"/>
      <w:bookmarkStart w:id="13" w:name="_Toc22346"/>
      <w:r>
        <w:rPr>
          <w:rFonts w:hint="eastAsia" w:ascii="仿宋_GB2312" w:hAnsi="仿宋_GB2312" w:eastAsia="仿宋_GB2312" w:cs="仿宋_GB2312"/>
          <w:color w:val="auto"/>
          <w:sz w:val="32"/>
          <w:szCs w:val="32"/>
          <w:highlight w:val="none"/>
          <w:shd w:val="clear" w:color="auto" w:fill="auto"/>
          <w:lang w:val="en-US" w:eastAsia="zh-CN"/>
        </w:rPr>
        <w:t>1.</w:t>
      </w:r>
      <w:r>
        <w:rPr>
          <w:rFonts w:hint="eastAsia" w:ascii="仿宋_GB2312" w:hAnsi="仿宋_GB2312" w:eastAsia="仿宋_GB2312" w:cs="仿宋_GB2312"/>
          <w:color w:val="auto"/>
          <w:sz w:val="32"/>
          <w:szCs w:val="32"/>
          <w:highlight w:val="none"/>
          <w:shd w:val="clear" w:color="auto" w:fill="auto"/>
        </w:rPr>
        <w:t>项目背景</w:t>
      </w:r>
      <w:bookmarkEnd w:id="10"/>
      <w:bookmarkEnd w:id="11"/>
      <w:bookmarkEnd w:id="12"/>
      <w:bookmarkEnd w:id="13"/>
    </w:p>
    <w:p w14:paraId="54A8DC2D">
      <w:pPr>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根据《</w:t>
      </w:r>
      <w:r>
        <w:rPr>
          <w:rFonts w:hint="default" w:ascii="仿宋_GB2312" w:hAnsi="仿宋_GB2312" w:eastAsia="仿宋_GB2312" w:cs="仿宋_GB2312"/>
          <w:color w:val="auto"/>
          <w:sz w:val="32"/>
          <w:szCs w:val="32"/>
          <w:highlight w:val="none"/>
          <w:lang w:val="en-US" w:eastAsia="zh-CN"/>
        </w:rPr>
        <w:t>关于印发</w:t>
      </w:r>
      <w:r>
        <w:rPr>
          <w:rFonts w:hint="eastAsia" w:ascii="仿宋_GB2312" w:hAnsi="仿宋_GB2312" w:eastAsia="仿宋_GB2312" w:cs="仿宋_GB2312"/>
          <w:color w:val="auto"/>
          <w:sz w:val="32"/>
          <w:szCs w:val="32"/>
          <w:highlight w:val="none"/>
          <w:lang w:val="en-US" w:eastAsia="zh-CN"/>
        </w:rPr>
        <w:t>&lt;昌吉州</w:t>
      </w:r>
      <w:r>
        <w:rPr>
          <w:rFonts w:hint="default" w:ascii="仿宋_GB2312" w:hAnsi="仿宋_GB2312" w:eastAsia="仿宋_GB2312" w:cs="仿宋_GB2312"/>
          <w:color w:val="auto"/>
          <w:sz w:val="32"/>
          <w:szCs w:val="32"/>
          <w:highlight w:val="none"/>
          <w:lang w:val="en-US" w:eastAsia="zh-CN"/>
        </w:rPr>
        <w:t>202</w:t>
      </w:r>
      <w:r>
        <w:rPr>
          <w:rFonts w:hint="eastAsia" w:ascii="仿宋_GB2312" w:hAnsi="仿宋_GB2312" w:eastAsia="仿宋_GB2312" w:cs="仿宋_GB2312"/>
          <w:color w:val="auto"/>
          <w:sz w:val="32"/>
          <w:szCs w:val="32"/>
          <w:highlight w:val="none"/>
          <w:lang w:val="en-US" w:eastAsia="zh-CN"/>
        </w:rPr>
        <w:t>4</w:t>
      </w:r>
      <w:r>
        <w:rPr>
          <w:rFonts w:hint="default" w:ascii="仿宋_GB2312" w:hAnsi="仿宋_GB2312" w:eastAsia="仿宋_GB2312" w:cs="仿宋_GB2312"/>
          <w:color w:val="auto"/>
          <w:sz w:val="32"/>
          <w:szCs w:val="32"/>
          <w:highlight w:val="none"/>
          <w:lang w:val="en-US" w:eastAsia="zh-CN"/>
        </w:rPr>
        <w:t>年</w:t>
      </w:r>
      <w:r>
        <w:rPr>
          <w:rFonts w:hint="eastAsia" w:ascii="仿宋_GB2312" w:hAnsi="仿宋_GB2312" w:eastAsia="仿宋_GB2312" w:cs="仿宋_GB2312"/>
          <w:color w:val="auto"/>
          <w:sz w:val="32"/>
          <w:szCs w:val="32"/>
          <w:highlight w:val="none"/>
          <w:lang w:val="en-US" w:eastAsia="zh-CN"/>
        </w:rPr>
        <w:t>农业经营主体能力提升（农民合作社培育、家庭农场培育）</w:t>
      </w:r>
      <w:r>
        <w:rPr>
          <w:rFonts w:hint="default" w:ascii="仿宋_GB2312" w:hAnsi="仿宋_GB2312" w:eastAsia="仿宋_GB2312" w:cs="仿宋_GB2312"/>
          <w:color w:val="auto"/>
          <w:sz w:val="32"/>
          <w:szCs w:val="32"/>
          <w:highlight w:val="none"/>
          <w:lang w:val="en-US" w:eastAsia="zh-CN"/>
        </w:rPr>
        <w:t>项目实施方案</w:t>
      </w:r>
      <w:r>
        <w:rPr>
          <w:rFonts w:hint="eastAsia" w:ascii="仿宋_GB2312" w:hAnsi="仿宋_GB2312" w:eastAsia="仿宋_GB2312" w:cs="仿宋_GB2312"/>
          <w:color w:val="auto"/>
          <w:sz w:val="32"/>
          <w:szCs w:val="32"/>
          <w:highlight w:val="none"/>
          <w:lang w:val="en-US" w:eastAsia="zh-CN"/>
        </w:rPr>
        <w:t>&gt;的通知</w:t>
      </w:r>
      <w:r>
        <w:rPr>
          <w:rFonts w:hint="default"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（昌州农字〔2024〕158号）《</w:t>
      </w:r>
      <w:r>
        <w:rPr>
          <w:rFonts w:hint="default" w:ascii="仿宋_GB2312" w:hAnsi="仿宋_GB2312" w:eastAsia="仿宋_GB2312" w:cs="仿宋_GB2312"/>
          <w:color w:val="auto"/>
          <w:sz w:val="32"/>
          <w:szCs w:val="32"/>
          <w:highlight w:val="none"/>
          <w:lang w:val="en-US" w:eastAsia="zh-CN"/>
        </w:rPr>
        <w:t>关于印发</w:t>
      </w:r>
      <w:r>
        <w:rPr>
          <w:rFonts w:hint="eastAsia" w:ascii="仿宋_GB2312" w:hAnsi="仿宋_GB2312" w:eastAsia="仿宋_GB2312" w:cs="仿宋_GB2312"/>
          <w:color w:val="auto"/>
          <w:sz w:val="32"/>
          <w:szCs w:val="32"/>
          <w:highlight w:val="none"/>
          <w:lang w:val="en-US" w:eastAsia="zh-CN"/>
        </w:rPr>
        <w:t>&lt;昌吉州</w:t>
      </w:r>
      <w:r>
        <w:rPr>
          <w:rFonts w:hint="default" w:ascii="仿宋_GB2312" w:hAnsi="仿宋_GB2312" w:eastAsia="仿宋_GB2312" w:cs="仿宋_GB2312"/>
          <w:color w:val="auto"/>
          <w:sz w:val="32"/>
          <w:szCs w:val="32"/>
          <w:highlight w:val="none"/>
          <w:lang w:val="en-US" w:eastAsia="zh-CN"/>
        </w:rPr>
        <w:t>202</w:t>
      </w:r>
      <w:r>
        <w:rPr>
          <w:rFonts w:hint="eastAsia" w:ascii="仿宋_GB2312" w:hAnsi="仿宋_GB2312" w:eastAsia="仿宋_GB2312" w:cs="仿宋_GB2312"/>
          <w:color w:val="auto"/>
          <w:sz w:val="32"/>
          <w:szCs w:val="32"/>
          <w:highlight w:val="none"/>
          <w:lang w:val="en-US" w:eastAsia="zh-CN"/>
        </w:rPr>
        <w:t>4</w:t>
      </w:r>
      <w:r>
        <w:rPr>
          <w:rFonts w:hint="default" w:ascii="仿宋_GB2312" w:hAnsi="仿宋_GB2312" w:eastAsia="仿宋_GB2312" w:cs="仿宋_GB2312"/>
          <w:color w:val="auto"/>
          <w:sz w:val="32"/>
          <w:szCs w:val="32"/>
          <w:highlight w:val="none"/>
          <w:lang w:val="en-US" w:eastAsia="zh-CN"/>
        </w:rPr>
        <w:t>年</w:t>
      </w:r>
      <w:r>
        <w:rPr>
          <w:rFonts w:hint="eastAsia" w:ascii="仿宋_GB2312" w:hAnsi="仿宋_GB2312" w:eastAsia="仿宋_GB2312" w:cs="仿宋_GB2312"/>
          <w:color w:val="auto"/>
          <w:sz w:val="32"/>
          <w:szCs w:val="32"/>
          <w:highlight w:val="none"/>
          <w:lang w:val="en-US" w:eastAsia="zh-CN"/>
        </w:rPr>
        <w:t>农业经营主体能力提升（农民合作社培育、家庭农场培育）</w:t>
      </w:r>
      <w:r>
        <w:rPr>
          <w:rFonts w:hint="default" w:ascii="仿宋_GB2312" w:hAnsi="仿宋_GB2312" w:eastAsia="仿宋_GB2312" w:cs="仿宋_GB2312"/>
          <w:color w:val="auto"/>
          <w:sz w:val="32"/>
          <w:szCs w:val="32"/>
          <w:highlight w:val="none"/>
          <w:lang w:val="en-US" w:eastAsia="zh-CN"/>
        </w:rPr>
        <w:t>项目实施方案</w:t>
      </w:r>
      <w:r>
        <w:rPr>
          <w:rFonts w:hint="eastAsia" w:ascii="仿宋_GB2312" w:hAnsi="仿宋_GB2312" w:eastAsia="仿宋_GB2312" w:cs="仿宋_GB2312"/>
          <w:color w:val="auto"/>
          <w:sz w:val="32"/>
          <w:szCs w:val="32"/>
          <w:highlight w:val="none"/>
          <w:lang w:val="en-US" w:eastAsia="zh-CN"/>
        </w:rPr>
        <w:t>&gt;的通知</w:t>
      </w:r>
      <w:r>
        <w:rPr>
          <w:rFonts w:hint="default"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昌州农字〔2024〕159号）文件精神，阜康市为加快培育农业生产社会化服务组织，提升农业生产托管服务能力，引导小农户广泛接受各类农业社会化服务，推动发展服务带动型规模经营，实现小农户和现代农业发展有机衔接，健全农业社会化服务体系，提高农业生产的专业化、规模化、集约化水平；提升新型农业经营主体技术应用和生产经营能力，巩固拓展脱贫攻坚成果和乡村振兴有机衔接。根据《关于提前下达2024年中央新型农业经营主体能力提升项目资金预算的通知》（昌州财农〔2023〕52号）及《关于调整下达2024年中央新型农业经营主体能力提升项目资金预算的通知》（昌州财农〔2</w:t>
      </w:r>
      <w:r>
        <w:rPr>
          <w:rFonts w:hint="eastAsia" w:ascii="仿宋_GB2312" w:hAnsi="仿宋_GB2312" w:eastAsia="仿宋_GB2312" w:cs="仿宋_GB2312"/>
          <w:color w:val="auto"/>
          <w:sz w:val="32"/>
          <w:szCs w:val="32"/>
          <w:highlight w:val="none"/>
        </w:rPr>
        <w:t>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21</w:t>
      </w:r>
      <w:r>
        <w:rPr>
          <w:rFonts w:hint="eastAsia" w:ascii="仿宋_GB2312" w:hAnsi="仿宋_GB2312" w:eastAsia="仿宋_GB2312" w:cs="仿宋_GB2312"/>
          <w:color w:val="auto"/>
          <w:sz w:val="32"/>
          <w:szCs w:val="32"/>
          <w:highlight w:val="none"/>
        </w:rPr>
        <w:t>号）文件下达我市项目资金</w:t>
      </w:r>
      <w:r>
        <w:rPr>
          <w:rFonts w:hint="eastAsia" w:ascii="仿宋_GB2312" w:hAnsi="仿宋_GB2312" w:eastAsia="仿宋_GB2312" w:cs="仿宋_GB2312"/>
          <w:color w:val="auto"/>
          <w:sz w:val="32"/>
          <w:szCs w:val="32"/>
          <w:highlight w:val="none"/>
          <w:lang w:val="en-US" w:eastAsia="zh-CN"/>
        </w:rPr>
        <w:t>422</w:t>
      </w:r>
      <w:r>
        <w:rPr>
          <w:rFonts w:hint="eastAsia" w:ascii="仿宋_GB2312" w:hAnsi="仿宋_GB2312" w:eastAsia="仿宋_GB2312" w:cs="仿宋_GB2312"/>
          <w:color w:val="auto"/>
          <w:sz w:val="32"/>
          <w:szCs w:val="32"/>
          <w:highlight w:val="none"/>
        </w:rPr>
        <w:t>万元，资金主要用途为</w:t>
      </w:r>
      <w:r>
        <w:rPr>
          <w:rFonts w:hint="eastAsia" w:ascii="仿宋_GB2312" w:hAnsi="仿宋_GB2312" w:eastAsia="仿宋_GB2312" w:cs="仿宋_GB2312"/>
          <w:color w:val="auto"/>
          <w:sz w:val="32"/>
          <w:szCs w:val="32"/>
          <w:highlight w:val="none"/>
          <w:lang w:eastAsia="zh-CN"/>
        </w:rPr>
        <w:t>扶持服务型农民专业合作社完成粮食任务面积及扶持我市区级以上农民合作社4家、县级以上家庭农场7家，用于农业机械购买及圈舍改造。</w:t>
      </w:r>
    </w:p>
    <w:p w14:paraId="4F5AE66B">
      <w:pPr>
        <w:pStyle w:val="4"/>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rPr>
      </w:pPr>
      <w:bookmarkStart w:id="14" w:name="_Toc17880"/>
      <w:bookmarkStart w:id="15" w:name="_Toc10730"/>
      <w:bookmarkStart w:id="16" w:name="_Toc27343"/>
      <w:bookmarkStart w:id="17" w:name="_Toc1630"/>
      <w:r>
        <w:rPr>
          <w:rFonts w:hint="eastAsia" w:ascii="仿宋_GB2312" w:hAnsi="仿宋_GB2312" w:eastAsia="仿宋_GB2312" w:cs="仿宋_GB2312"/>
          <w:color w:val="auto"/>
          <w:sz w:val="32"/>
          <w:szCs w:val="32"/>
          <w:highlight w:val="none"/>
          <w:shd w:val="clear" w:color="auto" w:fill="auto"/>
          <w:lang w:val="en-US" w:eastAsia="zh-CN"/>
        </w:rPr>
        <w:t>2.</w:t>
      </w:r>
      <w:r>
        <w:rPr>
          <w:rFonts w:hint="eastAsia" w:ascii="仿宋_GB2312" w:hAnsi="仿宋_GB2312" w:eastAsia="仿宋_GB2312" w:cs="仿宋_GB2312"/>
          <w:color w:val="auto"/>
          <w:sz w:val="32"/>
          <w:szCs w:val="32"/>
          <w:highlight w:val="none"/>
          <w:shd w:val="clear" w:color="auto" w:fill="auto"/>
        </w:rPr>
        <w:t>主要内容及实施情况</w:t>
      </w:r>
      <w:bookmarkEnd w:id="14"/>
      <w:bookmarkEnd w:id="15"/>
      <w:bookmarkEnd w:id="16"/>
      <w:bookmarkEnd w:id="17"/>
    </w:p>
    <w:p w14:paraId="69D307F4">
      <w:pPr>
        <w:pStyle w:val="4"/>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color w:val="auto"/>
          <w:sz w:val="32"/>
          <w:szCs w:val="32"/>
          <w:highlight w:val="none"/>
          <w:shd w:val="clear" w:color="auto" w:fill="auto"/>
          <w:lang w:eastAsia="zh-CN"/>
        </w:rPr>
      </w:pPr>
      <w:bookmarkStart w:id="18" w:name="_Toc27409"/>
      <w:bookmarkStart w:id="19" w:name="_Toc16592"/>
      <w:bookmarkStart w:id="20" w:name="_Toc27245"/>
      <w:bookmarkStart w:id="21" w:name="_Toc21898"/>
      <w:r>
        <w:rPr>
          <w:rFonts w:hint="eastAsia" w:ascii="仿宋_GB2312" w:hAnsi="仿宋_GB2312" w:eastAsia="仿宋_GB2312" w:cs="仿宋_GB2312"/>
          <w:b w:val="0"/>
          <w:bCs w:val="0"/>
          <w:color w:val="auto"/>
          <w:sz w:val="32"/>
          <w:szCs w:val="32"/>
          <w:highlight w:val="none"/>
          <w:shd w:val="clear" w:color="auto" w:fill="auto"/>
          <w:lang w:val="en-US" w:eastAsia="zh-CN"/>
        </w:rPr>
        <w:t>项目主要内容：</w:t>
      </w:r>
      <w:bookmarkEnd w:id="18"/>
      <w:bookmarkEnd w:id="19"/>
      <w:bookmarkEnd w:id="20"/>
      <w:bookmarkEnd w:id="21"/>
      <w:r>
        <w:rPr>
          <w:rFonts w:hint="eastAsia" w:ascii="仿宋_GB2312" w:hAnsi="仿宋_GB2312" w:eastAsia="仿宋_GB2312" w:cs="仿宋_GB2312"/>
          <w:b w:val="0"/>
          <w:bCs w:val="0"/>
          <w:color w:val="auto"/>
          <w:sz w:val="32"/>
          <w:szCs w:val="32"/>
          <w:highlight w:val="none"/>
          <w:shd w:val="clear" w:color="auto" w:fill="auto"/>
          <w:lang w:eastAsia="zh-CN"/>
        </w:rPr>
        <w:t>2024年支持3家服务型农民专业合作社完成粮食（小麦、玉米）“耕”“种”“防”“收”全程托管农业生产社会化服务面积5.5万亩；扶持我市区级以上农民合作社4家，每家补助20万元；扶持县级以上家庭农场7家，每家补助6万元，共</w:t>
      </w:r>
      <w:r>
        <w:rPr>
          <w:rFonts w:hint="eastAsia" w:cs="仿宋_GB2312"/>
          <w:b w:val="0"/>
          <w:bCs w:val="0"/>
          <w:color w:val="auto"/>
          <w:sz w:val="32"/>
          <w:szCs w:val="32"/>
          <w:highlight w:val="none"/>
          <w:shd w:val="clear" w:color="auto" w:fill="auto"/>
          <w:lang w:val="en-US" w:eastAsia="zh-CN"/>
        </w:rPr>
        <w:t>421.99</w:t>
      </w:r>
      <w:r>
        <w:rPr>
          <w:rFonts w:hint="eastAsia" w:ascii="仿宋_GB2312" w:hAnsi="仿宋_GB2312" w:eastAsia="仿宋_GB2312" w:cs="仿宋_GB2312"/>
          <w:b w:val="0"/>
          <w:bCs w:val="0"/>
          <w:color w:val="auto"/>
          <w:sz w:val="32"/>
          <w:szCs w:val="32"/>
          <w:highlight w:val="none"/>
          <w:shd w:val="clear" w:color="auto" w:fill="auto"/>
          <w:lang w:eastAsia="zh-CN"/>
        </w:rPr>
        <w:t>万元，用于农业机械购买及圈舍改造。</w:t>
      </w:r>
    </w:p>
    <w:p w14:paraId="1A1A286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b/>
          <w:bCs/>
          <w:color w:val="auto"/>
          <w:sz w:val="32"/>
          <w:szCs w:val="32"/>
          <w:highlight w:val="none"/>
          <w:shd w:val="clear" w:color="auto" w:fill="auto"/>
          <w:lang w:val="en-US" w:eastAsia="zh-CN"/>
        </w:rPr>
        <w:t>项目实施情况：</w:t>
      </w:r>
      <w:r>
        <w:rPr>
          <w:rFonts w:hint="eastAsia" w:ascii="仿宋_GB2312" w:hAnsi="仿宋_GB2312" w:eastAsia="仿宋_GB2312" w:cs="仿宋_GB2312"/>
          <w:color w:val="auto"/>
          <w:sz w:val="32"/>
          <w:szCs w:val="32"/>
          <w:highlight w:val="none"/>
          <w:shd w:val="clear" w:color="auto" w:fill="auto"/>
          <w:lang w:val="en-US" w:eastAsia="zh-CN"/>
        </w:rPr>
        <w:t>本项目2024年10月18日上报项目方案，经市农村合作经济发展指导中心会议，确定了项目领导小组，明确了责任分工：组长为白金星，副组长为马磊，项目负责人为白金星,组员为努尔江、王玲，其中：努尔江负责监管工作、项目档案资料，王玲负责资金拨付工作。</w:t>
      </w:r>
    </w:p>
    <w:p w14:paraId="75064B9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FF0000"/>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截至2024年12月31日，本项目共计完成</w:t>
      </w:r>
      <w:r>
        <w:rPr>
          <w:rFonts w:hint="eastAsia" w:ascii="仿宋_GB2312" w:hAnsi="仿宋_GB2312" w:eastAsia="仿宋_GB2312" w:cs="仿宋_GB2312"/>
          <w:b w:val="0"/>
          <w:bCs w:val="0"/>
          <w:color w:val="auto"/>
          <w:sz w:val="32"/>
          <w:szCs w:val="32"/>
          <w:highlight w:val="none"/>
          <w:shd w:val="clear" w:color="auto" w:fill="auto"/>
          <w:lang w:eastAsia="zh-CN"/>
        </w:rPr>
        <w:t>粮食（小麦、玉米）“耕”“种”“防”“收”全程托管农业生产社会化服务面积5.5万亩，扶持我市区级以上农民合作社4家、县级以上家庭农场7家。</w:t>
      </w:r>
    </w:p>
    <w:p w14:paraId="6DB630F1">
      <w:pPr>
        <w:pStyle w:val="4"/>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22" w:name="_Toc569"/>
      <w:bookmarkStart w:id="23" w:name="_Toc12348"/>
      <w:bookmarkStart w:id="24" w:name="_Toc1858"/>
      <w:bookmarkStart w:id="25" w:name="_Toc10240"/>
      <w:r>
        <w:rPr>
          <w:rFonts w:hint="eastAsia" w:ascii="仿宋_GB2312" w:hAnsi="仿宋_GB2312" w:eastAsia="仿宋_GB2312" w:cs="仿宋_GB2312"/>
          <w:color w:val="auto"/>
          <w:sz w:val="32"/>
          <w:szCs w:val="32"/>
          <w:highlight w:val="none"/>
          <w:shd w:val="clear" w:color="auto" w:fill="auto"/>
          <w:lang w:val="en-US" w:eastAsia="zh-CN"/>
        </w:rPr>
        <w:t>3.资金投入和使用情况</w:t>
      </w:r>
      <w:bookmarkEnd w:id="22"/>
      <w:bookmarkEnd w:id="23"/>
      <w:bookmarkEnd w:id="24"/>
      <w:bookmarkEnd w:id="25"/>
    </w:p>
    <w:p w14:paraId="1943662D">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color w:val="auto"/>
          <w:sz w:val="32"/>
          <w:szCs w:val="32"/>
          <w:highlight w:val="none"/>
          <w:lang w:val="en-US" w:eastAsia="zh-CN"/>
        </w:rPr>
      </w:pPr>
      <w:bookmarkStart w:id="26" w:name="_Toc694"/>
      <w:bookmarkStart w:id="27" w:name="_Toc23509"/>
      <w:bookmarkStart w:id="28" w:name="_Toc26369"/>
      <w:r>
        <w:rPr>
          <w:rFonts w:hint="eastAsia" w:ascii="仿宋_GB2312" w:hAnsi="仿宋_GB2312" w:eastAsia="仿宋_GB2312" w:cs="仿宋_GB2312"/>
          <w:color w:val="auto"/>
          <w:sz w:val="32"/>
          <w:szCs w:val="32"/>
          <w:highlight w:val="none"/>
          <w:lang w:val="en-US" w:eastAsia="zh-CN"/>
        </w:rPr>
        <w:t>（1）资金投入情况</w:t>
      </w:r>
      <w:bookmarkEnd w:id="26"/>
      <w:bookmarkEnd w:id="27"/>
      <w:bookmarkEnd w:id="28"/>
    </w:p>
    <w:p w14:paraId="023D0DCE">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color w:val="auto"/>
          <w:sz w:val="32"/>
          <w:szCs w:val="32"/>
          <w:highlight w:val="none"/>
          <w:lang w:val="en-US" w:eastAsia="zh-CN"/>
        </w:rPr>
      </w:pPr>
      <w:bookmarkStart w:id="29" w:name="_Toc9464"/>
      <w:bookmarkStart w:id="30" w:name="_Toc29190"/>
      <w:bookmarkStart w:id="31" w:name="_Toc5573"/>
      <w:r>
        <w:rPr>
          <w:rFonts w:hint="eastAsia" w:ascii="仿宋_GB2312" w:hAnsi="仿宋_GB2312" w:eastAsia="仿宋_GB2312" w:cs="仿宋_GB2312"/>
          <w:color w:val="auto"/>
          <w:sz w:val="32"/>
          <w:szCs w:val="32"/>
          <w:highlight w:val="none"/>
          <w:lang w:val="en-US" w:eastAsia="zh-CN"/>
        </w:rPr>
        <w:t>该项目年初预算数421.99万元，全年预算数421.99万元，该项目资金已全部落实到位，资金来源为财政拨款</w:t>
      </w:r>
      <w:bookmarkEnd w:id="29"/>
      <w:bookmarkEnd w:id="30"/>
      <w:bookmarkEnd w:id="31"/>
      <w:bookmarkStart w:id="32" w:name="_Toc28187"/>
      <w:bookmarkStart w:id="33" w:name="_Toc1166"/>
      <w:bookmarkStart w:id="34" w:name="_Toc3409"/>
      <w:r>
        <w:rPr>
          <w:rFonts w:hint="eastAsia" w:ascii="仿宋_GB2312" w:hAnsi="仿宋_GB2312" w:eastAsia="仿宋_GB2312" w:cs="仿宋_GB2312"/>
          <w:color w:val="auto"/>
          <w:sz w:val="32"/>
          <w:szCs w:val="32"/>
          <w:highlight w:val="none"/>
          <w:lang w:val="en-US" w:eastAsia="zh-CN"/>
        </w:rPr>
        <w:t>。</w:t>
      </w:r>
    </w:p>
    <w:p w14:paraId="0493974A">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（2）资金使用情况</w:t>
      </w:r>
      <w:bookmarkEnd w:id="32"/>
      <w:bookmarkEnd w:id="33"/>
      <w:bookmarkEnd w:id="34"/>
    </w:p>
    <w:p w14:paraId="0457426D">
      <w:pPr>
        <w:pageBreakBefore w:val="0"/>
        <w:shd w:val="clear"/>
        <w:kinsoku/>
        <w:wordWrap/>
        <w:overflowPunct/>
        <w:topLinePunct w:val="0"/>
        <w:autoSpaceDE/>
        <w:autoSpaceDN/>
        <w:bidi w:val="0"/>
        <w:adjustRightInd/>
        <w:snapToGrid/>
        <w:spacing w:line="560" w:lineRule="exact"/>
        <w:ind w:firstLine="640" w:firstLineChars="200"/>
        <w:textAlignment w:val="auto"/>
        <w:outlineLvl w:val="0"/>
        <w:rPr>
          <w:rFonts w:hint="default" w:ascii="仿宋_GB2312" w:hAnsi="仿宋_GB2312" w:eastAsia="仿宋_GB2312" w:cs="仿宋_GB2312"/>
          <w:color w:val="auto"/>
          <w:sz w:val="32"/>
          <w:szCs w:val="32"/>
          <w:highlight w:val="none"/>
          <w:lang w:val="en-US" w:eastAsia="zh-CN"/>
        </w:rPr>
      </w:pPr>
      <w:bookmarkStart w:id="35" w:name="_Toc1430"/>
      <w:bookmarkStart w:id="36" w:name="_Toc11647"/>
      <w:bookmarkStart w:id="37" w:name="_Toc29121"/>
      <w:r>
        <w:rPr>
          <w:rFonts w:hint="eastAsia" w:ascii="仿宋_GB2312" w:hAnsi="仿宋_GB2312" w:eastAsia="仿宋_GB2312" w:cs="仿宋_GB2312"/>
          <w:color w:val="auto"/>
          <w:sz w:val="32"/>
          <w:szCs w:val="32"/>
          <w:highlight w:val="none"/>
          <w:lang w:val="en-US" w:eastAsia="zh-CN"/>
        </w:rPr>
        <w:t>该项目年初预算数421.99万元，全年预算数421.99万元，</w:t>
      </w:r>
      <w:r>
        <w:rPr>
          <w:rFonts w:hint="eastAsia" w:ascii="仿宋_GB2312" w:hAnsi="仿宋_GB2312" w:eastAsia="仿宋_GB2312" w:cs="仿宋_GB2312"/>
          <w:color w:val="auto"/>
          <w:sz w:val="32"/>
          <w:szCs w:val="32"/>
          <w:highlight w:val="none"/>
          <w:shd w:val="clear" w:color="auto" w:fill="auto"/>
          <w:lang w:val="en-US" w:eastAsia="zh-CN"/>
        </w:rPr>
        <w:t>截至2024年12月31日，</w:t>
      </w:r>
      <w:r>
        <w:rPr>
          <w:rFonts w:hint="eastAsia" w:ascii="仿宋_GB2312" w:hAnsi="仿宋_GB2312" w:eastAsia="仿宋_GB2312" w:cs="仿宋_GB2312"/>
          <w:color w:val="auto"/>
          <w:sz w:val="32"/>
          <w:szCs w:val="32"/>
          <w:highlight w:val="none"/>
          <w:lang w:val="en-US" w:eastAsia="zh-CN"/>
        </w:rPr>
        <w:t>全年执行数421.99万元，预算执行率为100%，主要用于：支持服务型农民专业合作社，实际完成了粮食（小麦、玉米）“耕”“种”“防”“收”全程托管农业生产社会化服务面积5.5万亩，补助资金299.99万元，扶持4家农民合作社和7家家庭农场，补助资金122万元</w:t>
      </w:r>
      <w:bookmarkEnd w:id="35"/>
      <w:bookmarkEnd w:id="36"/>
      <w:bookmarkEnd w:id="37"/>
      <w:r>
        <w:rPr>
          <w:rFonts w:hint="eastAsia" w:ascii="仿宋_GB2312" w:hAnsi="仿宋_GB2312" w:eastAsia="仿宋_GB2312" w:cs="仿宋_GB2312"/>
          <w:color w:val="auto"/>
          <w:sz w:val="32"/>
          <w:szCs w:val="32"/>
          <w:highlight w:val="none"/>
          <w:lang w:val="en-US" w:eastAsia="zh-CN"/>
        </w:rPr>
        <w:t>，共421.99万元。</w:t>
      </w:r>
    </w:p>
    <w:p w14:paraId="2DCACF36">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38" w:name="_Toc9109"/>
      <w:r>
        <w:rPr>
          <w:rFonts w:hint="eastAsia" w:ascii="Times New Roman" w:hAnsi="Times New Roman" w:eastAsia="楷体_GB2312" w:cs="Times New Roman"/>
          <w:color w:val="auto"/>
          <w:kern w:val="28"/>
          <w:sz w:val="32"/>
          <w:highlight w:val="none"/>
          <w:lang w:val="en-US" w:eastAsia="zh-CN"/>
        </w:rPr>
        <w:t>（二）项目绩效目标</w:t>
      </w:r>
      <w:bookmarkEnd w:id="38"/>
    </w:p>
    <w:p w14:paraId="799BBCD3">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39" w:name="_Toc2547"/>
      <w:bookmarkStart w:id="40" w:name="_Toc8528"/>
      <w:bookmarkStart w:id="41" w:name="_Toc10047"/>
      <w:bookmarkStart w:id="42" w:name="_Toc14758"/>
      <w:r>
        <w:rPr>
          <w:rFonts w:hint="eastAsia" w:ascii="仿宋_GB2312" w:hAnsi="仿宋_GB2312" w:eastAsia="仿宋_GB2312" w:cs="仿宋_GB2312"/>
          <w:color w:val="auto"/>
          <w:sz w:val="32"/>
          <w:szCs w:val="32"/>
          <w:highlight w:val="none"/>
          <w:shd w:val="clear" w:color="auto" w:fill="auto"/>
          <w:lang w:val="en-US" w:eastAsia="zh-CN"/>
        </w:rPr>
        <w:t>1.总体目标</w:t>
      </w:r>
      <w:bookmarkEnd w:id="39"/>
      <w:bookmarkEnd w:id="40"/>
      <w:bookmarkEnd w:id="41"/>
      <w:bookmarkEnd w:id="42"/>
    </w:p>
    <w:p w14:paraId="6B8735D0">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2024年农业经营主体能力提升项目绩效总体目标为：2024年计划支持服务型农民专业合作社完成粮食（小麦、玉米）“耕”“种”“防”“收”全程托管农业生产社会化服务面积5.5万亩；扶持我市区级以上农民合作社4家，每家补助20万元；扶持县级以上家庭农场7家，每家补助6万元，共122万元，</w:t>
      </w:r>
      <w:r>
        <w:rPr>
          <w:rFonts w:hint="eastAsia" w:ascii="仿宋_GB2312" w:hAnsi="仿宋_GB2312" w:eastAsia="仿宋_GB2312" w:cs="仿宋_GB2312"/>
          <w:color w:val="auto"/>
          <w:sz w:val="32"/>
          <w:szCs w:val="32"/>
          <w:highlight w:val="none"/>
          <w:lang w:val="en-US" w:eastAsia="zh-CN"/>
        </w:rPr>
        <w:t>共421.99万元，</w:t>
      </w:r>
      <w:r>
        <w:rPr>
          <w:rFonts w:hint="eastAsia" w:ascii="仿宋_GB2312" w:hAnsi="仿宋_GB2312" w:eastAsia="仿宋_GB2312" w:cs="仿宋_GB2312"/>
          <w:color w:val="auto"/>
          <w:sz w:val="32"/>
          <w:szCs w:val="32"/>
          <w:highlight w:val="none"/>
          <w:shd w:val="clear" w:color="auto" w:fill="auto"/>
          <w:lang w:val="en-US" w:eastAsia="zh-CN"/>
        </w:rPr>
        <w:t>用于农业机械购买及圈舍改造。通过项目实施，将增强农民合作社示范社和示范家庭农场发展水平和带动能力。</w:t>
      </w:r>
    </w:p>
    <w:p w14:paraId="37B75223">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43" w:name="_Toc4487"/>
      <w:bookmarkStart w:id="44" w:name="_Toc4007"/>
      <w:bookmarkStart w:id="45" w:name="_Toc8990"/>
      <w:bookmarkStart w:id="46" w:name="_Toc3255"/>
      <w:r>
        <w:rPr>
          <w:rFonts w:hint="eastAsia" w:ascii="仿宋_GB2312" w:hAnsi="仿宋_GB2312" w:eastAsia="仿宋_GB2312" w:cs="仿宋_GB2312"/>
          <w:color w:val="auto"/>
          <w:sz w:val="32"/>
          <w:szCs w:val="32"/>
          <w:highlight w:val="none"/>
          <w:shd w:val="clear" w:color="auto" w:fill="auto"/>
          <w:lang w:val="en-US" w:eastAsia="zh-CN"/>
        </w:rPr>
        <w:t>2.阶段性目标</w:t>
      </w:r>
      <w:bookmarkEnd w:id="43"/>
      <w:bookmarkEnd w:id="44"/>
      <w:bookmarkEnd w:id="45"/>
      <w:bookmarkEnd w:id="46"/>
    </w:p>
    <w:p w14:paraId="6472F4B4">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Cs/>
          <w:color w:val="auto"/>
          <w:sz w:val="32"/>
          <w:szCs w:val="32"/>
          <w:highlight w:val="none"/>
          <w:shd w:val="clear" w:color="auto" w:fill="auto"/>
          <w:lang w:eastAsia="zh-CN"/>
        </w:rPr>
      </w:pPr>
      <w:r>
        <w:rPr>
          <w:rFonts w:hint="eastAsia" w:ascii="仿宋_GB2312" w:hAnsi="仿宋_GB2312" w:eastAsia="仿宋_GB2312" w:cs="仿宋_GB2312"/>
          <w:bCs/>
          <w:color w:val="auto"/>
          <w:sz w:val="32"/>
          <w:szCs w:val="32"/>
          <w:highlight w:val="none"/>
          <w:shd w:val="clear" w:color="auto" w:fill="auto"/>
          <w:lang w:eastAsia="zh-CN"/>
        </w:rPr>
        <w:t>根据《预算法》《财政支出绩效评价管理暂行办法》（财预〔20</w:t>
      </w:r>
      <w:r>
        <w:rPr>
          <w:rFonts w:hint="eastAsia" w:ascii="仿宋_GB2312" w:hAnsi="仿宋_GB2312" w:eastAsia="仿宋_GB2312" w:cs="仿宋_GB2312"/>
          <w:bCs/>
          <w:color w:val="auto"/>
          <w:sz w:val="32"/>
          <w:szCs w:val="32"/>
          <w:highlight w:val="none"/>
          <w:shd w:val="clear" w:color="auto" w:fill="auto"/>
          <w:lang w:val="en-US" w:eastAsia="zh-CN"/>
        </w:rPr>
        <w:t>20</w:t>
      </w:r>
      <w:r>
        <w:rPr>
          <w:rFonts w:hint="eastAsia" w:ascii="仿宋_GB2312" w:hAnsi="仿宋_GB2312" w:eastAsia="仿宋_GB2312" w:cs="仿宋_GB2312"/>
          <w:bCs/>
          <w:color w:val="auto"/>
          <w:sz w:val="32"/>
          <w:szCs w:val="32"/>
          <w:highlight w:val="none"/>
          <w:shd w:val="clear" w:color="auto" w:fill="auto"/>
          <w:lang w:eastAsia="zh-CN"/>
        </w:rPr>
        <w:t>〕</w:t>
      </w:r>
      <w:r>
        <w:rPr>
          <w:rFonts w:hint="eastAsia" w:ascii="仿宋_GB2312" w:hAnsi="仿宋_GB2312" w:eastAsia="仿宋_GB2312" w:cs="仿宋_GB2312"/>
          <w:bCs/>
          <w:color w:val="auto"/>
          <w:sz w:val="32"/>
          <w:szCs w:val="32"/>
          <w:highlight w:val="none"/>
          <w:shd w:val="clear" w:color="auto" w:fill="auto"/>
          <w:lang w:val="en-US" w:eastAsia="zh-CN"/>
        </w:rPr>
        <w:t>10</w:t>
      </w:r>
      <w:r>
        <w:rPr>
          <w:rFonts w:hint="eastAsia" w:ascii="仿宋_GB2312" w:hAnsi="仿宋_GB2312" w:eastAsia="仿宋_GB2312" w:cs="仿宋_GB2312"/>
          <w:bCs/>
          <w:color w:val="auto"/>
          <w:sz w:val="32"/>
          <w:szCs w:val="32"/>
          <w:highlight w:val="none"/>
          <w:shd w:val="clear" w:color="auto" w:fill="auto"/>
          <w:lang w:eastAsia="zh-CN"/>
        </w:rPr>
        <w:t>号）</w:t>
      </w:r>
      <w:r>
        <w:rPr>
          <w:rFonts w:hint="eastAsia" w:ascii="仿宋_GB2312" w:hAnsi="仿宋_GB2312" w:eastAsia="仿宋_GB2312" w:cs="仿宋_GB2312"/>
          <w:color w:val="auto"/>
          <w:sz w:val="32"/>
          <w:szCs w:val="32"/>
          <w:highlight w:val="none"/>
          <w:shd w:val="clear" w:color="auto" w:fill="auto"/>
          <w:lang w:val="en-US" w:eastAsia="zh-CN"/>
        </w:rPr>
        <w:t>等文件</w:t>
      </w:r>
      <w:r>
        <w:rPr>
          <w:rFonts w:hint="eastAsia" w:ascii="仿宋_GB2312" w:hAnsi="仿宋_GB2312" w:eastAsia="仿宋_GB2312" w:cs="仿宋_GB2312"/>
          <w:bCs/>
          <w:color w:val="auto"/>
          <w:sz w:val="32"/>
          <w:szCs w:val="32"/>
          <w:highlight w:val="none"/>
          <w:shd w:val="clear" w:color="auto" w:fill="auto"/>
          <w:lang w:eastAsia="zh-CN"/>
        </w:rPr>
        <w:t>的规定，结合项目实施单位的规章制度以及财务相关资料，评价小组对项目绩效目标进行了进一步的完善，完善</w:t>
      </w:r>
      <w:r>
        <w:rPr>
          <w:rFonts w:hint="eastAsia" w:ascii="仿宋_GB2312" w:hAnsi="仿宋_GB2312" w:eastAsia="仿宋_GB2312" w:cs="仿宋_GB2312"/>
          <w:bCs/>
          <w:color w:val="auto"/>
          <w:sz w:val="32"/>
          <w:szCs w:val="32"/>
          <w:highlight w:val="none"/>
          <w:shd w:val="clear" w:color="auto" w:fill="auto"/>
          <w:lang w:val="en-US" w:eastAsia="zh-CN"/>
        </w:rPr>
        <w:t>后</w:t>
      </w:r>
      <w:r>
        <w:rPr>
          <w:rFonts w:hint="eastAsia" w:ascii="仿宋_GB2312" w:hAnsi="仿宋_GB2312" w:eastAsia="仿宋_GB2312" w:cs="仿宋_GB2312"/>
          <w:bCs/>
          <w:color w:val="auto"/>
          <w:sz w:val="32"/>
          <w:szCs w:val="32"/>
          <w:highlight w:val="none"/>
          <w:shd w:val="clear" w:color="auto" w:fill="auto"/>
          <w:lang w:eastAsia="zh-CN"/>
        </w:rPr>
        <w:t>绩效目标如下：</w:t>
      </w:r>
    </w:p>
    <w:p w14:paraId="1E9ABF2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1</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rPr>
        <w:t>项目产出</w:t>
      </w:r>
      <w:r>
        <w:rPr>
          <w:rFonts w:hint="eastAsia" w:ascii="仿宋_GB2312" w:hAnsi="仿宋_GB2312" w:eastAsia="仿宋_GB2312" w:cs="仿宋_GB2312"/>
          <w:color w:val="auto"/>
          <w:sz w:val="32"/>
          <w:szCs w:val="32"/>
          <w:highlight w:val="none"/>
          <w:shd w:val="clear" w:color="auto" w:fill="auto"/>
          <w:lang w:val="en-US" w:eastAsia="zh-CN"/>
        </w:rPr>
        <w:t>目标</w:t>
      </w:r>
    </w:p>
    <w:p w14:paraId="4BFA75D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“支持的农民合作社数量”指标，预期目标值为≥4个；</w:t>
      </w:r>
    </w:p>
    <w:p w14:paraId="2D28EA1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“支持的家庭农场数量”指标，预期目标值为≥7个；</w:t>
      </w:r>
    </w:p>
    <w:p w14:paraId="46249D1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“农业生产托管服务面积”指标，预期目标为≥5.5万亩。</w:t>
      </w:r>
    </w:p>
    <w:p w14:paraId="4C2C7C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②质量指标</w:t>
      </w:r>
    </w:p>
    <w:p w14:paraId="5E0550B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“农业生产社会化服务对象提高单产水平”指标，预期目标值为＝100%；</w:t>
      </w:r>
    </w:p>
    <w:p w14:paraId="328699D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③时效指标</w:t>
      </w:r>
    </w:p>
    <w:p w14:paraId="2F65F94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color w:val="auto"/>
          <w:highlight w:val="none"/>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“项目完成时间”指标，预期目标值为2024年11月5日；</w:t>
      </w:r>
    </w:p>
    <w:p w14:paraId="2C0015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color w:val="auto"/>
          <w:highlight w:val="none"/>
          <w:lang w:val="en-US" w:eastAsia="zh-CN"/>
        </w:rPr>
      </w:pPr>
      <w:r>
        <w:rPr>
          <w:rFonts w:hint="eastAsia" w:ascii="宋体" w:hAnsi="宋体" w:eastAsia="宋体" w:cs="宋体"/>
          <w:color w:val="auto"/>
          <w:kern w:val="2"/>
          <w:sz w:val="28"/>
          <w:szCs w:val="28"/>
          <w:highlight w:val="none"/>
          <w:lang w:val="en-US" w:eastAsia="zh-CN" w:bidi="ar-SA"/>
        </w:rPr>
        <w:t>（2）</w:t>
      </w:r>
      <w:r>
        <w:rPr>
          <w:rFonts w:hint="eastAsia" w:ascii="仿宋_GB2312" w:hAnsi="仿宋_GB2312" w:eastAsia="仿宋_GB2312" w:cs="仿宋_GB2312"/>
          <w:color w:val="auto"/>
          <w:sz w:val="32"/>
          <w:szCs w:val="32"/>
          <w:highlight w:val="none"/>
          <w:shd w:val="clear" w:color="auto" w:fill="auto"/>
          <w:lang w:val="en-US" w:eastAsia="zh-CN"/>
        </w:rPr>
        <w:t>成本指标</w:t>
      </w:r>
    </w:p>
    <w:p w14:paraId="239284D7">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本项目不涉及经济效益指标。</w:t>
      </w:r>
    </w:p>
    <w:p w14:paraId="719C506E">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eastAsia="zh-CN"/>
        </w:rPr>
      </w:pPr>
      <w:r>
        <w:rPr>
          <w:rFonts w:hint="eastAsia" w:ascii="仿宋_GB2312" w:hAnsi="仿宋_GB2312" w:eastAsia="仿宋_GB2312" w:cs="仿宋_GB2312"/>
          <w:color w:val="auto"/>
          <w:sz w:val="32"/>
          <w:szCs w:val="32"/>
          <w:highlight w:val="none"/>
          <w:shd w:val="clear" w:color="auto" w:fill="auto"/>
        </w:rPr>
        <w:t>（</w:t>
      </w:r>
      <w:r>
        <w:rPr>
          <w:rFonts w:hint="eastAsia" w:ascii="仿宋_GB2312" w:hAnsi="仿宋_GB2312" w:eastAsia="仿宋_GB2312" w:cs="仿宋_GB2312"/>
          <w:color w:val="auto"/>
          <w:sz w:val="32"/>
          <w:szCs w:val="32"/>
          <w:highlight w:val="none"/>
          <w:shd w:val="clear" w:color="auto" w:fill="auto"/>
          <w:lang w:val="en-US" w:eastAsia="zh-CN"/>
        </w:rPr>
        <w:t>3</w:t>
      </w:r>
      <w:r>
        <w:rPr>
          <w:rFonts w:hint="eastAsia" w:ascii="仿宋_GB2312" w:hAnsi="仿宋_GB2312" w:eastAsia="仿宋_GB2312" w:cs="仿宋_GB2312"/>
          <w:color w:val="auto"/>
          <w:sz w:val="32"/>
          <w:szCs w:val="32"/>
          <w:highlight w:val="none"/>
          <w:shd w:val="clear" w:color="auto" w:fill="auto"/>
        </w:rPr>
        <w:t>）项目效益</w:t>
      </w:r>
      <w:r>
        <w:rPr>
          <w:rFonts w:hint="eastAsia" w:ascii="仿宋_GB2312" w:hAnsi="仿宋_GB2312" w:eastAsia="仿宋_GB2312" w:cs="仿宋_GB2312"/>
          <w:color w:val="auto"/>
          <w:sz w:val="32"/>
          <w:szCs w:val="32"/>
          <w:highlight w:val="none"/>
          <w:shd w:val="clear" w:color="auto" w:fill="auto"/>
          <w:lang w:val="en-US" w:eastAsia="zh-CN"/>
        </w:rPr>
        <w:t>目标</w:t>
      </w:r>
    </w:p>
    <w:p w14:paraId="6297A60A">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①经济效益指标</w:t>
      </w:r>
    </w:p>
    <w:p w14:paraId="523F10D0">
      <w:pPr>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本项目不涉及经济效益指标。</w:t>
      </w:r>
    </w:p>
    <w:p w14:paraId="37722A1B">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②社会效益指标</w:t>
      </w:r>
    </w:p>
    <w:p w14:paraId="39288B54">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“农民合作社示范社和示范家庭农场发展水平和带动能力”指标，预期目标值为增强；</w:t>
      </w:r>
    </w:p>
    <w:p w14:paraId="4A8B104C">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③生态效益指标</w:t>
      </w:r>
    </w:p>
    <w:p w14:paraId="016D7B35">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本项目不涉及生态效益指标。</w:t>
      </w:r>
    </w:p>
    <w:p w14:paraId="1356B490">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④可持续影响指标</w:t>
      </w:r>
    </w:p>
    <w:p w14:paraId="414A8598">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本项目不涉及可持续影响指标。</w:t>
      </w:r>
    </w:p>
    <w:p w14:paraId="338C94BE">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⑤满意度指标</w:t>
      </w:r>
    </w:p>
    <w:p w14:paraId="61D423F2">
      <w:pPr>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接受社会化服务的小农户满意度</w:t>
      </w:r>
      <w:r>
        <w:rPr>
          <w:rFonts w:hint="eastAsia" w:ascii="仿宋_GB2312" w:hAnsi="仿宋_GB2312" w:eastAsia="仿宋_GB2312" w:cs="仿宋_GB2312"/>
          <w:color w:val="auto"/>
          <w:sz w:val="32"/>
          <w:szCs w:val="32"/>
          <w:highlight w:val="none"/>
          <w:shd w:val="clear" w:color="auto" w:fill="auto"/>
          <w:lang w:eastAsia="zh-CN"/>
        </w:rPr>
        <w:t>”</w:t>
      </w:r>
      <w:r>
        <w:rPr>
          <w:rFonts w:hint="eastAsia" w:ascii="仿宋_GB2312" w:hAnsi="仿宋_GB2312" w:eastAsia="仿宋_GB2312" w:cs="仿宋_GB2312"/>
          <w:color w:val="auto"/>
          <w:sz w:val="32"/>
          <w:szCs w:val="32"/>
          <w:highlight w:val="none"/>
          <w:shd w:val="clear" w:color="auto" w:fill="auto"/>
          <w:lang w:val="en-US" w:eastAsia="zh-CN"/>
        </w:rPr>
        <w:t>指标，预期目标值为≥98%。</w:t>
      </w:r>
    </w:p>
    <w:p w14:paraId="123E4843">
      <w:pPr>
        <w:pStyle w:val="2"/>
        <w:pageBreakBefore w:val="0"/>
        <w:kinsoku/>
        <w:wordWrap/>
        <w:overflowPunct/>
        <w:topLinePunct w:val="0"/>
        <w:autoSpaceDE/>
        <w:autoSpaceDN/>
        <w:bidi w:val="0"/>
        <w:adjustRightInd/>
        <w:snapToGrid/>
        <w:spacing w:beforeLines="0" w:afterLines="0" w:line="560" w:lineRule="exact"/>
        <w:textAlignment w:val="auto"/>
        <w:rPr>
          <w:rFonts w:hint="eastAsia" w:ascii="宋体" w:hAnsi="宋体" w:eastAsia="宋体" w:cs="宋体"/>
          <w:b/>
          <w:bCs/>
          <w:color w:val="auto"/>
          <w:highlight w:val="none"/>
          <w:shd w:val="clear" w:color="auto" w:fill="auto"/>
          <w:lang w:val="en-US" w:eastAsia="zh-CN"/>
        </w:rPr>
      </w:pPr>
      <w:bookmarkStart w:id="47" w:name="_Toc26567"/>
      <w:r>
        <w:rPr>
          <w:rFonts w:hint="eastAsia" w:ascii="宋体" w:hAnsi="宋体" w:eastAsia="宋体" w:cs="宋体"/>
          <w:b/>
          <w:bCs/>
          <w:color w:val="auto"/>
          <w:highlight w:val="none"/>
          <w:shd w:val="clear" w:color="auto" w:fill="auto"/>
        </w:rPr>
        <w:t>二、绩效评价工作开展情况</w:t>
      </w:r>
      <w:bookmarkEnd w:id="47"/>
    </w:p>
    <w:p w14:paraId="2CC9CEB1">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48" w:name="_Toc480473081"/>
      <w:bookmarkStart w:id="49" w:name="_Toc5258"/>
      <w:bookmarkStart w:id="50" w:name="_Toc26632"/>
      <w:bookmarkStart w:id="51" w:name="_Toc21664"/>
      <w:bookmarkStart w:id="52" w:name="_Toc5462343"/>
      <w:bookmarkStart w:id="53" w:name="_Toc12868"/>
      <w:bookmarkStart w:id="54" w:name="_Toc22922"/>
      <w:bookmarkStart w:id="55" w:name="_Toc22169_WPSOffice_Level2"/>
      <w:bookmarkStart w:id="56" w:name="_Toc22839"/>
      <w:r>
        <w:rPr>
          <w:rFonts w:hint="eastAsia" w:ascii="Times New Roman" w:hAnsi="Times New Roman" w:eastAsia="楷体_GB2312" w:cs="Times New Roman"/>
          <w:color w:val="auto"/>
          <w:kern w:val="28"/>
          <w:sz w:val="32"/>
          <w:highlight w:val="none"/>
          <w:lang w:val="en-US" w:eastAsia="zh-CN"/>
        </w:rPr>
        <w:t>（一）绩效评价的目的</w:t>
      </w:r>
      <w:bookmarkEnd w:id="48"/>
      <w:bookmarkEnd w:id="49"/>
      <w:bookmarkEnd w:id="50"/>
      <w:bookmarkEnd w:id="51"/>
      <w:bookmarkEnd w:id="52"/>
      <w:bookmarkEnd w:id="53"/>
      <w:bookmarkEnd w:id="54"/>
      <w:bookmarkEnd w:id="55"/>
      <w:r>
        <w:rPr>
          <w:rFonts w:hint="eastAsia" w:ascii="Times New Roman" w:hAnsi="Times New Roman" w:eastAsia="楷体_GB2312" w:cs="Times New Roman"/>
          <w:color w:val="auto"/>
          <w:kern w:val="28"/>
          <w:sz w:val="32"/>
          <w:highlight w:val="none"/>
          <w:lang w:val="en-US" w:eastAsia="zh-CN"/>
        </w:rPr>
        <w:t>、对象和范围</w:t>
      </w:r>
      <w:bookmarkEnd w:id="56"/>
    </w:p>
    <w:p w14:paraId="5F8BEEC9">
      <w:pPr>
        <w:pStyle w:val="14"/>
        <w:pageBreakBefore w:val="0"/>
        <w:widowControl w:val="0"/>
        <w:kinsoku/>
        <w:wordWrap/>
        <w:overflowPunct/>
        <w:topLinePunct w:val="0"/>
        <w:autoSpaceDE/>
        <w:autoSpaceDN/>
        <w:bidi w:val="0"/>
        <w:adjustRightInd/>
        <w:snapToGrid/>
        <w:spacing w:before="0" w:after="0" w:line="560" w:lineRule="exact"/>
        <w:ind w:firstLine="643" w:firstLineChars="200"/>
        <w:jc w:val="both"/>
        <w:textAlignment w:val="auto"/>
        <w:outlineLvl w:val="9"/>
        <w:rPr>
          <w:rFonts w:hint="default" w:ascii="Times New Roman" w:hAnsi="Times New Roman" w:eastAsia="仿宋_GB2312" w:cs="Times New Roman"/>
          <w:b/>
          <w:bCs/>
          <w:color w:val="auto"/>
          <w:kern w:val="2"/>
          <w:sz w:val="32"/>
          <w:szCs w:val="32"/>
          <w:highlight w:val="none"/>
          <w:lang w:val="en-US" w:eastAsia="zh-CN" w:bidi="ar-SA"/>
        </w:rPr>
      </w:pPr>
      <w:bookmarkStart w:id="57" w:name="_Toc15732"/>
      <w:r>
        <w:rPr>
          <w:rFonts w:hint="default" w:ascii="Times New Roman" w:hAnsi="Times New Roman" w:eastAsia="仿宋_GB2312" w:cs="Times New Roman"/>
          <w:b/>
          <w:bCs/>
          <w:color w:val="auto"/>
          <w:kern w:val="2"/>
          <w:sz w:val="32"/>
          <w:szCs w:val="32"/>
          <w:highlight w:val="none"/>
          <w:lang w:val="en-US" w:eastAsia="zh-CN" w:bidi="ar-SA"/>
        </w:rPr>
        <w:t>1.绩效评价完整性</w:t>
      </w:r>
    </w:p>
    <w:p w14:paraId="4E57CD83">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本项目预算绩效评价报告在编制过程中，严格遵循相关法规与标准，确保评价内容的全面性与准确性。报告涵盖了项目从预算编制、执行到完成的全过程，对项目的各项绩效指标进行了细致的梳理与评估。</w:t>
      </w:r>
    </w:p>
    <w:p w14:paraId="51F6FBE0">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在评价指标体系的构建上，充分考虑了项目的性质、目标以及预期成果，选取了具有代表性和可衡量性的关键指标，涵盖了社会效益等维度，力求全方位反映项目的绩效状况。同时，对于每个指标的评价标准和数据来源均进行了明确说明，确保评价结果的客观性和可追溯性。</w:t>
      </w:r>
    </w:p>
    <w:p w14:paraId="6E47BAB8">
      <w:pPr>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在数据收集与分析环节，采用了多种科学合理的方法，如实地调研、问卷调查、数据分析等，广泛收集了与项目相关的各类数据，并运用专业的统计分析工具对数据进行深入挖掘，以确保评价结论的科学性和可靠性。</w:t>
      </w:r>
    </w:p>
    <w:p w14:paraId="30060005">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在报告的撰写结构上，按照统一的格式和规范进行编排，内容层次分明、条理清晰。首先对项目的背景、目标和预算安排进行了简要介绍，为后续的绩效评价提供了必要的背景信息；接着详细阐述了绩效评价的指标体系、评价方法和数据来源，为评价过程的透明性和可复现性奠定了基础；然后对各项绩效指标的完成情况进行了逐一分析和评价，指出了项目在实施过程中存在的问题和不足，并提出了相应的改进建议；最后对整个项目的绩效状况进行了综合总结，给出了明确的评价结论和后续工作的建议，为项目的持续改进和决策提供了有力支持。</w:t>
      </w:r>
    </w:p>
    <w:p w14:paraId="73017763">
      <w:pPr>
        <w:spacing w:line="560" w:lineRule="exact"/>
        <w:ind w:firstLine="640" w:firstLineChars="200"/>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本项目预算绩效评价报告在内容、方法和数据等方面均具备较高的完整性，能够真实、客观地反映项目的绩效情况，为项目管理决策提供了有价值的参考依据。在未来的工作中，我们将继续完善绩效评价体系，不断提升评价工作的质量和水平，以更好地服务于项目的管理和优化。</w:t>
      </w:r>
    </w:p>
    <w:p w14:paraId="7800A579">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58" w:name="_Toc417"/>
      <w:bookmarkStart w:id="59" w:name="_Toc21770"/>
      <w:r>
        <w:rPr>
          <w:rFonts w:hint="eastAsia" w:cs="仿宋_GB2312"/>
          <w:color w:val="auto"/>
          <w:sz w:val="32"/>
          <w:szCs w:val="32"/>
          <w:highlight w:val="none"/>
          <w:shd w:val="clear" w:color="auto" w:fill="auto"/>
          <w:lang w:val="en-US" w:eastAsia="zh-CN"/>
        </w:rPr>
        <w:t>2</w:t>
      </w:r>
      <w:r>
        <w:rPr>
          <w:rFonts w:hint="eastAsia" w:ascii="仿宋_GB2312" w:hAnsi="仿宋_GB2312" w:eastAsia="仿宋_GB2312" w:cs="仿宋_GB2312"/>
          <w:color w:val="auto"/>
          <w:sz w:val="32"/>
          <w:szCs w:val="32"/>
          <w:highlight w:val="none"/>
          <w:shd w:val="clear" w:color="auto" w:fill="auto"/>
          <w:lang w:val="en-US" w:eastAsia="zh-CN"/>
        </w:rPr>
        <w:t>.</w:t>
      </w:r>
      <w:r>
        <w:rPr>
          <w:rFonts w:hint="eastAsia" w:ascii="仿宋_GB2312" w:hAnsi="仿宋_GB2312" w:eastAsia="仿宋_GB2312" w:cs="仿宋_GB2312"/>
          <w:color w:val="auto"/>
          <w:sz w:val="32"/>
          <w:szCs w:val="32"/>
          <w:highlight w:val="none"/>
          <w:shd w:val="clear" w:color="auto" w:fill="auto"/>
          <w:lang w:eastAsia="zh-CN"/>
        </w:rPr>
        <w:t>绩效评价的目的</w:t>
      </w:r>
      <w:bookmarkEnd w:id="57"/>
      <w:bookmarkEnd w:id="58"/>
      <w:bookmarkEnd w:id="59"/>
    </w:p>
    <w:p w14:paraId="3E225F32">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shd w:val="clear" w:color="auto" w:fill="auto"/>
          <w:lang w:eastAsia="zh-CN"/>
        </w:rPr>
      </w:pPr>
      <w:r>
        <w:rPr>
          <w:rFonts w:hint="eastAsia" w:ascii="仿宋_GB2312" w:hAnsi="仿宋_GB2312" w:eastAsia="仿宋_GB2312" w:cs="仿宋_GB2312"/>
          <w:color w:val="auto"/>
          <w:sz w:val="32"/>
          <w:szCs w:val="32"/>
          <w:highlight w:val="none"/>
          <w:shd w:val="clear" w:color="auto" w:fill="auto"/>
          <w:lang w:eastAsia="zh-CN"/>
        </w:rPr>
        <w:t>为全面了解</w:t>
      </w:r>
      <w:r>
        <w:rPr>
          <w:rFonts w:hint="eastAsia" w:ascii="仿宋_GB2312" w:hAnsi="仿宋_GB2312" w:eastAsia="仿宋_GB2312" w:cs="仿宋_GB2312"/>
          <w:color w:val="auto"/>
          <w:sz w:val="32"/>
          <w:szCs w:val="32"/>
          <w:highlight w:val="none"/>
          <w:shd w:val="clear" w:color="auto" w:fill="auto"/>
          <w:lang w:val="en-US" w:eastAsia="zh-CN"/>
        </w:rPr>
        <w:t>该</w:t>
      </w:r>
      <w:r>
        <w:rPr>
          <w:rFonts w:hint="eastAsia" w:ascii="仿宋_GB2312" w:hAnsi="仿宋_GB2312" w:eastAsia="仿宋_GB2312" w:cs="仿宋_GB2312"/>
          <w:color w:val="auto"/>
          <w:sz w:val="32"/>
          <w:szCs w:val="32"/>
          <w:highlight w:val="none"/>
          <w:shd w:val="clear" w:color="auto" w:fill="auto"/>
          <w:lang w:eastAsia="zh-CN"/>
        </w:rPr>
        <w:t>项目预算编制合理性、资金使用合规性、项目管理的规范性、</w:t>
      </w:r>
      <w:r>
        <w:rPr>
          <w:rFonts w:hint="eastAsia" w:ascii="仿宋_GB2312" w:hAnsi="仿宋_GB2312" w:eastAsia="仿宋_GB2312" w:cs="仿宋_GB2312"/>
          <w:color w:val="auto"/>
          <w:sz w:val="32"/>
          <w:szCs w:val="32"/>
          <w:highlight w:val="none"/>
          <w:shd w:val="clear" w:color="auto" w:fill="auto"/>
          <w:lang w:val="en-US" w:eastAsia="zh-CN"/>
        </w:rPr>
        <w:t>绩效</w:t>
      </w:r>
      <w:r>
        <w:rPr>
          <w:rFonts w:hint="eastAsia" w:ascii="仿宋_GB2312" w:hAnsi="仿宋_GB2312" w:eastAsia="仿宋_GB2312" w:cs="仿宋_GB2312"/>
          <w:color w:val="auto"/>
          <w:sz w:val="32"/>
          <w:szCs w:val="32"/>
          <w:highlight w:val="none"/>
          <w:shd w:val="clear" w:color="auto" w:fill="auto"/>
          <w:lang w:eastAsia="zh-CN"/>
        </w:rPr>
        <w:t>目标的实现情况、服务对象的满意度等，通过本次</w:t>
      </w:r>
      <w:r>
        <w:rPr>
          <w:rFonts w:hint="eastAsia" w:ascii="仿宋_GB2312" w:hAnsi="仿宋_GB2312" w:eastAsia="仿宋_GB2312" w:cs="仿宋_GB2312"/>
          <w:color w:val="auto"/>
          <w:sz w:val="32"/>
          <w:szCs w:val="32"/>
          <w:highlight w:val="none"/>
          <w:shd w:val="clear" w:color="auto" w:fill="auto"/>
          <w:lang w:val="en-US" w:eastAsia="zh-CN"/>
        </w:rPr>
        <w:t>部门</w:t>
      </w:r>
      <w:r>
        <w:rPr>
          <w:rFonts w:hint="eastAsia" w:ascii="仿宋_GB2312" w:hAnsi="仿宋_GB2312" w:eastAsia="仿宋_GB2312" w:cs="仿宋_GB2312"/>
          <w:color w:val="auto"/>
          <w:sz w:val="32"/>
          <w:szCs w:val="32"/>
          <w:highlight w:val="none"/>
          <w:shd w:val="clear" w:color="auto" w:fill="auto"/>
          <w:lang w:eastAsia="zh-CN"/>
        </w:rPr>
        <w:t>绩效评价来总结经验和教训，促进项目成果转化和应用，为今后类似项目的长效管理，提供可行性参考建议。</w:t>
      </w:r>
    </w:p>
    <w:p w14:paraId="4A05E6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bookmarkStart w:id="60" w:name="_Toc30609"/>
      <w:r>
        <w:rPr>
          <w:rFonts w:hint="default" w:ascii="Times New Roman" w:hAnsi="Times New Roman" w:eastAsia="仿宋_GB2312" w:cs="Times New Roman"/>
          <w:color w:val="auto"/>
          <w:sz w:val="32"/>
          <w:szCs w:val="32"/>
          <w:highlight w:val="none"/>
        </w:rPr>
        <w:t>（1）评估项目实施效果</w:t>
      </w:r>
    </w:p>
    <w:p w14:paraId="3187A1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通过对项目预算执行情况及各项绩效目标达成程度的系统性分析，全面、客观地评估项目在预定周期内的实施效果，包括社会效益等维度指标，为项目后续的改进与优化提供科学依据。</w:t>
      </w:r>
    </w:p>
    <w:p w14:paraId="2F4473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（2）提升资源利用效率</w:t>
      </w:r>
    </w:p>
    <w:p w14:paraId="753B14E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深入剖析项目预算资金的投入与产出关系，识别资金使用过程中的冗余环节与低效领域，挖掘潜在的资源优化配置空间，推动项目在有限的预算资源下实现更高的绩效产出，提升整体资源利用效率</w:t>
      </w:r>
      <w:r>
        <w:rPr>
          <w:rFonts w:hint="eastAsia"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确保财政资金的合理、高效运用。</w:t>
      </w:r>
    </w:p>
    <w:p w14:paraId="5F51AD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（3）强化项目管理责任</w:t>
      </w:r>
    </w:p>
    <w:p w14:paraId="4D9115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明确项目各参与主体在预算绩效管理中的职责与任务，借助绩效评价结果对项目管理过程进行监督与问责，促使项目管理者增强责任意识，主动优化管理流程，完善内部控制机制，提高项目管理水平与执行力，保障项目按计划、高质量推进。</w:t>
      </w:r>
    </w:p>
    <w:p w14:paraId="03AE9C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（4）为决策提供支持</w:t>
      </w:r>
    </w:p>
    <w:p w14:paraId="6E4343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为项目主管部门、财政部门及相关决策层提供详实、准确的绩效评价信息，辅助其在项目审批、预算安排、政策调整等关键决策环节做出更加科学、合理的判断，促进项目资源的合理分配与有效整合，推动项目管理体系的不断完善与升级，提升公共资源配置的精准度与有效性。</w:t>
      </w:r>
    </w:p>
    <w:p w14:paraId="09067A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（5）促进项目持续改进</w:t>
      </w:r>
    </w:p>
    <w:p w14:paraId="211041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基于绩效评价发现的问题与不足，提出针对性的改进建议与措施，引导项目团队聚焦关键环节，持续优化项目实施方案，加强过程监控与质量把控，形成项目绩效持续改进的良性循环，不断提升项目整体绩效水平，实现项目长期稳定发展的目标。</w:t>
      </w:r>
    </w:p>
    <w:p w14:paraId="522829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仿宋_GB2312" w:cs="Times New Roman"/>
          <w:color w:val="auto"/>
          <w:sz w:val="32"/>
          <w:szCs w:val="32"/>
          <w:highlight w:val="none"/>
        </w:rPr>
        <w:t>本项目预算绩效评价报告的编制以提升项目绩效为核心，旨在通过科学、严谨的评价工作，为项目管理与决策提供全方位、深层次的支持，推动项目在预算约束下实现高质量、可持续发展，充分发挥财政资金的经济效益与社会效益。</w:t>
      </w:r>
    </w:p>
    <w:p w14:paraId="3472B7E2">
      <w:pPr>
        <w:pStyle w:val="4"/>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61" w:name="_Toc16346"/>
      <w:bookmarkStart w:id="62" w:name="_Toc31970"/>
      <w:r>
        <w:rPr>
          <w:rFonts w:hint="eastAsia" w:cs="仿宋_GB2312"/>
          <w:color w:val="auto"/>
          <w:sz w:val="32"/>
          <w:szCs w:val="32"/>
          <w:highlight w:val="none"/>
          <w:shd w:val="clear" w:color="auto" w:fill="auto"/>
          <w:lang w:val="en-US" w:eastAsia="zh-CN"/>
        </w:rPr>
        <w:t>3</w:t>
      </w:r>
      <w:r>
        <w:rPr>
          <w:rFonts w:hint="eastAsia" w:ascii="仿宋_GB2312" w:hAnsi="仿宋_GB2312" w:eastAsia="仿宋_GB2312" w:cs="仿宋_GB2312"/>
          <w:color w:val="auto"/>
          <w:sz w:val="32"/>
          <w:szCs w:val="32"/>
          <w:highlight w:val="none"/>
          <w:shd w:val="clear" w:color="auto" w:fill="auto"/>
          <w:lang w:val="en-US" w:eastAsia="zh-CN"/>
        </w:rPr>
        <w:t>.绩效评价的对象</w:t>
      </w:r>
      <w:bookmarkEnd w:id="60"/>
      <w:bookmarkEnd w:id="61"/>
      <w:bookmarkEnd w:id="62"/>
    </w:p>
    <w:p w14:paraId="08712F7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此次我单位根据</w:t>
      </w:r>
      <w:r>
        <w:rPr>
          <w:rFonts w:hint="eastAsia" w:ascii="仿宋_GB2312" w:hAnsi="仿宋_GB2312" w:eastAsia="仿宋_GB2312" w:cs="仿宋_GB2312"/>
          <w:color w:val="auto"/>
          <w:sz w:val="32"/>
          <w:szCs w:val="32"/>
          <w:highlight w:val="none"/>
          <w:shd w:val="clear" w:color="auto" w:fill="auto"/>
        </w:rPr>
        <w:t>《财政支出绩效评价管理暂行办法》（</w:t>
      </w:r>
      <w:r>
        <w:rPr>
          <w:rFonts w:hint="eastAsia" w:ascii="仿宋_GB2312" w:hAnsi="仿宋_GB2312" w:eastAsia="仿宋_GB2312" w:cs="仿宋_GB2312"/>
          <w:color w:val="auto"/>
          <w:sz w:val="32"/>
          <w:szCs w:val="32"/>
          <w:highlight w:val="none"/>
          <w:shd w:val="clear" w:color="auto" w:fill="auto"/>
          <w:lang w:eastAsia="zh-CN"/>
        </w:rPr>
        <w:t>财预〔2020〕10号</w:t>
      </w:r>
      <w:r>
        <w:rPr>
          <w:rFonts w:hint="eastAsia" w:ascii="仿宋_GB2312" w:hAnsi="仿宋_GB2312" w:eastAsia="仿宋_GB2312" w:cs="仿宋_GB2312"/>
          <w:color w:val="auto"/>
          <w:sz w:val="32"/>
          <w:szCs w:val="32"/>
          <w:highlight w:val="none"/>
          <w:shd w:val="clear" w:color="auto" w:fill="auto"/>
        </w:rPr>
        <w:t>）</w:t>
      </w:r>
      <w:r>
        <w:rPr>
          <w:rFonts w:hint="eastAsia" w:ascii="仿宋_GB2312" w:hAnsi="仿宋_GB2312" w:eastAsia="仿宋_GB2312" w:cs="仿宋_GB2312"/>
          <w:color w:val="auto"/>
          <w:sz w:val="32"/>
          <w:szCs w:val="32"/>
          <w:highlight w:val="none"/>
          <w:shd w:val="clear" w:color="auto" w:fill="auto"/>
          <w:lang w:val="en-US" w:eastAsia="zh-CN"/>
        </w:rPr>
        <w:t>文件要求对2024年度我单位实施的2024年农业经营主体能力提升项目</w:t>
      </w:r>
      <w:r>
        <w:rPr>
          <w:rFonts w:hint="default" w:ascii="仿宋_GB2312" w:hAnsi="仿宋_GB2312" w:eastAsia="仿宋_GB2312" w:cs="仿宋_GB2312"/>
          <w:color w:val="auto"/>
          <w:sz w:val="32"/>
          <w:szCs w:val="32"/>
          <w:highlight w:val="none"/>
          <w:shd w:val="clear" w:color="auto" w:fill="auto"/>
        </w:rPr>
        <w:t>及其预算执行情况</w:t>
      </w:r>
      <w:r>
        <w:rPr>
          <w:rFonts w:hint="eastAsia" w:ascii="仿宋_GB2312" w:hAnsi="仿宋_GB2312" w:eastAsia="仿宋_GB2312" w:cs="仿宋_GB2312"/>
          <w:color w:val="auto"/>
          <w:sz w:val="32"/>
          <w:szCs w:val="32"/>
          <w:highlight w:val="none"/>
          <w:shd w:val="clear" w:color="auto" w:fill="auto"/>
          <w:lang w:val="en-US" w:eastAsia="zh-CN"/>
        </w:rPr>
        <w:t>开展部门绩效评价。</w:t>
      </w:r>
    </w:p>
    <w:p w14:paraId="3B0954D7">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pP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该项目由阜康市农村合作经济发展指导中心负责实施，旨在</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健全农业社会化服务体系，提高农业生产的专业化、规模化、集约化水平，提升新型农业经营主体技术应用和生产经营能力</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。项目预算涵盖从</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2024年1月1日</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至</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2024年12月31日</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的全部资金投入与支出，涉及资金总额为</w:t>
      </w:r>
      <w:r>
        <w:rPr>
          <w:rFonts w:hint="eastAsia" w:ascii="仿宋_GB2312" w:hAnsi="仿宋_GB2312" w:eastAsia="仿宋_GB2312" w:cs="仿宋_GB2312"/>
          <w:b w:val="0"/>
          <w:bCs w:val="0"/>
          <w:color w:val="auto"/>
          <w:kern w:val="2"/>
          <w:sz w:val="32"/>
          <w:szCs w:val="32"/>
          <w:highlight w:val="none"/>
          <w:shd w:val="clear" w:color="auto" w:fill="auto"/>
          <w:lang w:val="en-US" w:eastAsia="zh-CN" w:bidi="ar-SA"/>
        </w:rPr>
        <w:t>421.99</w:t>
      </w:r>
      <w:r>
        <w:rPr>
          <w:rFonts w:hint="default" w:ascii="仿宋_GB2312" w:hAnsi="仿宋_GB2312" w:eastAsia="仿宋_GB2312" w:cs="仿宋_GB2312"/>
          <w:b w:val="0"/>
          <w:bCs w:val="0"/>
          <w:color w:val="auto"/>
          <w:kern w:val="2"/>
          <w:sz w:val="32"/>
          <w:szCs w:val="32"/>
          <w:highlight w:val="none"/>
          <w:shd w:val="clear" w:color="auto" w:fill="auto"/>
          <w:lang w:val="en-US" w:eastAsia="zh-CN" w:bidi="ar-SA"/>
        </w:rPr>
        <w:t>万元。</w:t>
      </w:r>
    </w:p>
    <w:p w14:paraId="3F83EA6E">
      <w:pPr>
        <w:pStyle w:val="4"/>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b w:val="0"/>
          <w:bCs w:val="0"/>
          <w:color w:val="auto"/>
          <w:sz w:val="32"/>
          <w:szCs w:val="32"/>
          <w:highlight w:val="none"/>
        </w:rPr>
      </w:pPr>
      <w:bookmarkStart w:id="63" w:name="_Toc11666"/>
      <w:bookmarkStart w:id="64" w:name="_Toc21311"/>
      <w:r>
        <w:rPr>
          <w:rFonts w:hint="default" w:cs="仿宋_GB2312"/>
          <w:color w:val="auto"/>
          <w:sz w:val="32"/>
          <w:szCs w:val="32"/>
          <w:highlight w:val="none"/>
          <w:shd w:val="clear" w:color="auto" w:fill="auto"/>
          <w:lang w:val="en-US" w:eastAsia="zh-CN"/>
        </w:rPr>
        <w:t>4.绩效评价的范围</w:t>
      </w:r>
      <w:bookmarkEnd w:id="63"/>
      <w:bookmarkEnd w:id="64"/>
      <w:r>
        <w:rPr>
          <w:rFonts w:hint="eastAsia" w:ascii="仿宋_GB2312" w:hAnsi="仿宋_GB2312" w:eastAsia="仿宋_GB2312" w:cs="仿宋_GB2312"/>
          <w:b w:val="0"/>
          <w:bCs w:val="0"/>
          <w:color w:val="auto"/>
          <w:sz w:val="32"/>
          <w:szCs w:val="32"/>
          <w:highlight w:val="none"/>
        </w:rPr>
        <w:t>本项目预算绩效评价报告的评价范围广泛而全面，涵盖了从项目立项至评价时点期间的所有关键预算活动和财务流程。具体而言，评价范围包括但不限于以下几个方面：</w:t>
      </w:r>
    </w:p>
    <w:p w14:paraId="19EB23D8">
      <w:pPr>
        <w:pStyle w:val="14"/>
        <w:keepNext w:val="0"/>
        <w:keepLines w:val="0"/>
        <w:pageBreakBefore w:val="0"/>
        <w:widowControl w:val="0"/>
        <w:numPr>
          <w:ilvl w:val="0"/>
          <w:numId w:val="1"/>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项目预算编制与执行：全面审视项目预算的编制依据、合理性、科学性以及实际执行情况。</w:t>
      </w:r>
    </w:p>
    <w:p w14:paraId="267E8AEF">
      <w:pPr>
        <w:pStyle w:val="14"/>
        <w:keepNext w:val="0"/>
        <w:keepLines w:val="0"/>
        <w:pageBreakBefore w:val="0"/>
        <w:widowControl w:val="0"/>
        <w:numPr>
          <w:ilvl w:val="0"/>
          <w:numId w:val="1"/>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rPr>
        <w:t>资金管理：深入分析项目资金的分配、使用和监管情况，确保资金使用的合规性、高效性和透明度。</w:t>
      </w:r>
    </w:p>
    <w:p w14:paraId="19E01CD2">
      <w:pPr>
        <w:pStyle w:val="14"/>
        <w:keepNext w:val="0"/>
        <w:keepLines w:val="0"/>
        <w:pageBreakBefore w:val="0"/>
        <w:widowControl w:val="0"/>
        <w:numPr>
          <w:ilvl w:val="0"/>
          <w:numId w:val="1"/>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rPr>
        <w:t>项目实施进度与产出：评估项目是否按照既定计划顺利推进，各项任务是否按时完成，以及项目产出的数量、质量和时效性是否符合预期。</w:t>
      </w:r>
    </w:p>
    <w:p w14:paraId="1E59BB39">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outlineLvl w:val="9"/>
        <w:rPr>
          <w:rFonts w:hint="default" w:ascii="Times New Roman" w:hAnsi="Times New Roman" w:eastAsia="仿宋_GB2312" w:cs="Times New Roman"/>
          <w:b w:val="0"/>
          <w:bCs w:val="0"/>
          <w:color w:val="auto"/>
          <w:highlight w:val="none"/>
          <w:lang w:eastAsia="zh-CN"/>
        </w:rPr>
      </w:pP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4</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社会影响：考察项目</w:t>
      </w:r>
      <w:r>
        <w:rPr>
          <w:rFonts w:hint="eastAsia" w:ascii="仿宋_GB2312" w:hAnsi="仿宋_GB2312" w:eastAsia="仿宋_GB2312" w:cs="仿宋_GB2312"/>
          <w:b w:val="0"/>
          <w:bCs w:val="0"/>
          <w:color w:val="auto"/>
          <w:sz w:val="32"/>
          <w:szCs w:val="32"/>
          <w:highlight w:val="none"/>
          <w:lang w:eastAsia="zh-CN"/>
        </w:rPr>
        <w:t>对社会方面</w:t>
      </w:r>
      <w:r>
        <w:rPr>
          <w:rFonts w:hint="eastAsia" w:ascii="仿宋_GB2312" w:hAnsi="仿宋_GB2312" w:eastAsia="仿宋_GB2312" w:cs="仿宋_GB2312"/>
          <w:b w:val="0"/>
          <w:bCs w:val="0"/>
          <w:color w:val="auto"/>
          <w:sz w:val="32"/>
          <w:szCs w:val="32"/>
          <w:highlight w:val="none"/>
        </w:rPr>
        <w:t>的影响。</w:t>
      </w:r>
    </w:p>
    <w:p w14:paraId="01C5BF3E">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65" w:name="_Toc29785"/>
      <w:bookmarkStart w:id="66" w:name="_Toc1286"/>
      <w:r>
        <w:rPr>
          <w:rFonts w:hint="eastAsia" w:ascii="Times New Roman" w:hAnsi="Times New Roman" w:eastAsia="楷体_GB2312" w:cs="Times New Roman"/>
          <w:color w:val="auto"/>
          <w:kern w:val="28"/>
          <w:sz w:val="32"/>
          <w:highlight w:val="none"/>
          <w:lang w:val="en-US" w:eastAsia="zh-CN"/>
        </w:rPr>
        <w:t>（二）绩效评价原则、评价指标体系（</w:t>
      </w:r>
      <w:r>
        <w:rPr>
          <w:rFonts w:hint="default" w:ascii="Times New Roman" w:hAnsi="Times New Roman" w:eastAsia="楷体_GB2312" w:cs="Times New Roman"/>
          <w:color w:val="auto"/>
          <w:kern w:val="28"/>
          <w:sz w:val="32"/>
          <w:highlight w:val="none"/>
          <w:lang w:val="en-US" w:eastAsia="zh-CN"/>
        </w:rPr>
        <w:t>详情见</w:t>
      </w:r>
      <w:r>
        <w:rPr>
          <w:rFonts w:hint="eastAsia" w:ascii="Times New Roman" w:hAnsi="Times New Roman" w:eastAsia="楷体_GB2312" w:cs="Times New Roman"/>
          <w:color w:val="auto"/>
          <w:kern w:val="28"/>
          <w:sz w:val="32"/>
          <w:highlight w:val="none"/>
          <w:lang w:val="en-US" w:eastAsia="zh-CN"/>
        </w:rPr>
        <w:t>附件二）、评价方法、评价标准</w:t>
      </w:r>
      <w:bookmarkEnd w:id="65"/>
      <w:bookmarkEnd w:id="66"/>
    </w:p>
    <w:p w14:paraId="6DBEF5B2">
      <w:pPr>
        <w:pStyle w:val="4"/>
        <w:pageBreakBefore w:val="0"/>
        <w:kinsoku/>
        <w:wordWrap/>
        <w:overflowPunct/>
        <w:topLinePunct w:val="0"/>
        <w:autoSpaceDE/>
        <w:autoSpaceDN/>
        <w:bidi w:val="0"/>
        <w:adjustRightInd/>
        <w:spacing w:line="560" w:lineRule="exact"/>
        <w:textAlignment w:val="auto"/>
        <w:rPr>
          <w:rFonts w:hint="eastAsia" w:ascii="Times New Roman" w:hAnsi="Times New Roman" w:eastAsia="仿宋_GB2312" w:cs="Times New Roman"/>
          <w:b/>
          <w:bCs/>
          <w:color w:val="auto"/>
          <w:kern w:val="2"/>
          <w:sz w:val="32"/>
          <w:szCs w:val="32"/>
          <w:highlight w:val="none"/>
          <w:lang w:val="en-US" w:eastAsia="zh-CN" w:bidi="ar-SA"/>
        </w:rPr>
      </w:pPr>
      <w:bookmarkStart w:id="67" w:name="_Toc13694"/>
      <w:bookmarkStart w:id="68" w:name="_Toc5354"/>
      <w:bookmarkStart w:id="69" w:name="_Toc24506"/>
      <w:r>
        <w:rPr>
          <w:rFonts w:hint="eastAsia" w:ascii="Times New Roman" w:hAnsi="Times New Roman" w:eastAsia="仿宋_GB2312" w:cs="Times New Roman"/>
          <w:b/>
          <w:bCs/>
          <w:color w:val="auto"/>
          <w:kern w:val="2"/>
          <w:sz w:val="32"/>
          <w:szCs w:val="32"/>
          <w:highlight w:val="none"/>
          <w:lang w:val="en-US" w:eastAsia="zh-CN" w:bidi="ar-SA"/>
        </w:rPr>
        <w:t>1.绩效评价原则</w:t>
      </w:r>
      <w:bookmarkEnd w:id="67"/>
      <w:bookmarkEnd w:id="68"/>
      <w:bookmarkEnd w:id="69"/>
    </w:p>
    <w:p w14:paraId="15623C5B">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依据《财政支出绩效评价管理暂行办法》（财预〔20</w:t>
      </w:r>
      <w:r>
        <w:rPr>
          <w:rFonts w:hint="eastAsia" w:ascii="Times New Roman" w:hAnsi="Times New Roman" w:eastAsia="仿宋_GB2312" w:cs="Times New Roman"/>
          <w:color w:val="auto"/>
          <w:sz w:val="32"/>
          <w:szCs w:val="32"/>
          <w:highlight w:val="none"/>
          <w:lang w:val="en-US" w:eastAsia="zh-CN"/>
        </w:rPr>
        <w:t>20</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10</w:t>
      </w:r>
      <w:r>
        <w:rPr>
          <w:rFonts w:hint="eastAsia" w:ascii="Times New Roman" w:hAnsi="Times New Roman" w:eastAsia="仿宋_GB2312" w:cs="Times New Roman"/>
          <w:color w:val="auto"/>
          <w:sz w:val="32"/>
          <w:szCs w:val="32"/>
          <w:highlight w:val="none"/>
          <w:lang w:eastAsia="zh-CN"/>
        </w:rPr>
        <w:t>号）本次绩效评价秉承科学规范、公正公开、分级分类、绩效相关等原则，按照从投入、过程到产出效果和影响的绩效逻辑路径，结合2024年农业经营主体能力提升项目实际开展情况，运用定量和定性分析相结合的方法，总结经验做法，反思项目实施和管理中的问题，以切实提升财政资金管理的科学化、规范化和精细化水平。</w:t>
      </w:r>
    </w:p>
    <w:p w14:paraId="7860D5DF">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根据以上原则，绩效评价应遵循如下要求：</w:t>
      </w:r>
    </w:p>
    <w:p w14:paraId="5280BE66">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1</w:t>
      </w:r>
      <w:r>
        <w:rPr>
          <w:rFonts w:hint="eastAsia" w:ascii="Times New Roman" w:hAnsi="Times New Roman" w:eastAsia="仿宋_GB2312" w:cs="Times New Roman"/>
          <w:color w:val="auto"/>
          <w:sz w:val="32"/>
          <w:szCs w:val="32"/>
          <w:highlight w:val="none"/>
          <w:lang w:eastAsia="zh-CN"/>
        </w:rPr>
        <w:t>）科学公正。绩效评价应当运用科学合理的方法，按照规范的程序，对项目绩效进行客观、公正的反映。</w:t>
      </w:r>
    </w:p>
    <w:p w14:paraId="48CD034E">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2</w:t>
      </w:r>
      <w:r>
        <w:rPr>
          <w:rFonts w:hint="eastAsia" w:ascii="Times New Roman" w:hAnsi="Times New Roman" w:eastAsia="仿宋_GB2312" w:cs="Times New Roman"/>
          <w:color w:val="auto"/>
          <w:sz w:val="32"/>
          <w:szCs w:val="32"/>
          <w:highlight w:val="none"/>
          <w:lang w:eastAsia="zh-CN"/>
        </w:rPr>
        <w:t>）统筹兼顾。单位自评、部门评价和财政评价应职责明确，各有侧重，相互衔接。单位自评应由项目单位自主实施，即“谁支出、谁自评”。</w:t>
      </w:r>
    </w:p>
    <w:p w14:paraId="50F6CF1A">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3</w:t>
      </w:r>
      <w:r>
        <w:rPr>
          <w:rFonts w:hint="eastAsia" w:ascii="Times New Roman" w:hAnsi="Times New Roman" w:eastAsia="仿宋_GB2312" w:cs="Times New Roman"/>
          <w:color w:val="auto"/>
          <w:sz w:val="32"/>
          <w:szCs w:val="32"/>
          <w:highlight w:val="none"/>
          <w:lang w:eastAsia="zh-CN"/>
        </w:rPr>
        <w:t>）激励约束。绩效评价结果应与预算安排、政策调整、改进管理实质性挂钩，体现奖优罚劣和激励相容导向，有效要安排、低效要压减、无效要问责。</w:t>
      </w:r>
    </w:p>
    <w:p w14:paraId="273EE924">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4</w:t>
      </w:r>
      <w:r>
        <w:rPr>
          <w:rFonts w:hint="eastAsia" w:ascii="Times New Roman" w:hAnsi="Times New Roman" w:eastAsia="仿宋_GB2312" w:cs="Times New Roman"/>
          <w:color w:val="auto"/>
          <w:sz w:val="32"/>
          <w:szCs w:val="32"/>
          <w:highlight w:val="none"/>
          <w:lang w:eastAsia="zh-CN"/>
        </w:rPr>
        <w:t>）公开透明。绩效评价结果应依法依规公开，并自觉接受社会监督。</w:t>
      </w:r>
    </w:p>
    <w:p w14:paraId="317F1C9A">
      <w:pPr>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highlight w:val="none"/>
          <w:lang w:eastAsia="zh-CN"/>
        </w:rPr>
      </w:pPr>
      <w:bookmarkStart w:id="70" w:name="_Toc26131"/>
      <w:bookmarkStart w:id="71" w:name="_Toc1913"/>
      <w:bookmarkStart w:id="72" w:name="_Toc428278230"/>
      <w:bookmarkStart w:id="73" w:name="_Toc24396"/>
      <w:bookmarkStart w:id="74" w:name="_Toc419984722"/>
      <w:r>
        <w:rPr>
          <w:rFonts w:hint="eastAsia" w:ascii="仿宋_GB2312" w:hAnsi="仿宋_GB2312" w:eastAsia="仿宋_GB2312" w:cs="仿宋_GB2312"/>
          <w:b/>
          <w:bCs/>
          <w:color w:val="auto"/>
          <w:sz w:val="32"/>
          <w:szCs w:val="32"/>
          <w:highlight w:val="none"/>
          <w:lang w:val="en-US" w:eastAsia="zh-CN"/>
        </w:rPr>
        <w:t>2.</w:t>
      </w:r>
      <w:r>
        <w:rPr>
          <w:rFonts w:hint="eastAsia" w:ascii="仿宋_GB2312" w:hAnsi="仿宋_GB2312" w:eastAsia="仿宋_GB2312" w:cs="仿宋_GB2312"/>
          <w:b/>
          <w:bCs/>
          <w:color w:val="auto"/>
          <w:sz w:val="32"/>
          <w:szCs w:val="32"/>
          <w:highlight w:val="none"/>
          <w:lang w:eastAsia="zh-CN"/>
        </w:rPr>
        <w:t>绩效评价指标体系</w:t>
      </w:r>
      <w:bookmarkEnd w:id="70"/>
      <w:bookmarkEnd w:id="71"/>
      <w:bookmarkEnd w:id="72"/>
      <w:bookmarkEnd w:id="73"/>
      <w:bookmarkEnd w:id="74"/>
    </w:p>
    <w:p w14:paraId="3AE91BB1">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bookmarkStart w:id="75" w:name="_Toc9941"/>
      <w:r>
        <w:rPr>
          <w:rFonts w:hint="eastAsia" w:ascii="仿宋_GB2312" w:hAnsi="仿宋_GB2312" w:eastAsia="仿宋_GB2312" w:cs="仿宋_GB2312"/>
          <w:color w:val="auto"/>
          <w:spacing w:val="17"/>
          <w:sz w:val="32"/>
          <w:szCs w:val="32"/>
          <w:highlight w:val="none"/>
        </w:rPr>
        <w:t>绩效评价框架是开展绩效评价的核心。绩效评价框架包括评价准则、关键评价问题、评价指标、数据来源、数据收集方法等。指标体系建立过程如下：</w:t>
      </w:r>
    </w:p>
    <w:p w14:paraId="1D02F596">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（1）确定评价指标</w:t>
      </w:r>
    </w:p>
    <w:p w14:paraId="3EC09052">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采用层次分析法，建立评价指标体系。绩效评价将指标分为项目决策指标、项目过程指标、项目产出指标、项目效益指标四个维度，最终形成一个由多个相互联系的指标组成的多层次指标体系。</w:t>
      </w:r>
    </w:p>
    <w:p w14:paraId="4ADEEF27">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（2）确定权重</w:t>
      </w:r>
    </w:p>
    <w:p w14:paraId="74E07D02">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lang w:eastAsia="zh-CN"/>
        </w:rPr>
      </w:pPr>
      <w:r>
        <w:rPr>
          <w:rFonts w:hint="eastAsia" w:ascii="仿宋_GB2312" w:hAnsi="仿宋_GB2312" w:eastAsia="仿宋_GB2312" w:cs="仿宋_GB2312"/>
          <w:color w:val="auto"/>
          <w:spacing w:val="17"/>
          <w:sz w:val="32"/>
          <w:szCs w:val="32"/>
          <w:highlight w:val="none"/>
        </w:rPr>
        <w:t>确定各个指标相对于项目总体绩效的权重分值。在绩效评价指标体系中，项目决策权重为20分，项目过程权重为20分，项目产出权重为40分，项目效益权重为20分。</w:t>
      </w:r>
    </w:p>
    <w:p w14:paraId="6FA1C4A1">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（3）确定指标标准值</w:t>
      </w:r>
    </w:p>
    <w:p w14:paraId="7CBC3BBF">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指标标准值是绩效评价指标的尺度，既要反映同类项目的先进水平，又要符合项目的实际绩效水平。具体采用计划标准等确定此次绩效评价指标标准值。</w:t>
      </w:r>
    </w:p>
    <w:p w14:paraId="23FDC03B">
      <w:pPr>
        <w:keepNext w:val="0"/>
        <w:keepLines w:val="0"/>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r>
        <w:rPr>
          <w:rFonts w:hint="eastAsia" w:ascii="仿宋_GB2312" w:hAnsi="仿宋_GB2312" w:eastAsia="仿宋_GB2312" w:cs="仿宋_GB2312"/>
          <w:color w:val="auto"/>
          <w:spacing w:val="17"/>
          <w:sz w:val="32"/>
          <w:szCs w:val="32"/>
          <w:highlight w:val="none"/>
        </w:rPr>
        <w:t>绩效评价总分值100分，根据综合评分结果，90（含）-100分为优、80（含）-90分为良、60（含）-80分为中、60分以下为差。</w:t>
      </w:r>
    </w:p>
    <w:p w14:paraId="236F16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我单位</w:t>
      </w:r>
      <w:r>
        <w:rPr>
          <w:rFonts w:hint="eastAsia" w:ascii="仿宋_GB2312" w:hAnsi="仿宋_GB2312" w:eastAsia="仿宋_GB2312" w:cs="仿宋_GB2312"/>
          <w:color w:val="auto"/>
          <w:sz w:val="32"/>
          <w:szCs w:val="32"/>
          <w:highlight w:val="none"/>
          <w:lang w:val="zh-TW" w:eastAsia="zh-TW"/>
        </w:rPr>
        <w:t>根据项目的</w:t>
      </w:r>
      <w:r>
        <w:rPr>
          <w:rFonts w:hint="eastAsia" w:ascii="仿宋_GB2312" w:hAnsi="仿宋_GB2312" w:eastAsia="仿宋_GB2312" w:cs="仿宋_GB2312"/>
          <w:color w:val="auto"/>
          <w:sz w:val="32"/>
          <w:szCs w:val="32"/>
          <w:highlight w:val="none"/>
          <w:lang w:val="en-US" w:eastAsia="zh-CN"/>
        </w:rPr>
        <w:t>实施</w:t>
      </w:r>
      <w:r>
        <w:rPr>
          <w:rFonts w:hint="eastAsia" w:ascii="仿宋_GB2312" w:hAnsi="仿宋_GB2312" w:eastAsia="仿宋_GB2312" w:cs="仿宋_GB2312"/>
          <w:color w:val="auto"/>
          <w:sz w:val="32"/>
          <w:szCs w:val="32"/>
          <w:highlight w:val="none"/>
          <w:lang w:val="zh-TW" w:eastAsia="zh-TW"/>
        </w:rPr>
        <w:t>资料研读及前期调研，结合项目的实际开展情况，最终形成了项目绩效评价指标体系</w:t>
      </w:r>
      <w:r>
        <w:rPr>
          <w:rFonts w:hint="eastAsia" w:ascii="仿宋_GB2312" w:hAnsi="仿宋_GB2312" w:eastAsia="仿宋_GB2312" w:cs="仿宋_GB2312"/>
          <w:color w:val="auto"/>
          <w:sz w:val="32"/>
          <w:szCs w:val="32"/>
          <w:highlight w:val="none"/>
          <w:lang w:val="zh-TW" w:eastAsia="zh-CN"/>
        </w:rPr>
        <w:t>，</w:t>
      </w:r>
      <w:r>
        <w:rPr>
          <w:rFonts w:hint="eastAsia" w:ascii="仿宋_GB2312" w:hAnsi="仿宋_GB2312" w:eastAsia="仿宋_GB2312" w:cs="仿宋_GB2312"/>
          <w:color w:val="auto"/>
          <w:sz w:val="32"/>
          <w:szCs w:val="32"/>
          <w:highlight w:val="none"/>
          <w:lang w:val="en-US" w:eastAsia="zh-CN"/>
        </w:rPr>
        <w:t>详见上传的附件二。</w:t>
      </w:r>
    </w:p>
    <w:p w14:paraId="2FEBA0E2">
      <w:pPr>
        <w:pStyle w:val="4"/>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76" w:name="_Toc30114"/>
      <w:bookmarkStart w:id="77" w:name="_Toc5690"/>
      <w:r>
        <w:rPr>
          <w:rFonts w:hint="eastAsia" w:ascii="仿宋_GB2312" w:hAnsi="仿宋_GB2312" w:eastAsia="仿宋_GB2312" w:cs="仿宋_GB2312"/>
          <w:color w:val="auto"/>
          <w:sz w:val="32"/>
          <w:szCs w:val="32"/>
          <w:highlight w:val="none"/>
          <w:shd w:val="clear" w:color="auto" w:fill="auto"/>
          <w:lang w:val="en-US" w:eastAsia="zh-CN"/>
        </w:rPr>
        <w:t>3.</w:t>
      </w:r>
      <w:r>
        <w:rPr>
          <w:rFonts w:hint="eastAsia" w:ascii="仿宋_GB2312" w:hAnsi="仿宋_GB2312" w:eastAsia="仿宋_GB2312" w:cs="仿宋_GB2312"/>
          <w:color w:val="auto"/>
          <w:sz w:val="32"/>
          <w:szCs w:val="32"/>
          <w:highlight w:val="none"/>
          <w:shd w:val="clear" w:color="auto" w:fill="auto"/>
        </w:rPr>
        <w:t>评价</w:t>
      </w:r>
      <w:r>
        <w:rPr>
          <w:rFonts w:hint="eastAsia" w:ascii="仿宋_GB2312" w:hAnsi="仿宋_GB2312" w:eastAsia="仿宋_GB2312" w:cs="仿宋_GB2312"/>
          <w:color w:val="auto"/>
          <w:sz w:val="32"/>
          <w:szCs w:val="32"/>
          <w:highlight w:val="none"/>
          <w:shd w:val="clear" w:color="auto" w:fill="auto"/>
          <w:lang w:val="en-US" w:eastAsia="zh-CN"/>
        </w:rPr>
        <w:t>方法</w:t>
      </w:r>
      <w:bookmarkEnd w:id="75"/>
      <w:bookmarkEnd w:id="76"/>
      <w:bookmarkEnd w:id="77"/>
    </w:p>
    <w:p w14:paraId="4EF86CD3">
      <w:pPr>
        <w:pageBreakBefore w:val="0"/>
        <w:widowControl w:val="0"/>
        <w:kinsoku/>
        <w:wordWrap/>
        <w:overflowPunct/>
        <w:topLinePunct w:val="0"/>
        <w:autoSpaceDE/>
        <w:autoSpaceDN/>
        <w:bidi w:val="0"/>
        <w:adjustRightInd/>
        <w:snapToGrid/>
        <w:spacing w:line="560" w:lineRule="exact"/>
        <w:ind w:firstLine="708" w:firstLineChars="200"/>
        <w:textAlignment w:val="auto"/>
        <w:rPr>
          <w:rFonts w:hint="eastAsia" w:ascii="仿宋_GB2312" w:hAnsi="仿宋_GB2312" w:eastAsia="仿宋_GB2312" w:cs="仿宋_GB2312"/>
          <w:color w:val="auto"/>
          <w:spacing w:val="17"/>
          <w:sz w:val="32"/>
          <w:szCs w:val="32"/>
          <w:highlight w:val="none"/>
        </w:rPr>
      </w:pPr>
      <w:bookmarkStart w:id="78" w:name="_Toc25391"/>
      <w:r>
        <w:rPr>
          <w:rFonts w:hint="eastAsia" w:ascii="仿宋_GB2312" w:hAnsi="仿宋_GB2312" w:eastAsia="仿宋_GB2312" w:cs="仿宋_GB2312"/>
          <w:color w:val="auto"/>
          <w:spacing w:val="17"/>
          <w:sz w:val="32"/>
          <w:szCs w:val="32"/>
          <w:highlight w:val="none"/>
        </w:rPr>
        <w:t>绩效评价从项目决策、项目过程、项目产出、项目效益四个维度进行评价。评价对象为项目目标实施情况</w:t>
      </w:r>
      <w:r>
        <w:rPr>
          <w:rFonts w:hint="eastAsia" w:ascii="仿宋_GB2312" w:hAnsi="仿宋_GB2312" w:eastAsia="仿宋_GB2312" w:cs="仿宋_GB2312"/>
          <w:color w:val="auto"/>
          <w:spacing w:val="17"/>
          <w:sz w:val="32"/>
          <w:szCs w:val="32"/>
          <w:highlight w:val="none"/>
          <w:lang w:eastAsia="zh-CN"/>
        </w:rPr>
        <w:t>，</w:t>
      </w:r>
      <w:r>
        <w:rPr>
          <w:rFonts w:hint="eastAsia" w:ascii="仿宋_GB2312" w:hAnsi="仿宋_GB2312" w:eastAsia="仿宋_GB2312" w:cs="仿宋_GB2312"/>
          <w:color w:val="auto"/>
          <w:spacing w:val="17"/>
          <w:sz w:val="32"/>
          <w:szCs w:val="32"/>
          <w:highlight w:val="none"/>
        </w:rPr>
        <w:t>评价核心为资金的支出完成情况和项目的产出效益。</w:t>
      </w:r>
    </w:p>
    <w:p w14:paraId="044ECC2B">
      <w:pPr>
        <w:pStyle w:val="5"/>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pacing w:val="17"/>
          <w:sz w:val="32"/>
          <w:szCs w:val="32"/>
          <w:highlight w:val="none"/>
        </w:rPr>
        <w:t>本次评价指标中，既有定性指标又有定量指标，各类指标因考核内容不同和客观标准不同存在较大差异，因此核定具体指标时采用了不同方法，具体评价方法如下：</w:t>
      </w:r>
    </w:p>
    <w:p w14:paraId="024CFA70">
      <w:pPr>
        <w:numPr>
          <w:ilvl w:val="0"/>
          <w:numId w:val="2"/>
        </w:numPr>
        <w:spacing w:line="560" w:lineRule="exact"/>
        <w:ind w:firstLine="708" w:firstLineChars="200"/>
        <w:rPr>
          <w:rFonts w:hint="eastAsia" w:ascii="Times New Roman" w:hAnsi="Times New Roman" w:eastAsia="仿宋_GB2312" w:cs="Times New Roman"/>
          <w:color w:val="auto"/>
          <w:spacing w:val="17"/>
          <w:sz w:val="32"/>
          <w:szCs w:val="32"/>
          <w:highlight w:val="none"/>
          <w:lang w:eastAsia="zh-CN"/>
        </w:rPr>
      </w:pPr>
      <w:r>
        <w:rPr>
          <w:rFonts w:hint="default" w:ascii="Times New Roman" w:hAnsi="Times New Roman" w:eastAsia="仿宋_GB2312" w:cs="Times New Roman"/>
          <w:color w:val="auto"/>
          <w:spacing w:val="17"/>
          <w:sz w:val="32"/>
          <w:szCs w:val="32"/>
          <w:highlight w:val="none"/>
        </w:rPr>
        <w:t>成本效益分析法。是指将投入与产出、效益进行关联性分析的方法。</w:t>
      </w:r>
      <w:r>
        <w:rPr>
          <w:rFonts w:hint="eastAsia" w:ascii="Times New Roman" w:hAnsi="Times New Roman" w:eastAsia="仿宋_GB2312" w:cs="Times New Roman"/>
          <w:color w:val="auto"/>
          <w:spacing w:val="17"/>
          <w:sz w:val="32"/>
          <w:szCs w:val="32"/>
          <w:highlight w:val="none"/>
          <w:lang w:eastAsia="zh-CN"/>
        </w:rPr>
        <w:t>本项目以提升农民合作社示范社和示范家庭农场发展水平和带动能力为目标，成本效益分析能直接评估资金是否转化为实际效益。</w:t>
      </w:r>
    </w:p>
    <w:p w14:paraId="60584C02">
      <w:pPr>
        <w:numPr>
          <w:ilvl w:val="0"/>
          <w:numId w:val="0"/>
        </w:numPr>
        <w:spacing w:line="560" w:lineRule="exact"/>
        <w:ind w:firstLine="708" w:firstLineChars="200"/>
        <w:rPr>
          <w:rFonts w:hint="default" w:ascii="Times New Roman" w:hAnsi="Times New Roman" w:eastAsia="仿宋_GB2312" w:cs="Times New Roman"/>
          <w:color w:val="auto"/>
          <w:spacing w:val="17"/>
          <w:sz w:val="32"/>
          <w:szCs w:val="32"/>
          <w:highlight w:val="none"/>
          <w:lang w:val="en-US"/>
        </w:rPr>
      </w:pPr>
      <w:r>
        <w:rPr>
          <w:rFonts w:hint="default" w:ascii="Times New Roman" w:hAnsi="Times New Roman" w:eastAsia="仿宋_GB2312" w:cs="Times New Roman"/>
          <w:color w:val="auto"/>
          <w:spacing w:val="17"/>
          <w:sz w:val="32"/>
          <w:szCs w:val="32"/>
          <w:highlight w:val="none"/>
        </w:rPr>
        <w:t>（</w:t>
      </w:r>
      <w:r>
        <w:rPr>
          <w:rFonts w:hint="eastAsia" w:ascii="Times New Roman" w:hAnsi="Times New Roman" w:eastAsia="仿宋_GB2312" w:cs="Times New Roman"/>
          <w:color w:val="auto"/>
          <w:spacing w:val="17"/>
          <w:sz w:val="32"/>
          <w:szCs w:val="32"/>
          <w:highlight w:val="none"/>
          <w:lang w:val="en-US" w:eastAsia="zh-CN"/>
        </w:rPr>
        <w:t>2</w:t>
      </w:r>
      <w:r>
        <w:rPr>
          <w:rFonts w:hint="default" w:ascii="Times New Roman" w:hAnsi="Times New Roman" w:eastAsia="仿宋_GB2312" w:cs="Times New Roman"/>
          <w:color w:val="auto"/>
          <w:spacing w:val="17"/>
          <w:sz w:val="32"/>
          <w:szCs w:val="32"/>
          <w:highlight w:val="none"/>
        </w:rPr>
        <w:t>）公众评判法。是指通过专家评估、公众问卷及抽样调查等方式进行评判的方法。</w:t>
      </w:r>
      <w:r>
        <w:rPr>
          <w:rFonts w:hint="eastAsia" w:ascii="Times New Roman" w:hAnsi="Times New Roman" w:eastAsia="仿宋_GB2312" w:cs="Times New Roman"/>
          <w:color w:val="auto"/>
          <w:spacing w:val="17"/>
          <w:sz w:val="32"/>
          <w:szCs w:val="32"/>
          <w:highlight w:val="none"/>
          <w:lang w:eastAsia="zh-CN"/>
        </w:rPr>
        <w:t>本项目需贴合基层实际，使接受社会化服务的小农户满意。</w:t>
      </w:r>
    </w:p>
    <w:p w14:paraId="1BCF9B2D">
      <w:pPr>
        <w:pStyle w:val="4"/>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shd w:val="clear" w:color="auto" w:fill="auto"/>
          <w:lang w:val="en-US" w:eastAsia="zh-CN"/>
        </w:rPr>
      </w:pPr>
      <w:bookmarkStart w:id="79" w:name="_Toc6081"/>
      <w:bookmarkStart w:id="80" w:name="_Toc25651"/>
      <w:r>
        <w:rPr>
          <w:rFonts w:hint="eastAsia" w:ascii="仿宋_GB2312" w:hAnsi="仿宋_GB2312" w:eastAsia="仿宋_GB2312" w:cs="仿宋_GB2312"/>
          <w:color w:val="auto"/>
          <w:sz w:val="32"/>
          <w:szCs w:val="32"/>
          <w:highlight w:val="none"/>
          <w:shd w:val="clear" w:color="auto" w:fill="auto"/>
          <w:lang w:val="en-US" w:eastAsia="zh-CN"/>
        </w:rPr>
        <w:t>4.评价标准</w:t>
      </w:r>
      <w:bookmarkEnd w:id="78"/>
      <w:bookmarkEnd w:id="79"/>
      <w:bookmarkEnd w:id="80"/>
    </w:p>
    <w:p w14:paraId="33275686">
      <w:pPr>
        <w:spacing w:line="560" w:lineRule="exact"/>
        <w:ind w:firstLine="708" w:firstLineChars="200"/>
        <w:rPr>
          <w:rFonts w:hint="default" w:ascii="Times New Roman" w:hAnsi="Times New Roman" w:eastAsia="仿宋_GB2312" w:cs="Times New Roman"/>
          <w:color w:val="auto"/>
          <w:spacing w:val="17"/>
          <w:sz w:val="32"/>
          <w:szCs w:val="32"/>
          <w:highlight w:val="none"/>
          <w:lang w:eastAsia="zh-CN"/>
        </w:rPr>
      </w:pPr>
      <w:r>
        <w:rPr>
          <w:rFonts w:hint="default" w:ascii="Times New Roman" w:hAnsi="Times New Roman" w:eastAsia="仿宋_GB2312" w:cs="Times New Roman"/>
          <w:color w:val="auto"/>
          <w:spacing w:val="17"/>
          <w:sz w:val="32"/>
          <w:szCs w:val="32"/>
          <w:highlight w:val="none"/>
        </w:rPr>
        <w:t>绩效评价标准通常包括计划标准、行业标准、历史标准等，用于对绩效指标完成情况进行比较、分析、评价。本次评价主要采用了</w:t>
      </w:r>
      <w:r>
        <w:rPr>
          <w:rFonts w:hint="eastAsia" w:ascii="Times New Roman" w:hAnsi="Times New Roman" w:eastAsia="仿宋_GB2312" w:cs="Times New Roman"/>
          <w:color w:val="auto"/>
          <w:spacing w:val="17"/>
          <w:sz w:val="32"/>
          <w:szCs w:val="32"/>
          <w:highlight w:val="none"/>
          <w:lang w:eastAsia="zh-CN"/>
        </w:rPr>
        <w:t>计划</w:t>
      </w:r>
      <w:r>
        <w:rPr>
          <w:rFonts w:hint="default" w:ascii="Times New Roman" w:hAnsi="Times New Roman" w:eastAsia="仿宋_GB2312" w:cs="Times New Roman"/>
          <w:color w:val="auto"/>
          <w:spacing w:val="17"/>
          <w:sz w:val="32"/>
          <w:szCs w:val="32"/>
          <w:highlight w:val="none"/>
        </w:rPr>
        <w:t>标准</w:t>
      </w:r>
      <w:r>
        <w:rPr>
          <w:rFonts w:hint="eastAsia" w:ascii="Times New Roman" w:hAnsi="Times New Roman" w:eastAsia="仿宋_GB2312" w:cs="Times New Roman"/>
          <w:color w:val="auto"/>
          <w:spacing w:val="17"/>
          <w:sz w:val="32"/>
          <w:szCs w:val="32"/>
          <w:highlight w:val="none"/>
          <w:lang w:val="en-US" w:eastAsia="zh-CN"/>
        </w:rPr>
        <w:t>和</w:t>
      </w:r>
      <w:r>
        <w:rPr>
          <w:rFonts w:hint="default" w:ascii="Times New Roman" w:hAnsi="Times New Roman" w:eastAsia="仿宋_GB2312" w:cs="Times New Roman"/>
          <w:color w:val="auto"/>
          <w:spacing w:val="17"/>
          <w:sz w:val="32"/>
          <w:szCs w:val="32"/>
          <w:highlight w:val="none"/>
        </w:rPr>
        <w:t>行业标准。</w:t>
      </w:r>
    </w:p>
    <w:p w14:paraId="67322669">
      <w:pPr>
        <w:spacing w:line="560" w:lineRule="exact"/>
        <w:ind w:firstLine="708" w:firstLineChars="200"/>
        <w:rPr>
          <w:rFonts w:hint="default" w:ascii="Times New Roman" w:hAnsi="Times New Roman" w:eastAsia="仿宋_GB2312" w:cs="Times New Roman"/>
          <w:color w:val="auto"/>
          <w:spacing w:val="17"/>
          <w:sz w:val="32"/>
          <w:szCs w:val="32"/>
          <w:highlight w:val="none"/>
        </w:rPr>
      </w:pPr>
      <w:r>
        <w:rPr>
          <w:rFonts w:hint="default" w:ascii="Times New Roman" w:hAnsi="Times New Roman" w:eastAsia="仿宋_GB2312" w:cs="Times New Roman"/>
          <w:color w:val="auto"/>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lang w:val="en-US" w:eastAsia="zh-CN"/>
        </w:rPr>
        <w:t>1</w:t>
      </w:r>
      <w:r>
        <w:rPr>
          <w:rFonts w:hint="default" w:ascii="Times New Roman" w:hAnsi="Times New Roman" w:eastAsia="仿宋_GB2312" w:cs="Times New Roman"/>
          <w:color w:val="auto"/>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rPr>
        <w:t>计划标准。指以预先制定的目标、计划、预算、定额等作为评价标准。</w:t>
      </w:r>
    </w:p>
    <w:p w14:paraId="715EC985">
      <w:pPr>
        <w:spacing w:line="560" w:lineRule="exact"/>
        <w:ind w:firstLine="708" w:firstLineChars="200"/>
        <w:rPr>
          <w:rFonts w:hint="default" w:ascii="Times New Roman" w:hAnsi="Times New Roman" w:eastAsia="仿宋_GB2312" w:cs="Times New Roman"/>
          <w:color w:val="auto"/>
          <w:spacing w:val="17"/>
          <w:sz w:val="32"/>
          <w:szCs w:val="32"/>
          <w:highlight w:val="none"/>
        </w:rPr>
      </w:pPr>
      <w:r>
        <w:rPr>
          <w:rFonts w:hint="default" w:ascii="Times New Roman" w:hAnsi="Times New Roman" w:eastAsia="仿宋_GB2312" w:cs="Times New Roman"/>
          <w:color w:val="auto"/>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lang w:val="en-US" w:eastAsia="zh-CN"/>
        </w:rPr>
        <w:t>2</w:t>
      </w:r>
      <w:r>
        <w:rPr>
          <w:rFonts w:hint="default" w:ascii="Times New Roman" w:hAnsi="Times New Roman" w:eastAsia="仿宋_GB2312" w:cs="Times New Roman"/>
          <w:color w:val="auto"/>
          <w:spacing w:val="17"/>
          <w:sz w:val="32"/>
          <w:szCs w:val="32"/>
          <w:highlight w:val="none"/>
          <w:lang w:eastAsia="zh-CN"/>
        </w:rPr>
        <w:t>）</w:t>
      </w:r>
      <w:r>
        <w:rPr>
          <w:rFonts w:hint="default" w:ascii="Times New Roman" w:hAnsi="Times New Roman" w:eastAsia="仿宋_GB2312" w:cs="Times New Roman"/>
          <w:color w:val="auto"/>
          <w:spacing w:val="17"/>
          <w:sz w:val="32"/>
          <w:szCs w:val="32"/>
          <w:highlight w:val="none"/>
        </w:rPr>
        <w:t>行业标准。指参照国家公布的行业指标数据制定的评价标准。</w:t>
      </w:r>
    </w:p>
    <w:p w14:paraId="692A02F9">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81" w:name="_Toc21435"/>
      <w:r>
        <w:rPr>
          <w:rFonts w:hint="eastAsia" w:ascii="Times New Roman" w:hAnsi="Times New Roman" w:eastAsia="楷体_GB2312" w:cs="Times New Roman"/>
          <w:color w:val="auto"/>
          <w:kern w:val="28"/>
          <w:sz w:val="32"/>
          <w:highlight w:val="none"/>
          <w:lang w:val="en-US" w:eastAsia="zh-CN"/>
        </w:rPr>
        <w:t>（三）绩效评价工作过程</w:t>
      </w:r>
      <w:bookmarkEnd w:id="81"/>
    </w:p>
    <w:p w14:paraId="20DA0768">
      <w:pPr>
        <w:spacing w:line="560" w:lineRule="exact"/>
        <w:ind w:firstLine="711" w:firstLineChars="200"/>
        <w:rPr>
          <w:rFonts w:hint="eastAsia" w:ascii="Times New Roman" w:hAnsi="Times New Roman" w:eastAsia="仿宋_GB2312" w:cs="Times New Roman"/>
          <w:b/>
          <w:bCs/>
          <w:color w:val="auto"/>
          <w:spacing w:val="17"/>
          <w:sz w:val="32"/>
          <w:szCs w:val="32"/>
          <w:highlight w:val="none"/>
          <w:lang w:val="en-US" w:eastAsia="zh-CN"/>
        </w:rPr>
      </w:pPr>
      <w:bookmarkStart w:id="82" w:name="_Toc12862"/>
      <w:r>
        <w:rPr>
          <w:rFonts w:hint="eastAsia" w:ascii="Times New Roman" w:hAnsi="Times New Roman" w:eastAsia="仿宋_GB2312" w:cs="Times New Roman"/>
          <w:b/>
          <w:bCs/>
          <w:color w:val="auto"/>
          <w:spacing w:val="17"/>
          <w:sz w:val="32"/>
          <w:szCs w:val="32"/>
          <w:highlight w:val="none"/>
          <w:lang w:val="en-US" w:eastAsia="zh-CN"/>
        </w:rPr>
        <w:t>1.前期准备</w:t>
      </w:r>
      <w:bookmarkEnd w:id="82"/>
    </w:p>
    <w:p w14:paraId="793607DC">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r>
        <w:rPr>
          <w:rFonts w:hint="eastAsia" w:ascii="Times New Roman" w:hAnsi="Times New Roman" w:eastAsia="仿宋_GB2312" w:cs="Times New Roman"/>
          <w:color w:val="auto"/>
          <w:spacing w:val="17"/>
          <w:sz w:val="32"/>
          <w:szCs w:val="32"/>
          <w:highlight w:val="none"/>
          <w:lang w:val="en-US" w:eastAsia="zh-CN"/>
        </w:rPr>
        <w:t>（1）成立绩效评价项目小组</w:t>
      </w:r>
    </w:p>
    <w:p w14:paraId="445CAEA8">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r>
        <w:rPr>
          <w:rFonts w:hint="eastAsia" w:ascii="Times New Roman" w:hAnsi="Times New Roman" w:eastAsia="仿宋_GB2312" w:cs="Times New Roman"/>
          <w:color w:val="auto"/>
          <w:spacing w:val="17"/>
          <w:sz w:val="32"/>
          <w:szCs w:val="32"/>
          <w:highlight w:val="none"/>
          <w:lang w:val="en-US" w:eastAsia="zh-CN"/>
        </w:rPr>
        <w:t>为确保该项目绩效评价的顺利实施，评价机构组建了绩效评价项目小组。项目小组负责建立联络制度、明确评价责任人、制定评价方案、实施具体评价等工作。</w:t>
      </w:r>
    </w:p>
    <w:p w14:paraId="517C9A92">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3" w:name="_Toc31571"/>
      <w:r>
        <w:rPr>
          <w:rFonts w:hint="eastAsia" w:ascii="Times New Roman" w:hAnsi="Times New Roman" w:eastAsia="仿宋_GB2312" w:cs="Times New Roman"/>
          <w:color w:val="auto"/>
          <w:spacing w:val="17"/>
          <w:sz w:val="32"/>
          <w:szCs w:val="32"/>
          <w:highlight w:val="none"/>
          <w:lang w:val="en-US" w:eastAsia="zh-CN"/>
        </w:rPr>
        <w:t>（2）开展前期调研</w:t>
      </w:r>
      <w:bookmarkEnd w:id="83"/>
    </w:p>
    <w:p w14:paraId="621EA8E8">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4" w:name="_Toc21240"/>
      <w:r>
        <w:rPr>
          <w:rFonts w:hint="eastAsia" w:ascii="Times New Roman" w:hAnsi="Times New Roman" w:eastAsia="仿宋_GB2312" w:cs="Times New Roman"/>
          <w:color w:val="auto"/>
          <w:spacing w:val="17"/>
          <w:sz w:val="32"/>
          <w:szCs w:val="32"/>
          <w:highlight w:val="none"/>
          <w:lang w:val="en-US" w:eastAsia="zh-CN"/>
        </w:rPr>
        <w:t>绩效评价项目小组依据此次绩效评价受委托内容，对拟评价的项目实施前期调研。通过调研对2024年农业经营主体能力提升项目实施内容、目标信息、预算信息以及其他的一些项目基本信息，有了初步了解，为制定绩效评价工作方案做好准备。</w:t>
      </w:r>
      <w:bookmarkEnd w:id="84"/>
    </w:p>
    <w:p w14:paraId="3DD54E12">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5" w:name="_Toc27977"/>
      <w:r>
        <w:rPr>
          <w:rFonts w:hint="eastAsia" w:ascii="Times New Roman" w:hAnsi="Times New Roman" w:eastAsia="仿宋_GB2312" w:cs="Times New Roman"/>
          <w:color w:val="auto"/>
          <w:spacing w:val="17"/>
          <w:sz w:val="32"/>
          <w:szCs w:val="32"/>
          <w:highlight w:val="none"/>
          <w:lang w:val="en-US" w:eastAsia="zh-CN"/>
        </w:rPr>
        <w:t>（3）制订绩效评价工作方案</w:t>
      </w:r>
      <w:bookmarkEnd w:id="85"/>
    </w:p>
    <w:p w14:paraId="6C3C6704">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6" w:name="_Toc19659"/>
      <w:r>
        <w:rPr>
          <w:rFonts w:hint="eastAsia" w:ascii="Times New Roman" w:hAnsi="Times New Roman" w:eastAsia="仿宋_GB2312" w:cs="Times New Roman"/>
          <w:color w:val="auto"/>
          <w:spacing w:val="17"/>
          <w:sz w:val="32"/>
          <w:szCs w:val="32"/>
          <w:highlight w:val="none"/>
          <w:lang w:val="en-US" w:eastAsia="zh-CN"/>
        </w:rPr>
        <w:t>绩效评价项目小组根据有关规定和评价对象的特点以及前期调研收集的一些信息，拟定详细的绩效评价工作方案。</w:t>
      </w:r>
      <w:bookmarkEnd w:id="86"/>
    </w:p>
    <w:p w14:paraId="13E7367A">
      <w:pPr>
        <w:spacing w:line="560" w:lineRule="exact"/>
        <w:ind w:firstLine="711" w:firstLineChars="200"/>
        <w:rPr>
          <w:rFonts w:hint="eastAsia" w:ascii="Times New Roman" w:hAnsi="Times New Roman" w:eastAsia="仿宋_GB2312" w:cs="Times New Roman"/>
          <w:b/>
          <w:bCs/>
          <w:color w:val="auto"/>
          <w:spacing w:val="17"/>
          <w:sz w:val="32"/>
          <w:szCs w:val="32"/>
          <w:highlight w:val="none"/>
          <w:lang w:val="en-US" w:eastAsia="zh-CN"/>
        </w:rPr>
      </w:pPr>
      <w:bookmarkStart w:id="87" w:name="_Toc11353"/>
      <w:r>
        <w:rPr>
          <w:rFonts w:hint="eastAsia" w:ascii="Times New Roman" w:hAnsi="Times New Roman" w:eastAsia="仿宋_GB2312" w:cs="Times New Roman"/>
          <w:b/>
          <w:bCs/>
          <w:color w:val="auto"/>
          <w:spacing w:val="17"/>
          <w:sz w:val="32"/>
          <w:szCs w:val="32"/>
          <w:highlight w:val="none"/>
          <w:lang w:val="en-US" w:eastAsia="zh-CN"/>
        </w:rPr>
        <w:t>2.具体实施</w:t>
      </w:r>
      <w:bookmarkEnd w:id="87"/>
    </w:p>
    <w:p w14:paraId="6048500C">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8" w:name="_Toc14111"/>
      <w:r>
        <w:rPr>
          <w:rFonts w:hint="eastAsia" w:ascii="Times New Roman" w:hAnsi="Times New Roman" w:eastAsia="仿宋_GB2312" w:cs="Times New Roman"/>
          <w:color w:val="auto"/>
          <w:spacing w:val="17"/>
          <w:sz w:val="32"/>
          <w:szCs w:val="32"/>
          <w:highlight w:val="none"/>
          <w:lang w:val="en-US" w:eastAsia="zh-CN"/>
        </w:rPr>
        <w:t>（1）收集基础资料</w:t>
      </w:r>
      <w:bookmarkEnd w:id="88"/>
    </w:p>
    <w:p w14:paraId="5AEB6FC8">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89" w:name="_Toc28524"/>
      <w:r>
        <w:rPr>
          <w:rFonts w:hint="eastAsia" w:ascii="Times New Roman" w:hAnsi="Times New Roman" w:eastAsia="仿宋_GB2312" w:cs="Times New Roman"/>
          <w:color w:val="auto"/>
          <w:spacing w:val="17"/>
          <w:sz w:val="32"/>
          <w:szCs w:val="32"/>
          <w:highlight w:val="none"/>
          <w:lang w:val="en-US" w:eastAsia="zh-CN"/>
        </w:rPr>
        <w:t>根据评价工作的需要和要求，在前期调研的基础上，通过多种渠道全面收集项目基础信息资料，主要包括：</w:t>
      </w:r>
      <w:bookmarkEnd w:id="89"/>
    </w:p>
    <w:p w14:paraId="29673273">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0" w:name="_Toc32216"/>
      <w:r>
        <w:rPr>
          <w:rFonts w:hint="eastAsia" w:ascii="Times New Roman" w:hAnsi="Times New Roman" w:eastAsia="仿宋_GB2312" w:cs="Times New Roman"/>
          <w:color w:val="auto"/>
          <w:spacing w:val="17"/>
          <w:sz w:val="32"/>
          <w:szCs w:val="32"/>
          <w:highlight w:val="none"/>
          <w:lang w:val="en-US" w:eastAsia="zh-CN"/>
        </w:rPr>
        <w:t>①被评价单位基本概况，如单位职能、事业发展规划、预决算情况、项目立项依据等；</w:t>
      </w:r>
      <w:bookmarkEnd w:id="90"/>
    </w:p>
    <w:p w14:paraId="6B9C66C2">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1" w:name="_Toc10505"/>
      <w:r>
        <w:rPr>
          <w:rFonts w:hint="eastAsia" w:ascii="Times New Roman" w:hAnsi="Times New Roman" w:eastAsia="仿宋_GB2312" w:cs="Times New Roman"/>
          <w:color w:val="auto"/>
          <w:spacing w:val="17"/>
          <w:sz w:val="32"/>
          <w:szCs w:val="32"/>
          <w:highlight w:val="none"/>
          <w:lang w:val="en-US" w:eastAsia="zh-CN"/>
        </w:rPr>
        <w:t>②绩效目标及其设立依据和调整情况；</w:t>
      </w:r>
      <w:bookmarkEnd w:id="91"/>
    </w:p>
    <w:p w14:paraId="57EE145A">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2" w:name="_Toc28365"/>
      <w:r>
        <w:rPr>
          <w:rFonts w:hint="eastAsia" w:ascii="Times New Roman" w:hAnsi="Times New Roman" w:eastAsia="仿宋_GB2312" w:cs="Times New Roman"/>
          <w:color w:val="auto"/>
          <w:spacing w:val="17"/>
          <w:sz w:val="32"/>
          <w:szCs w:val="32"/>
          <w:highlight w:val="none"/>
          <w:lang w:val="en-US" w:eastAsia="zh-CN"/>
        </w:rPr>
        <w:t>③管理措施及组织实施情况；</w:t>
      </w:r>
      <w:bookmarkEnd w:id="92"/>
    </w:p>
    <w:p w14:paraId="1827BE15">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3" w:name="_Toc10091"/>
      <w:r>
        <w:rPr>
          <w:rFonts w:hint="eastAsia" w:ascii="Times New Roman" w:hAnsi="Times New Roman" w:eastAsia="仿宋_GB2312" w:cs="Times New Roman"/>
          <w:color w:val="auto"/>
          <w:spacing w:val="17"/>
          <w:sz w:val="32"/>
          <w:szCs w:val="32"/>
          <w:highlight w:val="none"/>
          <w:lang w:val="en-US" w:eastAsia="zh-CN"/>
        </w:rPr>
        <w:t>④被评价单位总结分析的绩效目标完成情况及绩效报告；</w:t>
      </w:r>
      <w:bookmarkEnd w:id="93"/>
    </w:p>
    <w:p w14:paraId="6550E0FD">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4" w:name="_Toc1"/>
      <w:r>
        <w:rPr>
          <w:rFonts w:hint="eastAsia" w:ascii="Times New Roman" w:hAnsi="Times New Roman" w:eastAsia="仿宋_GB2312" w:cs="Times New Roman"/>
          <w:color w:val="auto"/>
          <w:spacing w:val="17"/>
          <w:sz w:val="32"/>
          <w:szCs w:val="32"/>
          <w:highlight w:val="none"/>
          <w:lang w:val="en-US" w:eastAsia="zh-CN"/>
        </w:rPr>
        <w:t>⑤与绩效评价相关的计划标准、行业标准、历史标准等；</w:t>
      </w:r>
      <w:bookmarkEnd w:id="94"/>
    </w:p>
    <w:p w14:paraId="61B742B4">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5" w:name="_Toc20059"/>
      <w:r>
        <w:rPr>
          <w:rFonts w:hint="eastAsia" w:ascii="Times New Roman" w:hAnsi="Times New Roman" w:eastAsia="仿宋_GB2312" w:cs="Times New Roman"/>
          <w:color w:val="auto"/>
          <w:spacing w:val="17"/>
          <w:sz w:val="32"/>
          <w:szCs w:val="32"/>
          <w:highlight w:val="none"/>
          <w:lang w:val="en-US" w:eastAsia="zh-CN"/>
        </w:rPr>
        <w:t>⑥其他必要的相关资料等。</w:t>
      </w:r>
      <w:bookmarkEnd w:id="95"/>
    </w:p>
    <w:p w14:paraId="4F57C6EE">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6" w:name="_Toc31911"/>
      <w:r>
        <w:rPr>
          <w:rFonts w:hint="eastAsia" w:ascii="Times New Roman" w:hAnsi="Times New Roman" w:eastAsia="仿宋_GB2312" w:cs="Times New Roman"/>
          <w:color w:val="auto"/>
          <w:spacing w:val="17"/>
          <w:sz w:val="32"/>
          <w:szCs w:val="32"/>
          <w:highlight w:val="none"/>
          <w:lang w:val="en-US" w:eastAsia="zh-CN"/>
        </w:rPr>
        <w:t>（2）整理、研读基础资料</w:t>
      </w:r>
      <w:bookmarkEnd w:id="96"/>
    </w:p>
    <w:p w14:paraId="6C9CEE8A">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7" w:name="_Toc167"/>
      <w:r>
        <w:rPr>
          <w:rFonts w:hint="eastAsia" w:ascii="Times New Roman" w:hAnsi="Times New Roman" w:eastAsia="仿宋_GB2312" w:cs="Times New Roman"/>
          <w:color w:val="auto"/>
          <w:spacing w:val="17"/>
          <w:sz w:val="32"/>
          <w:szCs w:val="32"/>
          <w:highlight w:val="none"/>
          <w:lang w:val="en-US" w:eastAsia="zh-CN"/>
        </w:rPr>
        <w:t>对收集的基础资料进行分类整理、研读，并对所收集的资料进行核实和全面分析。通过基础资料的整理、研读，了解被评价对象的具体情况，分析被评价对象可能存在的问题，根据工作需要确定实地核查的内容，为现场核查做好准备。</w:t>
      </w:r>
      <w:bookmarkEnd w:id="97"/>
    </w:p>
    <w:p w14:paraId="37DBEE66">
      <w:pPr>
        <w:spacing w:line="560" w:lineRule="exact"/>
        <w:ind w:firstLine="711" w:firstLineChars="200"/>
        <w:rPr>
          <w:rFonts w:hint="default" w:ascii="Times New Roman" w:hAnsi="Times New Roman" w:eastAsia="仿宋_GB2312" w:cs="Times New Roman"/>
          <w:b/>
          <w:bCs/>
          <w:color w:val="auto"/>
          <w:spacing w:val="17"/>
          <w:sz w:val="32"/>
          <w:szCs w:val="32"/>
          <w:highlight w:val="none"/>
          <w:lang w:val="en-US" w:eastAsia="zh-CN"/>
        </w:rPr>
      </w:pPr>
      <w:bookmarkStart w:id="98" w:name="_Toc30513"/>
      <w:r>
        <w:rPr>
          <w:rFonts w:hint="eastAsia" w:ascii="Times New Roman" w:hAnsi="Times New Roman" w:eastAsia="仿宋_GB2312" w:cs="Times New Roman"/>
          <w:b/>
          <w:bCs/>
          <w:color w:val="auto"/>
          <w:spacing w:val="17"/>
          <w:sz w:val="32"/>
          <w:szCs w:val="32"/>
          <w:highlight w:val="none"/>
          <w:lang w:val="en-US" w:eastAsia="zh-CN"/>
        </w:rPr>
        <w:t>3.分析评价和撰写报告</w:t>
      </w:r>
      <w:bookmarkEnd w:id="98"/>
    </w:p>
    <w:p w14:paraId="5E4DF139">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99" w:name="_Toc15974"/>
      <w:r>
        <w:rPr>
          <w:rFonts w:hint="eastAsia" w:ascii="Times New Roman" w:hAnsi="Times New Roman" w:eastAsia="仿宋_GB2312" w:cs="Times New Roman"/>
          <w:color w:val="auto"/>
          <w:spacing w:val="17"/>
          <w:sz w:val="32"/>
          <w:szCs w:val="32"/>
          <w:highlight w:val="none"/>
          <w:lang w:eastAsia="zh-CN"/>
        </w:rPr>
        <w:t>（</w:t>
      </w:r>
      <w:r>
        <w:rPr>
          <w:rFonts w:hint="eastAsia" w:ascii="Times New Roman" w:hAnsi="Times New Roman" w:eastAsia="仿宋_GB2312" w:cs="Times New Roman"/>
          <w:color w:val="auto"/>
          <w:spacing w:val="17"/>
          <w:sz w:val="32"/>
          <w:szCs w:val="32"/>
          <w:highlight w:val="none"/>
          <w:lang w:val="en-US" w:eastAsia="zh-CN"/>
        </w:rPr>
        <w:t>1）综合分析评价</w:t>
      </w:r>
      <w:bookmarkEnd w:id="99"/>
    </w:p>
    <w:p w14:paraId="13CACCD8">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0" w:name="_Toc4352"/>
      <w:r>
        <w:rPr>
          <w:rFonts w:hint="eastAsia" w:ascii="Times New Roman" w:hAnsi="Times New Roman" w:eastAsia="仿宋_GB2312" w:cs="Times New Roman"/>
          <w:color w:val="auto"/>
          <w:spacing w:val="17"/>
          <w:sz w:val="32"/>
          <w:szCs w:val="32"/>
          <w:highlight w:val="none"/>
          <w:lang w:val="en-US" w:eastAsia="zh-CN"/>
        </w:rPr>
        <w:t>①根据所收集的基础资料，结合现场核查的有关情况，整理出绩效评价所需的项目材料和基础数据。</w:t>
      </w:r>
      <w:bookmarkEnd w:id="100"/>
    </w:p>
    <w:p w14:paraId="6CD1F84C">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1" w:name="_Toc26231"/>
      <w:r>
        <w:rPr>
          <w:rFonts w:hint="eastAsia" w:ascii="Times New Roman" w:hAnsi="Times New Roman" w:eastAsia="仿宋_GB2312" w:cs="Times New Roman"/>
          <w:color w:val="auto"/>
          <w:spacing w:val="17"/>
          <w:sz w:val="32"/>
          <w:szCs w:val="32"/>
          <w:highlight w:val="none"/>
          <w:lang w:val="en-US" w:eastAsia="zh-CN"/>
        </w:rPr>
        <w:t>②将初步评价结论、调整事项、专家咨询意见和有关说明等提交单位内部讨论并征求意见。之后，对所征求的意见及时地进行收集和整理。</w:t>
      </w:r>
      <w:bookmarkEnd w:id="101"/>
    </w:p>
    <w:p w14:paraId="245EACF4">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2" w:name="_Toc27759"/>
      <w:r>
        <w:rPr>
          <w:rFonts w:hint="eastAsia" w:ascii="Times New Roman" w:hAnsi="Times New Roman" w:eastAsia="仿宋_GB2312" w:cs="Times New Roman"/>
          <w:color w:val="auto"/>
          <w:spacing w:val="17"/>
          <w:sz w:val="32"/>
          <w:szCs w:val="32"/>
          <w:highlight w:val="none"/>
          <w:lang w:val="en-US" w:eastAsia="zh-CN"/>
        </w:rPr>
        <w:t>（2）撰写报告</w:t>
      </w:r>
      <w:bookmarkEnd w:id="102"/>
    </w:p>
    <w:p w14:paraId="27760CBC">
      <w:pPr>
        <w:spacing w:line="560" w:lineRule="exact"/>
        <w:ind w:firstLine="708" w:firstLineChars="200"/>
        <w:rPr>
          <w:rFonts w:hint="eastAsia" w:ascii="Times New Roman" w:hAnsi="Times New Roman" w:eastAsia="仿宋_GB2312" w:cs="Times New Roman"/>
          <w:color w:val="auto"/>
          <w:spacing w:val="17"/>
          <w:sz w:val="32"/>
          <w:szCs w:val="32"/>
          <w:highlight w:val="none"/>
          <w:lang w:val="en-US" w:eastAsia="zh-CN"/>
        </w:rPr>
      </w:pPr>
      <w:bookmarkStart w:id="103" w:name="_Toc15579"/>
      <w:r>
        <w:rPr>
          <w:rFonts w:hint="eastAsia" w:ascii="Times New Roman" w:hAnsi="Times New Roman" w:eastAsia="仿宋_GB2312" w:cs="Times New Roman"/>
          <w:color w:val="auto"/>
          <w:spacing w:val="17"/>
          <w:sz w:val="32"/>
          <w:szCs w:val="32"/>
          <w:highlight w:val="none"/>
          <w:lang w:val="en-US" w:eastAsia="zh-CN"/>
        </w:rPr>
        <w:t>绩效评价项目小组依照整理、分析后的项目材料、数据资料，依据评价形成的初步结论，按照既定的格式和内容要求撰写绩效评价初步报告，最终形成评价结果。</w:t>
      </w:r>
      <w:bookmarkEnd w:id="103"/>
    </w:p>
    <w:p w14:paraId="5F3A7C48">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auto"/>
          <w:highlight w:val="none"/>
          <w:shd w:val="clear" w:color="auto" w:fill="auto"/>
        </w:rPr>
      </w:pPr>
      <w:bookmarkStart w:id="104" w:name="_Toc19261"/>
      <w:r>
        <w:rPr>
          <w:rFonts w:hint="eastAsia" w:ascii="黑体" w:hAnsi="黑体" w:eastAsia="黑体" w:cs="黑体"/>
          <w:b w:val="0"/>
          <w:bCs w:val="0"/>
          <w:color w:val="auto"/>
          <w:highlight w:val="none"/>
          <w:shd w:val="clear" w:color="auto" w:fill="auto"/>
          <w:lang w:val="en-US" w:eastAsia="zh-CN"/>
        </w:rPr>
        <w:t>三、</w:t>
      </w:r>
      <w:r>
        <w:rPr>
          <w:rFonts w:hint="eastAsia" w:ascii="黑体" w:hAnsi="黑体" w:eastAsia="黑体" w:cs="黑体"/>
          <w:b w:val="0"/>
          <w:bCs w:val="0"/>
          <w:color w:val="auto"/>
          <w:highlight w:val="none"/>
          <w:shd w:val="clear" w:color="auto" w:fill="auto"/>
        </w:rPr>
        <w:t>综合评价情况及评价结论</w:t>
      </w:r>
      <w:bookmarkEnd w:id="104"/>
    </w:p>
    <w:p w14:paraId="4DBDF30C">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105" w:name="_Toc23319"/>
      <w:r>
        <w:rPr>
          <w:rFonts w:hint="eastAsia" w:ascii="Times New Roman" w:hAnsi="Times New Roman" w:eastAsia="楷体_GB2312" w:cs="Times New Roman"/>
          <w:color w:val="auto"/>
          <w:kern w:val="28"/>
          <w:sz w:val="32"/>
          <w:highlight w:val="none"/>
          <w:lang w:val="en-US" w:eastAsia="zh-CN"/>
        </w:rPr>
        <w:t>（一）综合评价情况及评价结论</w:t>
      </w:r>
      <w:bookmarkEnd w:id="105"/>
    </w:p>
    <w:p w14:paraId="71000528">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本项目的综合评价基于对项目各方面绩效的深入分析与评估。从项目目标的达成情况来看，2024年农业经营主体能力提升</w:t>
      </w:r>
      <w:r>
        <w:rPr>
          <w:rFonts w:hint="eastAsia" w:ascii="Times New Roman" w:hAnsi="Times New Roman" w:eastAsia="仿宋_GB2312" w:cs="Times New Roman"/>
          <w:color w:val="auto"/>
          <w:sz w:val="32"/>
          <w:szCs w:val="32"/>
          <w:highlight w:val="none"/>
          <w:lang w:val="en-US" w:eastAsia="zh-CN"/>
        </w:rPr>
        <w:t>项目</w:t>
      </w:r>
      <w:r>
        <w:rPr>
          <w:rFonts w:hint="default" w:ascii="Times New Roman" w:hAnsi="Times New Roman" w:eastAsia="仿宋_GB2312" w:cs="Times New Roman"/>
          <w:color w:val="auto"/>
          <w:sz w:val="32"/>
          <w:szCs w:val="32"/>
          <w:highlight w:val="none"/>
        </w:rPr>
        <w:t>在</w:t>
      </w:r>
      <w:r>
        <w:rPr>
          <w:rFonts w:hint="eastAsia" w:ascii="Times New Roman" w:hAnsi="Times New Roman" w:eastAsia="仿宋_GB2312" w:cs="Times New Roman"/>
          <w:color w:val="auto"/>
          <w:sz w:val="32"/>
          <w:szCs w:val="32"/>
          <w:highlight w:val="none"/>
          <w:lang w:val="en-US" w:eastAsia="zh-CN"/>
        </w:rPr>
        <w:t>项目产出方面完成较好</w:t>
      </w:r>
      <w:r>
        <w:rPr>
          <w:rFonts w:hint="default" w:ascii="Times New Roman" w:hAnsi="Times New Roman" w:eastAsia="仿宋_GB2312" w:cs="Times New Roman"/>
          <w:color w:val="auto"/>
          <w:sz w:val="32"/>
          <w:szCs w:val="32"/>
          <w:highlight w:val="none"/>
        </w:rPr>
        <w:t>，达到了预期的标准与要求。</w:t>
      </w:r>
    </w:p>
    <w:p w14:paraId="5D343ED6">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在项目管理方面，</w:t>
      </w:r>
      <w:r>
        <w:rPr>
          <w:rFonts w:hint="eastAsia" w:ascii="Times New Roman" w:hAnsi="Times New Roman" w:eastAsia="仿宋_GB2312" w:cs="Times New Roman"/>
          <w:color w:val="auto"/>
          <w:sz w:val="32"/>
          <w:szCs w:val="32"/>
          <w:highlight w:val="none"/>
          <w:lang w:eastAsia="zh-CN"/>
        </w:rPr>
        <w:t>阜康市农村合作经济发展指导中心</w:t>
      </w:r>
      <w:r>
        <w:rPr>
          <w:rFonts w:hint="default" w:ascii="Times New Roman" w:hAnsi="Times New Roman" w:eastAsia="仿宋_GB2312" w:cs="Times New Roman"/>
          <w:color w:val="auto"/>
          <w:sz w:val="32"/>
          <w:szCs w:val="32"/>
          <w:highlight w:val="none"/>
        </w:rPr>
        <w:t>通过有效的规划、组织与协调，项目得以顺利实施，并在预算与时间上保持了良好的控制。</w:t>
      </w:r>
    </w:p>
    <w:p w14:paraId="7AA1D552">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从项目效益的角度来看，本项目实现了预期的社会效益。具体而言，</w:t>
      </w:r>
      <w:r>
        <w:rPr>
          <w:rFonts w:hint="eastAsia" w:ascii="Times New Roman" w:hAnsi="Times New Roman" w:eastAsia="仿宋_GB2312" w:cs="Times New Roman"/>
          <w:color w:val="auto"/>
          <w:sz w:val="32"/>
          <w:szCs w:val="32"/>
          <w:highlight w:val="none"/>
          <w:lang w:val="en-US" w:eastAsia="zh-CN"/>
        </w:rPr>
        <w:t>农民合作社示范社和示范家庭农场发展水平和带动能力</w:t>
      </w:r>
      <w:r>
        <w:rPr>
          <w:rFonts w:hint="default" w:ascii="Times New Roman" w:hAnsi="Times New Roman" w:eastAsia="仿宋_GB2312" w:cs="Times New Roman"/>
          <w:color w:val="auto"/>
          <w:sz w:val="32"/>
          <w:szCs w:val="32"/>
          <w:highlight w:val="none"/>
        </w:rPr>
        <w:t>的提升，为项目的利益相关者带来了实实在在的利益。</w:t>
      </w:r>
    </w:p>
    <w:p w14:paraId="65871231">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cs="Times New Roman"/>
          <w:color w:val="auto"/>
          <w:highlight w:val="none"/>
        </w:rPr>
      </w:pPr>
      <w:r>
        <w:rPr>
          <w:rFonts w:hint="default" w:ascii="Times New Roman" w:hAnsi="Times New Roman" w:eastAsia="仿宋_GB2312" w:cs="Times New Roman"/>
          <w:color w:val="auto"/>
          <w:sz w:val="32"/>
          <w:szCs w:val="32"/>
          <w:highlight w:val="none"/>
        </w:rPr>
        <w:t>综上所述，2024年农业经营主体能力提升</w:t>
      </w:r>
      <w:r>
        <w:rPr>
          <w:rFonts w:hint="eastAsia" w:ascii="Times New Roman" w:hAnsi="Times New Roman" w:eastAsia="仿宋_GB2312" w:cs="Times New Roman"/>
          <w:color w:val="auto"/>
          <w:sz w:val="32"/>
          <w:szCs w:val="32"/>
          <w:highlight w:val="none"/>
          <w:lang w:val="en-US" w:eastAsia="zh-CN"/>
        </w:rPr>
        <w:t>项目</w:t>
      </w:r>
      <w:r>
        <w:rPr>
          <w:rFonts w:hint="default" w:ascii="Times New Roman" w:hAnsi="Times New Roman" w:eastAsia="仿宋_GB2312" w:cs="Times New Roman"/>
          <w:color w:val="auto"/>
          <w:sz w:val="32"/>
          <w:szCs w:val="32"/>
          <w:highlight w:val="none"/>
        </w:rPr>
        <w:t>在绩效评价中表现出色，达到了项目的预期目标，并在多个方面取得了显著的成效</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评价等级为优</w:t>
      </w:r>
      <w:r>
        <w:rPr>
          <w:rFonts w:hint="default" w:ascii="Times New Roman" w:hAnsi="Times New Roman" w:eastAsia="仿宋_GB2312" w:cs="Times New Roman"/>
          <w:color w:val="auto"/>
          <w:sz w:val="32"/>
          <w:szCs w:val="32"/>
          <w:highlight w:val="none"/>
        </w:rPr>
        <w:t>。</w:t>
      </w:r>
    </w:p>
    <w:p w14:paraId="2E2A7084">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106" w:name="_Toc11863"/>
      <w:r>
        <w:rPr>
          <w:rFonts w:hint="eastAsia" w:ascii="Times New Roman" w:hAnsi="Times New Roman" w:eastAsia="楷体_GB2312" w:cs="Times New Roman"/>
          <w:color w:val="auto"/>
          <w:kern w:val="28"/>
          <w:sz w:val="32"/>
          <w:highlight w:val="none"/>
          <w:lang w:val="en-US" w:eastAsia="zh-CN"/>
        </w:rPr>
        <w:t>（二）相关评分表</w:t>
      </w:r>
      <w:bookmarkEnd w:id="106"/>
    </w:p>
    <w:p w14:paraId="4DD2BB49">
      <w:pPr>
        <w:spacing w:line="560" w:lineRule="exact"/>
        <w:ind w:firstLine="708" w:firstLineChars="200"/>
        <w:rPr>
          <w:rFonts w:hint="eastAsia" w:ascii="Times New Roman" w:hAnsi="Times New Roman" w:eastAsia="仿宋_GB2312" w:cs="Times New Roman"/>
          <w:color w:val="auto"/>
          <w:spacing w:val="17"/>
          <w:sz w:val="32"/>
          <w:szCs w:val="32"/>
          <w:highlight w:val="none"/>
          <w:lang w:val="zh-TW" w:eastAsia="zh-TW"/>
        </w:rPr>
      </w:pPr>
      <w:r>
        <w:rPr>
          <w:rFonts w:hint="eastAsia" w:ascii="Times New Roman" w:hAnsi="Times New Roman" w:eastAsia="仿宋_GB2312" w:cs="Times New Roman"/>
          <w:color w:val="auto"/>
          <w:spacing w:val="17"/>
          <w:sz w:val="32"/>
          <w:szCs w:val="32"/>
          <w:highlight w:val="none"/>
          <w:lang w:val="en-US" w:eastAsia="zh-CN"/>
        </w:rPr>
        <w:t>此次绩效评价</w:t>
      </w:r>
      <w:r>
        <w:rPr>
          <w:rFonts w:hint="eastAsia" w:ascii="Times New Roman" w:hAnsi="Times New Roman" w:eastAsia="仿宋_GB2312" w:cs="Times New Roman"/>
          <w:color w:val="auto"/>
          <w:spacing w:val="17"/>
          <w:sz w:val="32"/>
          <w:szCs w:val="32"/>
          <w:highlight w:val="none"/>
          <w:lang w:val="zh-TW" w:eastAsia="zh-TW"/>
        </w:rPr>
        <w:t>通过组论证的评价指标体系及评分标准，</w:t>
      </w:r>
      <w:r>
        <w:rPr>
          <w:rFonts w:hint="eastAsia" w:ascii="Times New Roman" w:hAnsi="Times New Roman" w:eastAsia="仿宋_GB2312" w:cs="Times New Roman"/>
          <w:color w:val="auto"/>
          <w:spacing w:val="17"/>
          <w:sz w:val="32"/>
          <w:szCs w:val="32"/>
          <w:highlight w:val="none"/>
          <w:lang w:val="en-US" w:eastAsia="zh-CN"/>
        </w:rPr>
        <w:t>采用的方法比较法、因素分析法、公众评判法，</w:t>
      </w:r>
      <w:r>
        <w:rPr>
          <w:rFonts w:hint="eastAsia" w:ascii="Times New Roman" w:hAnsi="Times New Roman" w:eastAsia="仿宋_GB2312" w:cs="Times New Roman"/>
          <w:color w:val="auto"/>
          <w:spacing w:val="17"/>
          <w:sz w:val="32"/>
          <w:szCs w:val="32"/>
          <w:highlight w:val="none"/>
          <w:lang w:val="zh-TW" w:eastAsia="zh-TW"/>
        </w:rPr>
        <w:t>对</w:t>
      </w:r>
      <w:r>
        <w:rPr>
          <w:rFonts w:hint="default" w:ascii="Times New Roman" w:hAnsi="Times New Roman" w:eastAsia="仿宋_GB2312" w:cs="Times New Roman"/>
          <w:color w:val="auto"/>
          <w:sz w:val="32"/>
          <w:szCs w:val="32"/>
          <w:highlight w:val="none"/>
        </w:rPr>
        <w:t>2024年农业经营主体能力提升</w:t>
      </w:r>
      <w:r>
        <w:rPr>
          <w:rFonts w:hint="eastAsia" w:ascii="Times New Roman" w:hAnsi="Times New Roman" w:eastAsia="仿宋_GB2312" w:cs="Times New Roman"/>
          <w:color w:val="auto"/>
          <w:spacing w:val="17"/>
          <w:sz w:val="32"/>
          <w:szCs w:val="32"/>
          <w:highlight w:val="none"/>
          <w:lang w:val="en-US" w:eastAsia="zh-CN"/>
        </w:rPr>
        <w:t>项目</w:t>
      </w:r>
      <w:r>
        <w:rPr>
          <w:rFonts w:hint="eastAsia" w:ascii="Times New Roman" w:hAnsi="Times New Roman" w:eastAsia="仿宋_GB2312" w:cs="Times New Roman"/>
          <w:color w:val="auto"/>
          <w:spacing w:val="17"/>
          <w:sz w:val="32"/>
          <w:szCs w:val="32"/>
          <w:highlight w:val="none"/>
          <w:lang w:val="zh-TW" w:eastAsia="zh-TW"/>
        </w:rPr>
        <w:t>绩效进行客观评价，最终评分结果：</w:t>
      </w:r>
      <w:r>
        <w:rPr>
          <w:rFonts w:hint="default" w:ascii="Times New Roman" w:hAnsi="Times New Roman" w:eastAsia="仿宋_GB2312" w:cs="Times New Roman"/>
          <w:color w:val="auto"/>
          <w:spacing w:val="17"/>
          <w:sz w:val="32"/>
          <w:szCs w:val="32"/>
          <w:highlight w:val="none"/>
          <w:lang w:val="en-US" w:eastAsia="zh-CN"/>
        </w:rPr>
        <w:t>总得分为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分，属于“优”。其中，项目决策类指标权重为20分，得分为</w:t>
      </w:r>
      <w:r>
        <w:rPr>
          <w:rFonts w:hint="eastAsia" w:ascii="Times New Roman" w:hAnsi="Times New Roman" w:eastAsia="仿宋_GB2312" w:cs="Times New Roman"/>
          <w:color w:val="auto"/>
          <w:spacing w:val="17"/>
          <w:sz w:val="32"/>
          <w:szCs w:val="32"/>
          <w:highlight w:val="none"/>
          <w:lang w:val="en-US" w:eastAsia="zh-CN"/>
        </w:rPr>
        <w:t>19</w:t>
      </w:r>
      <w:r>
        <w:rPr>
          <w:rFonts w:hint="default" w:ascii="Times New Roman" w:hAnsi="Times New Roman" w:eastAsia="仿宋_GB2312" w:cs="Times New Roman"/>
          <w:color w:val="auto"/>
          <w:spacing w:val="17"/>
          <w:sz w:val="32"/>
          <w:szCs w:val="32"/>
          <w:highlight w:val="none"/>
          <w:lang w:val="en-US" w:eastAsia="zh-CN"/>
        </w:rPr>
        <w:t>分，得分率为</w:t>
      </w:r>
      <w:r>
        <w:rPr>
          <w:rFonts w:hint="eastAsia" w:ascii="Times New Roman" w:hAnsi="Times New Roman" w:eastAsia="仿宋_GB2312" w:cs="Times New Roman"/>
          <w:color w:val="auto"/>
          <w:spacing w:val="17"/>
          <w:sz w:val="32"/>
          <w:szCs w:val="32"/>
          <w:highlight w:val="none"/>
          <w:lang w:val="en-US" w:eastAsia="zh-CN"/>
        </w:rPr>
        <w:t>95</w:t>
      </w:r>
      <w:r>
        <w:rPr>
          <w:rFonts w:hint="default" w:ascii="Times New Roman" w:hAnsi="Times New Roman" w:eastAsia="仿宋_GB2312" w:cs="Times New Roman"/>
          <w:color w:val="auto"/>
          <w:spacing w:val="17"/>
          <w:sz w:val="32"/>
          <w:szCs w:val="32"/>
          <w:highlight w:val="none"/>
          <w:lang w:val="en-US" w:eastAsia="zh-CN"/>
        </w:rPr>
        <w:t>%。项目过程类指标权重为20分，得分为</w:t>
      </w:r>
      <w:r>
        <w:rPr>
          <w:rFonts w:hint="eastAsia" w:ascii="Times New Roman" w:hAnsi="Times New Roman" w:eastAsia="仿宋_GB2312" w:cs="Times New Roman"/>
          <w:color w:val="auto"/>
          <w:spacing w:val="17"/>
          <w:sz w:val="32"/>
          <w:szCs w:val="32"/>
          <w:highlight w:val="none"/>
          <w:lang w:val="en-US" w:eastAsia="zh-CN"/>
        </w:rPr>
        <w:t>20</w:t>
      </w:r>
      <w:r>
        <w:rPr>
          <w:rFonts w:hint="default" w:ascii="Times New Roman" w:hAnsi="Times New Roman" w:eastAsia="仿宋_GB2312" w:cs="Times New Roman"/>
          <w:color w:val="auto"/>
          <w:spacing w:val="17"/>
          <w:sz w:val="32"/>
          <w:szCs w:val="32"/>
          <w:highlight w:val="none"/>
          <w:lang w:val="en-US" w:eastAsia="zh-CN"/>
        </w:rPr>
        <w:t>分，得分率为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%。项目产出类指标权重为40分，得分为</w:t>
      </w:r>
      <w:r>
        <w:rPr>
          <w:rFonts w:hint="eastAsia" w:ascii="Times New Roman" w:hAnsi="Times New Roman" w:eastAsia="仿宋_GB2312" w:cs="Times New Roman"/>
          <w:color w:val="auto"/>
          <w:spacing w:val="17"/>
          <w:sz w:val="32"/>
          <w:szCs w:val="32"/>
          <w:highlight w:val="none"/>
          <w:lang w:val="en-US" w:eastAsia="zh-CN"/>
        </w:rPr>
        <w:t>40</w:t>
      </w:r>
      <w:r>
        <w:rPr>
          <w:rFonts w:hint="default" w:ascii="Times New Roman" w:hAnsi="Times New Roman" w:eastAsia="仿宋_GB2312" w:cs="Times New Roman"/>
          <w:color w:val="auto"/>
          <w:spacing w:val="17"/>
          <w:sz w:val="32"/>
          <w:szCs w:val="32"/>
          <w:highlight w:val="none"/>
          <w:lang w:val="en-US" w:eastAsia="zh-CN"/>
        </w:rPr>
        <w:t>分，得分率为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%。项目效益类指标权重为20分，得分为</w:t>
      </w:r>
      <w:r>
        <w:rPr>
          <w:rFonts w:hint="eastAsia" w:ascii="Times New Roman" w:hAnsi="Times New Roman" w:eastAsia="仿宋_GB2312" w:cs="Times New Roman"/>
          <w:color w:val="auto"/>
          <w:spacing w:val="17"/>
          <w:sz w:val="32"/>
          <w:szCs w:val="32"/>
          <w:highlight w:val="none"/>
          <w:shd w:val="clear"/>
          <w:lang w:val="en-US" w:eastAsia="zh-CN"/>
        </w:rPr>
        <w:t>20</w:t>
      </w:r>
      <w:r>
        <w:rPr>
          <w:rFonts w:hint="default" w:ascii="Times New Roman" w:hAnsi="Times New Roman" w:eastAsia="仿宋_GB2312" w:cs="Times New Roman"/>
          <w:color w:val="auto"/>
          <w:spacing w:val="17"/>
          <w:sz w:val="32"/>
          <w:szCs w:val="32"/>
          <w:highlight w:val="none"/>
          <w:shd w:val="clear"/>
          <w:lang w:val="en-US" w:eastAsia="zh-CN"/>
        </w:rPr>
        <w:t>分，</w:t>
      </w:r>
      <w:r>
        <w:rPr>
          <w:rFonts w:hint="default" w:ascii="Times New Roman" w:hAnsi="Times New Roman" w:eastAsia="仿宋_GB2312" w:cs="Times New Roman"/>
          <w:color w:val="auto"/>
          <w:spacing w:val="17"/>
          <w:sz w:val="32"/>
          <w:szCs w:val="32"/>
          <w:highlight w:val="none"/>
          <w:lang w:val="en-US" w:eastAsia="zh-CN"/>
        </w:rPr>
        <w:t>得分率为</w:t>
      </w:r>
      <w:r>
        <w:rPr>
          <w:rFonts w:hint="eastAsia" w:ascii="Times New Roman" w:hAnsi="Times New Roman" w:eastAsia="仿宋_GB2312" w:cs="Times New Roman"/>
          <w:color w:val="auto"/>
          <w:spacing w:val="17"/>
          <w:sz w:val="32"/>
          <w:szCs w:val="32"/>
          <w:highlight w:val="none"/>
          <w:lang w:val="en-US" w:eastAsia="zh-CN"/>
        </w:rPr>
        <w:t>100</w:t>
      </w:r>
      <w:r>
        <w:rPr>
          <w:rFonts w:hint="default" w:ascii="Times New Roman" w:hAnsi="Times New Roman" w:eastAsia="仿宋_GB2312" w:cs="Times New Roman"/>
          <w:color w:val="auto"/>
          <w:spacing w:val="17"/>
          <w:sz w:val="32"/>
          <w:szCs w:val="32"/>
          <w:highlight w:val="none"/>
          <w:lang w:val="en-US" w:eastAsia="zh-CN"/>
        </w:rPr>
        <w:t>%。</w:t>
      </w:r>
      <w:r>
        <w:rPr>
          <w:rFonts w:hint="eastAsia" w:ascii="Times New Roman" w:hAnsi="Times New Roman" w:eastAsia="仿宋_GB2312" w:cs="Times New Roman"/>
          <w:color w:val="auto"/>
          <w:spacing w:val="17"/>
          <w:sz w:val="32"/>
          <w:szCs w:val="32"/>
          <w:highlight w:val="none"/>
          <w:lang w:val="zh-TW" w:eastAsia="zh-TW"/>
        </w:rPr>
        <w:t>各部分权重和绩效</w:t>
      </w:r>
      <w:r>
        <w:rPr>
          <w:rFonts w:hint="eastAsia" w:ascii="Times New Roman" w:hAnsi="Times New Roman" w:eastAsia="仿宋_GB2312" w:cs="Times New Roman"/>
          <w:color w:val="auto"/>
          <w:spacing w:val="17"/>
          <w:sz w:val="32"/>
          <w:szCs w:val="32"/>
          <w:highlight w:val="none"/>
          <w:lang w:val="en-US" w:eastAsia="zh-CN"/>
        </w:rPr>
        <w:t>汇总</w:t>
      </w:r>
      <w:r>
        <w:rPr>
          <w:rFonts w:hint="eastAsia" w:ascii="Times New Roman" w:hAnsi="Times New Roman" w:eastAsia="仿宋_GB2312" w:cs="Times New Roman"/>
          <w:color w:val="auto"/>
          <w:spacing w:val="17"/>
          <w:sz w:val="32"/>
          <w:szCs w:val="32"/>
          <w:highlight w:val="none"/>
          <w:lang w:val="zh-TW" w:eastAsia="zh-TW"/>
        </w:rPr>
        <w:t>分值如下表</w:t>
      </w:r>
      <w:r>
        <w:rPr>
          <w:rFonts w:hint="eastAsia" w:ascii="Times New Roman" w:hAnsi="Times New Roman" w:eastAsia="仿宋_GB2312" w:cs="Times New Roman"/>
          <w:color w:val="auto"/>
          <w:spacing w:val="17"/>
          <w:sz w:val="32"/>
          <w:szCs w:val="32"/>
          <w:highlight w:val="none"/>
          <w:lang w:val="en-US" w:eastAsia="zh-CN"/>
        </w:rPr>
        <w:t>3-1</w:t>
      </w:r>
      <w:r>
        <w:rPr>
          <w:rFonts w:hint="eastAsia" w:ascii="Times New Roman" w:hAnsi="Times New Roman" w:eastAsia="仿宋_GB2312" w:cs="Times New Roman"/>
          <w:color w:val="auto"/>
          <w:spacing w:val="17"/>
          <w:sz w:val="32"/>
          <w:szCs w:val="32"/>
          <w:highlight w:val="none"/>
          <w:lang w:val="zh-TW" w:eastAsia="zh-TW"/>
        </w:rPr>
        <w:t>所示</w:t>
      </w:r>
      <w:r>
        <w:rPr>
          <w:rFonts w:hint="eastAsia" w:ascii="Times New Roman" w:hAnsi="Times New Roman" w:eastAsia="仿宋_GB2312" w:cs="Times New Roman"/>
          <w:color w:val="auto"/>
          <w:spacing w:val="17"/>
          <w:sz w:val="32"/>
          <w:szCs w:val="32"/>
          <w:highlight w:val="none"/>
          <w:lang w:val="zh-TW" w:eastAsia="zh-CN"/>
        </w:rPr>
        <w:t>（</w:t>
      </w:r>
      <w:r>
        <w:rPr>
          <w:rFonts w:hint="eastAsia" w:ascii="Times New Roman" w:hAnsi="Times New Roman" w:eastAsia="仿宋_GB2312" w:cs="Times New Roman"/>
          <w:color w:val="auto"/>
          <w:spacing w:val="17"/>
          <w:sz w:val="32"/>
          <w:szCs w:val="32"/>
          <w:highlight w:val="none"/>
          <w:lang w:val="en-US" w:eastAsia="zh-CN"/>
        </w:rPr>
        <w:t>详见上传的附件</w:t>
      </w:r>
      <w:r>
        <w:rPr>
          <w:rFonts w:hint="eastAsia" w:ascii="Times New Roman" w:hAnsi="Times New Roman" w:eastAsia="仿宋_GB2312" w:cs="Times New Roman"/>
          <w:color w:val="auto"/>
          <w:spacing w:val="17"/>
          <w:sz w:val="32"/>
          <w:szCs w:val="32"/>
          <w:highlight w:val="none"/>
          <w:lang w:val="zh-TW" w:eastAsia="zh-CN"/>
        </w:rPr>
        <w:t>）</w:t>
      </w:r>
      <w:r>
        <w:rPr>
          <w:rFonts w:hint="eastAsia" w:ascii="Times New Roman" w:hAnsi="Times New Roman" w:eastAsia="仿宋_GB2312" w:cs="Times New Roman"/>
          <w:color w:val="auto"/>
          <w:spacing w:val="17"/>
          <w:sz w:val="32"/>
          <w:szCs w:val="32"/>
          <w:highlight w:val="none"/>
          <w:lang w:val="zh-TW" w:eastAsia="zh-TW"/>
        </w:rPr>
        <w:t>：</w:t>
      </w:r>
    </w:p>
    <w:tbl>
      <w:tblPr>
        <w:tblStyle w:val="16"/>
        <w:tblW w:w="8289" w:type="dxa"/>
        <w:jc w:val="center"/>
        <w:shd w:val="clear" w:color="auto" w:fill="auto"/>
        <w:tblLayout w:type="fixed"/>
        <w:tblCellMar>
          <w:top w:w="0" w:type="dxa"/>
          <w:left w:w="0" w:type="dxa"/>
          <w:bottom w:w="0" w:type="dxa"/>
          <w:right w:w="0" w:type="dxa"/>
        </w:tblCellMar>
      </w:tblPr>
      <w:tblGrid>
        <w:gridCol w:w="1094"/>
        <w:gridCol w:w="1361"/>
        <w:gridCol w:w="1361"/>
        <w:gridCol w:w="1361"/>
        <w:gridCol w:w="1623"/>
        <w:gridCol w:w="1489"/>
      </w:tblGrid>
      <w:tr w14:paraId="6D455F59">
        <w:tblPrEx>
          <w:shd w:val="clear" w:color="auto" w:fill="auto"/>
          <w:tblCellMar>
            <w:top w:w="0" w:type="dxa"/>
            <w:left w:w="0" w:type="dxa"/>
            <w:bottom w:w="0" w:type="dxa"/>
            <w:right w:w="0" w:type="dxa"/>
          </w:tblCellMar>
        </w:tblPrEx>
        <w:trPr>
          <w:trHeight w:val="375" w:hRule="atLeast"/>
          <w:jc w:val="center"/>
        </w:trPr>
        <w:tc>
          <w:tcPr>
            <w:tcW w:w="8289" w:type="dxa"/>
            <w:gridSpan w:val="6"/>
            <w:tcBorders>
              <w:top w:val="nil"/>
              <w:left w:val="nil"/>
              <w:bottom w:val="nil"/>
              <w:right w:val="nil"/>
            </w:tcBorders>
            <w:shd w:val="clear" w:color="auto" w:fill="auto"/>
            <w:tcMar>
              <w:top w:w="15" w:type="dxa"/>
              <w:left w:w="15" w:type="dxa"/>
              <w:right w:w="15" w:type="dxa"/>
            </w:tcMar>
            <w:vAlign w:val="center"/>
          </w:tcPr>
          <w:p w14:paraId="7D592F2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bCs/>
                <w:color w:val="auto"/>
                <w:kern w:val="0"/>
                <w:sz w:val="28"/>
                <w:szCs w:val="28"/>
                <w:highlight w:val="none"/>
                <w:shd w:val="clear" w:color="auto" w:fill="auto"/>
                <w:lang w:val="en-US" w:eastAsia="zh-CN"/>
              </w:rPr>
              <w:t>表3-1：2024年农业经营主体能力提升项目得分表</w:t>
            </w:r>
          </w:p>
        </w:tc>
      </w:tr>
      <w:tr w14:paraId="324D323D">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601A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指标类别</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9CAB6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1.项目决策</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A701B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2.过程管理</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F1E28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3.项目产出</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6214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4.项目效益</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0486B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rPr>
            </w:pPr>
            <w:r>
              <w:rPr>
                <w:rFonts w:hint="eastAsia" w:ascii="宋体" w:hAnsi="宋体" w:eastAsia="宋体" w:cs="宋体"/>
                <w:b/>
                <w:bCs/>
                <w:color w:val="auto"/>
                <w:kern w:val="0"/>
                <w:sz w:val="21"/>
                <w:szCs w:val="21"/>
                <w:highlight w:val="none"/>
                <w:shd w:val="clear" w:color="auto" w:fill="auto"/>
                <w:lang w:val="en-US" w:eastAsia="zh-CN"/>
              </w:rPr>
              <w:t>合计</w:t>
            </w:r>
          </w:p>
        </w:tc>
      </w:tr>
      <w:tr w14:paraId="23E39D81">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96A92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权重</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0BF16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20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F25EF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20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1C15F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40</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DE23C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20</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EC22F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ascii="宋体" w:hAnsi="宋体" w:eastAsia="宋体" w:cs="宋体"/>
                <w:color w:val="auto"/>
                <w:kern w:val="0"/>
                <w:sz w:val="21"/>
                <w:szCs w:val="21"/>
                <w:highlight w:val="none"/>
                <w:shd w:val="clear" w:color="auto" w:fill="auto"/>
                <w:lang w:val="en-US" w:eastAsia="zh-CN"/>
              </w:rPr>
              <w:t>100</w:t>
            </w:r>
          </w:p>
        </w:tc>
      </w:tr>
      <w:tr w14:paraId="1A0D520A">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2B10A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分值</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86F07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19</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EBE7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10</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06191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40</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27C5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20</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14A8D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99</w:t>
            </w:r>
          </w:p>
        </w:tc>
      </w:tr>
      <w:tr w14:paraId="6DB5027B">
        <w:tblPrEx>
          <w:shd w:val="clear" w:color="auto" w:fill="auto"/>
          <w:tblCellMar>
            <w:top w:w="0" w:type="dxa"/>
            <w:left w:w="0" w:type="dxa"/>
            <w:bottom w:w="0" w:type="dxa"/>
            <w:right w:w="0" w:type="dxa"/>
          </w:tblCellMar>
        </w:tblPrEx>
        <w:trPr>
          <w:trHeight w:val="375" w:hRule="atLeast"/>
          <w:jc w:val="center"/>
        </w:trPr>
        <w:tc>
          <w:tcPr>
            <w:tcW w:w="10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61672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得分率</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6C82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95</w:t>
            </w:r>
            <w:r>
              <w:rPr>
                <w:rFonts w:hint="eastAsia" w:ascii="宋体" w:hAnsi="宋体" w:eastAsia="宋体" w:cs="宋体"/>
                <w:color w:val="auto"/>
                <w:kern w:val="0"/>
                <w:sz w:val="21"/>
                <w:szCs w:val="21"/>
                <w:highlight w:val="none"/>
                <w:shd w:val="clear" w:color="auto" w:fill="auto"/>
                <w:lang w:val="en-US" w:eastAsia="zh-CN"/>
              </w:rPr>
              <w:t>%</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70287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100</w:t>
            </w:r>
            <w:r>
              <w:rPr>
                <w:rFonts w:hint="eastAsia" w:ascii="宋体" w:hAnsi="宋体" w:eastAsia="宋体" w:cs="宋体"/>
                <w:color w:val="auto"/>
                <w:kern w:val="0"/>
                <w:sz w:val="21"/>
                <w:szCs w:val="21"/>
                <w:highlight w:val="none"/>
                <w:shd w:val="clear" w:color="auto" w:fill="auto"/>
                <w:lang w:val="en-US" w:eastAsia="zh-CN"/>
              </w:rPr>
              <w:t>%</w:t>
            </w:r>
          </w:p>
        </w:tc>
        <w:tc>
          <w:tcPr>
            <w:tcW w:w="13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F4715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100</w:t>
            </w:r>
            <w:r>
              <w:rPr>
                <w:rFonts w:hint="eastAsia" w:ascii="宋体" w:hAnsi="宋体" w:eastAsia="宋体" w:cs="宋体"/>
                <w:color w:val="auto"/>
                <w:kern w:val="0"/>
                <w:sz w:val="21"/>
                <w:szCs w:val="21"/>
                <w:highlight w:val="none"/>
                <w:shd w:val="clear" w:color="auto" w:fill="auto"/>
                <w:lang w:val="en-US" w:eastAsia="zh-CN"/>
              </w:rPr>
              <w:t>%</w:t>
            </w:r>
          </w:p>
        </w:tc>
        <w:tc>
          <w:tcPr>
            <w:tcW w:w="1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68210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100</w:t>
            </w:r>
            <w:r>
              <w:rPr>
                <w:rFonts w:hint="eastAsia" w:ascii="宋体" w:hAnsi="宋体" w:eastAsia="宋体" w:cs="宋体"/>
                <w:color w:val="auto"/>
                <w:kern w:val="0"/>
                <w:sz w:val="21"/>
                <w:szCs w:val="21"/>
                <w:highlight w:val="none"/>
                <w:shd w:val="clear" w:color="auto" w:fill="auto"/>
                <w:lang w:val="en-US" w:eastAsia="zh-CN"/>
              </w:rPr>
              <w:t>%</w:t>
            </w:r>
          </w:p>
        </w:tc>
        <w:tc>
          <w:tcPr>
            <w:tcW w:w="14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BD33B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1"/>
                <w:szCs w:val="21"/>
                <w:highlight w:val="none"/>
                <w:shd w:val="clear" w:color="auto" w:fill="auto"/>
                <w:lang w:val="en-US" w:eastAsia="zh-CN"/>
              </w:rPr>
            </w:pPr>
            <w:r>
              <w:rPr>
                <w:rFonts w:hint="eastAsia" w:cs="宋体"/>
                <w:color w:val="auto"/>
                <w:kern w:val="0"/>
                <w:sz w:val="21"/>
                <w:szCs w:val="21"/>
                <w:highlight w:val="none"/>
                <w:shd w:val="clear" w:color="auto" w:fill="auto"/>
                <w:lang w:val="en-US" w:eastAsia="zh-CN"/>
              </w:rPr>
              <w:t>99</w:t>
            </w:r>
            <w:r>
              <w:rPr>
                <w:rFonts w:hint="eastAsia" w:ascii="宋体" w:hAnsi="宋体" w:eastAsia="宋体" w:cs="宋体"/>
                <w:color w:val="auto"/>
                <w:kern w:val="0"/>
                <w:sz w:val="21"/>
                <w:szCs w:val="21"/>
                <w:highlight w:val="none"/>
                <w:shd w:val="clear" w:color="auto" w:fill="auto"/>
                <w:lang w:val="en-US" w:eastAsia="zh-CN"/>
              </w:rPr>
              <w:t>%</w:t>
            </w:r>
          </w:p>
        </w:tc>
      </w:tr>
    </w:tbl>
    <w:p w14:paraId="2E966D18">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auto"/>
          <w:highlight w:val="none"/>
          <w:shd w:val="clear" w:color="auto" w:fill="auto"/>
          <w:lang w:val="en-US" w:eastAsia="zh-CN"/>
        </w:rPr>
      </w:pPr>
      <w:bookmarkStart w:id="107" w:name="_Toc14941"/>
      <w:r>
        <w:rPr>
          <w:rFonts w:hint="eastAsia" w:ascii="黑体" w:hAnsi="黑体" w:eastAsia="黑体" w:cs="黑体"/>
          <w:b w:val="0"/>
          <w:bCs w:val="0"/>
          <w:color w:val="auto"/>
          <w:highlight w:val="none"/>
          <w:shd w:val="clear" w:color="auto" w:fill="auto"/>
          <w:lang w:val="en-US" w:eastAsia="zh-CN"/>
        </w:rPr>
        <w:t>四、绩效评价指标分析</w:t>
      </w:r>
      <w:bookmarkEnd w:id="107"/>
    </w:p>
    <w:p w14:paraId="3E674E9E">
      <w:pPr>
        <w:pStyle w:val="14"/>
        <w:widowControl/>
        <w:spacing w:before="0" w:beforeLines="-2147483648" w:after="0" w:afterLines="-2147483648" w:line="560" w:lineRule="exact"/>
        <w:ind w:firstLine="643" w:firstLineChars="200"/>
        <w:jc w:val="both"/>
        <w:rPr>
          <w:rFonts w:hint="eastAsia" w:ascii="Times New Roman" w:hAnsi="Times New Roman" w:eastAsia="楷体_GB2312" w:cs="Times New Roman"/>
          <w:color w:val="auto"/>
          <w:kern w:val="28"/>
          <w:sz w:val="32"/>
          <w:highlight w:val="none"/>
        </w:rPr>
      </w:pPr>
      <w:bookmarkStart w:id="108" w:name="_Toc6759"/>
      <w:r>
        <w:rPr>
          <w:rFonts w:hint="eastAsia" w:ascii="Times New Roman" w:hAnsi="Times New Roman" w:eastAsia="楷体_GB2312" w:cs="Times New Roman"/>
          <w:color w:val="auto"/>
          <w:kern w:val="28"/>
          <w:sz w:val="32"/>
          <w:highlight w:val="none"/>
        </w:rPr>
        <w:t>（一）项目决策情况</w:t>
      </w:r>
      <w:bookmarkEnd w:id="108"/>
    </w:p>
    <w:p w14:paraId="140D37CE">
      <w:pPr>
        <w:keepNext w:val="0"/>
        <w:keepLines w:val="0"/>
        <w:pageBreakBefore w:val="0"/>
        <w:widowControl w:val="0"/>
        <w:kinsoku/>
        <w:wordWrap/>
        <w:overflowPunct/>
        <w:topLinePunct w:val="0"/>
        <w:autoSpaceDE/>
        <w:autoSpaceDN/>
        <w:bidi w:val="0"/>
        <w:adjustRightInd/>
        <w:snapToGrid/>
        <w:spacing w:line="560" w:lineRule="exact"/>
        <w:ind w:firstLine="723"/>
        <w:textAlignment w:val="auto"/>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color w:val="auto"/>
          <w:sz w:val="32"/>
          <w:szCs w:val="32"/>
          <w:highlight w:val="none"/>
          <w:shd w:val="clear" w:color="auto" w:fill="auto"/>
          <w:lang w:val="en-US" w:eastAsia="zh-CN"/>
        </w:rPr>
        <w:t>项目决策由3个二级指标和6个三级指标构成，权重分20分，实际得分19分，</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4</w:t>
      </w:r>
      <w:r>
        <w:rPr>
          <w:rFonts w:hint="eastAsia" w:ascii="仿宋_GB2312" w:hAnsi="仿宋_GB2312" w:eastAsia="仿宋_GB2312" w:cs="仿宋_GB2312"/>
          <w:b/>
          <w:bCs/>
          <w:color w:val="auto"/>
          <w:kern w:val="2"/>
          <w:sz w:val="32"/>
          <w:szCs w:val="32"/>
          <w:highlight w:val="none"/>
          <w:u w:color="000000"/>
          <w:shd w:val="clear" w:color="auto" w:fill="auto"/>
          <w:lang w:eastAsia="zh-CN"/>
        </w:rPr>
        <w:t>-1</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sz w:val="32"/>
          <w:szCs w:val="32"/>
          <w:highlight w:val="none"/>
          <w:shd w:val="clear" w:color="auto" w:fill="auto"/>
          <w:lang w:val="zh-TW" w:eastAsia="zh-CN"/>
        </w:rPr>
        <w:t>（</w:t>
      </w:r>
      <w:r>
        <w:rPr>
          <w:rFonts w:hint="eastAsia" w:ascii="仿宋_GB2312" w:hAnsi="仿宋_GB2312" w:eastAsia="仿宋_GB2312" w:cs="仿宋_GB2312"/>
          <w:b/>
          <w:bCs/>
          <w:color w:val="auto"/>
          <w:sz w:val="32"/>
          <w:szCs w:val="32"/>
          <w:highlight w:val="none"/>
          <w:shd w:val="clear" w:color="auto" w:fill="auto"/>
          <w:lang w:val="en-US" w:eastAsia="zh-CN"/>
        </w:rPr>
        <w:t>详见上传的附件二</w:t>
      </w:r>
      <w:r>
        <w:rPr>
          <w:rFonts w:hint="eastAsia" w:ascii="仿宋_GB2312" w:hAnsi="仿宋_GB2312" w:eastAsia="仿宋_GB2312" w:cs="仿宋_GB2312"/>
          <w:b/>
          <w:bCs/>
          <w:color w:val="auto"/>
          <w:sz w:val="32"/>
          <w:szCs w:val="32"/>
          <w:highlight w:val="none"/>
          <w:shd w:val="clear" w:color="auto" w:fill="auto"/>
          <w:lang w:val="zh-TW" w:eastAsia="zh-CN"/>
        </w:rPr>
        <w:t>）</w:t>
      </w:r>
      <w:r>
        <w:rPr>
          <w:rFonts w:hint="eastAsia" w:ascii="仿宋_GB2312" w:hAnsi="仿宋_GB2312" w:eastAsia="仿宋_GB2312" w:cs="仿宋_GB2312"/>
          <w:color w:val="auto"/>
          <w:sz w:val="32"/>
          <w:szCs w:val="32"/>
          <w:highlight w:val="none"/>
          <w:shd w:val="clear" w:color="auto" w:fill="auto"/>
          <w:lang w:val="en-US" w:eastAsia="zh-CN"/>
        </w:rPr>
        <w:t>：</w:t>
      </w:r>
    </w:p>
    <w:p w14:paraId="156CEFF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仿宋_GB2312" w:hAnsi="仿宋_GB2312" w:eastAsia="仿宋_GB2312" w:cs="仿宋_GB2312"/>
          <w:b/>
          <w:bCs/>
          <w:color w:val="auto"/>
          <w:kern w:val="0"/>
          <w:sz w:val="32"/>
          <w:szCs w:val="32"/>
          <w:highlight w:val="none"/>
          <w:shd w:val="clear" w:color="auto" w:fill="auto"/>
          <w:lang w:val="en-US" w:eastAsia="zh-CN"/>
        </w:rPr>
      </w:pPr>
      <w:r>
        <w:rPr>
          <w:rFonts w:hint="eastAsia" w:ascii="仿宋_GB2312" w:hAnsi="仿宋_GB2312" w:eastAsia="仿宋_GB2312" w:cs="仿宋_GB2312"/>
          <w:b/>
          <w:bCs/>
          <w:color w:val="auto"/>
          <w:kern w:val="0"/>
          <w:sz w:val="32"/>
          <w:szCs w:val="32"/>
          <w:highlight w:val="none"/>
          <w:shd w:val="clear" w:color="auto" w:fill="auto"/>
          <w:lang w:val="zh-TW" w:eastAsia="zh-TW"/>
        </w:rPr>
        <w:t>表</w:t>
      </w:r>
      <w:r>
        <w:rPr>
          <w:rFonts w:hint="eastAsia" w:ascii="仿宋_GB2312" w:hAnsi="仿宋_GB2312" w:eastAsia="仿宋_GB2312" w:cs="仿宋_GB2312"/>
          <w:b/>
          <w:bCs/>
          <w:color w:val="auto"/>
          <w:kern w:val="0"/>
          <w:sz w:val="32"/>
          <w:szCs w:val="32"/>
          <w:highlight w:val="none"/>
          <w:shd w:val="clear" w:color="auto" w:fill="auto"/>
          <w:lang w:val="en-US" w:eastAsia="zh-CN"/>
        </w:rPr>
        <w:t>4-1</w:t>
      </w:r>
      <w:r>
        <w:rPr>
          <w:rFonts w:hint="eastAsia" w:ascii="仿宋_GB2312" w:hAnsi="仿宋_GB2312" w:eastAsia="仿宋_GB2312" w:cs="仿宋_GB2312"/>
          <w:b/>
          <w:bCs/>
          <w:color w:val="auto"/>
          <w:kern w:val="0"/>
          <w:sz w:val="32"/>
          <w:szCs w:val="32"/>
          <w:highlight w:val="none"/>
          <w:shd w:val="clear" w:color="auto" w:fill="auto"/>
          <w:lang w:val="zh-TW" w:eastAsia="zh-TW"/>
        </w:rPr>
        <w:t>项目决策指标及分值</w:t>
      </w:r>
    </w:p>
    <w:tbl>
      <w:tblPr>
        <w:tblStyle w:val="16"/>
        <w:tblW w:w="8447" w:type="dxa"/>
        <w:jc w:val="center"/>
        <w:tblLayout w:type="fixed"/>
        <w:tblCellMar>
          <w:top w:w="0" w:type="dxa"/>
          <w:left w:w="0" w:type="dxa"/>
          <w:bottom w:w="0" w:type="dxa"/>
          <w:right w:w="0" w:type="dxa"/>
        </w:tblCellMar>
      </w:tblPr>
      <w:tblGrid>
        <w:gridCol w:w="1077"/>
        <w:gridCol w:w="960"/>
        <w:gridCol w:w="1248"/>
        <w:gridCol w:w="794"/>
        <w:gridCol w:w="3"/>
        <w:gridCol w:w="1868"/>
        <w:gridCol w:w="3"/>
        <w:gridCol w:w="1414"/>
        <w:gridCol w:w="3"/>
        <w:gridCol w:w="1074"/>
        <w:gridCol w:w="3"/>
      </w:tblGrid>
      <w:tr w14:paraId="3A5D8762">
        <w:tblPrEx>
          <w:tblCellMar>
            <w:top w:w="0" w:type="dxa"/>
            <w:left w:w="0" w:type="dxa"/>
            <w:bottom w:w="0" w:type="dxa"/>
            <w:right w:w="0" w:type="dxa"/>
          </w:tblCellMar>
        </w:tblPrEx>
        <w:trPr>
          <w:gridAfter w:val="1"/>
          <w:wAfter w:w="3" w:type="dxa"/>
          <w:trHeight w:val="522" w:hRule="atLeast"/>
          <w:tblHeader/>
          <w:jc w:val="center"/>
        </w:trPr>
        <w:tc>
          <w:tcPr>
            <w:tcW w:w="10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E692D8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一级指标</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9B27C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24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A7597F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79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FAA47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FB9B23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8AA6DD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51ACF1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得分</w:t>
            </w:r>
          </w:p>
        </w:tc>
      </w:tr>
      <w:tr w14:paraId="1F49E47F">
        <w:tblPrEx>
          <w:tblCellMar>
            <w:top w:w="0" w:type="dxa"/>
            <w:left w:w="0" w:type="dxa"/>
            <w:bottom w:w="0" w:type="dxa"/>
            <w:right w:w="0" w:type="dxa"/>
          </w:tblCellMar>
        </w:tblPrEx>
        <w:trPr>
          <w:gridAfter w:val="1"/>
          <w:wAfter w:w="3" w:type="dxa"/>
          <w:trHeight w:val="334" w:hRule="atLeast"/>
          <w:tblHeader/>
          <w:jc w:val="center"/>
        </w:trPr>
        <w:tc>
          <w:tcPr>
            <w:tcW w:w="1077"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67ECCBA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项目决策</w:t>
            </w:r>
          </w:p>
        </w:tc>
        <w:tc>
          <w:tcPr>
            <w:tcW w:w="960"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6741B86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248"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06DC74C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项目立项</w:t>
            </w:r>
          </w:p>
        </w:tc>
        <w:tc>
          <w:tcPr>
            <w:tcW w:w="794"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1CF4783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844E2F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立项依据充分性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8444E5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49A39D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w:t>
            </w:r>
          </w:p>
        </w:tc>
      </w:tr>
      <w:tr w14:paraId="47441DCA">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5CEA814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3A2F82B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386919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94"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21558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D1A057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立项程序规范性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724864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3</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1E4C3F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w:t>
            </w:r>
          </w:p>
        </w:tc>
      </w:tr>
      <w:tr w14:paraId="0E4B74A1">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10A960D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02F2C34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4277CA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绩效目标</w:t>
            </w:r>
          </w:p>
        </w:tc>
        <w:tc>
          <w:tcPr>
            <w:tcW w:w="79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30C89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10</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6C7F97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绩效目标合理性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211296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01BA5A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6E331485">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5A38AE9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689BEE5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83748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9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B46090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7C1E1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绩效指标明确性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1422EA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F0D666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63276798">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5DA528D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left w:val="single" w:color="000000" w:sz="4" w:space="0"/>
              <w:right w:val="single" w:color="000000" w:sz="4" w:space="0"/>
            </w:tcBorders>
            <w:shd w:val="clear" w:color="auto" w:fill="auto"/>
            <w:tcMar>
              <w:top w:w="12" w:type="dxa"/>
              <w:left w:w="12" w:type="dxa"/>
              <w:right w:w="12" w:type="dxa"/>
            </w:tcMar>
            <w:vAlign w:val="center"/>
          </w:tcPr>
          <w:p w14:paraId="5711761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19F6E7E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资金投入</w:t>
            </w:r>
          </w:p>
        </w:tc>
        <w:tc>
          <w:tcPr>
            <w:tcW w:w="794" w:type="dxa"/>
            <w:vMerge w:val="restart"/>
            <w:tcBorders>
              <w:top w:val="single" w:color="000000" w:sz="4" w:space="0"/>
              <w:left w:val="single" w:color="000000" w:sz="4" w:space="0"/>
              <w:right w:val="single" w:color="000000" w:sz="4" w:space="0"/>
            </w:tcBorders>
            <w:shd w:val="clear" w:color="auto" w:fill="auto"/>
            <w:tcMar>
              <w:top w:w="12" w:type="dxa"/>
              <w:left w:w="12" w:type="dxa"/>
              <w:right w:w="12" w:type="dxa"/>
            </w:tcMar>
            <w:vAlign w:val="center"/>
          </w:tcPr>
          <w:p w14:paraId="5D8EEC6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5</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673886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预算编制科学性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49901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1EDF92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w:t>
            </w:r>
          </w:p>
        </w:tc>
      </w:tr>
      <w:tr w14:paraId="2740BD85">
        <w:tblPrEx>
          <w:tblCellMar>
            <w:top w:w="0" w:type="dxa"/>
            <w:left w:w="0" w:type="dxa"/>
            <w:bottom w:w="0" w:type="dxa"/>
            <w:right w:w="0" w:type="dxa"/>
          </w:tblCellMar>
        </w:tblPrEx>
        <w:trPr>
          <w:gridAfter w:val="1"/>
          <w:wAfter w:w="3" w:type="dxa"/>
          <w:trHeight w:val="334" w:hRule="atLeast"/>
          <w:tblHeader/>
          <w:jc w:val="center"/>
        </w:trPr>
        <w:tc>
          <w:tcPr>
            <w:tcW w:w="1077"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AF56A2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60"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9F1F5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7A96D8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94" w:type="dxa"/>
            <w:vMerge w:val="continue"/>
            <w:tcBorders>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95A134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DB53B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资金分配合理性</w:t>
            </w: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B30330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3</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8DB1DD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3</w:t>
            </w:r>
          </w:p>
        </w:tc>
      </w:tr>
      <w:tr w14:paraId="73D5FDBF">
        <w:tblPrEx>
          <w:tblCellMar>
            <w:top w:w="0" w:type="dxa"/>
            <w:left w:w="0" w:type="dxa"/>
            <w:bottom w:w="0" w:type="dxa"/>
            <w:right w:w="0" w:type="dxa"/>
          </w:tblCellMar>
        </w:tblPrEx>
        <w:trPr>
          <w:trHeight w:val="334" w:hRule="atLeast"/>
          <w:tblHeader/>
          <w:jc w:val="center"/>
        </w:trPr>
        <w:tc>
          <w:tcPr>
            <w:tcW w:w="3285"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8111E8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合计</w:t>
            </w:r>
          </w:p>
        </w:tc>
        <w:tc>
          <w:tcPr>
            <w:tcW w:w="79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CD24B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A6A3B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62F583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077"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402E12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19</w:t>
            </w:r>
          </w:p>
        </w:tc>
      </w:tr>
    </w:tbl>
    <w:p w14:paraId="7269E4AF">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09" w:name="_Toc28069"/>
      <w:bookmarkStart w:id="110" w:name="_Toc13522"/>
      <w:r>
        <w:rPr>
          <w:rFonts w:hint="eastAsia" w:ascii="仿宋_GB2312" w:hAnsi="仿宋_GB2312" w:eastAsia="仿宋_GB2312" w:cs="仿宋_GB2312"/>
          <w:b/>
          <w:bCs/>
          <w:color w:val="auto"/>
          <w:sz w:val="32"/>
          <w:szCs w:val="32"/>
          <w:highlight w:val="none"/>
          <w:lang w:val="en-US" w:eastAsia="zh-CN"/>
        </w:rPr>
        <w:t>1.立项依据充分性</w:t>
      </w:r>
      <w:bookmarkEnd w:id="109"/>
      <w:bookmarkEnd w:id="110"/>
    </w:p>
    <w:p w14:paraId="61FBEA81">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项目立项符合《中华人民共和国农民专业合作社法》第六十四条“国家支持发展农业和农村经济的建设项目，可以委托和安排有条件的农民专业合作社实施”；第六十五条“中央和地方财政应当分别安排资金，支持农民专业合作社开展信息、培训、农产品标准与认证、农业生产基础设施建设、市场营销和技术推广等服务”；</w:t>
      </w:r>
    </w:p>
    <w:p w14:paraId="1070BE7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②项目立项符合</w:t>
      </w:r>
      <w:r>
        <w:rPr>
          <w:rFonts w:hint="eastAsia" w:ascii="仿宋_GB2312" w:hAnsi="仿宋_GB2312" w:eastAsia="仿宋_GB2312" w:cs="仿宋_GB2312"/>
          <w:color w:val="auto"/>
          <w:sz w:val="32"/>
          <w:szCs w:val="32"/>
          <w:highlight w:val="none"/>
        </w:rPr>
        <w:t>《昌吉州农业农村局202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年重点工作要点》</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《关于</w:t>
      </w:r>
      <w:r>
        <w:rPr>
          <w:rFonts w:hint="eastAsia" w:ascii="仿宋_GB2312" w:hAnsi="仿宋_GB2312" w:eastAsia="仿宋_GB2312" w:cs="仿宋_GB2312"/>
          <w:color w:val="auto"/>
          <w:sz w:val="32"/>
          <w:szCs w:val="32"/>
          <w:highlight w:val="none"/>
          <w:lang w:eastAsia="zh-CN"/>
        </w:rPr>
        <w:t>提前</w:t>
      </w:r>
      <w:r>
        <w:rPr>
          <w:rFonts w:hint="eastAsia" w:ascii="仿宋_GB2312" w:hAnsi="仿宋_GB2312" w:eastAsia="仿宋_GB2312" w:cs="仿宋_GB2312"/>
          <w:color w:val="auto"/>
          <w:sz w:val="32"/>
          <w:szCs w:val="32"/>
          <w:highlight w:val="none"/>
        </w:rPr>
        <w:t>下达202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eastAsia="zh-CN"/>
        </w:rPr>
        <w:t>中央新型农业经营主体能力提升项目</w:t>
      </w:r>
      <w:r>
        <w:rPr>
          <w:rFonts w:hint="eastAsia" w:ascii="仿宋_GB2312" w:hAnsi="仿宋_GB2312" w:eastAsia="仿宋_GB2312" w:cs="仿宋_GB2312"/>
          <w:color w:val="auto"/>
          <w:sz w:val="32"/>
          <w:szCs w:val="32"/>
          <w:highlight w:val="none"/>
        </w:rPr>
        <w:t>资金预算的通知》（昌州财农〔2023〕</w:t>
      </w:r>
      <w:r>
        <w:rPr>
          <w:rFonts w:hint="eastAsia" w:ascii="仿宋_GB2312" w:hAnsi="仿宋_GB2312" w:eastAsia="仿宋_GB2312" w:cs="仿宋_GB2312"/>
          <w:color w:val="auto"/>
          <w:sz w:val="32"/>
          <w:szCs w:val="32"/>
          <w:highlight w:val="none"/>
          <w:lang w:val="en-US" w:eastAsia="zh-CN"/>
        </w:rPr>
        <w:t>52</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color w:val="auto"/>
          <w:sz w:val="32"/>
          <w:szCs w:val="32"/>
          <w:highlight w:val="none"/>
          <w:lang w:eastAsia="zh-CN"/>
        </w:rPr>
        <w:t>及</w:t>
      </w:r>
      <w:r>
        <w:rPr>
          <w:rFonts w:hint="eastAsia" w:ascii="仿宋_GB2312" w:hAnsi="仿宋_GB2312" w:eastAsia="仿宋_GB2312" w:cs="仿宋_GB2312"/>
          <w:color w:val="auto"/>
          <w:sz w:val="32"/>
          <w:szCs w:val="32"/>
          <w:highlight w:val="none"/>
        </w:rPr>
        <w:t>《关于</w:t>
      </w:r>
      <w:r>
        <w:rPr>
          <w:rFonts w:hint="eastAsia" w:ascii="仿宋_GB2312" w:hAnsi="仿宋_GB2312" w:eastAsia="仿宋_GB2312" w:cs="仿宋_GB2312"/>
          <w:color w:val="auto"/>
          <w:sz w:val="32"/>
          <w:szCs w:val="32"/>
          <w:highlight w:val="none"/>
          <w:lang w:eastAsia="zh-CN"/>
        </w:rPr>
        <w:t>调整</w:t>
      </w:r>
      <w:r>
        <w:rPr>
          <w:rFonts w:hint="eastAsia" w:ascii="仿宋_GB2312" w:hAnsi="仿宋_GB2312" w:eastAsia="仿宋_GB2312" w:cs="仿宋_GB2312"/>
          <w:color w:val="auto"/>
          <w:sz w:val="32"/>
          <w:szCs w:val="32"/>
          <w:highlight w:val="none"/>
        </w:rPr>
        <w:t>下达202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eastAsia="zh-CN"/>
        </w:rPr>
        <w:t>中央新型农业经营主体能力提升项目</w:t>
      </w:r>
      <w:r>
        <w:rPr>
          <w:rFonts w:hint="eastAsia" w:ascii="仿宋_GB2312" w:hAnsi="仿宋_GB2312" w:eastAsia="仿宋_GB2312" w:cs="仿宋_GB2312"/>
          <w:color w:val="auto"/>
          <w:sz w:val="32"/>
          <w:szCs w:val="32"/>
          <w:highlight w:val="none"/>
        </w:rPr>
        <w:t>资金预算的通知》（昌州财农〔202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21</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color w:val="auto"/>
          <w:sz w:val="32"/>
          <w:szCs w:val="32"/>
          <w:highlight w:val="none"/>
          <w:lang w:val="en-US" w:eastAsia="zh-CN"/>
        </w:rPr>
        <w:t>文件要求</w:t>
      </w:r>
      <w:r>
        <w:rPr>
          <w:rFonts w:hint="eastAsia" w:ascii="仿宋_GB2312" w:hAnsi="仿宋_GB2312" w:eastAsia="仿宋_GB2312" w:cs="仿宋_GB2312"/>
          <w:color w:val="auto"/>
          <w:sz w:val="32"/>
          <w:szCs w:val="32"/>
          <w:highlight w:val="none"/>
          <w:lang w:eastAsia="zh-CN"/>
        </w:rPr>
        <w:t>；</w:t>
      </w:r>
    </w:p>
    <w:p w14:paraId="5596734B">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③项目立项与阜康市农村合作经济发展指导中心负责新型农业经营主体项目管理和绩效评价工作的部门职责范围相符，属于部门履职所需；</w:t>
      </w:r>
    </w:p>
    <w:p w14:paraId="1D0AF5B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④项目属于公共财政支持范围，符合中央、地方事权支出责任划分原则；</w:t>
      </w:r>
    </w:p>
    <w:p w14:paraId="78F82CF4">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⑤项目与相关部门同类项目、部门内部相关项目</w:t>
      </w:r>
      <w:r>
        <w:rPr>
          <w:rFonts w:hint="eastAsia" w:ascii="仿宋_GB2312" w:hAnsi="仿宋_GB2312" w:eastAsia="仿宋_GB2312" w:cs="仿宋_GB2312"/>
          <w:color w:val="auto"/>
          <w:sz w:val="32"/>
          <w:szCs w:val="32"/>
          <w:highlight w:val="none"/>
          <w:lang w:val="en-US" w:eastAsia="zh-CN"/>
        </w:rPr>
        <w:t>不</w:t>
      </w:r>
      <w:r>
        <w:rPr>
          <w:rFonts w:hint="eastAsia" w:ascii="仿宋_GB2312" w:hAnsi="仿宋_GB2312" w:eastAsia="仿宋_GB2312" w:cs="仿宋_GB2312"/>
          <w:color w:val="auto"/>
          <w:sz w:val="32"/>
          <w:szCs w:val="32"/>
          <w:highlight w:val="none"/>
          <w:lang w:eastAsia="zh-CN"/>
        </w:rPr>
        <w:t>重复。</w:t>
      </w:r>
    </w:p>
    <w:p w14:paraId="29058457">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综上，该项指标满分2分，得分2分。</w:t>
      </w:r>
    </w:p>
    <w:p w14:paraId="608C1C87">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11" w:name="_Toc21976"/>
      <w:bookmarkStart w:id="112" w:name="_Toc23240"/>
      <w:r>
        <w:rPr>
          <w:rFonts w:hint="eastAsia" w:ascii="仿宋_GB2312" w:hAnsi="仿宋_GB2312" w:eastAsia="仿宋_GB2312" w:cs="仿宋_GB2312"/>
          <w:b/>
          <w:bCs/>
          <w:color w:val="auto"/>
          <w:sz w:val="32"/>
          <w:szCs w:val="32"/>
          <w:highlight w:val="none"/>
          <w:lang w:val="en-US" w:eastAsia="zh-CN"/>
        </w:rPr>
        <w:t>2.立项程序规范性</w:t>
      </w:r>
      <w:bookmarkEnd w:id="111"/>
      <w:bookmarkEnd w:id="112"/>
    </w:p>
    <w:p w14:paraId="4437F2B8">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①项目按照规定的程序申请设立；</w:t>
      </w:r>
    </w:p>
    <w:p w14:paraId="767B16C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②审批文件、材料符合相关要求；</w:t>
      </w:r>
    </w:p>
    <w:p w14:paraId="54F2D6F2">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③事前没有进行可行性研究、专家论证、风险评估，扣</w:t>
      </w:r>
      <w:r>
        <w:rPr>
          <w:rFonts w:hint="eastAsia" w:ascii="仿宋_GB2312" w:hAnsi="仿宋_GB2312" w:eastAsia="仿宋_GB2312" w:cs="仿宋_GB2312"/>
          <w:color w:val="auto"/>
          <w:sz w:val="32"/>
          <w:szCs w:val="32"/>
          <w:highlight w:val="none"/>
          <w:lang w:val="en-US" w:eastAsia="zh-CN"/>
        </w:rPr>
        <w:t>1分。</w:t>
      </w:r>
    </w:p>
    <w:p w14:paraId="5997C79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综上，该项指标满分3分，得分2分。</w:t>
      </w:r>
    </w:p>
    <w:p w14:paraId="28BD80F3">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13" w:name="_Toc15382"/>
      <w:bookmarkStart w:id="114" w:name="_Toc23542"/>
      <w:r>
        <w:rPr>
          <w:rFonts w:hint="eastAsia" w:ascii="仿宋_GB2312" w:hAnsi="仿宋_GB2312" w:eastAsia="仿宋_GB2312" w:cs="仿宋_GB2312"/>
          <w:b/>
          <w:bCs/>
          <w:color w:val="auto"/>
          <w:sz w:val="32"/>
          <w:szCs w:val="32"/>
          <w:highlight w:val="none"/>
          <w:lang w:val="en-US" w:eastAsia="zh-CN"/>
        </w:rPr>
        <w:t>3.绩效目标合理性</w:t>
      </w:r>
      <w:bookmarkEnd w:id="113"/>
      <w:bookmarkEnd w:id="114"/>
    </w:p>
    <w:p w14:paraId="58940D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①该项目已设置年度绩效目标。</w:t>
      </w:r>
    </w:p>
    <w:p w14:paraId="194251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该项目实际工作内容为：支持3家服务型农民专业合作社完成粮食（小麦、玉米）“耕”“种”“防”“收”全程托管农业生产社会化服务面积5.5万亩；扶持我市区级以上农民合作社4家、县级以上家庭农场7家，用于农业机械购买及圈舍改造。绩效目标与实际工作内容一致，两者具有相关性。</w:t>
      </w:r>
    </w:p>
    <w:p w14:paraId="498D42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该项目按照绩效目标完成数量指标、质量指标、时效指标、满意度指标，完成了农业生产社会化服务面积5.5万亩，达到增强农民合作社示范社和示范家庭农场发展水平和带动能力效益，预期产出效益和效果符合正常的业绩水平。</w:t>
      </w:r>
    </w:p>
    <w:p w14:paraId="1CC57E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④《项目支出绩效目标表》中预算金额为</w:t>
      </w:r>
      <w:r>
        <w:rPr>
          <w:rFonts w:hint="eastAsia" w:ascii="仿宋_GB2312" w:hAnsi="仿宋_GB2312" w:eastAsia="仿宋_GB2312" w:cs="仿宋_GB2312"/>
          <w:color w:val="auto"/>
          <w:sz w:val="32"/>
          <w:szCs w:val="32"/>
          <w:highlight w:val="none"/>
          <w:lang w:val="en-US" w:eastAsia="zh-CN"/>
        </w:rPr>
        <w:t>421.99</w:t>
      </w:r>
      <w:r>
        <w:rPr>
          <w:rFonts w:hint="eastAsia" w:ascii="仿宋_GB2312" w:hAnsi="仿宋_GB2312" w:eastAsia="仿宋_GB2312" w:cs="仿宋_GB2312"/>
          <w:color w:val="auto"/>
          <w:sz w:val="32"/>
          <w:szCs w:val="32"/>
          <w:highlight w:val="none"/>
          <w:lang w:eastAsia="zh-CN"/>
        </w:rPr>
        <w:t>万元，预算确定的项目资金与预算确定的项目投资额相匹配。</w:t>
      </w:r>
    </w:p>
    <w:p w14:paraId="030D250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综上，该项指标满分5分，得分5分。</w:t>
      </w:r>
    </w:p>
    <w:p w14:paraId="04408554">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15" w:name="_Toc10650"/>
      <w:bookmarkStart w:id="116" w:name="_Toc18198"/>
      <w:r>
        <w:rPr>
          <w:rFonts w:hint="eastAsia" w:ascii="仿宋_GB2312" w:hAnsi="仿宋_GB2312" w:eastAsia="仿宋_GB2312" w:cs="仿宋_GB2312"/>
          <w:b/>
          <w:bCs/>
          <w:color w:val="auto"/>
          <w:sz w:val="32"/>
          <w:szCs w:val="32"/>
          <w:highlight w:val="none"/>
          <w:lang w:val="en-US" w:eastAsia="zh-CN"/>
        </w:rPr>
        <w:t>4.绩效指标明确性</w:t>
      </w:r>
      <w:bookmarkEnd w:id="115"/>
      <w:bookmarkEnd w:id="116"/>
    </w:p>
    <w:p w14:paraId="262887E6">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①将项目绩效目标细化分解为具体的绩效指标，</w:t>
      </w:r>
      <w:r>
        <w:rPr>
          <w:rFonts w:hint="eastAsia" w:ascii="仿宋_GB2312" w:hAnsi="仿宋_GB2312" w:eastAsia="仿宋_GB2312" w:cs="仿宋_GB2312"/>
          <w:color w:val="auto"/>
          <w:sz w:val="32"/>
          <w:szCs w:val="32"/>
          <w:highlight w:val="none"/>
          <w:lang w:val="en-US" w:eastAsia="zh-CN"/>
        </w:rPr>
        <w:t>其中三级指标共计7个</w:t>
      </w:r>
      <w:r>
        <w:rPr>
          <w:rFonts w:hint="eastAsia" w:ascii="仿宋_GB2312" w:hAnsi="仿宋_GB2312" w:eastAsia="仿宋_GB2312" w:cs="仿宋_GB2312"/>
          <w:color w:val="auto"/>
          <w:sz w:val="32"/>
          <w:szCs w:val="32"/>
          <w:highlight w:val="none"/>
          <w:lang w:eastAsia="zh-CN"/>
        </w:rPr>
        <w:t>；</w:t>
      </w:r>
    </w:p>
    <w:p w14:paraId="6E34D403">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②通过清晰、可衡量的指标值予以体现，</w:t>
      </w:r>
      <w:r>
        <w:rPr>
          <w:rFonts w:hint="eastAsia" w:ascii="仿宋_GB2312" w:hAnsi="仿宋_GB2312" w:eastAsia="仿宋_GB2312" w:cs="仿宋_GB2312"/>
          <w:color w:val="auto"/>
          <w:sz w:val="32"/>
          <w:szCs w:val="32"/>
          <w:highlight w:val="none"/>
          <w:lang w:val="en-US" w:eastAsia="zh-CN"/>
        </w:rPr>
        <w:t>量化率达到85.71%</w:t>
      </w:r>
      <w:r>
        <w:rPr>
          <w:rFonts w:hint="eastAsia" w:ascii="仿宋_GB2312" w:hAnsi="仿宋_GB2312" w:eastAsia="仿宋_GB2312" w:cs="仿宋_GB2312"/>
          <w:color w:val="auto"/>
          <w:sz w:val="32"/>
          <w:szCs w:val="32"/>
          <w:highlight w:val="none"/>
          <w:lang w:eastAsia="zh-CN"/>
        </w:rPr>
        <w:t>；</w:t>
      </w:r>
    </w:p>
    <w:p w14:paraId="63658DB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③《项目绩效目标申报表》中，三级指标的年度指标值与年度绩效目标中任务数一致。</w:t>
      </w:r>
    </w:p>
    <w:p w14:paraId="1CD74B06">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已设置的绩效目标具备明确性、可衡量性、可实现性、相关性、时限性。</w:t>
      </w:r>
    </w:p>
    <w:p w14:paraId="737124D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综上，该项指标满分5分，得分5分。</w:t>
      </w:r>
    </w:p>
    <w:p w14:paraId="50D43F8C">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17" w:name="_Toc19401"/>
      <w:bookmarkStart w:id="118" w:name="_Toc8296"/>
      <w:r>
        <w:rPr>
          <w:rFonts w:hint="eastAsia" w:ascii="仿宋_GB2312" w:hAnsi="仿宋_GB2312" w:eastAsia="仿宋_GB2312" w:cs="仿宋_GB2312"/>
          <w:b/>
          <w:bCs/>
          <w:color w:val="auto"/>
          <w:sz w:val="32"/>
          <w:szCs w:val="32"/>
          <w:highlight w:val="none"/>
          <w:lang w:val="en-US" w:eastAsia="zh-CN"/>
        </w:rPr>
        <w:t>5.预算编制科学性</w:t>
      </w:r>
      <w:bookmarkEnd w:id="117"/>
      <w:bookmarkEnd w:id="118"/>
    </w:p>
    <w:p w14:paraId="425D618F">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w:t>
      </w:r>
      <w:r>
        <w:rPr>
          <w:rFonts w:hint="eastAsia" w:ascii="仿宋_GB2312" w:hAnsi="仿宋_GB2312" w:eastAsia="仿宋_GB2312" w:cs="仿宋_GB2312"/>
          <w:color w:val="auto"/>
          <w:sz w:val="32"/>
          <w:szCs w:val="32"/>
          <w:highlight w:val="none"/>
          <w:lang w:val="en-US" w:eastAsia="zh-CN"/>
        </w:rPr>
        <w:t>根据项目预算批复，项目的</w:t>
      </w:r>
      <w:r>
        <w:rPr>
          <w:rFonts w:hint="eastAsia" w:ascii="仿宋_GB2312" w:hAnsi="仿宋_GB2312" w:eastAsia="仿宋_GB2312" w:cs="仿宋_GB2312"/>
          <w:color w:val="auto"/>
          <w:sz w:val="32"/>
          <w:szCs w:val="32"/>
          <w:highlight w:val="none"/>
          <w:lang w:eastAsia="zh-CN"/>
        </w:rPr>
        <w:t>预算编制经过科学论证；</w:t>
      </w:r>
    </w:p>
    <w:p w14:paraId="40C94506">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②</w:t>
      </w:r>
      <w:r>
        <w:rPr>
          <w:rFonts w:hint="eastAsia" w:ascii="仿宋_GB2312" w:hAnsi="仿宋_GB2312" w:eastAsia="仿宋_GB2312" w:cs="仿宋_GB2312"/>
          <w:color w:val="auto"/>
          <w:sz w:val="32"/>
          <w:szCs w:val="32"/>
          <w:highlight w:val="none"/>
          <w:lang w:eastAsia="zh-CN"/>
        </w:rPr>
        <w:t>预算申请内容为支持服务型农民专业合作社完成粮食（小麦、玉米）“耕”“种”“防”“收”全程托管农业生产社会化服务面积5.5万亩；扶持我市区级以上农民合作社4家、县级以上家庭农场7家，项目实际内容为支持</w:t>
      </w:r>
      <w:r>
        <w:rPr>
          <w:rFonts w:hint="eastAsia" w:ascii="仿宋_GB2312" w:hAnsi="仿宋_GB2312" w:eastAsia="仿宋_GB2312" w:cs="仿宋_GB2312"/>
          <w:color w:val="auto"/>
          <w:sz w:val="32"/>
          <w:szCs w:val="32"/>
          <w:highlight w:val="none"/>
          <w:lang w:val="en-US" w:eastAsia="zh-CN"/>
        </w:rPr>
        <w:t>3家</w:t>
      </w:r>
      <w:r>
        <w:rPr>
          <w:rFonts w:hint="eastAsia" w:ascii="仿宋_GB2312" w:hAnsi="仿宋_GB2312" w:eastAsia="仿宋_GB2312" w:cs="仿宋_GB2312"/>
          <w:color w:val="auto"/>
          <w:sz w:val="32"/>
          <w:szCs w:val="32"/>
          <w:highlight w:val="none"/>
          <w:lang w:eastAsia="zh-CN"/>
        </w:rPr>
        <w:t>服务型农民专业合作社完成粮食（小麦、玉米）“耕”“种”“防”“收”全程托管农业生产社会化服务面积5.5万亩；扶持我市区级以上农民合作社4家、县级以上家庭农场7家，预算申请与项目内容匹配；</w:t>
      </w:r>
    </w:p>
    <w:p w14:paraId="63525413">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③</w:t>
      </w:r>
      <w:r>
        <w:rPr>
          <w:rFonts w:hint="eastAsia" w:ascii="仿宋_GB2312" w:hAnsi="仿宋_GB2312" w:eastAsia="仿宋_GB2312" w:cs="仿宋_GB2312"/>
          <w:color w:val="auto"/>
          <w:sz w:val="32"/>
          <w:szCs w:val="32"/>
          <w:highlight w:val="none"/>
          <w:lang w:eastAsia="zh-CN"/>
        </w:rPr>
        <w:t>项目预算申请资金</w:t>
      </w:r>
      <w:r>
        <w:rPr>
          <w:rFonts w:hint="eastAsia" w:ascii="仿宋_GB2312" w:hAnsi="仿宋_GB2312" w:eastAsia="仿宋_GB2312" w:cs="仿宋_GB2312"/>
          <w:color w:val="auto"/>
          <w:sz w:val="32"/>
          <w:szCs w:val="32"/>
          <w:highlight w:val="none"/>
          <w:lang w:val="en-US" w:eastAsia="zh-CN"/>
        </w:rPr>
        <w:t>421.99万</w:t>
      </w:r>
      <w:r>
        <w:rPr>
          <w:rFonts w:hint="eastAsia" w:ascii="仿宋_GB2312" w:hAnsi="仿宋_GB2312" w:eastAsia="仿宋_GB2312" w:cs="仿宋_GB2312"/>
          <w:color w:val="auto"/>
          <w:sz w:val="32"/>
          <w:szCs w:val="32"/>
          <w:highlight w:val="none"/>
          <w:lang w:eastAsia="zh-CN"/>
        </w:rPr>
        <w:t>元，我单位在预算申请中严格按照项目实施内容及测算标准进行核算，其中：农业生产社会化服务费用</w:t>
      </w:r>
      <w:r>
        <w:rPr>
          <w:rFonts w:hint="eastAsia" w:ascii="仿宋_GB2312" w:hAnsi="仿宋_GB2312" w:eastAsia="仿宋_GB2312" w:cs="仿宋_GB2312"/>
          <w:color w:val="auto"/>
          <w:sz w:val="32"/>
          <w:szCs w:val="32"/>
          <w:highlight w:val="none"/>
          <w:lang w:val="en-US" w:eastAsia="zh-CN"/>
        </w:rPr>
        <w:t>299.99</w:t>
      </w:r>
      <w:r>
        <w:rPr>
          <w:rFonts w:hint="eastAsia" w:ascii="仿宋_GB2312" w:hAnsi="仿宋_GB2312" w:eastAsia="仿宋_GB2312" w:cs="仿宋_GB2312"/>
          <w:color w:val="auto"/>
          <w:sz w:val="32"/>
          <w:szCs w:val="32"/>
          <w:highlight w:val="none"/>
          <w:lang w:eastAsia="zh-CN"/>
        </w:rPr>
        <w:t>万元、扶持我市区级以上农民合作社4家、县级以上家庭农场7家费用</w:t>
      </w:r>
      <w:r>
        <w:rPr>
          <w:rFonts w:hint="eastAsia" w:ascii="仿宋_GB2312" w:hAnsi="仿宋_GB2312" w:eastAsia="仿宋_GB2312" w:cs="仿宋_GB2312"/>
          <w:color w:val="auto"/>
          <w:sz w:val="32"/>
          <w:szCs w:val="32"/>
          <w:highlight w:val="none"/>
          <w:lang w:val="en-US" w:eastAsia="zh-CN"/>
        </w:rPr>
        <w:t>122</w:t>
      </w:r>
      <w:r>
        <w:rPr>
          <w:rFonts w:hint="eastAsia" w:ascii="仿宋_GB2312" w:hAnsi="仿宋_GB2312" w:eastAsia="仿宋_GB2312" w:cs="仿宋_GB2312"/>
          <w:color w:val="auto"/>
          <w:sz w:val="32"/>
          <w:szCs w:val="32"/>
          <w:highlight w:val="none"/>
          <w:lang w:eastAsia="zh-CN"/>
        </w:rPr>
        <w:t>万元。</w:t>
      </w:r>
    </w:p>
    <w:p w14:paraId="0F6CBF3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④</w:t>
      </w:r>
      <w:r>
        <w:rPr>
          <w:rFonts w:hint="eastAsia" w:ascii="仿宋_GB2312" w:hAnsi="仿宋_GB2312" w:eastAsia="仿宋_GB2312" w:cs="仿宋_GB2312"/>
          <w:color w:val="auto"/>
          <w:sz w:val="32"/>
          <w:szCs w:val="32"/>
          <w:highlight w:val="none"/>
          <w:lang w:eastAsia="zh-CN"/>
        </w:rPr>
        <w:t>预算确定资金量与实际工作任务相匹配。项目预算额度测算依据充分，严格按照标准编制，项目资金量与</w:t>
      </w:r>
      <w:r>
        <w:rPr>
          <w:rFonts w:hint="eastAsia" w:ascii="仿宋_GB2312" w:hAnsi="仿宋_GB2312" w:eastAsia="仿宋_GB2312" w:cs="仿宋_GB2312"/>
          <w:color w:val="auto"/>
          <w:sz w:val="32"/>
          <w:szCs w:val="32"/>
          <w:highlight w:val="none"/>
          <w:lang w:val="en-US" w:eastAsia="zh-CN"/>
        </w:rPr>
        <w:t>项目实施内容</w:t>
      </w:r>
      <w:r>
        <w:rPr>
          <w:rFonts w:hint="eastAsia" w:ascii="仿宋_GB2312" w:hAnsi="仿宋_GB2312" w:eastAsia="仿宋_GB2312" w:cs="仿宋_GB2312"/>
          <w:color w:val="auto"/>
          <w:sz w:val="32"/>
          <w:szCs w:val="32"/>
          <w:highlight w:val="none"/>
          <w:lang w:eastAsia="zh-CN"/>
        </w:rPr>
        <w:t>相匹配。</w:t>
      </w:r>
    </w:p>
    <w:p w14:paraId="4015F21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综上，该项指标满分2分，得分2分。</w:t>
      </w:r>
    </w:p>
    <w:p w14:paraId="04DEE1CE">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19" w:name="_Toc20556"/>
      <w:bookmarkStart w:id="120" w:name="_Toc697"/>
      <w:r>
        <w:rPr>
          <w:rFonts w:hint="eastAsia" w:ascii="仿宋_GB2312" w:hAnsi="仿宋_GB2312" w:eastAsia="仿宋_GB2312" w:cs="仿宋_GB2312"/>
          <w:b/>
          <w:bCs/>
          <w:color w:val="auto"/>
          <w:sz w:val="32"/>
          <w:szCs w:val="32"/>
          <w:highlight w:val="none"/>
          <w:lang w:val="en-US" w:eastAsia="zh-CN"/>
        </w:rPr>
        <w:t>6.资金分配合理性</w:t>
      </w:r>
      <w:bookmarkEnd w:id="119"/>
      <w:bookmarkEnd w:id="120"/>
    </w:p>
    <w:p w14:paraId="781EF936">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①项目实际分配资金以小农户实际接受社会化服务粮食作物面积及新型农业经营主体类型</w:t>
      </w:r>
      <w:r>
        <w:rPr>
          <w:rFonts w:hint="eastAsia" w:ascii="仿宋_GB2312" w:hAnsi="仿宋_GB2312" w:eastAsia="仿宋_GB2312" w:cs="仿宋_GB2312"/>
          <w:color w:val="auto"/>
          <w:sz w:val="32"/>
          <w:szCs w:val="32"/>
          <w:highlight w:val="none"/>
          <w:lang w:eastAsia="zh-Hans"/>
        </w:rPr>
        <w:t>为依据进行资金分配，预算资金分配依据充分</w:t>
      </w:r>
      <w:r>
        <w:rPr>
          <w:rFonts w:hint="eastAsia" w:ascii="仿宋_GB2312" w:hAnsi="仿宋_GB2312" w:eastAsia="仿宋_GB2312" w:cs="仿宋_GB2312"/>
          <w:color w:val="auto"/>
          <w:sz w:val="32"/>
          <w:szCs w:val="32"/>
          <w:highlight w:val="none"/>
          <w:lang w:eastAsia="zh-CN"/>
        </w:rPr>
        <w:t>。</w:t>
      </w:r>
    </w:p>
    <w:p w14:paraId="18C386CC">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②项目实际到位资金</w:t>
      </w:r>
      <w:r>
        <w:rPr>
          <w:rFonts w:hint="eastAsia" w:ascii="仿宋_GB2312" w:hAnsi="仿宋_GB2312" w:eastAsia="仿宋_GB2312" w:cs="仿宋_GB2312"/>
          <w:color w:val="auto"/>
          <w:sz w:val="32"/>
          <w:szCs w:val="32"/>
          <w:highlight w:val="none"/>
          <w:lang w:val="en-US" w:eastAsia="zh-CN"/>
        </w:rPr>
        <w:t>421.99</w:t>
      </w:r>
      <w:r>
        <w:rPr>
          <w:rFonts w:hint="eastAsia" w:ascii="仿宋_GB2312" w:hAnsi="仿宋_GB2312" w:eastAsia="仿宋_GB2312" w:cs="仿宋_GB2312"/>
          <w:color w:val="auto"/>
          <w:sz w:val="32"/>
          <w:szCs w:val="32"/>
          <w:highlight w:val="none"/>
          <w:lang w:eastAsia="zh-CN"/>
        </w:rPr>
        <w:t>万元，资金分配额度合理，与项目单位</w:t>
      </w:r>
      <w:r>
        <w:rPr>
          <w:rFonts w:hint="eastAsia" w:ascii="仿宋_GB2312" w:hAnsi="仿宋_GB2312" w:eastAsia="仿宋_GB2312" w:cs="仿宋_GB2312"/>
          <w:color w:val="auto"/>
          <w:sz w:val="32"/>
          <w:szCs w:val="32"/>
          <w:highlight w:val="none"/>
          <w:lang w:val="en-US" w:eastAsia="zh-CN"/>
        </w:rPr>
        <w:t>及项目实际实施情况相</w:t>
      </w:r>
      <w:r>
        <w:rPr>
          <w:rFonts w:hint="eastAsia" w:ascii="仿宋_GB2312" w:hAnsi="仿宋_GB2312" w:eastAsia="仿宋_GB2312" w:cs="仿宋_GB2312"/>
          <w:color w:val="auto"/>
          <w:sz w:val="32"/>
          <w:szCs w:val="32"/>
          <w:highlight w:val="none"/>
          <w:lang w:eastAsia="zh-CN"/>
        </w:rPr>
        <w:t>适应。</w:t>
      </w:r>
    </w:p>
    <w:p w14:paraId="683C57FD">
      <w:pPr>
        <w:pageBreakBefore w:val="0"/>
        <w:kinsoku/>
        <w:wordWrap/>
        <w:overflowPunct/>
        <w:topLinePunct w:val="0"/>
        <w:autoSpaceDE/>
        <w:autoSpaceDN/>
        <w:bidi w:val="0"/>
        <w:spacing w:line="560" w:lineRule="exact"/>
        <w:textAlignment w:val="auto"/>
        <w:rPr>
          <w:rFonts w:hint="eastAsia"/>
          <w:color w:val="auto"/>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综上，该项指标满分3分，得分3分。</w:t>
      </w:r>
    </w:p>
    <w:p w14:paraId="50155C4C">
      <w:pPr>
        <w:pStyle w:val="14"/>
        <w:widowControl/>
        <w:numPr>
          <w:ilvl w:val="0"/>
          <w:numId w:val="0"/>
        </w:numPr>
        <w:spacing w:before="0" w:beforeLines="-2147483648" w:after="0" w:afterLines="-2147483648" w:line="560" w:lineRule="exact"/>
        <w:ind w:firstLine="643" w:firstLineChars="200"/>
        <w:jc w:val="both"/>
        <w:rPr>
          <w:rFonts w:hint="eastAsia" w:ascii="Times New Roman" w:hAnsi="Times New Roman" w:eastAsia="楷体" w:cs="Times New Roman"/>
          <w:color w:val="auto"/>
          <w:kern w:val="28"/>
          <w:sz w:val="32"/>
          <w:highlight w:val="none"/>
        </w:rPr>
      </w:pPr>
      <w:bookmarkStart w:id="121" w:name="_Toc10564"/>
      <w:r>
        <w:rPr>
          <w:rFonts w:hint="eastAsia" w:ascii="Times New Roman" w:hAnsi="Times New Roman" w:eastAsia="楷体" w:cs="Times New Roman"/>
          <w:color w:val="auto"/>
          <w:kern w:val="28"/>
          <w:sz w:val="32"/>
          <w:highlight w:val="none"/>
          <w:lang w:eastAsia="zh-CN"/>
        </w:rPr>
        <w:t>（</w:t>
      </w:r>
      <w:r>
        <w:rPr>
          <w:rFonts w:hint="eastAsia" w:ascii="Times New Roman" w:hAnsi="Times New Roman" w:eastAsia="楷体" w:cs="Times New Roman"/>
          <w:color w:val="auto"/>
          <w:kern w:val="28"/>
          <w:sz w:val="32"/>
          <w:highlight w:val="none"/>
          <w:lang w:val="en-US" w:eastAsia="zh-CN"/>
        </w:rPr>
        <w:t>二</w:t>
      </w:r>
      <w:r>
        <w:rPr>
          <w:rFonts w:hint="eastAsia" w:ascii="Times New Roman" w:hAnsi="Times New Roman" w:eastAsia="楷体" w:cs="Times New Roman"/>
          <w:color w:val="auto"/>
          <w:kern w:val="28"/>
          <w:sz w:val="32"/>
          <w:highlight w:val="none"/>
          <w:lang w:eastAsia="zh-CN"/>
        </w:rPr>
        <w:t>）</w:t>
      </w:r>
      <w:r>
        <w:rPr>
          <w:rFonts w:hint="eastAsia" w:ascii="Times New Roman" w:hAnsi="Times New Roman" w:eastAsia="楷体" w:cs="Times New Roman"/>
          <w:color w:val="auto"/>
          <w:kern w:val="28"/>
          <w:sz w:val="32"/>
          <w:highlight w:val="none"/>
        </w:rPr>
        <w:t>项目过程情况</w:t>
      </w:r>
      <w:bookmarkEnd w:id="121"/>
    </w:p>
    <w:p w14:paraId="538990C4">
      <w:pPr>
        <w:pageBreakBefore w:val="0"/>
        <w:widowControl w:val="0"/>
        <w:kinsoku/>
        <w:wordWrap/>
        <w:overflowPunct/>
        <w:topLinePunct w:val="0"/>
        <w:autoSpaceDE/>
        <w:autoSpaceDN/>
        <w:bidi w:val="0"/>
        <w:adjustRightInd/>
        <w:spacing w:line="560" w:lineRule="exact"/>
        <w:ind w:firstLine="560"/>
        <w:textAlignment w:val="auto"/>
        <w:rPr>
          <w:rFonts w:hint="eastAsia" w:ascii="仿宋_GB2312" w:hAnsi="仿宋_GB2312" w:eastAsia="仿宋_GB2312" w:cs="仿宋_GB2312"/>
          <w:color w:val="auto"/>
          <w:kern w:val="2"/>
          <w:sz w:val="32"/>
          <w:szCs w:val="32"/>
          <w:highlight w:val="none"/>
          <w:u w:color="000000"/>
          <w:shd w:val="clear" w:color="auto" w:fill="auto"/>
          <w:lang w:val="zh-TW" w:eastAsia="zh-TW"/>
        </w:rPr>
      </w:pPr>
      <w:r>
        <w:rPr>
          <w:rFonts w:hint="eastAsia" w:ascii="仿宋_GB2312" w:hAnsi="仿宋_GB2312" w:eastAsia="仿宋_GB2312" w:cs="仿宋_GB2312"/>
          <w:color w:val="auto"/>
          <w:kern w:val="2"/>
          <w:sz w:val="32"/>
          <w:szCs w:val="32"/>
          <w:highlight w:val="none"/>
          <w:u w:color="000000"/>
          <w:shd w:val="clear" w:color="auto" w:fill="auto"/>
          <w:lang w:val="zh-TW" w:eastAsia="zh-TW"/>
        </w:rPr>
        <w:t>项目</w:t>
      </w:r>
      <w:r>
        <w:rPr>
          <w:rFonts w:hint="eastAsia" w:ascii="仿宋_GB2312" w:hAnsi="仿宋_GB2312" w:eastAsia="仿宋_GB2312" w:cs="仿宋_GB2312"/>
          <w:color w:val="auto"/>
          <w:sz w:val="32"/>
          <w:szCs w:val="32"/>
          <w:highlight w:val="none"/>
          <w:shd w:val="clear" w:color="auto" w:fill="auto"/>
        </w:rPr>
        <w:t>过程</w:t>
      </w:r>
      <w:r>
        <w:rPr>
          <w:rFonts w:hint="eastAsia" w:ascii="仿宋_GB2312" w:hAnsi="仿宋_GB2312" w:eastAsia="仿宋_GB2312" w:cs="仿宋_GB2312"/>
          <w:color w:val="auto"/>
          <w:kern w:val="2"/>
          <w:sz w:val="32"/>
          <w:szCs w:val="32"/>
          <w:highlight w:val="none"/>
          <w:u w:color="000000"/>
          <w:shd w:val="clear" w:color="auto" w:fill="auto"/>
          <w:lang w:eastAsia="zh-CN"/>
        </w:rPr>
        <w:t>管理</w:t>
      </w:r>
      <w:r>
        <w:rPr>
          <w:rFonts w:hint="eastAsia" w:ascii="仿宋_GB2312" w:hAnsi="仿宋_GB2312" w:eastAsia="仿宋_GB2312" w:cs="仿宋_GB2312"/>
          <w:color w:val="auto"/>
          <w:kern w:val="2"/>
          <w:sz w:val="32"/>
          <w:szCs w:val="32"/>
          <w:highlight w:val="none"/>
          <w:u w:color="000000"/>
          <w:shd w:val="clear" w:color="auto" w:fill="auto"/>
          <w:lang w:val="zh-TW" w:eastAsia="zh-TW"/>
        </w:rPr>
        <w:t>类指标由</w:t>
      </w:r>
      <w:r>
        <w:rPr>
          <w:rFonts w:hint="eastAsia" w:ascii="仿宋_GB2312" w:hAnsi="仿宋_GB2312" w:eastAsia="仿宋_GB2312" w:cs="仿宋_GB2312"/>
          <w:color w:val="auto"/>
          <w:kern w:val="2"/>
          <w:sz w:val="32"/>
          <w:szCs w:val="32"/>
          <w:highlight w:val="none"/>
          <w:u w:color="000000"/>
          <w:shd w:val="clear" w:color="auto" w:fill="auto"/>
          <w:lang w:eastAsia="zh-CN"/>
        </w:rPr>
        <w:t>2</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val="zh-TW" w:eastAsia="zh-CN"/>
        </w:rPr>
        <w:t>二</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级指标和</w:t>
      </w:r>
      <w:r>
        <w:rPr>
          <w:rFonts w:hint="eastAsia" w:ascii="仿宋_GB2312" w:hAnsi="仿宋_GB2312" w:eastAsia="仿宋_GB2312" w:cs="仿宋_GB2312"/>
          <w:color w:val="auto"/>
          <w:kern w:val="2"/>
          <w:sz w:val="32"/>
          <w:szCs w:val="32"/>
          <w:highlight w:val="none"/>
          <w:u w:color="000000"/>
          <w:shd w:val="clear" w:color="auto" w:fill="auto"/>
          <w:lang w:val="en-US" w:eastAsia="zh-CN"/>
        </w:rPr>
        <w:t>5</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eastAsia="zh-CN"/>
        </w:rPr>
        <w:t>三</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级指标构成，权重分</w:t>
      </w:r>
      <w:r>
        <w:rPr>
          <w:rFonts w:hint="eastAsia" w:ascii="仿宋_GB2312" w:hAnsi="仿宋_GB2312" w:eastAsia="仿宋_GB2312" w:cs="仿宋_GB2312"/>
          <w:color w:val="auto"/>
          <w:kern w:val="2"/>
          <w:sz w:val="32"/>
          <w:szCs w:val="32"/>
          <w:highlight w:val="none"/>
          <w:u w:color="000000"/>
          <w:shd w:val="clear" w:color="auto" w:fill="auto"/>
          <w:lang w:val="en-US" w:eastAsia="zh-CN"/>
        </w:rPr>
        <w:t>20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分，实际得分</w:t>
      </w:r>
      <w:r>
        <w:rPr>
          <w:rFonts w:hint="eastAsia" w:ascii="仿宋_GB2312" w:hAnsi="仿宋_GB2312" w:eastAsia="仿宋_GB2312" w:cs="仿宋_GB2312"/>
          <w:color w:val="auto"/>
          <w:kern w:val="2"/>
          <w:sz w:val="32"/>
          <w:szCs w:val="32"/>
          <w:highlight w:val="none"/>
          <w:u w:color="000000"/>
          <w:shd w:val="clear" w:color="auto" w:fill="auto"/>
          <w:lang w:val="en-US" w:eastAsia="zh-CN"/>
        </w:rPr>
        <w:t>20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w:t>
      </w:r>
      <w:r>
        <w:rPr>
          <w:rFonts w:hint="eastAsia" w:ascii="仿宋_GB2312" w:hAnsi="仿宋_GB2312" w:eastAsia="仿宋_GB2312" w:cs="仿宋_GB2312"/>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eastAsia="zh-CN"/>
        </w:rPr>
        <w:t>-2</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详见上传的附件二</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w:t>
      </w:r>
    </w:p>
    <w:p w14:paraId="368A076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zh-TW" w:eastAsia="zh-TW"/>
        </w:rPr>
        <w:t>表</w:t>
      </w:r>
      <w:r>
        <w:rPr>
          <w:rFonts w:hint="eastAsia" w:ascii="宋体" w:hAnsi="宋体" w:eastAsia="宋体" w:cs="宋体"/>
          <w:b/>
          <w:bCs/>
          <w:color w:val="auto"/>
          <w:kern w:val="0"/>
          <w:sz w:val="28"/>
          <w:szCs w:val="28"/>
          <w:highlight w:val="none"/>
          <w:shd w:val="clear" w:color="auto" w:fill="auto"/>
          <w:lang w:val="en-US" w:eastAsia="zh-CN"/>
        </w:rPr>
        <w:t>4-2</w:t>
      </w:r>
      <w:r>
        <w:rPr>
          <w:rFonts w:hint="eastAsia" w:ascii="宋体" w:hAnsi="宋体" w:eastAsia="宋体" w:cs="宋体"/>
          <w:b/>
          <w:bCs/>
          <w:color w:val="auto"/>
          <w:kern w:val="0"/>
          <w:sz w:val="28"/>
          <w:szCs w:val="28"/>
          <w:highlight w:val="none"/>
          <w:shd w:val="clear" w:color="auto" w:fill="auto"/>
          <w:lang w:val="zh-TW" w:eastAsia="zh-TW"/>
        </w:rPr>
        <w:t>项目</w:t>
      </w:r>
      <w:r>
        <w:rPr>
          <w:rFonts w:hint="eastAsia" w:cs="宋体"/>
          <w:b/>
          <w:bCs/>
          <w:color w:val="auto"/>
          <w:kern w:val="0"/>
          <w:sz w:val="28"/>
          <w:szCs w:val="28"/>
          <w:highlight w:val="none"/>
          <w:shd w:val="clear" w:color="auto" w:fill="auto"/>
          <w:lang w:val="en-US" w:eastAsia="zh-CN"/>
        </w:rPr>
        <w:t>过程</w:t>
      </w:r>
      <w:r>
        <w:rPr>
          <w:rFonts w:hint="eastAsia" w:ascii="宋体" w:hAnsi="宋体" w:eastAsia="宋体" w:cs="宋体"/>
          <w:b/>
          <w:bCs/>
          <w:color w:val="auto"/>
          <w:kern w:val="0"/>
          <w:sz w:val="28"/>
          <w:szCs w:val="28"/>
          <w:highlight w:val="none"/>
          <w:shd w:val="clear" w:color="auto" w:fill="auto"/>
          <w:lang w:val="zh-TW" w:eastAsia="zh-TW"/>
        </w:rPr>
        <w:t>指标及分值</w:t>
      </w:r>
      <w:r>
        <w:rPr>
          <w:rFonts w:hint="eastAsia" w:ascii="宋体" w:hAnsi="宋体" w:eastAsia="宋体" w:cs="宋体"/>
          <w:b/>
          <w:bCs/>
          <w:color w:val="auto"/>
          <w:kern w:val="0"/>
          <w:sz w:val="28"/>
          <w:szCs w:val="28"/>
          <w:highlight w:val="none"/>
          <w:shd w:val="clear" w:color="auto" w:fill="auto"/>
          <w:lang w:val="en-US" w:eastAsia="zh-CN"/>
        </w:rPr>
        <w:t>情况</w:t>
      </w:r>
    </w:p>
    <w:tbl>
      <w:tblPr>
        <w:tblStyle w:val="16"/>
        <w:tblW w:w="8317" w:type="dxa"/>
        <w:jc w:val="center"/>
        <w:tblLayout w:type="fixed"/>
        <w:tblCellMar>
          <w:top w:w="0" w:type="dxa"/>
          <w:left w:w="0" w:type="dxa"/>
          <w:bottom w:w="0" w:type="dxa"/>
          <w:right w:w="0" w:type="dxa"/>
        </w:tblCellMar>
      </w:tblPr>
      <w:tblGrid>
        <w:gridCol w:w="1182"/>
        <w:gridCol w:w="738"/>
        <w:gridCol w:w="1248"/>
        <w:gridCol w:w="1176"/>
        <w:gridCol w:w="1833"/>
        <w:gridCol w:w="987"/>
        <w:gridCol w:w="1153"/>
      </w:tblGrid>
      <w:tr w14:paraId="139AE5C3">
        <w:tblPrEx>
          <w:tblCellMar>
            <w:top w:w="0" w:type="dxa"/>
            <w:left w:w="0" w:type="dxa"/>
            <w:bottom w:w="0" w:type="dxa"/>
            <w:right w:w="0" w:type="dxa"/>
          </w:tblCellMar>
        </w:tblPrEx>
        <w:trPr>
          <w:trHeight w:val="272" w:hRule="atLeast"/>
          <w:tblHeade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61EBDB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一级指标</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3854DE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24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ED811A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11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4B1FC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3369BF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83459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20B9B6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得分</w:t>
            </w:r>
          </w:p>
        </w:tc>
      </w:tr>
      <w:tr w14:paraId="1CE8DA16">
        <w:tblPrEx>
          <w:tblCellMar>
            <w:top w:w="0" w:type="dxa"/>
            <w:left w:w="0" w:type="dxa"/>
            <w:bottom w:w="0" w:type="dxa"/>
            <w:right w:w="0" w:type="dxa"/>
          </w:tblCellMar>
        </w:tblPrEx>
        <w:trPr>
          <w:trHeight w:val="23" w:hRule="atLeast"/>
          <w:jc w:val="center"/>
        </w:trPr>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FEC7F0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过程管理</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638A69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8CE9C1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资金管理</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E9EC60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12</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C7C5D7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资金到位率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8923E9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84961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3B43B54E">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19D01B">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1FBE2FF">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DA9642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531B0F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BD907F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预算执行率</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C715AA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673267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1179F358">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F0A86B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2398C8">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C7C23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21F6B8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EDEF9F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资金使用合规性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3B76E7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6B69835">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420327C7">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454C514">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5E69B3">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5D312E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组织实施</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3B149E">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8</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4E0FA6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管理制度健全性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EFD0EF2">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8C5215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22EE0DE7">
        <w:tblPrEx>
          <w:tblCellMar>
            <w:top w:w="0" w:type="dxa"/>
            <w:left w:w="0" w:type="dxa"/>
            <w:bottom w:w="0" w:type="dxa"/>
            <w:right w:w="0" w:type="dxa"/>
          </w:tblCellMar>
        </w:tblPrEx>
        <w:trPr>
          <w:trHeight w:val="23" w:hRule="atLeast"/>
          <w:jc w:val="center"/>
        </w:trPr>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B66E5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BFCDBD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702C239">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F909F6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F0704C0">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制度执行有效性</w:t>
            </w: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0B66B6C">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EEFABE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w:t>
            </w:r>
          </w:p>
        </w:tc>
      </w:tr>
      <w:tr w14:paraId="7DFBF3F7">
        <w:tblPrEx>
          <w:tblCellMar>
            <w:top w:w="0" w:type="dxa"/>
            <w:left w:w="0" w:type="dxa"/>
            <w:bottom w:w="0" w:type="dxa"/>
            <w:right w:w="0" w:type="dxa"/>
          </w:tblCellMar>
        </w:tblPrEx>
        <w:trPr>
          <w:trHeight w:val="23" w:hRule="atLeast"/>
          <w:jc w:val="center"/>
        </w:trPr>
        <w:tc>
          <w:tcPr>
            <w:tcW w:w="3168"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07083CD">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合计</w:t>
            </w:r>
          </w:p>
        </w:tc>
        <w:tc>
          <w:tcPr>
            <w:tcW w:w="11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DDED22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8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DDF8157">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81384A1">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20</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58D2D5A">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w:t>
            </w:r>
          </w:p>
        </w:tc>
      </w:tr>
    </w:tbl>
    <w:p w14:paraId="537A6D46">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22" w:name="_Toc20449"/>
      <w:bookmarkStart w:id="123" w:name="_Toc3886"/>
      <w:r>
        <w:rPr>
          <w:rFonts w:hint="eastAsia" w:ascii="仿宋_GB2312" w:hAnsi="仿宋_GB2312" w:eastAsia="仿宋_GB2312" w:cs="仿宋_GB2312"/>
          <w:b/>
          <w:bCs/>
          <w:color w:val="auto"/>
          <w:sz w:val="32"/>
          <w:szCs w:val="32"/>
          <w:highlight w:val="none"/>
          <w:lang w:val="en-US" w:eastAsia="zh-CN"/>
        </w:rPr>
        <w:t>1.资金到位率</w:t>
      </w:r>
      <w:bookmarkEnd w:id="122"/>
      <w:bookmarkEnd w:id="123"/>
    </w:p>
    <w:p w14:paraId="4C03DE5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rPr>
        <w:t>项目预算资金为</w:t>
      </w:r>
      <w:r>
        <w:rPr>
          <w:rFonts w:hint="eastAsia" w:ascii="仿宋_GB2312" w:hAnsi="仿宋_GB2312" w:eastAsia="仿宋_GB2312" w:cs="仿宋_GB2312"/>
          <w:b w:val="0"/>
          <w:bCs w:val="0"/>
          <w:color w:val="auto"/>
          <w:sz w:val="32"/>
          <w:szCs w:val="32"/>
          <w:highlight w:val="none"/>
          <w:lang w:val="en-US" w:eastAsia="zh-CN"/>
        </w:rPr>
        <w:t>421.99</w:t>
      </w:r>
      <w:r>
        <w:rPr>
          <w:rFonts w:hint="eastAsia" w:ascii="仿宋_GB2312" w:hAnsi="仿宋_GB2312" w:eastAsia="仿宋_GB2312" w:cs="仿宋_GB2312"/>
          <w:b w:val="0"/>
          <w:bCs w:val="0"/>
          <w:color w:val="auto"/>
          <w:sz w:val="32"/>
          <w:szCs w:val="32"/>
          <w:highlight w:val="none"/>
        </w:rPr>
        <w:t>万元，其中：财政安排资金</w:t>
      </w:r>
      <w:r>
        <w:rPr>
          <w:rFonts w:hint="eastAsia" w:ascii="仿宋_GB2312" w:hAnsi="仿宋_GB2312" w:eastAsia="仿宋_GB2312" w:cs="仿宋_GB2312"/>
          <w:b w:val="0"/>
          <w:bCs w:val="0"/>
          <w:color w:val="auto"/>
          <w:sz w:val="32"/>
          <w:szCs w:val="32"/>
          <w:highlight w:val="none"/>
          <w:lang w:val="en-US" w:eastAsia="zh-CN"/>
        </w:rPr>
        <w:t>421.99</w:t>
      </w:r>
      <w:r>
        <w:rPr>
          <w:rFonts w:hint="eastAsia" w:ascii="仿宋_GB2312" w:hAnsi="仿宋_GB2312" w:eastAsia="仿宋_GB2312" w:cs="仿宋_GB2312"/>
          <w:b w:val="0"/>
          <w:bCs w:val="0"/>
          <w:color w:val="auto"/>
          <w:sz w:val="32"/>
          <w:szCs w:val="32"/>
          <w:highlight w:val="none"/>
        </w:rPr>
        <w:t>万元，其他资金</w:t>
      </w:r>
      <w:r>
        <w:rPr>
          <w:rFonts w:hint="eastAsia" w:ascii="仿宋_GB2312" w:hAnsi="仿宋_GB2312" w:eastAsia="仿宋_GB2312" w:cs="仿宋_GB2312"/>
          <w:b w:val="0"/>
          <w:bCs w:val="0"/>
          <w:color w:val="auto"/>
          <w:sz w:val="32"/>
          <w:szCs w:val="32"/>
          <w:highlight w:val="none"/>
          <w:lang w:val="en-US" w:eastAsia="zh-CN"/>
        </w:rPr>
        <w:t>0</w:t>
      </w:r>
      <w:r>
        <w:rPr>
          <w:rFonts w:hint="eastAsia" w:ascii="仿宋_GB2312" w:hAnsi="仿宋_GB2312" w:eastAsia="仿宋_GB2312" w:cs="仿宋_GB2312"/>
          <w:b w:val="0"/>
          <w:bCs w:val="0"/>
          <w:color w:val="auto"/>
          <w:sz w:val="32"/>
          <w:szCs w:val="32"/>
          <w:highlight w:val="none"/>
        </w:rPr>
        <w:t>万元</w:t>
      </w:r>
      <w:r>
        <w:rPr>
          <w:rFonts w:hint="eastAsia" w:ascii="仿宋_GB2312" w:hAnsi="仿宋_GB2312" w:eastAsia="仿宋_GB2312" w:cs="仿宋_GB2312"/>
          <w:b w:val="0"/>
          <w:bCs w:val="0"/>
          <w:color w:val="auto"/>
          <w:sz w:val="32"/>
          <w:szCs w:val="32"/>
          <w:highlight w:val="none"/>
          <w:lang w:eastAsia="zh-CN"/>
        </w:rPr>
        <w:t>。</w:t>
      </w:r>
    </w:p>
    <w:p w14:paraId="6FCBA2AF">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资金到位率=（</w:t>
      </w:r>
      <w:r>
        <w:rPr>
          <w:rFonts w:hint="eastAsia" w:ascii="仿宋_GB2312" w:hAnsi="仿宋_GB2312" w:eastAsia="仿宋_GB2312" w:cs="仿宋_GB2312"/>
          <w:color w:val="auto"/>
          <w:sz w:val="32"/>
          <w:szCs w:val="32"/>
          <w:highlight w:val="none"/>
          <w:lang w:val="en-US" w:eastAsia="zh-CN"/>
        </w:rPr>
        <w:t>421.99</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421.99</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eastAsia="zh-CN"/>
        </w:rPr>
        <w:t>×100%</w:t>
      </w:r>
      <w:r>
        <w:rPr>
          <w:rFonts w:hint="eastAsia" w:ascii="仿宋_GB2312" w:hAnsi="仿宋_GB2312" w:eastAsia="仿宋_GB2312" w:cs="仿宋_GB2312"/>
          <w:b w:val="0"/>
          <w:bCs w:val="0"/>
          <w:color w:val="auto"/>
          <w:sz w:val="32"/>
          <w:szCs w:val="32"/>
          <w:highlight w:val="none"/>
          <w:lang w:val="en-US" w:eastAsia="zh-CN"/>
        </w:rPr>
        <w:t>=100%</w:t>
      </w:r>
    </w:p>
    <w:p w14:paraId="0E1C3C5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514C7CE4">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24" w:name="_Toc17709"/>
      <w:bookmarkStart w:id="125" w:name="_Toc9705"/>
      <w:r>
        <w:rPr>
          <w:rFonts w:hint="eastAsia" w:ascii="仿宋_GB2312" w:hAnsi="仿宋_GB2312" w:eastAsia="仿宋_GB2312" w:cs="仿宋_GB2312"/>
          <w:b/>
          <w:bCs/>
          <w:color w:val="auto"/>
          <w:sz w:val="32"/>
          <w:szCs w:val="32"/>
          <w:highlight w:val="none"/>
          <w:lang w:val="en-US" w:eastAsia="zh-CN"/>
        </w:rPr>
        <w:t>2.预算执行率</w:t>
      </w:r>
      <w:bookmarkEnd w:id="124"/>
      <w:bookmarkEnd w:id="125"/>
    </w:p>
    <w:p w14:paraId="4FA95D6E">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截至2024年12月31日，项目实际支出</w:t>
      </w:r>
      <w:r>
        <w:rPr>
          <w:rFonts w:hint="eastAsia" w:ascii="仿宋_GB2312" w:hAnsi="仿宋_GB2312" w:eastAsia="仿宋_GB2312" w:cs="仿宋_GB2312"/>
          <w:b w:val="0"/>
          <w:bCs w:val="0"/>
          <w:color w:val="auto"/>
          <w:sz w:val="32"/>
          <w:szCs w:val="32"/>
          <w:highlight w:val="none"/>
          <w:lang w:val="en-US" w:eastAsia="zh-CN"/>
        </w:rPr>
        <w:t>421.99</w:t>
      </w:r>
      <w:r>
        <w:rPr>
          <w:rFonts w:hint="eastAsia" w:ascii="仿宋_GB2312" w:hAnsi="仿宋_GB2312" w:eastAsia="仿宋_GB2312" w:cs="仿宋_GB2312"/>
          <w:color w:val="auto"/>
          <w:sz w:val="32"/>
          <w:szCs w:val="32"/>
          <w:highlight w:val="none"/>
          <w:lang w:val="en-US" w:eastAsia="zh-CN"/>
        </w:rPr>
        <w:t>万元。</w:t>
      </w:r>
    </w:p>
    <w:p w14:paraId="7233E9B5">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预算执行率=（</w:t>
      </w:r>
      <w:r>
        <w:rPr>
          <w:rFonts w:hint="eastAsia" w:ascii="仿宋_GB2312" w:hAnsi="仿宋_GB2312" w:eastAsia="仿宋_GB2312" w:cs="仿宋_GB2312"/>
          <w:color w:val="auto"/>
          <w:sz w:val="32"/>
          <w:szCs w:val="32"/>
          <w:highlight w:val="none"/>
          <w:lang w:val="en-US" w:eastAsia="zh-CN"/>
        </w:rPr>
        <w:t>421.99</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421.99</w:t>
      </w:r>
      <w:r>
        <w:rPr>
          <w:rFonts w:hint="eastAsia" w:ascii="仿宋_GB2312" w:hAnsi="仿宋_GB2312" w:eastAsia="仿宋_GB2312" w:cs="仿宋_GB2312"/>
          <w:color w:val="auto"/>
          <w:sz w:val="32"/>
          <w:szCs w:val="32"/>
          <w:highlight w:val="none"/>
          <w:lang w:eastAsia="zh-CN"/>
        </w:rPr>
        <w:t>）×100</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=100%</w:t>
      </w:r>
    </w:p>
    <w:p w14:paraId="5540FCFB">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32D3A950">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26" w:name="_Toc28875"/>
      <w:bookmarkStart w:id="127" w:name="_Toc18691"/>
      <w:r>
        <w:rPr>
          <w:rFonts w:hint="eastAsia" w:ascii="仿宋_GB2312" w:hAnsi="仿宋_GB2312" w:eastAsia="仿宋_GB2312" w:cs="仿宋_GB2312"/>
          <w:b/>
          <w:bCs/>
          <w:color w:val="auto"/>
          <w:sz w:val="32"/>
          <w:szCs w:val="32"/>
          <w:highlight w:val="none"/>
          <w:lang w:val="en-US" w:eastAsia="zh-CN"/>
        </w:rPr>
        <w:t>3.资金使用合规性</w:t>
      </w:r>
      <w:bookmarkEnd w:id="126"/>
      <w:bookmarkEnd w:id="127"/>
    </w:p>
    <w:p w14:paraId="4CDEE3C8">
      <w:pPr>
        <w:pageBreakBefore w:val="0"/>
        <w:kinsoku/>
        <w:wordWrap/>
        <w:overflowPunct/>
        <w:topLinePunct w:val="0"/>
        <w:autoSpaceDE/>
        <w:autoSpaceDN/>
        <w:bidi w:val="0"/>
        <w:spacing w:line="560" w:lineRule="exact"/>
        <w:textAlignment w:val="auto"/>
        <w:rPr>
          <w:rFonts w:hint="eastAsia" w:ascii="方正仿宋_GBK" w:hAnsi="方正仿宋_GBK" w:eastAsia="方正仿宋_GBK" w:cs="方正仿宋_GBK"/>
          <w:color w:val="auto"/>
          <w:sz w:val="32"/>
          <w:szCs w:val="32"/>
          <w:highlight w:val="none"/>
        </w:rPr>
      </w:pPr>
      <w:r>
        <w:rPr>
          <w:rFonts w:hint="eastAsia" w:ascii="仿宋_GB2312" w:hAnsi="仿宋_GB2312" w:eastAsia="仿宋_GB2312" w:cs="仿宋_GB2312"/>
          <w:color w:val="auto"/>
          <w:sz w:val="32"/>
          <w:szCs w:val="32"/>
          <w:highlight w:val="none"/>
          <w:lang w:eastAsia="zh-CN"/>
        </w:rPr>
        <w:t>①本项目资金支出符合国家财经法规、《政府会计制度》《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资金管理办法》《</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专项资金管理办法》；</w:t>
      </w:r>
    </w:p>
    <w:p w14:paraId="3CF9268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②资金的拨付有完整的审批程序和手续；</w:t>
      </w:r>
    </w:p>
    <w:p w14:paraId="20CC77B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③符合项目预算批复或合同规定的用途；</w:t>
      </w:r>
    </w:p>
    <w:p w14:paraId="3245222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w:t>
      </w:r>
      <w:r>
        <w:rPr>
          <w:rFonts w:hint="eastAsia" w:ascii="仿宋_GB2312" w:hAnsi="仿宋_GB2312" w:eastAsia="仿宋_GB2312" w:cs="仿宋_GB2312"/>
          <w:color w:val="auto"/>
          <w:sz w:val="32"/>
          <w:szCs w:val="32"/>
          <w:highlight w:val="none"/>
          <w:lang w:val="en-US" w:eastAsia="zh-CN"/>
        </w:rPr>
        <w:t>不</w:t>
      </w:r>
      <w:r>
        <w:rPr>
          <w:rFonts w:hint="eastAsia" w:ascii="仿宋_GB2312" w:hAnsi="仿宋_GB2312" w:eastAsia="仿宋_GB2312" w:cs="仿宋_GB2312"/>
          <w:color w:val="auto"/>
          <w:sz w:val="32"/>
          <w:szCs w:val="32"/>
          <w:highlight w:val="none"/>
          <w:lang w:eastAsia="zh-CN"/>
        </w:rPr>
        <w:t>存在截留、挤占、挪用、虚列支出等情况。</w:t>
      </w:r>
    </w:p>
    <w:p w14:paraId="710D9ADD">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b/>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eastAsia="zh-CN"/>
        </w:rPr>
        <w:t>本项目的资金使用是合规的、安全的，既符合国家相关法律法规与财务制度的要求，又满足了项目实施的实际需要。资金使用的合规性为项目的成功实施提供了有力的保障，也为项目的绩效评价奠定了坚实的基础。</w:t>
      </w:r>
      <w:r>
        <w:rPr>
          <w:rFonts w:hint="eastAsia" w:ascii="Times New Roman" w:hAnsi="Times New Roman" w:eastAsia="仿宋_GB2312" w:cs="Times New Roman"/>
          <w:color w:val="auto"/>
          <w:sz w:val="32"/>
          <w:szCs w:val="32"/>
          <w:highlight w:val="none"/>
          <w:lang w:val="en-US" w:eastAsia="zh-CN"/>
        </w:rPr>
        <w:t xml:space="preserve"> </w:t>
      </w:r>
    </w:p>
    <w:p w14:paraId="7058F4C1">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478CFE1C">
      <w:pPr>
        <w:pageBreakBefore w:val="0"/>
        <w:numPr>
          <w:ilvl w:val="0"/>
          <w:numId w:val="0"/>
        </w:numPr>
        <w:kinsoku/>
        <w:wordWrap/>
        <w:overflowPunct/>
        <w:topLinePunct w:val="0"/>
        <w:autoSpaceDE/>
        <w:autoSpaceDN/>
        <w:bidi w:val="0"/>
        <w:spacing w:line="560" w:lineRule="exact"/>
        <w:ind w:firstLine="643" w:firstLineChars="200"/>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kern w:val="2"/>
          <w:sz w:val="32"/>
          <w:szCs w:val="32"/>
          <w:highlight w:val="none"/>
          <w:lang w:val="en-US" w:eastAsia="zh-CN" w:bidi="ar-SA"/>
        </w:rPr>
        <w:t>4.</w:t>
      </w:r>
      <w:r>
        <w:rPr>
          <w:rFonts w:hint="eastAsia" w:ascii="仿宋_GB2312" w:hAnsi="仿宋_GB2312" w:eastAsia="仿宋_GB2312" w:cs="仿宋_GB2312"/>
          <w:b/>
          <w:bCs/>
          <w:color w:val="auto"/>
          <w:sz w:val="32"/>
          <w:szCs w:val="32"/>
          <w:highlight w:val="none"/>
          <w:lang w:val="en-US" w:eastAsia="zh-CN"/>
        </w:rPr>
        <w:t>管理制度健全性</w:t>
      </w:r>
    </w:p>
    <w:p w14:paraId="479D108A">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①</w:t>
      </w:r>
      <w:r>
        <w:rPr>
          <w:rFonts w:hint="eastAsia" w:ascii="仿宋_GB2312" w:hAnsi="仿宋_GB2312" w:eastAsia="仿宋_GB2312" w:cs="仿宋_GB2312"/>
          <w:color w:val="auto"/>
          <w:sz w:val="32"/>
          <w:szCs w:val="32"/>
          <w:highlight w:val="none"/>
          <w:lang w:eastAsia="zh-CN"/>
        </w:rPr>
        <w:t>我单位已制定《</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资金管理办法》《</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收支业务管理制度》《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政府采购业务管理制度》《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合同管理制度》，</w:t>
      </w:r>
      <w:r>
        <w:rPr>
          <w:rFonts w:hint="eastAsia" w:ascii="仿宋_GB2312" w:hAnsi="仿宋_GB2312" w:eastAsia="仿宋_GB2312" w:cs="仿宋_GB2312"/>
          <w:color w:val="auto"/>
          <w:sz w:val="32"/>
          <w:szCs w:val="32"/>
          <w:highlight w:val="none"/>
          <w:lang w:val="en-US" w:eastAsia="zh-CN"/>
        </w:rPr>
        <w:t>相关</w:t>
      </w:r>
      <w:r>
        <w:rPr>
          <w:rFonts w:hint="eastAsia" w:ascii="仿宋_GB2312" w:hAnsi="仿宋_GB2312" w:eastAsia="仿宋_GB2312" w:cs="仿宋_GB2312"/>
          <w:color w:val="auto"/>
          <w:sz w:val="32"/>
          <w:szCs w:val="32"/>
          <w:highlight w:val="none"/>
          <w:lang w:eastAsia="zh-CN"/>
        </w:rPr>
        <w:t>制度均符合行政事业单位内控管理要求；</w:t>
      </w:r>
    </w:p>
    <w:p w14:paraId="558AE568">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②已制定的</w:t>
      </w:r>
      <w:r>
        <w:rPr>
          <w:rFonts w:hint="eastAsia" w:ascii="仿宋_GB2312" w:hAnsi="仿宋_GB2312" w:eastAsia="仿宋_GB2312" w:cs="仿宋_GB2312"/>
          <w:color w:val="auto"/>
          <w:sz w:val="32"/>
          <w:szCs w:val="32"/>
          <w:highlight w:val="none"/>
          <w:lang w:eastAsia="zh-CN"/>
        </w:rPr>
        <w:t>财务和业务管理制度合法、合规、完整，本项目执行符合上述制度规定。</w:t>
      </w:r>
    </w:p>
    <w:p w14:paraId="445C817B">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39B00B0E">
      <w:pPr>
        <w:pageBreakBefore w:val="0"/>
        <w:kinsoku/>
        <w:wordWrap/>
        <w:overflowPunct/>
        <w:topLinePunct w:val="0"/>
        <w:autoSpaceDE/>
        <w:autoSpaceDN/>
        <w:bidi w:val="0"/>
        <w:spacing w:line="560" w:lineRule="exact"/>
        <w:ind w:left="1524" w:leftChars="200" w:hanging="964" w:hangingChars="300"/>
        <w:textAlignment w:val="auto"/>
        <w:outlineLvl w:val="2"/>
        <w:rPr>
          <w:rFonts w:hint="eastAsia" w:ascii="仿宋_GB2312" w:hAnsi="仿宋_GB2312" w:eastAsia="仿宋_GB2312" w:cs="仿宋_GB2312"/>
          <w:b/>
          <w:bCs/>
          <w:color w:val="auto"/>
          <w:sz w:val="32"/>
          <w:szCs w:val="32"/>
          <w:highlight w:val="none"/>
          <w:lang w:val="en-US" w:eastAsia="zh-CN"/>
        </w:rPr>
      </w:pPr>
      <w:bookmarkStart w:id="128" w:name="_Toc13984"/>
      <w:bookmarkStart w:id="129" w:name="_Toc31684"/>
      <w:r>
        <w:rPr>
          <w:rFonts w:hint="eastAsia" w:ascii="仿宋_GB2312" w:hAnsi="仿宋_GB2312" w:eastAsia="仿宋_GB2312" w:cs="仿宋_GB2312"/>
          <w:b/>
          <w:bCs/>
          <w:color w:val="auto"/>
          <w:sz w:val="32"/>
          <w:szCs w:val="32"/>
          <w:highlight w:val="none"/>
          <w:lang w:val="en-US" w:eastAsia="zh-CN"/>
        </w:rPr>
        <w:t>5.制度执行有效性</w:t>
      </w:r>
      <w:bookmarkEnd w:id="128"/>
      <w:bookmarkEnd w:id="129"/>
    </w:p>
    <w:p w14:paraId="7A82465C">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①</w:t>
      </w:r>
      <w:r>
        <w:rPr>
          <w:rFonts w:hint="eastAsia" w:ascii="仿宋_GB2312" w:hAnsi="仿宋_GB2312" w:eastAsia="仿宋_GB2312" w:cs="仿宋_GB2312"/>
          <w:color w:val="auto"/>
          <w:sz w:val="32"/>
          <w:szCs w:val="32"/>
          <w:highlight w:val="none"/>
        </w:rPr>
        <w:t>项目的实施</w:t>
      </w:r>
      <w:r>
        <w:rPr>
          <w:rFonts w:hint="eastAsia" w:ascii="仿宋_GB2312" w:hAnsi="仿宋_GB2312" w:eastAsia="仿宋_GB2312" w:cs="仿宋_GB2312"/>
          <w:color w:val="auto"/>
          <w:sz w:val="32"/>
          <w:szCs w:val="32"/>
          <w:highlight w:val="none"/>
          <w:lang w:eastAsia="zh-CN"/>
        </w:rPr>
        <w:t>遵守相关法律法规</w:t>
      </w:r>
      <w:r>
        <w:rPr>
          <w:rFonts w:hint="eastAsia" w:ascii="仿宋_GB2312" w:hAnsi="仿宋_GB2312" w:eastAsia="仿宋_GB2312" w:cs="仿宋_GB2312"/>
          <w:color w:val="auto"/>
          <w:sz w:val="32"/>
          <w:szCs w:val="32"/>
          <w:highlight w:val="none"/>
          <w:lang w:val="en-US" w:eastAsia="zh-CN"/>
        </w:rPr>
        <w:t>及</w:t>
      </w:r>
      <w:r>
        <w:rPr>
          <w:rFonts w:hint="eastAsia" w:ascii="仿宋_GB2312" w:hAnsi="仿宋_GB2312" w:eastAsia="仿宋_GB2312" w:cs="仿宋_GB2312"/>
          <w:color w:val="auto"/>
          <w:sz w:val="32"/>
          <w:szCs w:val="32"/>
          <w:highlight w:val="none"/>
          <w:lang w:eastAsia="zh-CN"/>
        </w:rPr>
        <w:t>相关管理规定，</w:t>
      </w:r>
      <w:r>
        <w:rPr>
          <w:rFonts w:hint="eastAsia" w:ascii="仿宋_GB2312" w:hAnsi="仿宋_GB2312" w:eastAsia="仿宋_GB2312" w:cs="仿宋_GB2312"/>
          <w:color w:val="auto"/>
          <w:sz w:val="32"/>
          <w:szCs w:val="32"/>
          <w:highlight w:val="none"/>
        </w:rPr>
        <w:t>符合</w:t>
      </w:r>
      <w:r>
        <w:rPr>
          <w:rFonts w:hint="eastAsia" w:ascii="仿宋_GB2312" w:hAnsi="仿宋_GB2312" w:eastAsia="仿宋_GB2312" w:cs="仿宋_GB2312"/>
          <w:color w:val="auto"/>
          <w:sz w:val="32"/>
          <w:szCs w:val="32"/>
          <w:highlight w:val="none"/>
          <w:lang w:eastAsia="zh-CN"/>
        </w:rPr>
        <w:t>《政府会计制度》《</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单位资金管理办法》《</w:t>
      </w:r>
      <w:r>
        <w:rPr>
          <w:rFonts w:hint="eastAsia" w:ascii="仿宋_GB2312" w:hAnsi="仿宋_GB2312" w:eastAsia="仿宋_GB2312" w:cs="仿宋_GB2312"/>
          <w:color w:val="auto"/>
          <w:sz w:val="32"/>
          <w:szCs w:val="32"/>
          <w:highlight w:val="none"/>
          <w:lang w:val="en-US" w:eastAsia="zh-CN"/>
        </w:rPr>
        <w:t>阜康市农业农村局</w:t>
      </w:r>
      <w:r>
        <w:rPr>
          <w:rFonts w:hint="eastAsia" w:ascii="仿宋_GB2312" w:hAnsi="仿宋_GB2312" w:eastAsia="仿宋_GB2312" w:cs="仿宋_GB2312"/>
          <w:color w:val="auto"/>
          <w:sz w:val="32"/>
          <w:szCs w:val="32"/>
          <w:highlight w:val="none"/>
          <w:lang w:eastAsia="zh-CN"/>
        </w:rPr>
        <w:t>专项资金管理办法》</w:t>
      </w:r>
      <w:r>
        <w:rPr>
          <w:rFonts w:hint="eastAsia" w:ascii="仿宋_GB2312" w:hAnsi="仿宋_GB2312" w:eastAsia="仿宋_GB2312" w:cs="仿宋_GB2312"/>
          <w:color w:val="auto"/>
          <w:sz w:val="32"/>
          <w:szCs w:val="32"/>
          <w:highlight w:val="none"/>
        </w:rPr>
        <w:t>等管理规定</w:t>
      </w:r>
      <w:r>
        <w:rPr>
          <w:rFonts w:hint="eastAsia" w:ascii="仿宋_GB2312" w:hAnsi="仿宋_GB2312" w:eastAsia="仿宋_GB2312" w:cs="仿宋_GB2312"/>
          <w:color w:val="auto"/>
          <w:sz w:val="32"/>
          <w:szCs w:val="32"/>
          <w:highlight w:val="none"/>
          <w:lang w:eastAsia="zh-CN"/>
        </w:rPr>
        <w:t>；</w:t>
      </w:r>
    </w:p>
    <w:p w14:paraId="5234404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w:t>
      </w:r>
      <w:r>
        <w:rPr>
          <w:rFonts w:hint="eastAsia" w:ascii="仿宋_GB2312" w:hAnsi="仿宋_GB2312" w:eastAsia="仿宋_GB2312" w:cs="仿宋_GB2312"/>
          <w:color w:val="auto"/>
          <w:sz w:val="32"/>
          <w:szCs w:val="32"/>
          <w:highlight w:val="none"/>
        </w:rPr>
        <w:t>该项目实施过程中不存在调整事项</w:t>
      </w:r>
      <w:r>
        <w:rPr>
          <w:rFonts w:hint="eastAsia" w:ascii="仿宋_GB2312" w:hAnsi="仿宋_GB2312" w:eastAsia="仿宋_GB2312" w:cs="仿宋_GB2312"/>
          <w:color w:val="auto"/>
          <w:sz w:val="32"/>
          <w:szCs w:val="32"/>
          <w:highlight w:val="none"/>
          <w:lang w:eastAsia="zh-CN"/>
        </w:rPr>
        <w:t>。</w:t>
      </w:r>
    </w:p>
    <w:p w14:paraId="181BF9BA">
      <w:pPr>
        <w:pageBreakBefore w:val="0"/>
        <w:widowControl w:val="0"/>
        <w:kinsoku/>
        <w:wordWrap/>
        <w:topLinePunct w:val="0"/>
        <w:autoSpaceDE/>
        <w:autoSpaceDN/>
        <w:bidi w:val="0"/>
        <w:spacing w:line="560" w:lineRule="exact"/>
        <w:ind w:left="0" w:leftChars="0" w:firstLine="643"/>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③</w:t>
      </w:r>
      <w:r>
        <w:rPr>
          <w:rFonts w:hint="eastAsia" w:ascii="仿宋_GB2312" w:hAnsi="仿宋_GB2312" w:eastAsia="仿宋_GB2312" w:cs="仿宋_GB2312"/>
          <w:color w:val="auto"/>
          <w:sz w:val="32"/>
          <w:szCs w:val="32"/>
          <w:highlight w:val="none"/>
        </w:rPr>
        <w:t>项目合同书、验收评审表、财务支付凭证等资料齐全并及时归档。</w:t>
      </w:r>
    </w:p>
    <w:p w14:paraId="2F3D9844">
      <w:pPr>
        <w:pStyle w:val="7"/>
        <w:keepNext w:val="0"/>
        <w:keepLines w:val="0"/>
        <w:pageBreakBefore w:val="0"/>
        <w:widowControl w:val="0"/>
        <w:numPr>
          <w:ilvl w:val="0"/>
          <w:numId w:val="0"/>
        </w:numPr>
        <w:tabs>
          <w:tab w:val="right" w:leader="dot" w:pos="8296"/>
        </w:tabs>
        <w:kinsoku/>
        <w:wordWrap/>
        <w:overflowPunct w:val="0"/>
        <w:topLinePunct/>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④项目实施所需要的项目人员和场地设备均已落实到位，具体涉及内容包括：项目资金支出严格按照自治区、地区以及本单位资金管理办法执行，项目启动实施后，为了加快本项目的实施，经农村合作经济发展指导中心会议及农业农村局会议，</w:t>
      </w:r>
      <w:r>
        <w:rPr>
          <w:rFonts w:hint="eastAsia" w:ascii="仿宋_GB2312" w:hAnsi="仿宋_GB2312" w:eastAsia="仿宋_GB2312" w:cs="仿宋_GB2312"/>
          <w:color w:val="auto"/>
          <w:sz w:val="32"/>
          <w:szCs w:val="32"/>
          <w:highlight w:val="none"/>
          <w:shd w:val="clear" w:color="auto" w:fill="auto"/>
          <w:lang w:val="en-US" w:eastAsia="zh-CN"/>
        </w:rPr>
        <w:t>确定了项目领导小组，明确了责任分工：组长为白金星，副组长为马磊，项目负责人为白金星,组员为努尔江、王玲，其中：努尔江负责监管工作、项目档案资料，王玲负责资金拨付工作。</w:t>
      </w:r>
    </w:p>
    <w:p w14:paraId="730C4868">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综上，该项指标满分4分，得分4分。</w:t>
      </w:r>
    </w:p>
    <w:p w14:paraId="48F76A87">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130" w:name="_Toc2441"/>
      <w:r>
        <w:rPr>
          <w:rFonts w:hint="eastAsia" w:ascii="Times New Roman" w:hAnsi="Times New Roman" w:eastAsia="楷体_GB2312" w:cs="Times New Roman"/>
          <w:color w:val="auto"/>
          <w:kern w:val="28"/>
          <w:sz w:val="32"/>
          <w:highlight w:val="none"/>
          <w:lang w:val="en-US" w:eastAsia="zh-CN"/>
        </w:rPr>
        <w:t>（三）项目产出情况</w:t>
      </w:r>
      <w:bookmarkEnd w:id="130"/>
    </w:p>
    <w:p w14:paraId="3C8B3139">
      <w:pPr>
        <w:pageBreakBefore w:val="0"/>
        <w:widowControl w:val="0"/>
        <w:kinsoku/>
        <w:wordWrap/>
        <w:overflowPunct/>
        <w:topLinePunct w:val="0"/>
        <w:autoSpaceDE/>
        <w:autoSpaceDN/>
        <w:bidi w:val="0"/>
        <w:adjustRightInd/>
        <w:spacing w:line="560" w:lineRule="exact"/>
        <w:ind w:firstLine="560"/>
        <w:textAlignment w:val="auto"/>
        <w:rPr>
          <w:rFonts w:hint="eastAsia" w:ascii="仿宋_GB2312" w:hAnsi="仿宋_GB2312" w:eastAsia="仿宋_GB2312" w:cs="仿宋_GB2312"/>
          <w:color w:val="auto"/>
          <w:kern w:val="2"/>
          <w:sz w:val="32"/>
          <w:szCs w:val="32"/>
          <w:highlight w:val="none"/>
          <w:u w:color="000000"/>
          <w:shd w:val="clear" w:color="auto" w:fill="auto"/>
          <w:lang w:val="zh-TW" w:eastAsia="zh-TW"/>
        </w:rPr>
      </w:pPr>
      <w:r>
        <w:rPr>
          <w:rFonts w:hint="eastAsia" w:ascii="仿宋_GB2312" w:hAnsi="仿宋_GB2312" w:eastAsia="仿宋_GB2312" w:cs="仿宋_GB2312"/>
          <w:color w:val="auto"/>
          <w:kern w:val="2"/>
          <w:sz w:val="32"/>
          <w:szCs w:val="32"/>
          <w:highlight w:val="none"/>
          <w:u w:color="000000"/>
          <w:shd w:val="clear" w:color="auto" w:fill="auto"/>
          <w:lang w:val="zh-TW" w:eastAsia="zh-TW"/>
        </w:rPr>
        <w:t>项目</w:t>
      </w:r>
      <w:r>
        <w:rPr>
          <w:rFonts w:hint="eastAsia" w:ascii="仿宋_GB2312" w:hAnsi="仿宋_GB2312" w:eastAsia="仿宋_GB2312" w:cs="仿宋_GB2312"/>
          <w:color w:val="auto"/>
          <w:sz w:val="32"/>
          <w:szCs w:val="32"/>
          <w:highlight w:val="none"/>
          <w:shd w:val="clear" w:color="auto" w:fill="auto"/>
          <w:lang w:val="en-US" w:eastAsia="zh-CN"/>
        </w:rPr>
        <w:t>产出</w:t>
      </w:r>
      <w:r>
        <w:rPr>
          <w:rFonts w:hint="eastAsia" w:ascii="仿宋_GB2312" w:hAnsi="仿宋_GB2312" w:eastAsia="仿宋_GB2312" w:cs="仿宋_GB2312"/>
          <w:color w:val="auto"/>
          <w:kern w:val="2"/>
          <w:sz w:val="32"/>
          <w:szCs w:val="32"/>
          <w:highlight w:val="none"/>
          <w:u w:color="000000"/>
          <w:shd w:val="clear" w:color="auto" w:fill="auto"/>
          <w:lang w:val="zh-TW" w:eastAsia="zh-TW"/>
        </w:rPr>
        <w:t>类指标</w:t>
      </w:r>
      <w:r>
        <w:rPr>
          <w:rFonts w:hint="default" w:ascii="Times New Roman" w:hAnsi="Times New Roman" w:eastAsia="仿宋_GB2312" w:cs="Times New Roman"/>
          <w:color w:val="auto"/>
          <w:sz w:val="32"/>
          <w:szCs w:val="32"/>
          <w:highlight w:val="none"/>
          <w:lang w:val="en-US" w:eastAsia="zh-CN"/>
        </w:rPr>
        <w:t>包括产出数量、产出质量、产出时效、产出成本四方面的内容，</w:t>
      </w:r>
      <w:r>
        <w:rPr>
          <w:rFonts w:hint="eastAsia" w:ascii="Times New Roman" w:hAnsi="Times New Roman" w:eastAsia="仿宋_GB2312" w:cs="Times New Roman"/>
          <w:color w:val="auto"/>
          <w:sz w:val="32"/>
          <w:szCs w:val="32"/>
          <w:highlight w:val="none"/>
          <w:lang w:val="en-US" w:eastAsia="zh-CN"/>
        </w:rPr>
        <w:t>共</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val="zh-TW" w:eastAsia="zh-CN"/>
        </w:rPr>
        <w:t>二</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级指标和</w:t>
      </w:r>
      <w:r>
        <w:rPr>
          <w:rFonts w:hint="eastAsia" w:ascii="仿宋_GB2312" w:hAnsi="仿宋_GB2312" w:eastAsia="仿宋_GB2312" w:cs="仿宋_GB2312"/>
          <w:color w:val="auto"/>
          <w:kern w:val="2"/>
          <w:sz w:val="32"/>
          <w:szCs w:val="32"/>
          <w:highlight w:val="none"/>
          <w:u w:color="000000"/>
          <w:shd w:val="clear" w:color="auto" w:fill="auto"/>
          <w:lang w:val="en-US" w:eastAsia="zh-CN"/>
        </w:rPr>
        <w:t>6</w:t>
      </w:r>
      <w:r>
        <w:rPr>
          <w:rFonts w:hint="eastAsia" w:ascii="仿宋_GB2312" w:hAnsi="仿宋_GB2312" w:eastAsia="仿宋_GB2312" w:cs="仿宋_GB2312"/>
          <w:color w:val="auto"/>
          <w:kern w:val="2"/>
          <w:sz w:val="32"/>
          <w:szCs w:val="32"/>
          <w:highlight w:val="none"/>
          <w:u w:color="000000"/>
          <w:shd w:val="clear" w:color="auto" w:fill="auto"/>
          <w:lang w:eastAsia="zh-CN"/>
        </w:rPr>
        <w:t>三</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级指标构成，权重分</w:t>
      </w:r>
      <w:r>
        <w:rPr>
          <w:rFonts w:hint="eastAsia" w:ascii="仿宋_GB2312" w:hAnsi="仿宋_GB2312" w:eastAsia="仿宋_GB2312" w:cs="仿宋_GB2312"/>
          <w:color w:val="auto"/>
          <w:kern w:val="2"/>
          <w:sz w:val="32"/>
          <w:szCs w:val="32"/>
          <w:highlight w:val="none"/>
          <w:u w:color="000000"/>
          <w:shd w:val="clear" w:color="auto" w:fill="auto"/>
          <w:lang w:val="en-US" w:eastAsia="zh-CN"/>
        </w:rPr>
        <w:t>40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分，实际得分</w:t>
      </w:r>
      <w:r>
        <w:rPr>
          <w:rFonts w:hint="eastAsia" w:ascii="仿宋_GB2312" w:hAnsi="仿宋_GB2312" w:eastAsia="仿宋_GB2312" w:cs="仿宋_GB2312"/>
          <w:color w:val="auto"/>
          <w:kern w:val="2"/>
          <w:sz w:val="32"/>
          <w:szCs w:val="32"/>
          <w:highlight w:val="none"/>
          <w:u w:color="000000"/>
          <w:shd w:val="clear" w:color="auto" w:fill="auto"/>
          <w:lang w:val="en-US" w:eastAsia="zh-CN"/>
        </w:rPr>
        <w:t>40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w:t>
      </w:r>
      <w:r>
        <w:rPr>
          <w:rFonts w:hint="eastAsia" w:ascii="仿宋_GB2312" w:hAnsi="仿宋_GB2312" w:eastAsia="仿宋_GB2312" w:cs="仿宋_GB2312"/>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eastAsia="zh-CN"/>
        </w:rPr>
        <w:t>-</w:t>
      </w:r>
      <w:r>
        <w:rPr>
          <w:rFonts w:hint="eastAsia" w:ascii="仿宋_GB2312" w:hAnsi="仿宋_GB2312" w:eastAsia="仿宋_GB2312" w:cs="仿宋_GB2312"/>
          <w:color w:val="auto"/>
          <w:kern w:val="2"/>
          <w:sz w:val="32"/>
          <w:szCs w:val="32"/>
          <w:highlight w:val="none"/>
          <w:u w:color="000000"/>
          <w:shd w:val="clear" w:color="auto" w:fill="auto"/>
          <w:lang w:val="en-US" w:eastAsia="zh-CN"/>
        </w:rPr>
        <w:t>3</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详见上传的附件</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w:t>
      </w:r>
    </w:p>
    <w:p w14:paraId="607E3006">
      <w:pPr>
        <w:keepNext w:val="0"/>
        <w:keepLines w:val="0"/>
        <w:pageBreakBefore w:val="0"/>
        <w:widowControl/>
        <w:kinsoku/>
        <w:wordWrap/>
        <w:overflowPunct/>
        <w:topLinePunct w:val="0"/>
        <w:autoSpaceDE/>
        <w:autoSpaceDN/>
        <w:bidi w:val="0"/>
        <w:adjustRightInd/>
        <w:snapToGrid w:val="0"/>
        <w:spacing w:line="560" w:lineRule="exact"/>
        <w:ind w:firstLine="0" w:firstLineChars="0"/>
        <w:jc w:val="center"/>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zh-TW" w:eastAsia="zh-TW"/>
        </w:rPr>
        <w:t>表</w:t>
      </w:r>
      <w:r>
        <w:rPr>
          <w:rFonts w:hint="eastAsia" w:ascii="宋体" w:hAnsi="宋体" w:eastAsia="宋体" w:cs="宋体"/>
          <w:b/>
          <w:bCs/>
          <w:color w:val="auto"/>
          <w:kern w:val="0"/>
          <w:sz w:val="28"/>
          <w:szCs w:val="28"/>
          <w:highlight w:val="none"/>
          <w:shd w:val="clear" w:color="auto" w:fill="auto"/>
          <w:lang w:val="en-US" w:eastAsia="zh-CN"/>
        </w:rPr>
        <w:t>4-3项目产出</w:t>
      </w:r>
      <w:r>
        <w:rPr>
          <w:rFonts w:hint="eastAsia" w:ascii="宋体" w:hAnsi="宋体" w:eastAsia="宋体" w:cs="宋体"/>
          <w:b/>
          <w:bCs/>
          <w:color w:val="auto"/>
          <w:kern w:val="0"/>
          <w:sz w:val="28"/>
          <w:szCs w:val="28"/>
          <w:highlight w:val="none"/>
          <w:shd w:val="clear" w:color="auto" w:fill="auto"/>
          <w:lang w:val="zh-TW" w:eastAsia="zh-TW"/>
        </w:rPr>
        <w:t>指标及分值</w:t>
      </w:r>
      <w:r>
        <w:rPr>
          <w:rFonts w:hint="eastAsia" w:ascii="宋体" w:hAnsi="宋体" w:eastAsia="宋体" w:cs="宋体"/>
          <w:b/>
          <w:bCs/>
          <w:color w:val="auto"/>
          <w:kern w:val="0"/>
          <w:sz w:val="28"/>
          <w:szCs w:val="28"/>
          <w:highlight w:val="none"/>
          <w:shd w:val="clear" w:color="auto" w:fill="auto"/>
          <w:lang w:val="en-US" w:eastAsia="zh-CN"/>
        </w:rPr>
        <w:t>情况</w:t>
      </w:r>
    </w:p>
    <w:tbl>
      <w:tblPr>
        <w:tblStyle w:val="16"/>
        <w:tblW w:w="8197" w:type="dxa"/>
        <w:tblInd w:w="0" w:type="dxa"/>
        <w:shd w:val="clear" w:color="auto" w:fill="auto"/>
        <w:tblLayout w:type="fixed"/>
        <w:tblCellMar>
          <w:top w:w="0" w:type="dxa"/>
          <w:left w:w="0" w:type="dxa"/>
          <w:bottom w:w="0" w:type="dxa"/>
          <w:right w:w="0" w:type="dxa"/>
        </w:tblCellMar>
      </w:tblPr>
      <w:tblGrid>
        <w:gridCol w:w="634"/>
        <w:gridCol w:w="928"/>
        <w:gridCol w:w="2644"/>
        <w:gridCol w:w="1437"/>
        <w:gridCol w:w="558"/>
        <w:gridCol w:w="1365"/>
        <w:gridCol w:w="631"/>
      </w:tblGrid>
      <w:tr w14:paraId="4B8B3162">
        <w:tblPrEx>
          <w:tblCellMar>
            <w:top w:w="0" w:type="dxa"/>
            <w:left w:w="0" w:type="dxa"/>
            <w:bottom w:w="0" w:type="dxa"/>
            <w:right w:w="0" w:type="dxa"/>
          </w:tblCellMar>
        </w:tblPrEx>
        <w:trPr>
          <w:trHeight w:val="750" w:hRule="atLeast"/>
        </w:trPr>
        <w:tc>
          <w:tcPr>
            <w:tcW w:w="6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5B8E1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82552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8F28B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288F1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年度指标值</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41F29A">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标杆分值</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80069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全年实际完成值</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D65BA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指标得分</w:t>
            </w:r>
          </w:p>
        </w:tc>
      </w:tr>
      <w:tr w14:paraId="1635B5B3">
        <w:tblPrEx>
          <w:shd w:val="clear" w:color="auto" w:fill="auto"/>
          <w:tblCellMar>
            <w:top w:w="0" w:type="dxa"/>
            <w:left w:w="0" w:type="dxa"/>
            <w:bottom w:w="0" w:type="dxa"/>
            <w:right w:w="0" w:type="dxa"/>
          </w:tblCellMar>
        </w:tblPrEx>
        <w:trPr>
          <w:trHeight w:val="415" w:hRule="atLeast"/>
        </w:trPr>
        <w:tc>
          <w:tcPr>
            <w:tcW w:w="63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6EC31">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产出</w:t>
            </w:r>
          </w:p>
        </w:tc>
        <w:tc>
          <w:tcPr>
            <w:tcW w:w="928"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A454EF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数量指标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19DE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支持的农民合作社数量（个）</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E89261">
            <w:pPr>
              <w:keepNext w:val="0"/>
              <w:keepLines w:val="0"/>
              <w:widowControl/>
              <w:suppressLineNumbers w:val="0"/>
              <w:ind w:firstLine="400" w:firstLineChars="20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cs="宋体"/>
                <w:color w:val="auto"/>
                <w:kern w:val="0"/>
                <w:sz w:val="20"/>
                <w:szCs w:val="20"/>
                <w:highlight w:val="none"/>
                <w:shd w:val="clear" w:color="auto" w:fill="auto"/>
                <w:lang w:val="en-US" w:eastAsia="zh-CN"/>
              </w:rPr>
              <w:t>≥</w:t>
            </w:r>
            <w:r>
              <w:rPr>
                <w:rFonts w:hint="eastAsia" w:ascii="宋体" w:hAnsi="宋体" w:eastAsia="宋体" w:cs="宋体"/>
                <w:i w:val="0"/>
                <w:iCs w:val="0"/>
                <w:color w:val="auto"/>
                <w:kern w:val="0"/>
                <w:sz w:val="20"/>
                <w:szCs w:val="20"/>
                <w:highlight w:val="none"/>
                <w:u w:val="none"/>
                <w:lang w:val="en-US" w:eastAsia="zh-CN" w:bidi="ar"/>
              </w:rPr>
              <w:t>4个</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CCB2B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3AAC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4个</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E5217F">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r>
      <w:tr w14:paraId="409FAF60">
        <w:tblPrEx>
          <w:shd w:val="clear" w:color="auto" w:fill="auto"/>
          <w:tblCellMar>
            <w:top w:w="0" w:type="dxa"/>
            <w:left w:w="0" w:type="dxa"/>
            <w:bottom w:w="0" w:type="dxa"/>
            <w:right w:w="0" w:type="dxa"/>
          </w:tblCellMar>
        </w:tblPrEx>
        <w:trPr>
          <w:trHeight w:val="415" w:hRule="atLeast"/>
        </w:trPr>
        <w:tc>
          <w:tcPr>
            <w:tcW w:w="634"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08A8266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28"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5C6457E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77F12D">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支持的家庭农场数量（个）</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747FB1">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≥7个</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05B2D">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C3E02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7个</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E0647E">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297F4D26">
        <w:tblPrEx>
          <w:shd w:val="clear" w:color="auto" w:fill="auto"/>
          <w:tblCellMar>
            <w:top w:w="0" w:type="dxa"/>
            <w:left w:w="0" w:type="dxa"/>
            <w:bottom w:w="0" w:type="dxa"/>
            <w:right w:w="0" w:type="dxa"/>
          </w:tblCellMar>
        </w:tblPrEx>
        <w:trPr>
          <w:trHeight w:val="415" w:hRule="atLeast"/>
        </w:trPr>
        <w:tc>
          <w:tcPr>
            <w:tcW w:w="634"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1CCAA487">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28"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EA8BA6">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B05C1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农业生产托管服务面积（万亩）</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C966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≥5.5万亩</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3521C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4717C">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5.5万亩</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6FABB3">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684F9CA2">
        <w:tblPrEx>
          <w:shd w:val="clear" w:color="auto" w:fill="auto"/>
          <w:tblCellMar>
            <w:top w:w="0" w:type="dxa"/>
            <w:left w:w="0" w:type="dxa"/>
            <w:bottom w:w="0" w:type="dxa"/>
            <w:right w:w="0" w:type="dxa"/>
          </w:tblCellMar>
        </w:tblPrEx>
        <w:trPr>
          <w:trHeight w:val="390" w:hRule="atLeast"/>
        </w:trPr>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25A29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28"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575A422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质量指标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0C1BE3">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农业生产社会化服务对象</w:t>
            </w:r>
            <w:r>
              <w:rPr>
                <w:rFonts w:hint="eastAsia" w:cs="宋体"/>
                <w:color w:val="auto"/>
                <w:kern w:val="0"/>
                <w:sz w:val="20"/>
                <w:szCs w:val="20"/>
                <w:highlight w:val="none"/>
                <w:shd w:val="clear" w:color="auto" w:fill="auto"/>
                <w:lang w:val="en-US" w:eastAsia="zh-CN"/>
              </w:rPr>
              <w:t>提高</w:t>
            </w:r>
            <w:r>
              <w:rPr>
                <w:rFonts w:hint="eastAsia" w:ascii="宋体" w:hAnsi="宋体" w:eastAsia="宋体" w:cs="宋体"/>
                <w:color w:val="auto"/>
                <w:kern w:val="0"/>
                <w:sz w:val="20"/>
                <w:szCs w:val="20"/>
                <w:highlight w:val="none"/>
                <w:shd w:val="clear" w:color="auto" w:fill="auto"/>
                <w:lang w:val="en-US" w:eastAsia="zh-CN"/>
              </w:rPr>
              <w:t>单产水平</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F3EA45">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＝100%</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CCD79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1F453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100%</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8089C">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5</w:t>
            </w:r>
          </w:p>
        </w:tc>
      </w:tr>
      <w:tr w14:paraId="07099D8E">
        <w:tblPrEx>
          <w:shd w:val="clear" w:color="auto" w:fill="auto"/>
          <w:tblCellMar>
            <w:top w:w="0" w:type="dxa"/>
            <w:left w:w="0" w:type="dxa"/>
            <w:bottom w:w="0" w:type="dxa"/>
            <w:right w:w="0" w:type="dxa"/>
          </w:tblCellMar>
        </w:tblPrEx>
        <w:trPr>
          <w:trHeight w:val="410" w:hRule="atLeast"/>
        </w:trPr>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2FCAA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0F02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时效指标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82C6D">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项目</w:t>
            </w:r>
            <w:r>
              <w:rPr>
                <w:rFonts w:hint="eastAsia" w:ascii="宋体" w:hAnsi="宋体" w:eastAsia="宋体" w:cs="宋体"/>
                <w:color w:val="auto"/>
                <w:kern w:val="0"/>
                <w:sz w:val="20"/>
                <w:szCs w:val="20"/>
                <w:highlight w:val="none"/>
                <w:shd w:val="clear" w:color="auto" w:fill="auto"/>
                <w:lang w:val="en-US" w:eastAsia="zh-CN"/>
              </w:rPr>
              <w:t>完成时间</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AFFEE">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2024年11月5日</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42D26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7</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EA423">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2024年11月5日</w:t>
            </w: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B7E3B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7</w:t>
            </w:r>
          </w:p>
        </w:tc>
      </w:tr>
      <w:tr w14:paraId="3AEEFAD2">
        <w:tblPrEx>
          <w:shd w:val="clear" w:color="auto" w:fill="auto"/>
          <w:tblCellMar>
            <w:top w:w="0" w:type="dxa"/>
            <w:left w:w="0" w:type="dxa"/>
            <w:bottom w:w="0" w:type="dxa"/>
            <w:right w:w="0" w:type="dxa"/>
          </w:tblCellMar>
        </w:tblPrEx>
        <w:trPr>
          <w:trHeight w:val="428" w:hRule="atLeast"/>
        </w:trPr>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057E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C9951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成本</w:t>
            </w:r>
            <w:r>
              <w:rPr>
                <w:rFonts w:hint="eastAsia" w:cs="宋体"/>
                <w:color w:val="auto"/>
                <w:kern w:val="0"/>
                <w:sz w:val="20"/>
                <w:szCs w:val="20"/>
                <w:highlight w:val="none"/>
                <w:shd w:val="clear" w:color="auto" w:fill="auto"/>
                <w:lang w:val="en-US" w:eastAsia="zh-CN"/>
              </w:rPr>
              <w:t>指标</w:t>
            </w:r>
          </w:p>
        </w:tc>
        <w:tc>
          <w:tcPr>
            <w:tcW w:w="26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0A232F">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成本</w:t>
            </w:r>
            <w:r>
              <w:rPr>
                <w:rFonts w:hint="eastAsia" w:cs="宋体"/>
                <w:color w:val="auto"/>
                <w:kern w:val="0"/>
                <w:sz w:val="20"/>
                <w:szCs w:val="20"/>
                <w:highlight w:val="none"/>
                <w:shd w:val="clear" w:color="auto" w:fill="auto"/>
                <w:lang w:val="en-US" w:eastAsia="zh-CN"/>
              </w:rPr>
              <w:t>控制率</w:t>
            </w:r>
          </w:p>
        </w:tc>
        <w:tc>
          <w:tcPr>
            <w:tcW w:w="14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C93174">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＝100%</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B6AD3">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8</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0DC72">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p w14:paraId="5C1A8593">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100%</w:t>
            </w:r>
          </w:p>
          <w:p w14:paraId="73C050E8">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1EEDC">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8</w:t>
            </w:r>
          </w:p>
        </w:tc>
      </w:tr>
      <w:tr w14:paraId="567D2314">
        <w:tblPrEx>
          <w:shd w:val="clear" w:color="auto" w:fill="auto"/>
          <w:tblCellMar>
            <w:top w:w="0" w:type="dxa"/>
            <w:left w:w="0" w:type="dxa"/>
            <w:bottom w:w="0" w:type="dxa"/>
            <w:right w:w="0" w:type="dxa"/>
          </w:tblCellMar>
        </w:tblPrEx>
        <w:trPr>
          <w:trHeight w:val="403" w:hRule="atLeast"/>
        </w:trPr>
        <w:tc>
          <w:tcPr>
            <w:tcW w:w="5643"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6EE140">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合计</w:t>
            </w:r>
          </w:p>
        </w:tc>
        <w:tc>
          <w:tcPr>
            <w:tcW w:w="5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02009">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40</w:t>
            </w:r>
          </w:p>
        </w:tc>
        <w:tc>
          <w:tcPr>
            <w:tcW w:w="13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60C02A">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6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04DBB">
            <w:pPr>
              <w:keepNext w:val="0"/>
              <w:keepLines w:val="0"/>
              <w:pageBreakBefore w:val="0"/>
              <w:widowControl/>
              <w:kinsoku/>
              <w:wordWrap/>
              <w:overflowPunct/>
              <w:topLinePunct w:val="0"/>
              <w:autoSpaceDE/>
              <w:autoSpaceDN/>
              <w:bidi w:val="0"/>
              <w:adjustRightInd/>
              <w:snapToGrid w:val="0"/>
              <w:spacing w:line="300" w:lineRule="exact"/>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40</w:t>
            </w:r>
          </w:p>
        </w:tc>
      </w:tr>
    </w:tbl>
    <w:p w14:paraId="5AABB416">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31" w:name="_Toc26689"/>
      <w:bookmarkStart w:id="132" w:name="_Toc11067"/>
      <w:r>
        <w:rPr>
          <w:rFonts w:hint="eastAsia" w:ascii="仿宋_GB2312" w:hAnsi="仿宋_GB2312" w:eastAsia="仿宋_GB2312" w:cs="仿宋_GB2312"/>
          <w:b/>
          <w:bCs/>
          <w:color w:val="auto"/>
          <w:sz w:val="32"/>
          <w:szCs w:val="32"/>
          <w:highlight w:val="none"/>
          <w:lang w:val="en-US" w:eastAsia="zh-CN"/>
        </w:rPr>
        <w:t>1.数量指标完成情况</w:t>
      </w:r>
      <w:bookmarkEnd w:id="131"/>
      <w:bookmarkEnd w:id="132"/>
    </w:p>
    <w:p w14:paraId="1E14769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）“支持的农民合作社数量”</w:t>
      </w:r>
      <w:r>
        <w:rPr>
          <w:rFonts w:hint="eastAsia" w:ascii="仿宋_GB2312" w:hAnsi="仿宋_GB2312" w:eastAsia="仿宋_GB2312" w:cs="仿宋_GB2312"/>
          <w:color w:val="auto"/>
          <w:sz w:val="32"/>
          <w:szCs w:val="32"/>
          <w:highlight w:val="none"/>
          <w:lang w:val="en-US" w:eastAsia="zh-CN"/>
        </w:rPr>
        <w:t>指标，预期目标值为4个，实际完成为4个。实际完成率=（4个/4个）×100%=100%。</w:t>
      </w:r>
    </w:p>
    <w:p w14:paraId="20C346A7">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）“支持的家庭农场数量”</w:t>
      </w:r>
      <w:r>
        <w:rPr>
          <w:rFonts w:hint="eastAsia" w:ascii="仿宋_GB2312" w:hAnsi="仿宋_GB2312" w:eastAsia="仿宋_GB2312" w:cs="仿宋_GB2312"/>
          <w:color w:val="auto"/>
          <w:sz w:val="32"/>
          <w:szCs w:val="32"/>
          <w:highlight w:val="none"/>
          <w:lang w:val="en-US" w:eastAsia="zh-CN"/>
        </w:rPr>
        <w:t>指标，预期目标值为7个，实际完成为7个。实际完成率=（7个/7个）×100%=100%。</w:t>
      </w:r>
    </w:p>
    <w:p w14:paraId="3474202E">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）“农业生产托管服务面积（万亩）”</w:t>
      </w:r>
      <w:r>
        <w:rPr>
          <w:rFonts w:hint="eastAsia" w:ascii="仿宋_GB2312" w:hAnsi="仿宋_GB2312" w:eastAsia="仿宋_GB2312" w:cs="仿宋_GB2312"/>
          <w:color w:val="auto"/>
          <w:sz w:val="32"/>
          <w:szCs w:val="32"/>
          <w:highlight w:val="none"/>
          <w:lang w:val="en-US" w:eastAsia="zh-CN"/>
        </w:rPr>
        <w:t>指标，预期目标值为≥5.5万亩，实际完成为5.5万亩。实际完成率=（5.5万亩/5.5万亩）×100%=100%。</w:t>
      </w:r>
    </w:p>
    <w:p w14:paraId="5F8BC03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综上，该项指标满分20分，得分20分。</w:t>
      </w:r>
    </w:p>
    <w:p w14:paraId="3B64E8D1">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auto"/>
          <w:sz w:val="32"/>
          <w:szCs w:val="32"/>
          <w:highlight w:val="none"/>
          <w:lang w:val="en-US" w:eastAsia="zh-CN"/>
        </w:rPr>
      </w:pPr>
      <w:bookmarkStart w:id="133" w:name="_Toc31739"/>
      <w:bookmarkStart w:id="134" w:name="_Toc14255"/>
      <w:r>
        <w:rPr>
          <w:rFonts w:hint="eastAsia" w:ascii="仿宋_GB2312" w:hAnsi="仿宋_GB2312" w:eastAsia="仿宋_GB2312" w:cs="仿宋_GB2312"/>
          <w:b/>
          <w:bCs/>
          <w:color w:val="auto"/>
          <w:sz w:val="32"/>
          <w:szCs w:val="32"/>
          <w:highlight w:val="none"/>
          <w:lang w:val="en-US" w:eastAsia="zh-CN"/>
        </w:rPr>
        <w:t>2.</w:t>
      </w:r>
      <w:bookmarkEnd w:id="133"/>
      <w:r>
        <w:rPr>
          <w:rFonts w:hint="eastAsia" w:ascii="仿宋_GB2312" w:hAnsi="仿宋_GB2312" w:eastAsia="仿宋_GB2312" w:cs="仿宋_GB2312"/>
          <w:b/>
          <w:bCs/>
          <w:color w:val="auto"/>
          <w:sz w:val="32"/>
          <w:szCs w:val="32"/>
          <w:highlight w:val="none"/>
          <w:lang w:val="en-US" w:eastAsia="zh-CN"/>
        </w:rPr>
        <w:t>质量指标完成情况</w:t>
      </w:r>
      <w:bookmarkEnd w:id="134"/>
    </w:p>
    <w:p w14:paraId="3298ABF5">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“农业生产社会化服务对象</w:t>
      </w:r>
      <w:r>
        <w:rPr>
          <w:rFonts w:hint="eastAsia" w:ascii="仿宋_GB2312" w:hAnsi="仿宋_GB2312" w:eastAsia="仿宋_GB2312" w:cs="仿宋_GB2312"/>
          <w:color w:val="auto"/>
          <w:sz w:val="32"/>
          <w:szCs w:val="32"/>
          <w:highlight w:val="none"/>
          <w:lang w:val="en-US" w:eastAsia="zh-CN"/>
        </w:rPr>
        <w:t>提高</w:t>
      </w:r>
      <w:r>
        <w:rPr>
          <w:rFonts w:hint="eastAsia" w:ascii="仿宋_GB2312" w:hAnsi="仿宋_GB2312" w:eastAsia="仿宋_GB2312" w:cs="仿宋_GB2312"/>
          <w:color w:val="auto"/>
          <w:sz w:val="32"/>
          <w:szCs w:val="32"/>
          <w:highlight w:val="none"/>
          <w:lang w:eastAsia="zh-CN"/>
        </w:rPr>
        <w:t>单产水平”</w:t>
      </w:r>
      <w:r>
        <w:rPr>
          <w:rFonts w:hint="eastAsia" w:ascii="仿宋_GB2312" w:hAnsi="仿宋_GB2312" w:eastAsia="仿宋_GB2312" w:cs="仿宋_GB2312"/>
          <w:color w:val="auto"/>
          <w:sz w:val="32"/>
          <w:szCs w:val="32"/>
          <w:highlight w:val="none"/>
          <w:lang w:val="en-US" w:eastAsia="zh-CN"/>
        </w:rPr>
        <w:t>指标，预期目标值为＝100%，实际完成为100%。实际完成率100%。。</w:t>
      </w:r>
    </w:p>
    <w:p w14:paraId="3505598F">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综上，该项指标满分5分，得分5分。</w:t>
      </w:r>
    </w:p>
    <w:p w14:paraId="10F7C751">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auto"/>
          <w:sz w:val="32"/>
          <w:szCs w:val="32"/>
          <w:highlight w:val="none"/>
          <w:lang w:val="en-US" w:eastAsia="zh-CN"/>
        </w:rPr>
      </w:pPr>
      <w:bookmarkStart w:id="135" w:name="_Toc18307"/>
      <w:bookmarkStart w:id="136" w:name="_Toc28885"/>
      <w:r>
        <w:rPr>
          <w:rFonts w:hint="eastAsia" w:ascii="仿宋_GB2312" w:hAnsi="仿宋_GB2312" w:eastAsia="仿宋_GB2312" w:cs="仿宋_GB2312"/>
          <w:b/>
          <w:bCs/>
          <w:color w:val="auto"/>
          <w:sz w:val="32"/>
          <w:szCs w:val="32"/>
          <w:highlight w:val="none"/>
          <w:lang w:val="en-US" w:eastAsia="zh-CN"/>
        </w:rPr>
        <w:t>3.</w:t>
      </w:r>
      <w:bookmarkEnd w:id="135"/>
      <w:r>
        <w:rPr>
          <w:rFonts w:hint="eastAsia" w:ascii="仿宋_GB2312" w:hAnsi="仿宋_GB2312" w:eastAsia="仿宋_GB2312" w:cs="仿宋_GB2312"/>
          <w:b/>
          <w:bCs/>
          <w:color w:val="auto"/>
          <w:sz w:val="32"/>
          <w:szCs w:val="32"/>
          <w:highlight w:val="none"/>
          <w:lang w:val="en-US" w:eastAsia="zh-CN"/>
        </w:rPr>
        <w:t>时效指标完成情况</w:t>
      </w:r>
      <w:bookmarkEnd w:id="136"/>
    </w:p>
    <w:p w14:paraId="06BFBA6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“项目完成时间”</w:t>
      </w:r>
      <w:r>
        <w:rPr>
          <w:rFonts w:hint="eastAsia" w:ascii="仿宋_GB2312" w:hAnsi="仿宋_GB2312" w:eastAsia="仿宋_GB2312" w:cs="仿宋_GB2312"/>
          <w:color w:val="auto"/>
          <w:sz w:val="32"/>
          <w:szCs w:val="32"/>
          <w:highlight w:val="none"/>
          <w:lang w:val="en-US" w:eastAsia="zh-CN"/>
        </w:rPr>
        <w:t>指标，预期目标值为2024年11月5日，实际完成为2024年11月5日。实际完成率100%。</w:t>
      </w:r>
    </w:p>
    <w:p w14:paraId="75875897">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综上，该项指标满分7分，得分7分。</w:t>
      </w:r>
    </w:p>
    <w:p w14:paraId="32C7A21C">
      <w:pPr>
        <w:pageBreakBefore w:val="0"/>
        <w:kinsoku/>
        <w:wordWrap/>
        <w:overflowPunct/>
        <w:topLinePunct w:val="0"/>
        <w:autoSpaceDE/>
        <w:autoSpaceDN/>
        <w:bidi w:val="0"/>
        <w:spacing w:line="560" w:lineRule="exact"/>
        <w:textAlignment w:val="auto"/>
        <w:outlineLvl w:val="2"/>
        <w:rPr>
          <w:rFonts w:hint="default" w:ascii="仿宋_GB2312" w:hAnsi="仿宋_GB2312" w:eastAsia="仿宋_GB2312" w:cs="仿宋_GB2312"/>
          <w:b/>
          <w:bCs/>
          <w:color w:val="auto"/>
          <w:sz w:val="32"/>
          <w:szCs w:val="32"/>
          <w:highlight w:val="none"/>
          <w:lang w:val="en-US" w:eastAsia="zh-CN"/>
        </w:rPr>
      </w:pPr>
      <w:bookmarkStart w:id="137" w:name="_Toc32765"/>
      <w:bookmarkStart w:id="138" w:name="_Toc20607"/>
      <w:r>
        <w:rPr>
          <w:rFonts w:hint="eastAsia" w:ascii="仿宋_GB2312" w:hAnsi="仿宋_GB2312" w:eastAsia="仿宋_GB2312" w:cs="仿宋_GB2312"/>
          <w:b/>
          <w:bCs/>
          <w:color w:val="auto"/>
          <w:sz w:val="32"/>
          <w:szCs w:val="32"/>
          <w:highlight w:val="none"/>
          <w:lang w:val="en-US" w:eastAsia="zh-CN"/>
        </w:rPr>
        <w:t>4.项目</w:t>
      </w:r>
      <w:bookmarkEnd w:id="137"/>
      <w:r>
        <w:rPr>
          <w:rFonts w:hint="eastAsia" w:ascii="仿宋_GB2312" w:hAnsi="仿宋_GB2312" w:eastAsia="仿宋_GB2312" w:cs="仿宋_GB2312"/>
          <w:b/>
          <w:bCs/>
          <w:color w:val="auto"/>
          <w:sz w:val="32"/>
          <w:szCs w:val="32"/>
          <w:highlight w:val="none"/>
          <w:lang w:val="en-US" w:eastAsia="zh-CN"/>
        </w:rPr>
        <w:t>成本情况</w:t>
      </w:r>
      <w:bookmarkEnd w:id="138"/>
    </w:p>
    <w:p w14:paraId="050DD664">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经济</w:t>
      </w:r>
      <w:r>
        <w:rPr>
          <w:rFonts w:hint="eastAsia" w:ascii="仿宋_GB2312" w:hAnsi="仿宋_GB2312" w:eastAsia="仿宋_GB2312" w:cs="仿宋_GB2312"/>
          <w:b/>
          <w:bCs/>
          <w:color w:val="auto"/>
          <w:sz w:val="32"/>
          <w:szCs w:val="32"/>
          <w:highlight w:val="none"/>
          <w:lang w:eastAsia="zh-CN"/>
        </w:rPr>
        <w:t>成本指标完成情况</w:t>
      </w:r>
    </w:p>
    <w:p w14:paraId="3E820914">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“成本控制率”</w:t>
      </w:r>
      <w:r>
        <w:rPr>
          <w:rFonts w:hint="eastAsia" w:ascii="仿宋_GB2312" w:hAnsi="仿宋_GB2312" w:eastAsia="仿宋_GB2312" w:cs="仿宋_GB2312"/>
          <w:color w:val="auto"/>
          <w:sz w:val="32"/>
          <w:szCs w:val="32"/>
          <w:highlight w:val="none"/>
          <w:lang w:val="en-US" w:eastAsia="zh-CN"/>
        </w:rPr>
        <w:t>指标，预期目标值为＝100%，实际完成为100%。实际完成率100%。</w:t>
      </w:r>
    </w:p>
    <w:p w14:paraId="1C8D6081">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综上，该项指标满分8分，得分8分。</w:t>
      </w:r>
    </w:p>
    <w:p w14:paraId="7F558F43">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color w:val="auto"/>
          <w:kern w:val="28"/>
          <w:sz w:val="32"/>
          <w:highlight w:val="none"/>
          <w:lang w:val="en-US" w:eastAsia="zh-CN"/>
        </w:rPr>
      </w:pPr>
      <w:bookmarkStart w:id="139" w:name="_Toc19424"/>
      <w:r>
        <w:rPr>
          <w:rFonts w:hint="eastAsia" w:ascii="Times New Roman" w:hAnsi="Times New Roman" w:eastAsia="楷体_GB2312" w:cs="Times New Roman"/>
          <w:color w:val="auto"/>
          <w:kern w:val="28"/>
          <w:sz w:val="32"/>
          <w:highlight w:val="none"/>
          <w:lang w:val="en-US" w:eastAsia="zh-CN"/>
        </w:rPr>
        <w:t>（四）项目效益情况</w:t>
      </w:r>
      <w:bookmarkEnd w:id="139"/>
    </w:p>
    <w:p w14:paraId="1BABCF0C">
      <w:pPr>
        <w:pageBreakBefore w:val="0"/>
        <w:widowControl w:val="0"/>
        <w:kinsoku/>
        <w:wordWrap/>
        <w:overflowPunct/>
        <w:topLinePunct w:val="0"/>
        <w:autoSpaceDE/>
        <w:autoSpaceDN/>
        <w:bidi w:val="0"/>
        <w:adjustRightInd/>
        <w:spacing w:line="560" w:lineRule="exact"/>
        <w:ind w:firstLine="560"/>
        <w:jc w:val="left"/>
        <w:textAlignment w:val="auto"/>
        <w:rPr>
          <w:rFonts w:hint="eastAsia" w:ascii="仿宋_GB2312" w:hAnsi="仿宋_GB2312" w:eastAsia="仿宋_GB2312" w:cs="仿宋_GB2312"/>
          <w:color w:val="auto"/>
          <w:kern w:val="2"/>
          <w:sz w:val="32"/>
          <w:szCs w:val="32"/>
          <w:highlight w:val="none"/>
          <w:u w:color="000000"/>
          <w:shd w:val="clear" w:color="auto" w:fill="auto"/>
          <w:lang w:val="zh-TW" w:eastAsia="zh-TW"/>
        </w:rPr>
      </w:pPr>
      <w:r>
        <w:rPr>
          <w:rFonts w:hint="eastAsia" w:ascii="仿宋_GB2312" w:hAnsi="仿宋_GB2312" w:eastAsia="仿宋_GB2312" w:cs="仿宋_GB2312"/>
          <w:color w:val="auto"/>
          <w:kern w:val="2"/>
          <w:sz w:val="32"/>
          <w:szCs w:val="32"/>
          <w:highlight w:val="none"/>
          <w:u w:color="000000"/>
          <w:shd w:val="clear" w:color="auto" w:fill="auto"/>
          <w:lang w:val="zh-TW" w:eastAsia="zh-TW"/>
        </w:rPr>
        <w:t>项目</w:t>
      </w:r>
      <w:r>
        <w:rPr>
          <w:rFonts w:hint="eastAsia" w:ascii="仿宋_GB2312" w:hAnsi="仿宋_GB2312" w:eastAsia="仿宋_GB2312" w:cs="仿宋_GB2312"/>
          <w:color w:val="auto"/>
          <w:sz w:val="32"/>
          <w:szCs w:val="32"/>
          <w:highlight w:val="none"/>
          <w:shd w:val="clear" w:color="auto" w:fill="auto"/>
          <w:lang w:val="en-US" w:eastAsia="zh-CN"/>
        </w:rPr>
        <w:t>效益</w:t>
      </w:r>
      <w:r>
        <w:rPr>
          <w:rFonts w:hint="eastAsia" w:ascii="仿宋_GB2312" w:hAnsi="仿宋_GB2312" w:eastAsia="仿宋_GB2312" w:cs="仿宋_GB2312"/>
          <w:color w:val="auto"/>
          <w:kern w:val="2"/>
          <w:sz w:val="32"/>
          <w:szCs w:val="32"/>
          <w:highlight w:val="none"/>
          <w:u w:color="000000"/>
          <w:shd w:val="clear" w:color="auto" w:fill="auto"/>
          <w:lang w:val="zh-TW" w:eastAsia="zh-TW"/>
        </w:rPr>
        <w:t>类指标</w:t>
      </w:r>
      <w:r>
        <w:rPr>
          <w:rFonts w:hint="default" w:ascii="Times New Roman" w:hAnsi="Times New Roman" w:eastAsia="仿宋_GB2312" w:cs="Times New Roman"/>
          <w:color w:val="auto"/>
          <w:sz w:val="32"/>
          <w:szCs w:val="32"/>
          <w:highlight w:val="none"/>
          <w:lang w:val="en-US" w:eastAsia="zh-CN"/>
        </w:rPr>
        <w:t>包括项目实施效益和满意度两方面的内容，</w:t>
      </w:r>
      <w:r>
        <w:rPr>
          <w:rFonts w:hint="eastAsia" w:ascii="仿宋_GB2312" w:hAnsi="仿宋_GB2312" w:eastAsia="仿宋_GB2312" w:cs="仿宋_GB2312"/>
          <w:color w:val="auto"/>
          <w:kern w:val="2"/>
          <w:sz w:val="32"/>
          <w:szCs w:val="32"/>
          <w:highlight w:val="none"/>
          <w:u w:color="000000"/>
          <w:shd w:val="clear" w:color="auto" w:fill="auto"/>
          <w:lang w:val="zh-TW" w:eastAsia="zh-TW"/>
        </w:rPr>
        <w:t>由</w:t>
      </w:r>
      <w:r>
        <w:rPr>
          <w:rFonts w:hint="eastAsia" w:ascii="仿宋_GB2312" w:hAnsi="仿宋_GB2312" w:eastAsia="仿宋_GB2312" w:cs="仿宋_GB2312"/>
          <w:color w:val="auto"/>
          <w:kern w:val="2"/>
          <w:sz w:val="32"/>
          <w:szCs w:val="32"/>
          <w:highlight w:val="none"/>
          <w:u w:color="000000"/>
          <w:shd w:val="clear" w:color="auto" w:fill="auto"/>
          <w:lang w:val="en-US" w:eastAsia="zh-CN"/>
        </w:rPr>
        <w:t>2</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val="zh-TW" w:eastAsia="zh-CN"/>
        </w:rPr>
        <w:t>二</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级指标和</w:t>
      </w:r>
      <w:r>
        <w:rPr>
          <w:rFonts w:hint="eastAsia" w:ascii="仿宋_GB2312" w:hAnsi="仿宋_GB2312" w:eastAsia="仿宋_GB2312" w:cs="仿宋_GB2312"/>
          <w:color w:val="auto"/>
          <w:kern w:val="2"/>
          <w:sz w:val="32"/>
          <w:szCs w:val="32"/>
          <w:highlight w:val="none"/>
          <w:u w:color="000000"/>
          <w:shd w:val="clear" w:color="auto" w:fill="auto"/>
          <w:lang w:val="en-US" w:eastAsia="zh-CN"/>
        </w:rPr>
        <w:t>2</w:t>
      </w:r>
      <w:r>
        <w:rPr>
          <w:rFonts w:hint="eastAsia" w:ascii="仿宋_GB2312" w:hAnsi="仿宋_GB2312" w:eastAsia="仿宋_GB2312" w:cs="仿宋_GB2312"/>
          <w:color w:val="auto"/>
          <w:kern w:val="2"/>
          <w:sz w:val="32"/>
          <w:szCs w:val="32"/>
          <w:highlight w:val="none"/>
          <w:u w:color="000000"/>
          <w:shd w:val="clear" w:color="auto" w:fill="auto"/>
          <w:lang w:val="zh-TW" w:eastAsia="zh-TW"/>
        </w:rPr>
        <w:t>个</w:t>
      </w:r>
      <w:r>
        <w:rPr>
          <w:rFonts w:hint="eastAsia" w:ascii="仿宋_GB2312" w:hAnsi="仿宋_GB2312" w:eastAsia="仿宋_GB2312" w:cs="仿宋_GB2312"/>
          <w:color w:val="auto"/>
          <w:kern w:val="2"/>
          <w:sz w:val="32"/>
          <w:szCs w:val="32"/>
          <w:highlight w:val="none"/>
          <w:u w:color="000000"/>
          <w:shd w:val="clear" w:color="auto" w:fill="auto"/>
          <w:lang w:eastAsia="zh-CN"/>
        </w:rPr>
        <w:t>三</w:t>
      </w:r>
      <w:r>
        <w:rPr>
          <w:rFonts w:hint="eastAsia" w:ascii="仿宋_GB2312" w:hAnsi="仿宋_GB2312" w:eastAsia="仿宋_GB2312" w:cs="仿宋_GB2312"/>
          <w:color w:val="auto"/>
          <w:kern w:val="2"/>
          <w:sz w:val="32"/>
          <w:szCs w:val="32"/>
          <w:highlight w:val="none"/>
          <w:u w:color="000000"/>
          <w:shd w:val="clear" w:color="auto" w:fill="auto"/>
          <w:lang w:val="zh-TW" w:eastAsia="zh-TW"/>
        </w:rPr>
        <w:t>级指标构成，权重分</w:t>
      </w:r>
      <w:r>
        <w:rPr>
          <w:rFonts w:hint="eastAsia" w:ascii="仿宋_GB2312" w:hAnsi="仿宋_GB2312" w:eastAsia="仿宋_GB2312" w:cs="仿宋_GB2312"/>
          <w:color w:val="auto"/>
          <w:kern w:val="2"/>
          <w:sz w:val="32"/>
          <w:szCs w:val="32"/>
          <w:highlight w:val="none"/>
          <w:u w:color="000000"/>
          <w:shd w:val="clear" w:color="auto" w:fill="auto"/>
          <w:lang w:val="en-US" w:eastAsia="zh-CN"/>
        </w:rPr>
        <w:t>20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分，实际得分</w:t>
      </w:r>
      <w:r>
        <w:rPr>
          <w:rFonts w:hint="eastAsia" w:ascii="仿宋_GB2312" w:hAnsi="仿宋_GB2312" w:eastAsia="仿宋_GB2312" w:cs="仿宋_GB2312"/>
          <w:color w:val="auto"/>
          <w:kern w:val="2"/>
          <w:sz w:val="32"/>
          <w:szCs w:val="32"/>
          <w:highlight w:val="none"/>
          <w:u w:color="000000"/>
          <w:shd w:val="clear" w:color="auto" w:fill="auto"/>
          <w:lang w:val="en-US" w:eastAsia="zh-CN"/>
        </w:rPr>
        <w:t>20</w:t>
      </w:r>
      <w:r>
        <w:rPr>
          <w:rFonts w:hint="eastAsia" w:ascii="仿宋_GB2312" w:hAnsi="仿宋_GB2312" w:eastAsia="仿宋_GB2312" w:cs="仿宋_GB2312"/>
          <w:color w:val="auto"/>
          <w:kern w:val="2"/>
          <w:sz w:val="32"/>
          <w:szCs w:val="32"/>
          <w:highlight w:val="none"/>
          <w:u w:color="000000"/>
          <w:shd w:val="clear" w:color="auto" w:fill="auto"/>
          <w:lang w:val="zh-TW" w:eastAsia="zh-TW"/>
        </w:rPr>
        <w:t>分</w:t>
      </w:r>
      <w:r>
        <w:rPr>
          <w:rFonts w:hint="eastAsia" w:ascii="仿宋_GB2312" w:hAnsi="仿宋_GB2312" w:eastAsia="仿宋_GB2312" w:cs="仿宋_GB2312"/>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各指标业绩值和绩效分值如表</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eastAsia="zh-CN"/>
        </w:rPr>
        <w:t>-</w:t>
      </w:r>
      <w:r>
        <w:rPr>
          <w:rFonts w:hint="eastAsia" w:ascii="仿宋_GB2312" w:hAnsi="仿宋_GB2312" w:eastAsia="仿宋_GB2312" w:cs="仿宋_GB2312"/>
          <w:color w:val="auto"/>
          <w:kern w:val="2"/>
          <w:sz w:val="32"/>
          <w:szCs w:val="32"/>
          <w:highlight w:val="none"/>
          <w:u w:color="000000"/>
          <w:shd w:val="clear" w:color="auto" w:fill="auto"/>
          <w:lang w:val="en-US" w:eastAsia="zh-CN"/>
        </w:rPr>
        <w:t>4</w:t>
      </w:r>
      <w:r>
        <w:rPr>
          <w:rFonts w:hint="eastAsia" w:ascii="仿宋_GB2312" w:hAnsi="仿宋_GB2312" w:eastAsia="仿宋_GB2312" w:cs="仿宋_GB2312"/>
          <w:color w:val="auto"/>
          <w:kern w:val="2"/>
          <w:sz w:val="32"/>
          <w:szCs w:val="32"/>
          <w:highlight w:val="none"/>
          <w:u w:color="000000"/>
          <w:shd w:val="clear" w:color="auto" w:fill="auto"/>
          <w:lang w:val="zh-TW" w:eastAsia="zh-TW"/>
        </w:rPr>
        <w:t>所示</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b/>
          <w:bCs/>
          <w:color w:val="auto"/>
          <w:kern w:val="2"/>
          <w:sz w:val="32"/>
          <w:szCs w:val="32"/>
          <w:highlight w:val="none"/>
          <w:u w:color="000000"/>
          <w:shd w:val="clear" w:color="auto" w:fill="auto"/>
          <w:lang w:val="en-US" w:eastAsia="zh-CN"/>
        </w:rPr>
        <w:t>详见上传的附件</w:t>
      </w:r>
      <w:r>
        <w:rPr>
          <w:rFonts w:hint="eastAsia" w:ascii="仿宋_GB2312" w:hAnsi="仿宋_GB2312" w:eastAsia="仿宋_GB2312" w:cs="仿宋_GB2312"/>
          <w:b/>
          <w:bCs/>
          <w:color w:val="auto"/>
          <w:kern w:val="2"/>
          <w:sz w:val="32"/>
          <w:szCs w:val="32"/>
          <w:highlight w:val="none"/>
          <w:u w:color="000000"/>
          <w:shd w:val="clear" w:color="auto" w:fill="auto"/>
          <w:lang w:val="zh-TW" w:eastAsia="zh-CN"/>
        </w:rPr>
        <w:t>）</w:t>
      </w:r>
      <w:r>
        <w:rPr>
          <w:rFonts w:hint="eastAsia" w:ascii="仿宋_GB2312" w:hAnsi="仿宋_GB2312" w:eastAsia="仿宋_GB2312" w:cs="仿宋_GB2312"/>
          <w:color w:val="auto"/>
          <w:kern w:val="2"/>
          <w:sz w:val="32"/>
          <w:szCs w:val="32"/>
          <w:highlight w:val="none"/>
          <w:u w:color="000000"/>
          <w:shd w:val="clear" w:color="auto" w:fill="auto"/>
          <w:lang w:val="zh-TW" w:eastAsia="zh-TW"/>
        </w:rPr>
        <w:t>：</w:t>
      </w:r>
    </w:p>
    <w:p w14:paraId="412733B9">
      <w:pPr>
        <w:pageBreakBefore w:val="0"/>
        <w:widowControl w:val="0"/>
        <w:kinsoku/>
        <w:wordWrap/>
        <w:overflowPunct/>
        <w:topLinePunct w:val="0"/>
        <w:autoSpaceDE/>
        <w:autoSpaceDN/>
        <w:bidi w:val="0"/>
        <w:adjustRightInd/>
        <w:spacing w:line="560" w:lineRule="exact"/>
        <w:ind w:firstLine="560"/>
        <w:jc w:val="center"/>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zh-TW" w:eastAsia="zh-TW"/>
        </w:rPr>
        <w:t>表</w:t>
      </w:r>
      <w:r>
        <w:rPr>
          <w:rFonts w:hint="eastAsia" w:ascii="宋体" w:hAnsi="宋体" w:eastAsia="宋体" w:cs="宋体"/>
          <w:b/>
          <w:bCs/>
          <w:color w:val="auto"/>
          <w:kern w:val="0"/>
          <w:sz w:val="28"/>
          <w:szCs w:val="28"/>
          <w:highlight w:val="none"/>
          <w:shd w:val="clear" w:color="auto" w:fill="auto"/>
          <w:lang w:val="en-US" w:eastAsia="zh-CN"/>
        </w:rPr>
        <w:t>4-4项目效益</w:t>
      </w:r>
      <w:r>
        <w:rPr>
          <w:rFonts w:hint="eastAsia" w:ascii="宋体" w:hAnsi="宋体" w:eastAsia="宋体" w:cs="宋体"/>
          <w:b/>
          <w:bCs/>
          <w:color w:val="auto"/>
          <w:kern w:val="0"/>
          <w:sz w:val="28"/>
          <w:szCs w:val="28"/>
          <w:highlight w:val="none"/>
          <w:shd w:val="clear" w:color="auto" w:fill="auto"/>
          <w:lang w:val="zh-TW" w:eastAsia="zh-TW"/>
        </w:rPr>
        <w:t>指标及分值</w:t>
      </w:r>
      <w:r>
        <w:rPr>
          <w:rFonts w:hint="eastAsia" w:ascii="宋体" w:hAnsi="宋体" w:eastAsia="宋体" w:cs="宋体"/>
          <w:b/>
          <w:bCs/>
          <w:color w:val="auto"/>
          <w:kern w:val="0"/>
          <w:sz w:val="28"/>
          <w:szCs w:val="28"/>
          <w:highlight w:val="none"/>
          <w:shd w:val="clear" w:color="auto" w:fill="auto"/>
          <w:lang w:val="en-US" w:eastAsia="zh-CN"/>
        </w:rPr>
        <w:t>情况</w:t>
      </w:r>
    </w:p>
    <w:p w14:paraId="25CBBF4B">
      <w:pPr>
        <w:pageBreakBefore w:val="0"/>
        <w:widowControl w:val="0"/>
        <w:kinsoku/>
        <w:wordWrap/>
        <w:overflowPunct/>
        <w:topLinePunct w:val="0"/>
        <w:autoSpaceDE/>
        <w:autoSpaceDN/>
        <w:bidi w:val="0"/>
        <w:adjustRightInd/>
        <w:spacing w:line="560" w:lineRule="exact"/>
        <w:ind w:firstLine="560"/>
        <w:jc w:val="center"/>
        <w:textAlignment w:val="auto"/>
        <w:outlineLvl w:val="2"/>
        <w:rPr>
          <w:rFonts w:hint="eastAsia" w:cs="宋体"/>
          <w:b/>
          <w:bCs/>
          <w:color w:val="auto"/>
          <w:kern w:val="0"/>
          <w:sz w:val="28"/>
          <w:szCs w:val="28"/>
          <w:highlight w:val="none"/>
          <w:shd w:val="clear" w:color="auto" w:fill="auto"/>
          <w:lang w:val="en-US" w:eastAsia="zh-CN"/>
        </w:rPr>
      </w:pPr>
      <w:bookmarkStart w:id="140" w:name="_Toc6032"/>
      <w:bookmarkStart w:id="141" w:name="_Toc4947"/>
      <w:r>
        <w:rPr>
          <w:rFonts w:hint="eastAsia" w:cs="宋体"/>
          <w:b/>
          <w:bCs/>
          <w:color w:val="auto"/>
          <w:kern w:val="0"/>
          <w:sz w:val="28"/>
          <w:szCs w:val="28"/>
          <w:highlight w:val="none"/>
          <w:shd w:val="clear" w:color="auto" w:fill="auto"/>
          <w:lang w:val="en-US" w:eastAsia="zh-CN"/>
        </w:rPr>
        <w:t>（三级指标与自评表的三级指标一致，完成后删除标注）</w:t>
      </w:r>
      <w:bookmarkEnd w:id="140"/>
      <w:bookmarkEnd w:id="141"/>
    </w:p>
    <w:p w14:paraId="0EA94B7F">
      <w:pPr>
        <w:pageBreakBefore w:val="0"/>
        <w:widowControl w:val="0"/>
        <w:kinsoku/>
        <w:wordWrap/>
        <w:overflowPunct/>
        <w:topLinePunct w:val="0"/>
        <w:autoSpaceDE/>
        <w:autoSpaceDN/>
        <w:bidi w:val="0"/>
        <w:adjustRightInd/>
        <w:spacing w:line="560" w:lineRule="exact"/>
        <w:ind w:firstLine="560"/>
        <w:jc w:val="center"/>
        <w:textAlignment w:val="auto"/>
        <w:rPr>
          <w:rFonts w:hint="default" w:ascii="宋体" w:hAnsi="宋体" w:eastAsia="宋体" w:cs="宋体"/>
          <w:color w:val="auto"/>
          <w:kern w:val="2"/>
          <w:highlight w:val="none"/>
          <w:u w:color="000000"/>
          <w:shd w:val="clear" w:color="auto" w:fill="auto"/>
          <w:lang w:val="en-US" w:eastAsia="zh-TW"/>
        </w:rPr>
      </w:pPr>
      <w:r>
        <w:rPr>
          <w:rFonts w:hint="eastAsia" w:cs="宋体"/>
          <w:b/>
          <w:bCs/>
          <w:color w:val="auto"/>
          <w:kern w:val="0"/>
          <w:sz w:val="28"/>
          <w:szCs w:val="28"/>
          <w:highlight w:val="none"/>
          <w:shd w:val="clear" w:color="auto" w:fill="auto"/>
          <w:lang w:val="en-US" w:eastAsia="zh-CN"/>
        </w:rPr>
        <w:t>（项目不涉及经济指标和生态指标请删除）</w:t>
      </w:r>
    </w:p>
    <w:tbl>
      <w:tblPr>
        <w:tblStyle w:val="16"/>
        <w:tblW w:w="8372" w:type="dxa"/>
        <w:jc w:val="center"/>
        <w:shd w:val="clear" w:color="auto" w:fill="auto"/>
        <w:tblLayout w:type="fixed"/>
        <w:tblCellMar>
          <w:top w:w="0" w:type="dxa"/>
          <w:left w:w="0" w:type="dxa"/>
          <w:bottom w:w="0" w:type="dxa"/>
          <w:right w:w="0" w:type="dxa"/>
        </w:tblCellMar>
      </w:tblPr>
      <w:tblGrid>
        <w:gridCol w:w="685"/>
        <w:gridCol w:w="1725"/>
        <w:gridCol w:w="2744"/>
        <w:gridCol w:w="870"/>
        <w:gridCol w:w="645"/>
        <w:gridCol w:w="1050"/>
        <w:gridCol w:w="653"/>
      </w:tblGrid>
      <w:tr w14:paraId="7AADA09F">
        <w:tblPrEx>
          <w:tblCellMar>
            <w:top w:w="0" w:type="dxa"/>
            <w:left w:w="0" w:type="dxa"/>
            <w:bottom w:w="0" w:type="dxa"/>
            <w:right w:w="0" w:type="dxa"/>
          </w:tblCellMar>
        </w:tblPrEx>
        <w:trPr>
          <w:trHeight w:val="816" w:hRule="atLeast"/>
          <w:jc w:val="center"/>
        </w:trPr>
        <w:tc>
          <w:tcPr>
            <w:tcW w:w="68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315369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一级</w:t>
            </w:r>
          </w:p>
          <w:p w14:paraId="4D26E62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指标</w:t>
            </w:r>
          </w:p>
        </w:tc>
        <w:tc>
          <w:tcPr>
            <w:tcW w:w="172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9F3077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二级指标</w:t>
            </w:r>
          </w:p>
        </w:tc>
        <w:tc>
          <w:tcPr>
            <w:tcW w:w="2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86900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三级指标</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97C5E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年度指</w:t>
            </w:r>
          </w:p>
          <w:p w14:paraId="1DB81B1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标值</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B7E31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标杆</w:t>
            </w:r>
          </w:p>
          <w:p w14:paraId="5DD311A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分值</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42DCE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全年实</w:t>
            </w:r>
          </w:p>
          <w:p w14:paraId="64356B2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际完成值</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6968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指标</w:t>
            </w:r>
          </w:p>
          <w:p w14:paraId="25E2CCA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b/>
                <w:bCs/>
                <w:color w:val="auto"/>
                <w:kern w:val="0"/>
                <w:sz w:val="20"/>
                <w:szCs w:val="20"/>
                <w:highlight w:val="none"/>
                <w:shd w:val="clear" w:color="auto" w:fill="auto"/>
                <w:lang w:val="en-US" w:eastAsia="zh-CN"/>
              </w:rPr>
            </w:pPr>
            <w:r>
              <w:rPr>
                <w:rFonts w:hint="eastAsia" w:ascii="宋体" w:hAnsi="宋体" w:eastAsia="宋体" w:cs="宋体"/>
                <w:b/>
                <w:bCs/>
                <w:color w:val="auto"/>
                <w:kern w:val="0"/>
                <w:sz w:val="20"/>
                <w:szCs w:val="20"/>
                <w:highlight w:val="none"/>
                <w:shd w:val="clear" w:color="auto" w:fill="auto"/>
                <w:lang w:val="en-US" w:eastAsia="zh-CN"/>
              </w:rPr>
              <w:t>得分</w:t>
            </w:r>
          </w:p>
        </w:tc>
      </w:tr>
      <w:tr w14:paraId="688F769C">
        <w:tblPrEx>
          <w:shd w:val="clear" w:color="auto" w:fill="auto"/>
          <w:tblCellMar>
            <w:top w:w="0" w:type="dxa"/>
            <w:left w:w="0" w:type="dxa"/>
            <w:bottom w:w="0" w:type="dxa"/>
            <w:right w:w="0" w:type="dxa"/>
          </w:tblCellMar>
        </w:tblPrEx>
        <w:trPr>
          <w:trHeight w:val="436" w:hRule="atLeast"/>
          <w:jc w:val="center"/>
        </w:trPr>
        <w:tc>
          <w:tcPr>
            <w:tcW w:w="685" w:type="dxa"/>
            <w:tcBorders>
              <w:left w:val="single" w:color="auto" w:sz="4" w:space="0"/>
              <w:right w:val="single" w:color="000000" w:sz="4" w:space="0"/>
            </w:tcBorders>
            <w:shd w:val="clear" w:color="auto" w:fill="auto"/>
            <w:tcMar>
              <w:top w:w="15" w:type="dxa"/>
              <w:left w:w="15" w:type="dxa"/>
              <w:right w:w="15" w:type="dxa"/>
            </w:tcMar>
            <w:vAlign w:val="center"/>
          </w:tcPr>
          <w:p w14:paraId="69C4953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725"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76A5696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社会效益指标</w:t>
            </w:r>
          </w:p>
        </w:tc>
        <w:tc>
          <w:tcPr>
            <w:tcW w:w="274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A253B5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农民合作社示范社和示范家庭农场发展水平和带动能力</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0C622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增强</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B2AD9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8C03E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达到预期指标</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93A8FF">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r>
      <w:tr w14:paraId="713C7FC4">
        <w:tblPrEx>
          <w:shd w:val="clear" w:color="auto" w:fill="auto"/>
          <w:tblCellMar>
            <w:top w:w="0" w:type="dxa"/>
            <w:left w:w="0" w:type="dxa"/>
            <w:bottom w:w="0" w:type="dxa"/>
            <w:right w:w="0" w:type="dxa"/>
          </w:tblCellMar>
        </w:tblPrEx>
        <w:trPr>
          <w:trHeight w:val="436" w:hRule="atLeast"/>
          <w:jc w:val="center"/>
        </w:trPr>
        <w:tc>
          <w:tcPr>
            <w:tcW w:w="685" w:type="dxa"/>
            <w:tcBorders>
              <w:left w:val="single" w:color="auto" w:sz="4" w:space="0"/>
              <w:right w:val="single" w:color="000000" w:sz="4" w:space="0"/>
            </w:tcBorders>
            <w:shd w:val="clear" w:color="auto" w:fill="auto"/>
            <w:tcMar>
              <w:top w:w="15" w:type="dxa"/>
              <w:left w:w="15" w:type="dxa"/>
              <w:right w:w="15" w:type="dxa"/>
            </w:tcMar>
            <w:vAlign w:val="center"/>
          </w:tcPr>
          <w:p w14:paraId="68C91FF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1725"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45A372BC">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满意度指标</w:t>
            </w:r>
          </w:p>
        </w:tc>
        <w:tc>
          <w:tcPr>
            <w:tcW w:w="274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68BBEB6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接受社会化服务的小农户满意度</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654A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≥98%</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DE430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E41844">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98%</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8937C5">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10</w:t>
            </w:r>
          </w:p>
        </w:tc>
      </w:tr>
      <w:tr w14:paraId="03CF51F4">
        <w:tblPrEx>
          <w:shd w:val="clear" w:color="auto" w:fill="auto"/>
          <w:tblCellMar>
            <w:top w:w="0" w:type="dxa"/>
            <w:left w:w="0" w:type="dxa"/>
            <w:bottom w:w="0" w:type="dxa"/>
            <w:right w:w="0" w:type="dxa"/>
          </w:tblCellMar>
        </w:tblPrEx>
        <w:trPr>
          <w:trHeight w:val="469" w:hRule="atLeast"/>
          <w:jc w:val="center"/>
        </w:trPr>
        <w:tc>
          <w:tcPr>
            <w:tcW w:w="602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A622F1">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r>
              <w:rPr>
                <w:rFonts w:hint="eastAsia" w:ascii="宋体" w:hAnsi="宋体" w:eastAsia="宋体" w:cs="宋体"/>
                <w:color w:val="auto"/>
                <w:kern w:val="0"/>
                <w:sz w:val="20"/>
                <w:szCs w:val="20"/>
                <w:highlight w:val="none"/>
                <w:shd w:val="clear" w:color="auto" w:fill="auto"/>
                <w:lang w:val="en-US" w:eastAsia="zh-CN"/>
              </w:rPr>
              <w:t>合计</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721316">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w:t>
            </w:r>
          </w:p>
        </w:tc>
        <w:tc>
          <w:tcPr>
            <w:tcW w:w="10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C60E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0"/>
                <w:szCs w:val="20"/>
                <w:highlight w:val="none"/>
                <w:shd w:val="clear" w:color="auto" w:fill="auto"/>
                <w:lang w:val="en-US" w:eastAsia="zh-CN"/>
              </w:rPr>
            </w:pP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A2CBE">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0"/>
                <w:szCs w:val="20"/>
                <w:highlight w:val="none"/>
                <w:shd w:val="clear" w:color="auto" w:fill="auto"/>
                <w:lang w:val="en-US" w:eastAsia="zh-CN"/>
              </w:rPr>
            </w:pPr>
            <w:r>
              <w:rPr>
                <w:rFonts w:hint="eastAsia" w:cs="宋体"/>
                <w:color w:val="auto"/>
                <w:kern w:val="0"/>
                <w:sz w:val="20"/>
                <w:szCs w:val="20"/>
                <w:highlight w:val="none"/>
                <w:shd w:val="clear" w:color="auto" w:fill="auto"/>
                <w:lang w:val="en-US" w:eastAsia="zh-CN"/>
              </w:rPr>
              <w:t>20</w:t>
            </w:r>
          </w:p>
        </w:tc>
      </w:tr>
    </w:tbl>
    <w:p w14:paraId="58F43E0E">
      <w:pPr>
        <w:pageBreakBefore w:val="0"/>
        <w:kinsoku/>
        <w:wordWrap/>
        <w:overflowPunct/>
        <w:topLinePunct w:val="0"/>
        <w:autoSpaceDE/>
        <w:autoSpaceDN/>
        <w:bidi w:val="0"/>
        <w:spacing w:line="560" w:lineRule="exact"/>
        <w:textAlignment w:val="auto"/>
        <w:outlineLvl w:val="2"/>
        <w:rPr>
          <w:rFonts w:hint="eastAsia" w:ascii="仿宋_GB2312" w:hAnsi="仿宋_GB2312" w:eastAsia="仿宋_GB2312" w:cs="仿宋_GB2312"/>
          <w:b/>
          <w:bCs/>
          <w:color w:val="auto"/>
          <w:sz w:val="32"/>
          <w:szCs w:val="32"/>
          <w:highlight w:val="none"/>
          <w:lang w:val="en-US" w:eastAsia="zh-CN"/>
        </w:rPr>
      </w:pPr>
      <w:bookmarkStart w:id="142" w:name="_Toc27006"/>
      <w:bookmarkStart w:id="143" w:name="_Toc29606"/>
      <w:r>
        <w:rPr>
          <w:rFonts w:hint="eastAsia" w:ascii="仿宋_GB2312" w:hAnsi="仿宋_GB2312" w:eastAsia="仿宋_GB2312" w:cs="仿宋_GB2312"/>
          <w:b/>
          <w:bCs/>
          <w:color w:val="auto"/>
          <w:sz w:val="32"/>
          <w:szCs w:val="32"/>
          <w:highlight w:val="none"/>
          <w:lang w:val="en-US" w:eastAsia="zh-CN"/>
        </w:rPr>
        <w:t>1.社会效益指标</w:t>
      </w:r>
      <w:bookmarkEnd w:id="142"/>
      <w:r>
        <w:rPr>
          <w:rFonts w:hint="eastAsia" w:ascii="仿宋_GB2312" w:hAnsi="仿宋_GB2312" w:eastAsia="仿宋_GB2312" w:cs="仿宋_GB2312"/>
          <w:b/>
          <w:bCs/>
          <w:color w:val="auto"/>
          <w:sz w:val="32"/>
          <w:szCs w:val="32"/>
          <w:highlight w:val="none"/>
          <w:lang w:val="en-US" w:eastAsia="zh-CN"/>
        </w:rPr>
        <w:t>完成情况</w:t>
      </w:r>
      <w:bookmarkEnd w:id="143"/>
    </w:p>
    <w:p w14:paraId="3DFED187">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“农民合作社示范社和示范家庭农场发展水平和带动能力”</w:t>
      </w:r>
      <w:r>
        <w:rPr>
          <w:rFonts w:hint="eastAsia" w:ascii="仿宋_GB2312" w:hAnsi="仿宋_GB2312" w:eastAsia="仿宋_GB2312" w:cs="仿宋_GB2312"/>
          <w:color w:val="auto"/>
          <w:sz w:val="32"/>
          <w:szCs w:val="32"/>
          <w:highlight w:val="none"/>
          <w:lang w:val="en-US" w:eastAsia="zh-CN"/>
        </w:rPr>
        <w:t>指标，预期目标值为增强，实际完成为达到预期指标。</w:t>
      </w:r>
    </w:p>
    <w:p w14:paraId="3EA347E5">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通过项目的实施，达到增强农民合作社示范社和示范家庭农场发展水平和带动能力的社会效益。</w:t>
      </w:r>
    </w:p>
    <w:p w14:paraId="5A9C001D">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综上，该项指标满分10分，得分10分。</w:t>
      </w:r>
    </w:p>
    <w:p w14:paraId="0415259E">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default" w:ascii="Times New Roman" w:hAnsi="Times New Roman" w:eastAsia="楷体_GB2312" w:cs="Times New Roman"/>
          <w:b/>
          <w:bCs/>
          <w:color w:val="auto"/>
          <w:kern w:val="28"/>
          <w:sz w:val="32"/>
          <w:highlight w:val="none"/>
          <w:lang w:val="en-US" w:eastAsia="zh-CN"/>
        </w:rPr>
      </w:pPr>
      <w:bookmarkStart w:id="144" w:name="_Toc23313"/>
      <w:r>
        <w:rPr>
          <w:rFonts w:hint="eastAsia" w:ascii="Times New Roman" w:hAnsi="Times New Roman" w:eastAsia="楷体_GB2312" w:cs="Times New Roman"/>
          <w:b/>
          <w:bCs/>
          <w:color w:val="auto"/>
          <w:kern w:val="28"/>
          <w:sz w:val="32"/>
          <w:highlight w:val="none"/>
          <w:lang w:val="en-US" w:eastAsia="zh-CN"/>
        </w:rPr>
        <w:t>（五）满意度指标完成情况分析</w:t>
      </w:r>
      <w:bookmarkEnd w:id="144"/>
    </w:p>
    <w:p w14:paraId="3DB44EAB">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接受社会化服务的小农户满意度</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指标，预期目标值为≥98%，实际完成为98%。</w:t>
      </w:r>
    </w:p>
    <w:p w14:paraId="3F742AA1">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综上，该项指标满分10分，得分10分。</w:t>
      </w:r>
    </w:p>
    <w:p w14:paraId="0215C57F">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auto"/>
          <w:highlight w:val="none"/>
          <w:shd w:val="clear" w:color="auto" w:fill="auto"/>
          <w:lang w:val="en-US" w:eastAsia="zh-CN"/>
        </w:rPr>
      </w:pPr>
      <w:bookmarkStart w:id="145" w:name="_Toc6622"/>
      <w:r>
        <w:rPr>
          <w:rFonts w:hint="eastAsia" w:ascii="黑体" w:hAnsi="黑体" w:cs="黑体"/>
          <w:b w:val="0"/>
          <w:bCs w:val="0"/>
          <w:color w:val="auto"/>
          <w:highlight w:val="none"/>
          <w:shd w:val="clear" w:color="auto" w:fill="auto"/>
          <w:lang w:val="en-US" w:eastAsia="zh-CN"/>
        </w:rPr>
        <w:t>五</w:t>
      </w:r>
      <w:r>
        <w:rPr>
          <w:rFonts w:hint="eastAsia" w:ascii="黑体" w:hAnsi="黑体" w:eastAsia="黑体" w:cs="黑体"/>
          <w:b w:val="0"/>
          <w:bCs w:val="0"/>
          <w:color w:val="auto"/>
          <w:highlight w:val="none"/>
          <w:shd w:val="clear" w:color="auto" w:fill="auto"/>
          <w:lang w:val="en-US" w:eastAsia="zh-CN"/>
        </w:rPr>
        <w:t>、主要经验及做法、存在的问题及原因分析</w:t>
      </w:r>
      <w:bookmarkEnd w:id="145"/>
    </w:p>
    <w:p w14:paraId="67DA88AD">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b/>
          <w:bCs/>
          <w:color w:val="auto"/>
          <w:kern w:val="28"/>
          <w:sz w:val="32"/>
          <w:highlight w:val="none"/>
          <w:lang w:val="en-US" w:eastAsia="zh-CN"/>
        </w:rPr>
      </w:pPr>
      <w:bookmarkStart w:id="146" w:name="_Toc15449"/>
      <w:bookmarkStart w:id="147" w:name="_Toc28290"/>
      <w:bookmarkStart w:id="148" w:name="_Toc1921"/>
      <w:r>
        <w:rPr>
          <w:rFonts w:hint="eastAsia" w:ascii="Times New Roman" w:hAnsi="Times New Roman" w:eastAsia="楷体_GB2312" w:cs="Times New Roman"/>
          <w:b/>
          <w:bCs/>
          <w:color w:val="auto"/>
          <w:kern w:val="28"/>
          <w:sz w:val="32"/>
          <w:highlight w:val="none"/>
          <w:lang w:val="en-US" w:eastAsia="zh-CN"/>
        </w:rPr>
        <w:t>（一）主要经验及做法</w:t>
      </w:r>
      <w:bookmarkEnd w:id="146"/>
    </w:p>
    <w:p w14:paraId="604C55E0">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2024年农业经营主体能力提升项目20</w:t>
      </w:r>
      <w:r>
        <w:rPr>
          <w:rFonts w:hint="eastAsia" w:ascii="仿宋_GB2312" w:hAnsi="仿宋_GB2312" w:eastAsia="仿宋_GB2312" w:cs="仿宋_GB2312"/>
          <w:color w:val="auto"/>
          <w:sz w:val="32"/>
          <w:szCs w:val="32"/>
          <w:highlight w:val="none"/>
          <w:lang w:val="en-US" w:eastAsia="zh-CN"/>
        </w:rPr>
        <w:t>24</w:t>
      </w:r>
      <w:r>
        <w:rPr>
          <w:rFonts w:hint="eastAsia" w:ascii="仿宋_GB2312" w:hAnsi="仿宋_GB2312" w:eastAsia="仿宋_GB2312" w:cs="仿宋_GB2312"/>
          <w:color w:val="auto"/>
          <w:sz w:val="32"/>
          <w:szCs w:val="32"/>
          <w:highlight w:val="none"/>
          <w:lang w:eastAsia="zh-CN"/>
        </w:rPr>
        <w:t>年预算</w:t>
      </w:r>
      <w:r>
        <w:rPr>
          <w:rFonts w:hint="eastAsia" w:ascii="仿宋_GB2312" w:hAnsi="仿宋_GB2312" w:eastAsia="仿宋_GB2312" w:cs="仿宋_GB2312"/>
          <w:color w:val="auto"/>
          <w:sz w:val="32"/>
          <w:szCs w:val="32"/>
          <w:highlight w:val="none"/>
          <w:lang w:val="en-US" w:eastAsia="zh-CN"/>
        </w:rPr>
        <w:t>数</w:t>
      </w:r>
      <w:r>
        <w:rPr>
          <w:rFonts w:hint="eastAsia" w:ascii="仿宋_GB2312" w:hAnsi="仿宋_GB2312" w:eastAsia="仿宋_GB2312" w:cs="仿宋_GB2312"/>
          <w:color w:val="auto"/>
          <w:sz w:val="32"/>
          <w:szCs w:val="32"/>
          <w:highlight w:val="none"/>
          <w:lang w:eastAsia="zh-CN"/>
        </w:rPr>
        <w:t>为</w:t>
      </w:r>
      <w:r>
        <w:rPr>
          <w:rFonts w:hint="eastAsia" w:ascii="仿宋_GB2312" w:hAnsi="仿宋_GB2312" w:eastAsia="仿宋_GB2312" w:cs="仿宋_GB2312"/>
          <w:color w:val="auto"/>
          <w:sz w:val="32"/>
          <w:szCs w:val="32"/>
          <w:highlight w:val="none"/>
          <w:lang w:val="en-US" w:eastAsia="zh-CN"/>
        </w:rPr>
        <w:t>421.99</w:t>
      </w:r>
      <w:r>
        <w:rPr>
          <w:rFonts w:hint="eastAsia" w:ascii="仿宋_GB2312" w:hAnsi="仿宋_GB2312" w:eastAsia="仿宋_GB2312" w:cs="仿宋_GB2312"/>
          <w:color w:val="auto"/>
          <w:sz w:val="32"/>
          <w:szCs w:val="32"/>
          <w:highlight w:val="none"/>
          <w:lang w:eastAsia="zh-CN"/>
        </w:rPr>
        <w:t>万元，</w:t>
      </w:r>
      <w:r>
        <w:rPr>
          <w:rFonts w:hint="eastAsia" w:ascii="仿宋_GB2312" w:hAnsi="仿宋_GB2312" w:eastAsia="仿宋_GB2312" w:cs="仿宋_GB2312"/>
          <w:color w:val="auto"/>
          <w:sz w:val="32"/>
          <w:szCs w:val="32"/>
          <w:highlight w:val="none"/>
          <w:lang w:val="en-US" w:eastAsia="zh-CN"/>
        </w:rPr>
        <w:t>截至2024年12月31日共</w:t>
      </w:r>
      <w:r>
        <w:rPr>
          <w:rFonts w:hint="eastAsia" w:ascii="仿宋_GB2312" w:hAnsi="仿宋_GB2312" w:eastAsia="仿宋_GB2312" w:cs="仿宋_GB2312"/>
          <w:color w:val="auto"/>
          <w:sz w:val="32"/>
          <w:szCs w:val="32"/>
          <w:highlight w:val="none"/>
          <w:lang w:eastAsia="zh-CN"/>
        </w:rPr>
        <w:t>支出</w:t>
      </w:r>
      <w:r>
        <w:rPr>
          <w:rFonts w:hint="eastAsia" w:ascii="仿宋_GB2312" w:hAnsi="仿宋_GB2312" w:eastAsia="仿宋_GB2312" w:cs="仿宋_GB2312"/>
          <w:color w:val="auto"/>
          <w:sz w:val="32"/>
          <w:szCs w:val="32"/>
          <w:highlight w:val="none"/>
          <w:lang w:val="en-US" w:eastAsia="zh-CN"/>
        </w:rPr>
        <w:t>421.99</w:t>
      </w:r>
      <w:r>
        <w:rPr>
          <w:rFonts w:hint="eastAsia" w:ascii="仿宋_GB2312" w:hAnsi="仿宋_GB2312" w:eastAsia="仿宋_GB2312" w:cs="仿宋_GB2312"/>
          <w:color w:val="auto"/>
          <w:sz w:val="32"/>
          <w:szCs w:val="32"/>
          <w:highlight w:val="none"/>
          <w:lang w:eastAsia="zh-CN"/>
        </w:rPr>
        <w:t>万元，预算</w:t>
      </w:r>
      <w:r>
        <w:rPr>
          <w:rFonts w:hint="eastAsia" w:ascii="仿宋_GB2312" w:hAnsi="仿宋_GB2312" w:eastAsia="仿宋_GB2312" w:cs="仿宋_GB2312"/>
          <w:color w:val="auto"/>
          <w:sz w:val="32"/>
          <w:szCs w:val="32"/>
          <w:highlight w:val="none"/>
          <w:lang w:val="en-US" w:eastAsia="zh-CN"/>
        </w:rPr>
        <w:t>执行</w:t>
      </w:r>
      <w:r>
        <w:rPr>
          <w:rFonts w:hint="eastAsia" w:ascii="仿宋_GB2312" w:hAnsi="仿宋_GB2312" w:eastAsia="仿宋_GB2312" w:cs="仿宋_GB2312"/>
          <w:color w:val="auto"/>
          <w:sz w:val="32"/>
          <w:szCs w:val="32"/>
          <w:highlight w:val="none"/>
          <w:lang w:eastAsia="zh-CN"/>
        </w:rPr>
        <w:t>率为</w:t>
      </w:r>
      <w:r>
        <w:rPr>
          <w:rFonts w:hint="eastAsia" w:ascii="仿宋_GB2312" w:hAnsi="仿宋_GB2312" w:eastAsia="仿宋_GB2312" w:cs="仿宋_GB2312"/>
          <w:color w:val="auto"/>
          <w:sz w:val="32"/>
          <w:szCs w:val="32"/>
          <w:highlight w:val="none"/>
          <w:lang w:val="en-US" w:eastAsia="zh-CN"/>
        </w:rPr>
        <w:t>100</w:t>
      </w:r>
      <w:r>
        <w:rPr>
          <w:rFonts w:hint="eastAsia" w:ascii="仿宋_GB2312" w:hAnsi="仿宋_GB2312" w:eastAsia="仿宋_GB2312" w:cs="仿宋_GB2312"/>
          <w:color w:val="auto"/>
          <w:sz w:val="32"/>
          <w:szCs w:val="32"/>
          <w:highlight w:val="none"/>
          <w:lang w:eastAsia="zh-CN"/>
        </w:rPr>
        <w:t>%。</w:t>
      </w:r>
    </w:p>
    <w:p w14:paraId="453DF282">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阜康市农村合作经济发展指导中心</w:t>
      </w:r>
      <w:r>
        <w:rPr>
          <w:rFonts w:hint="eastAsia" w:ascii="仿宋_GB2312" w:hAnsi="仿宋_GB2312" w:eastAsia="仿宋_GB2312" w:cs="仿宋_GB2312"/>
          <w:color w:val="auto"/>
          <w:sz w:val="32"/>
          <w:szCs w:val="32"/>
          <w:highlight w:val="none"/>
          <w:lang w:eastAsia="zh-CN"/>
        </w:rPr>
        <w:t>建立健全了预算管理规章制度，各部门严格按照预算编制的原则和要求做好当年预算编制工作，在预算绩效管理工作中，做到合理安排各项资金，重点保障基本支出，按轻重缓急顺序原则，优先安排了</w:t>
      </w:r>
      <w:r>
        <w:rPr>
          <w:rFonts w:hint="eastAsia" w:ascii="仿宋_GB2312" w:hAnsi="仿宋_GB2312" w:eastAsia="仿宋_GB2312" w:cs="仿宋_GB2312"/>
          <w:color w:val="auto"/>
          <w:sz w:val="32"/>
          <w:szCs w:val="32"/>
          <w:highlight w:val="none"/>
          <w:lang w:val="en-US" w:eastAsia="zh-CN"/>
        </w:rPr>
        <w:t>阜康市农村合作经济发展指导中心</w:t>
      </w:r>
      <w:r>
        <w:rPr>
          <w:rFonts w:hint="eastAsia" w:ascii="仿宋_GB2312" w:hAnsi="仿宋_GB2312" w:eastAsia="仿宋_GB2312" w:cs="仿宋_GB2312"/>
          <w:color w:val="auto"/>
          <w:sz w:val="32"/>
          <w:szCs w:val="32"/>
          <w:highlight w:val="none"/>
          <w:lang w:eastAsia="zh-CN"/>
        </w:rPr>
        <w:t>事业发展中关系民生与稳定的项目，切实优化资源配置，提高了资金使用的效率和效果。</w:t>
      </w:r>
    </w:p>
    <w:bookmarkEnd w:id="147"/>
    <w:bookmarkEnd w:id="148"/>
    <w:p w14:paraId="2C571FBF">
      <w:pPr>
        <w:pStyle w:val="14"/>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firstLine="643" w:firstLineChars="200"/>
        <w:jc w:val="both"/>
        <w:textAlignment w:val="auto"/>
        <w:rPr>
          <w:rFonts w:hint="eastAsia" w:ascii="Times New Roman" w:hAnsi="Times New Roman" w:eastAsia="楷体_GB2312" w:cs="Times New Roman"/>
          <w:b/>
          <w:bCs/>
          <w:color w:val="auto"/>
          <w:kern w:val="28"/>
          <w:sz w:val="32"/>
          <w:highlight w:val="none"/>
          <w:lang w:val="en-US" w:eastAsia="zh-CN"/>
        </w:rPr>
      </w:pPr>
      <w:bookmarkStart w:id="149" w:name="_Toc29168"/>
      <w:r>
        <w:rPr>
          <w:rFonts w:hint="eastAsia" w:ascii="Times New Roman" w:hAnsi="Times New Roman" w:eastAsia="楷体_GB2312" w:cs="Times New Roman"/>
          <w:b/>
          <w:bCs/>
          <w:color w:val="auto"/>
          <w:kern w:val="28"/>
          <w:sz w:val="32"/>
          <w:highlight w:val="none"/>
          <w:lang w:val="en-US" w:eastAsia="zh-CN"/>
        </w:rPr>
        <w:t>（二）存在的问题及原因分析</w:t>
      </w:r>
      <w:bookmarkEnd w:id="149"/>
    </w:p>
    <w:p w14:paraId="7DD74CD3">
      <w:pPr>
        <w:pageBreakBefore w:val="0"/>
        <w:kinsoku/>
        <w:wordWrap/>
        <w:overflowPunct/>
        <w:topLinePunct w:val="0"/>
        <w:autoSpaceDE/>
        <w:autoSpaceDN/>
        <w:bidi w:val="0"/>
        <w:spacing w:line="560" w:lineRule="exact"/>
        <w:textAlignment w:val="auto"/>
        <w:rPr>
          <w:rFonts w:hint="eastAsia"/>
          <w:b/>
          <w:bCs/>
          <w:color w:val="auto"/>
          <w:highlight w:val="none"/>
          <w:shd w:val="clear" w:color="auto" w:fill="auto"/>
          <w:lang w:val="en-US" w:eastAsia="zh-CN"/>
        </w:rPr>
      </w:pPr>
      <w:r>
        <w:rPr>
          <w:rFonts w:hint="eastAsia" w:ascii="仿宋_GB2312" w:hAnsi="仿宋_GB2312" w:eastAsia="仿宋_GB2312" w:cs="仿宋_GB2312"/>
          <w:color w:val="auto"/>
          <w:sz w:val="32"/>
          <w:szCs w:val="32"/>
          <w:highlight w:val="none"/>
          <w:lang w:val="en-US" w:eastAsia="zh-CN"/>
        </w:rPr>
        <w:t>1.服务链条不完整，服务对象需求对接不精准，服务环节主要集中于“耕种防收”产中阶段，对产前及产后环节的服务欠缺。主要原因在于服务型合作社服务能力不足，提供的服务主要集中于种植养殖过程中的产中环节，服务能力单一，对产前的市场信息、品种选择、农资采购以及产后的加工、储存、销售等环节服务欠缺。</w:t>
      </w:r>
    </w:p>
    <w:p w14:paraId="6D22A50D">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资金预算不足，对示范社和示范家庭农场的补助标准与建设需求脱节，仅能购置1-2台小型农机具，难以支撑仓储冷链等关键设施建设，提升农民专业合作社和家庭农场形成持续发展能力的作用有限。主要原因在于财政投入总量不足，现行补助标准未考虑今年物价上涨因素，补助机制设计不够科学。</w:t>
      </w:r>
    </w:p>
    <w:p w14:paraId="5CD35B9B">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auto"/>
          <w:highlight w:val="none"/>
          <w:shd w:val="clear" w:color="auto" w:fill="auto"/>
          <w:lang w:val="en-US" w:eastAsia="zh-CN"/>
        </w:rPr>
      </w:pPr>
      <w:bookmarkStart w:id="150" w:name="_Toc3333"/>
      <w:r>
        <w:rPr>
          <w:rFonts w:hint="eastAsia" w:ascii="黑体" w:hAnsi="黑体" w:cs="黑体"/>
          <w:b w:val="0"/>
          <w:bCs w:val="0"/>
          <w:color w:val="auto"/>
          <w:highlight w:val="none"/>
          <w:shd w:val="clear" w:color="auto" w:fill="auto"/>
          <w:lang w:val="en-US" w:eastAsia="zh-CN"/>
        </w:rPr>
        <w:t>六</w:t>
      </w:r>
      <w:r>
        <w:rPr>
          <w:rFonts w:hint="eastAsia" w:ascii="黑体" w:hAnsi="黑体" w:eastAsia="黑体" w:cs="黑体"/>
          <w:b w:val="0"/>
          <w:bCs w:val="0"/>
          <w:color w:val="auto"/>
          <w:highlight w:val="none"/>
          <w:shd w:val="clear" w:color="auto" w:fill="auto"/>
          <w:lang w:val="en-US" w:eastAsia="zh-CN"/>
        </w:rPr>
        <w:t>、有关建议</w:t>
      </w:r>
      <w:bookmarkEnd w:id="150"/>
    </w:p>
    <w:p w14:paraId="309EA0F9">
      <w:pPr>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color w:val="auto"/>
          <w:sz w:val="32"/>
          <w:szCs w:val="32"/>
          <w:highlight w:val="none"/>
          <w:lang w:val="en-US" w:eastAsia="zh-CN"/>
        </w:rPr>
      </w:pPr>
      <w:bookmarkStart w:id="151" w:name="_Toc3948"/>
      <w:bookmarkStart w:id="152" w:name="_Toc20454"/>
      <w:r>
        <w:rPr>
          <w:rFonts w:hint="eastAsia" w:ascii="仿宋_GB2312" w:hAnsi="仿宋_GB2312" w:eastAsia="仿宋_GB2312" w:cs="仿宋_GB2312"/>
          <w:color w:val="auto"/>
          <w:sz w:val="32"/>
          <w:szCs w:val="32"/>
          <w:highlight w:val="none"/>
          <w:lang w:val="en-US" w:eastAsia="zh-CN"/>
        </w:rPr>
        <w:t>1.强化服务设施装备支撑，鼓励服务型农民专业合作社开展装备升级，推动完善专业化服务队伍，加快培育专业人才，推动成立区域性综合服务中心，提升服务能力，促进小农户和现代农业发展有机衔接。</w:t>
      </w:r>
    </w:p>
    <w:p w14:paraId="7E6A2B19">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2.建立差异化</w:t>
      </w:r>
      <w:bookmarkEnd w:id="151"/>
      <w:bookmarkEnd w:id="152"/>
      <w:r>
        <w:rPr>
          <w:rFonts w:hint="eastAsia" w:ascii="仿宋_GB2312" w:hAnsi="仿宋_GB2312" w:eastAsia="仿宋_GB2312" w:cs="仿宋_GB2312"/>
          <w:color w:val="auto"/>
          <w:sz w:val="32"/>
          <w:szCs w:val="32"/>
          <w:highlight w:val="none"/>
          <w:lang w:val="en-US" w:eastAsia="zh-CN"/>
        </w:rPr>
        <w:t>的补助标准，优化财政资金配置，分类分级制定支持方案。建议政府加强对农民合作社、家庭农场发展重视程度，加强本级财政对扶持农民合作社、家庭农场工作的预算。</w:t>
      </w:r>
    </w:p>
    <w:p w14:paraId="5BDE53F2">
      <w:pPr>
        <w:pStyle w:val="2"/>
        <w:pageBreakBefore w:val="0"/>
        <w:kinsoku/>
        <w:wordWrap/>
        <w:overflowPunct/>
        <w:topLinePunct w:val="0"/>
        <w:autoSpaceDE/>
        <w:autoSpaceDN/>
        <w:bidi w:val="0"/>
        <w:adjustRightInd/>
        <w:spacing w:beforeLines="0" w:afterLines="0" w:line="560" w:lineRule="exact"/>
        <w:textAlignment w:val="auto"/>
        <w:rPr>
          <w:rFonts w:hint="eastAsia" w:ascii="黑体" w:hAnsi="黑体" w:eastAsia="黑体" w:cs="黑体"/>
          <w:b w:val="0"/>
          <w:bCs w:val="0"/>
          <w:color w:val="auto"/>
          <w:highlight w:val="none"/>
          <w:shd w:val="clear" w:color="auto" w:fill="auto"/>
          <w:lang w:val="en-US" w:eastAsia="zh-CN"/>
        </w:rPr>
      </w:pPr>
      <w:bookmarkStart w:id="153" w:name="_Toc14256"/>
      <w:r>
        <w:rPr>
          <w:rFonts w:hint="eastAsia" w:ascii="黑体" w:hAnsi="黑体" w:cs="黑体"/>
          <w:b w:val="0"/>
          <w:bCs w:val="0"/>
          <w:color w:val="auto"/>
          <w:highlight w:val="none"/>
          <w:shd w:val="clear" w:color="auto" w:fill="auto"/>
          <w:lang w:val="en-US" w:eastAsia="zh-CN"/>
        </w:rPr>
        <w:t>七</w:t>
      </w:r>
      <w:r>
        <w:rPr>
          <w:rFonts w:hint="eastAsia" w:ascii="黑体" w:hAnsi="黑体" w:eastAsia="黑体" w:cs="黑体"/>
          <w:b w:val="0"/>
          <w:bCs w:val="0"/>
          <w:color w:val="auto"/>
          <w:highlight w:val="none"/>
          <w:shd w:val="clear" w:color="auto" w:fill="auto"/>
          <w:lang w:val="en-US" w:eastAsia="zh-CN"/>
        </w:rPr>
        <w:t>、其他需要说明的问题</w:t>
      </w:r>
      <w:bookmarkEnd w:id="153"/>
    </w:p>
    <w:p w14:paraId="3D39D3EA">
      <w:pPr>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无其他需要说明的问题。</w:t>
      </w:r>
    </w:p>
    <w:p w14:paraId="20AFB57E">
      <w:pPr>
        <w:pageBreakBefore w:val="0"/>
        <w:kinsoku/>
        <w:wordWrap/>
        <w:overflowPunct/>
        <w:topLinePunct w:val="0"/>
        <w:autoSpaceDE/>
        <w:autoSpaceDN/>
        <w:bidi w:val="0"/>
        <w:adjustRightInd/>
        <w:spacing w:line="560" w:lineRule="exact"/>
        <w:textAlignment w:val="auto"/>
        <w:rPr>
          <w:rFonts w:hint="eastAsia" w:cs="宋体"/>
          <w:color w:val="auto"/>
          <w:highlight w:val="none"/>
          <w:shd w:val="clear" w:color="auto" w:fill="auto"/>
          <w:lang w:val="en-US" w:eastAsia="zh-CN"/>
        </w:rPr>
        <w:sectPr>
          <w:footerReference r:id="rId5" w:type="default"/>
          <w:pgSz w:w="11906" w:h="16838"/>
          <w:pgMar w:top="1440" w:right="1800" w:bottom="1440" w:left="1800" w:header="737" w:footer="851" w:gutter="0"/>
          <w:pgNumType w:fmt="decimal"/>
          <w:cols w:space="720" w:num="1"/>
          <w:docGrid w:type="lines" w:linePitch="408" w:charSpace="0"/>
        </w:sectPr>
      </w:pPr>
    </w:p>
    <w:p w14:paraId="28B20EF5">
      <w:pPr>
        <w:pStyle w:val="2"/>
        <w:pageBreakBefore w:val="0"/>
        <w:numPr>
          <w:ilvl w:val="0"/>
          <w:numId w:val="0"/>
        </w:numPr>
        <w:kinsoku/>
        <w:wordWrap/>
        <w:overflowPunct/>
        <w:topLinePunct w:val="0"/>
        <w:autoSpaceDE/>
        <w:autoSpaceDN/>
        <w:bidi w:val="0"/>
        <w:adjustRightInd/>
        <w:spacing w:beforeLines="0" w:afterLines="0" w:line="560" w:lineRule="exact"/>
        <w:textAlignment w:val="auto"/>
        <w:rPr>
          <w:color w:val="auto"/>
          <w:highlight w:val="none"/>
        </w:rPr>
      </w:pPr>
      <w:bookmarkStart w:id="154" w:name="_Toc28971"/>
      <w:bookmarkStart w:id="155" w:name="_Toc11349"/>
      <w:r>
        <w:rPr>
          <w:rFonts w:hint="eastAsia" w:ascii="宋体" w:hAnsi="宋体" w:eastAsia="宋体" w:cs="宋体"/>
          <w:b/>
          <w:bCs/>
          <w:color w:val="auto"/>
          <w:highlight w:val="none"/>
          <w:shd w:val="clear" w:color="auto" w:fill="auto"/>
          <w:lang w:val="en-US" w:eastAsia="zh-CN"/>
        </w:rPr>
        <w:t>附件一、项目支出绩效自评表</w:t>
      </w:r>
      <w:bookmarkEnd w:id="154"/>
      <w:bookmarkEnd w:id="155"/>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900"/>
        <w:gridCol w:w="900"/>
        <w:gridCol w:w="900"/>
        <w:gridCol w:w="900"/>
        <w:gridCol w:w="1231"/>
        <w:gridCol w:w="1231"/>
        <w:gridCol w:w="1148"/>
        <w:gridCol w:w="982"/>
        <w:gridCol w:w="1231"/>
        <w:gridCol w:w="900"/>
        <w:gridCol w:w="900"/>
        <w:gridCol w:w="901"/>
        <w:gridCol w:w="901"/>
        <w:gridCol w:w="1149"/>
      </w:tblGrid>
      <w:tr w14:paraId="577C8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5000" w:type="pct"/>
            <w:gridSpan w:val="14"/>
            <w:tcBorders>
              <w:top w:val="nil"/>
              <w:left w:val="nil"/>
              <w:bottom w:val="nil"/>
              <w:right w:val="nil"/>
            </w:tcBorders>
            <w:shd w:val="clear"/>
            <w:vAlign w:val="center"/>
          </w:tcPr>
          <w:p w14:paraId="6CB42F40">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项目支出绩效自评表</w:t>
            </w:r>
          </w:p>
        </w:tc>
      </w:tr>
      <w:tr w14:paraId="34197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14"/>
            <w:tcBorders>
              <w:top w:val="nil"/>
              <w:left w:val="nil"/>
              <w:bottom w:val="single" w:color="auto" w:sz="4" w:space="0"/>
              <w:right w:val="nil"/>
            </w:tcBorders>
            <w:shd w:val="clear"/>
            <w:vAlign w:val="center"/>
          </w:tcPr>
          <w:p w14:paraId="03FB4E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(2024年度)</w:t>
            </w:r>
            <w:bookmarkStart w:id="158" w:name="_GoBack"/>
            <w:bookmarkEnd w:id="158"/>
          </w:p>
        </w:tc>
      </w:tr>
      <w:tr w14:paraId="08A1F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11" w:type="pct"/>
            <w:gridSpan w:val="2"/>
            <w:tcBorders>
              <w:top w:val="single" w:color="auto" w:sz="4" w:space="0"/>
              <w:left w:val="single" w:color="000000" w:sz="4" w:space="0"/>
              <w:bottom w:val="single" w:color="000000" w:sz="4" w:space="0"/>
              <w:right w:val="single" w:color="000000" w:sz="4" w:space="0"/>
            </w:tcBorders>
            <w:shd w:val="clear"/>
            <w:vAlign w:val="center"/>
          </w:tcPr>
          <w:p w14:paraId="620AB86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项目名称</w:t>
            </w:r>
          </w:p>
        </w:tc>
        <w:tc>
          <w:tcPr>
            <w:tcW w:w="4588" w:type="pct"/>
            <w:gridSpan w:val="12"/>
            <w:tcBorders>
              <w:top w:val="single" w:color="auto" w:sz="4" w:space="0"/>
              <w:left w:val="single" w:color="000000" w:sz="4" w:space="0"/>
              <w:bottom w:val="single" w:color="000000" w:sz="4" w:space="0"/>
              <w:right w:val="single" w:color="000000" w:sz="4" w:space="0"/>
            </w:tcBorders>
            <w:shd w:val="clear"/>
            <w:vAlign w:val="center"/>
          </w:tcPr>
          <w:p w14:paraId="451AA8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2024年农业经营主体能力提升项目</w:t>
            </w:r>
          </w:p>
        </w:tc>
      </w:tr>
      <w:tr w14:paraId="48BB9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11" w:type="pct"/>
            <w:gridSpan w:val="2"/>
            <w:tcBorders>
              <w:top w:val="single" w:color="000000" w:sz="4" w:space="0"/>
              <w:left w:val="single" w:color="000000" w:sz="4" w:space="0"/>
              <w:bottom w:val="single" w:color="000000" w:sz="4" w:space="0"/>
              <w:right w:val="single" w:color="000000" w:sz="4" w:space="0"/>
            </w:tcBorders>
            <w:shd w:val="clear"/>
            <w:vAlign w:val="center"/>
          </w:tcPr>
          <w:p w14:paraId="0518B86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主管部门</w:t>
            </w:r>
          </w:p>
        </w:tc>
        <w:tc>
          <w:tcPr>
            <w:tcW w:w="1718" w:type="pct"/>
            <w:gridSpan w:val="5"/>
            <w:tcBorders>
              <w:top w:val="single" w:color="000000" w:sz="4" w:space="0"/>
              <w:left w:val="single" w:color="000000" w:sz="4" w:space="0"/>
              <w:bottom w:val="single" w:color="000000" w:sz="4" w:space="0"/>
              <w:right w:val="single" w:color="000000" w:sz="4" w:space="0"/>
            </w:tcBorders>
            <w:shd w:val="clear"/>
            <w:vAlign w:val="center"/>
          </w:tcPr>
          <w:p w14:paraId="5733B5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阜康市农业农村局</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12A124E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实施单位</w:t>
            </w:r>
          </w:p>
        </w:tc>
        <w:tc>
          <w:tcPr>
            <w:tcW w:w="2214" w:type="pct"/>
            <w:gridSpan w:val="5"/>
            <w:tcBorders>
              <w:top w:val="single" w:color="000000" w:sz="4" w:space="0"/>
              <w:left w:val="single" w:color="000000" w:sz="4" w:space="0"/>
              <w:bottom w:val="single" w:color="000000" w:sz="4" w:space="0"/>
              <w:right w:val="single" w:color="000000" w:sz="4" w:space="0"/>
            </w:tcBorders>
            <w:shd w:val="clear"/>
            <w:vAlign w:val="center"/>
          </w:tcPr>
          <w:p w14:paraId="12F8A6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阜康市农村合作经济发展指导中心</w:t>
            </w:r>
          </w:p>
        </w:tc>
      </w:tr>
      <w:tr w14:paraId="507CA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11" w:type="pct"/>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22717D7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项目资金</w:t>
            </w:r>
            <w:r>
              <w:rPr>
                <w:rFonts w:hint="eastAsia" w:ascii="宋体" w:hAnsi="宋体" w:eastAsia="宋体" w:cs="宋体"/>
                <w:b/>
                <w:bCs/>
                <w:i w:val="0"/>
                <w:iCs w:val="0"/>
                <w:color w:val="000000"/>
                <w:kern w:val="0"/>
                <w:sz w:val="18"/>
                <w:szCs w:val="18"/>
                <w:u w:val="none"/>
                <w:bdr w:val="none" w:color="auto" w:sz="0" w:space="0"/>
                <w:lang w:val="en-US" w:eastAsia="zh-CN" w:bidi="ar"/>
              </w:rPr>
              <w:br w:type="textWrapping"/>
            </w:r>
            <w:r>
              <w:rPr>
                <w:rFonts w:hint="eastAsia" w:ascii="宋体" w:hAnsi="宋体" w:eastAsia="宋体" w:cs="宋体"/>
                <w:b/>
                <w:bCs/>
                <w:i w:val="0"/>
                <w:iCs w:val="0"/>
                <w:color w:val="000000"/>
                <w:kern w:val="0"/>
                <w:sz w:val="18"/>
                <w:szCs w:val="18"/>
                <w:u w:val="none"/>
                <w:bdr w:val="none" w:color="auto" w:sz="0" w:space="0"/>
                <w:lang w:val="en-US" w:eastAsia="zh-CN" w:bidi="ar"/>
              </w:rPr>
              <w:t>（万元）</w:t>
            </w:r>
          </w:p>
        </w:tc>
        <w:tc>
          <w:tcPr>
            <w:tcW w:w="734" w:type="pct"/>
            <w:gridSpan w:val="2"/>
            <w:tcBorders>
              <w:top w:val="single" w:color="000000" w:sz="4" w:space="0"/>
              <w:left w:val="single" w:color="000000" w:sz="4" w:space="0"/>
              <w:bottom w:val="single" w:color="000000" w:sz="4" w:space="0"/>
              <w:right w:val="single" w:color="000000" w:sz="4" w:space="0"/>
            </w:tcBorders>
            <w:shd w:val="clear"/>
            <w:vAlign w:val="center"/>
          </w:tcPr>
          <w:p w14:paraId="40BCE4AD">
            <w:pPr>
              <w:jc w:val="center"/>
              <w:rPr>
                <w:rFonts w:hint="eastAsia" w:ascii="宋体" w:hAnsi="宋体" w:eastAsia="宋体" w:cs="宋体"/>
                <w:b/>
                <w:bCs/>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4F14F27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年初预算数</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6B8298F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全年预算数</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72D7B84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全年执行数</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262466B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分值</w:t>
            </w:r>
          </w:p>
        </w:tc>
        <w:tc>
          <w:tcPr>
            <w:tcW w:w="744" w:type="pct"/>
            <w:gridSpan w:val="2"/>
            <w:tcBorders>
              <w:top w:val="single" w:color="000000" w:sz="4" w:space="0"/>
              <w:left w:val="single" w:color="000000" w:sz="4" w:space="0"/>
              <w:bottom w:val="single" w:color="000000" w:sz="4" w:space="0"/>
              <w:right w:val="single" w:color="000000" w:sz="4" w:space="0"/>
            </w:tcBorders>
            <w:shd w:val="clear"/>
            <w:vAlign w:val="center"/>
          </w:tcPr>
          <w:p w14:paraId="0D60889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执行率</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35863B9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得分</w:t>
            </w:r>
          </w:p>
        </w:tc>
      </w:tr>
      <w:tr w14:paraId="19302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411"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1433045">
            <w:pPr>
              <w:jc w:val="center"/>
              <w:rPr>
                <w:rFonts w:hint="eastAsia" w:ascii="宋体" w:hAnsi="宋体" w:eastAsia="宋体" w:cs="宋体"/>
                <w:b/>
                <w:bCs/>
                <w:i w:val="0"/>
                <w:iCs w:val="0"/>
                <w:color w:val="000000"/>
                <w:sz w:val="18"/>
                <w:szCs w:val="18"/>
                <w:u w:val="none"/>
              </w:rPr>
            </w:pPr>
          </w:p>
        </w:tc>
        <w:tc>
          <w:tcPr>
            <w:tcW w:w="734" w:type="pct"/>
            <w:gridSpan w:val="2"/>
            <w:tcBorders>
              <w:top w:val="single" w:color="000000" w:sz="4" w:space="0"/>
              <w:left w:val="single" w:color="000000" w:sz="4" w:space="0"/>
              <w:bottom w:val="single" w:color="000000" w:sz="4" w:space="0"/>
              <w:right w:val="single" w:color="000000" w:sz="4" w:space="0"/>
            </w:tcBorders>
            <w:shd w:val="clear"/>
            <w:vAlign w:val="center"/>
          </w:tcPr>
          <w:p w14:paraId="4C0FFA6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年度资金总额</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4BE9C4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421.99</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175CBF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421.99</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7AF250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421.99</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0DC648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744" w:type="pct"/>
            <w:gridSpan w:val="2"/>
            <w:tcBorders>
              <w:top w:val="single" w:color="000000" w:sz="4" w:space="0"/>
              <w:left w:val="single" w:color="000000" w:sz="4" w:space="0"/>
              <w:bottom w:val="single" w:color="000000" w:sz="4" w:space="0"/>
              <w:right w:val="single" w:color="000000" w:sz="4" w:space="0"/>
            </w:tcBorders>
            <w:shd w:val="clear"/>
            <w:vAlign w:val="center"/>
          </w:tcPr>
          <w:p w14:paraId="7E0171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100.00%</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13B60C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w:t>
            </w:r>
          </w:p>
        </w:tc>
      </w:tr>
      <w:tr w14:paraId="460C9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11"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B95DC0C">
            <w:pPr>
              <w:jc w:val="center"/>
              <w:rPr>
                <w:rFonts w:hint="eastAsia" w:ascii="宋体" w:hAnsi="宋体" w:eastAsia="宋体" w:cs="宋体"/>
                <w:b/>
                <w:bCs/>
                <w:i w:val="0"/>
                <w:iCs w:val="0"/>
                <w:color w:val="000000"/>
                <w:sz w:val="18"/>
                <w:szCs w:val="18"/>
                <w:u w:val="none"/>
              </w:rPr>
            </w:pPr>
          </w:p>
        </w:tc>
        <w:tc>
          <w:tcPr>
            <w:tcW w:w="734" w:type="pct"/>
            <w:gridSpan w:val="2"/>
            <w:tcBorders>
              <w:top w:val="single" w:color="000000" w:sz="4" w:space="0"/>
              <w:left w:val="single" w:color="000000" w:sz="4" w:space="0"/>
              <w:bottom w:val="single" w:color="000000" w:sz="4" w:space="0"/>
              <w:right w:val="single" w:color="000000" w:sz="4" w:space="0"/>
            </w:tcBorders>
            <w:shd w:val="clear"/>
            <w:vAlign w:val="center"/>
          </w:tcPr>
          <w:p w14:paraId="5FAB6E1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其中：当年财政拨款</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7AFBB6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421.99</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5842C7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421.99</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422CC8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421.99</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51B348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44" w:type="pct"/>
            <w:gridSpan w:val="2"/>
            <w:tcBorders>
              <w:top w:val="single" w:color="000000" w:sz="4" w:space="0"/>
              <w:left w:val="single" w:color="000000" w:sz="4" w:space="0"/>
              <w:bottom w:val="single" w:color="000000" w:sz="4" w:space="0"/>
              <w:right w:val="single" w:color="000000" w:sz="4" w:space="0"/>
            </w:tcBorders>
            <w:shd w:val="clear"/>
            <w:vAlign w:val="center"/>
          </w:tcPr>
          <w:p w14:paraId="61FB6A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132272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14:paraId="28392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11" w:type="pct"/>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C7505E0">
            <w:pPr>
              <w:jc w:val="center"/>
              <w:rPr>
                <w:rFonts w:hint="eastAsia" w:ascii="宋体" w:hAnsi="宋体" w:eastAsia="宋体" w:cs="宋体"/>
                <w:b/>
                <w:bCs/>
                <w:i w:val="0"/>
                <w:iCs w:val="0"/>
                <w:color w:val="000000"/>
                <w:sz w:val="18"/>
                <w:szCs w:val="18"/>
                <w:u w:val="none"/>
              </w:rPr>
            </w:pPr>
          </w:p>
        </w:tc>
        <w:tc>
          <w:tcPr>
            <w:tcW w:w="734" w:type="pct"/>
            <w:gridSpan w:val="2"/>
            <w:tcBorders>
              <w:top w:val="single" w:color="000000" w:sz="4" w:space="0"/>
              <w:left w:val="single" w:color="000000" w:sz="4" w:space="0"/>
              <w:bottom w:val="single" w:color="000000" w:sz="4" w:space="0"/>
              <w:right w:val="single" w:color="000000" w:sz="4" w:space="0"/>
            </w:tcBorders>
            <w:shd w:val="clear"/>
            <w:vAlign w:val="center"/>
          </w:tcPr>
          <w:p w14:paraId="19325C5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 xml:space="preserve">  其他资金</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7DE73B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452DE6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7C1006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0.00</w:t>
            </w:r>
          </w:p>
        </w:tc>
        <w:tc>
          <w:tcPr>
            <w:tcW w:w="655" w:type="pct"/>
            <w:gridSpan w:val="2"/>
            <w:tcBorders>
              <w:top w:val="single" w:color="000000" w:sz="4" w:space="0"/>
              <w:left w:val="single" w:color="000000" w:sz="4" w:space="0"/>
              <w:bottom w:val="single" w:color="000000" w:sz="4" w:space="0"/>
              <w:right w:val="single" w:color="000000" w:sz="4" w:space="0"/>
            </w:tcBorders>
            <w:shd w:val="clear"/>
            <w:vAlign w:val="center"/>
          </w:tcPr>
          <w:p w14:paraId="70485F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744" w:type="pct"/>
            <w:gridSpan w:val="2"/>
            <w:tcBorders>
              <w:top w:val="single" w:color="000000" w:sz="4" w:space="0"/>
              <w:left w:val="single" w:color="000000" w:sz="4" w:space="0"/>
              <w:bottom w:val="single" w:color="000000" w:sz="4" w:space="0"/>
              <w:right w:val="single" w:color="000000" w:sz="4" w:space="0"/>
            </w:tcBorders>
            <w:shd w:val="clear"/>
            <w:vAlign w:val="center"/>
          </w:tcPr>
          <w:p w14:paraId="42BBC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2FCEF3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14:paraId="69027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40BEE07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年度总体目标</w:t>
            </w:r>
          </w:p>
        </w:tc>
        <w:tc>
          <w:tcPr>
            <w:tcW w:w="1924" w:type="pct"/>
            <w:gridSpan w:val="6"/>
            <w:tcBorders>
              <w:top w:val="single" w:color="000000" w:sz="4" w:space="0"/>
              <w:left w:val="single" w:color="000000" w:sz="4" w:space="0"/>
              <w:bottom w:val="single" w:color="000000" w:sz="4" w:space="0"/>
              <w:right w:val="single" w:color="000000" w:sz="4" w:space="0"/>
            </w:tcBorders>
            <w:shd w:val="clear"/>
            <w:vAlign w:val="center"/>
          </w:tcPr>
          <w:p w14:paraId="5383D0D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预期目标</w:t>
            </w:r>
          </w:p>
        </w:tc>
        <w:tc>
          <w:tcPr>
            <w:tcW w:w="2870" w:type="pct"/>
            <w:gridSpan w:val="7"/>
            <w:tcBorders>
              <w:top w:val="single" w:color="000000" w:sz="4" w:space="0"/>
              <w:left w:val="single" w:color="000000" w:sz="4" w:space="0"/>
              <w:bottom w:val="single" w:color="000000" w:sz="4" w:space="0"/>
              <w:right w:val="single" w:color="000000" w:sz="4" w:space="0"/>
            </w:tcBorders>
            <w:shd w:val="clear"/>
            <w:vAlign w:val="center"/>
          </w:tcPr>
          <w:p w14:paraId="4D1C4C8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实际完成情况</w:t>
            </w:r>
          </w:p>
        </w:tc>
      </w:tr>
      <w:tr w14:paraId="2D901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3846160">
            <w:pPr>
              <w:jc w:val="center"/>
              <w:rPr>
                <w:rFonts w:hint="eastAsia" w:ascii="宋体" w:hAnsi="宋体" w:eastAsia="宋体" w:cs="宋体"/>
                <w:b/>
                <w:bCs/>
                <w:i w:val="0"/>
                <w:iCs w:val="0"/>
                <w:color w:val="000000"/>
                <w:sz w:val="18"/>
                <w:szCs w:val="18"/>
                <w:u w:val="none"/>
              </w:rPr>
            </w:pPr>
          </w:p>
        </w:tc>
        <w:tc>
          <w:tcPr>
            <w:tcW w:w="1924" w:type="pct"/>
            <w:gridSpan w:val="6"/>
            <w:tcBorders>
              <w:top w:val="single" w:color="000000" w:sz="4" w:space="0"/>
              <w:left w:val="single" w:color="000000" w:sz="4" w:space="0"/>
              <w:bottom w:val="single" w:color="000000" w:sz="4" w:space="0"/>
              <w:right w:val="single" w:color="000000" w:sz="4" w:space="0"/>
            </w:tcBorders>
            <w:shd w:val="clear"/>
            <w:vAlign w:val="center"/>
          </w:tcPr>
          <w:p w14:paraId="177564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2024年计划支持3家服务型农民专业合作社完成粮食（小麦、玉米）“耕”“种”“防”“收”全程托管农业生产社会化服务面积5.5万亩；扶持我市区级以上农民合作社4家，每家补助20万元；扶持县级以上家庭农场7家，每家补助6.00万元，共121.99万元，用于农业机械购买及圈舍改造。通过项目实施，预计能够增强农民合作社示范社和示范家庭农场发展水平和带动能力。</w:t>
            </w:r>
          </w:p>
        </w:tc>
        <w:tc>
          <w:tcPr>
            <w:tcW w:w="2870" w:type="pct"/>
            <w:gridSpan w:val="7"/>
            <w:tcBorders>
              <w:top w:val="single" w:color="000000" w:sz="4" w:space="0"/>
              <w:left w:val="single" w:color="000000" w:sz="4" w:space="0"/>
              <w:bottom w:val="single" w:color="000000" w:sz="4" w:space="0"/>
              <w:right w:val="single" w:color="000000" w:sz="4" w:space="0"/>
            </w:tcBorders>
            <w:shd w:val="clear"/>
            <w:vAlign w:val="center"/>
          </w:tcPr>
          <w:p w14:paraId="0E2445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截至2024年12月31日，本项目通过支持服务型农民专业合作社，实际完成了粮食（小麦、玉米）“耕”“种”“防”“收”全程托管农业生产社会化服务面积5.5万亩，补助资金300.00万元，扶持4家农民合作社和7家家庭农场，补助资金121.99万元，达到增强农民合作社示范社和示范家庭农场发展水平和带动能力的社会效益，接受社会化服务的小农户满意度达98%。</w:t>
            </w:r>
          </w:p>
        </w:tc>
      </w:tr>
      <w:tr w14:paraId="4B5AA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2D727D71">
            <w:pPr>
              <w:jc w:val="center"/>
              <w:rPr>
                <w:rFonts w:hint="eastAsia" w:ascii="宋体" w:hAnsi="宋体" w:eastAsia="宋体" w:cs="宋体"/>
                <w:i w:val="0"/>
                <w:iCs w:val="0"/>
                <w:color w:val="000000"/>
                <w:sz w:val="18"/>
                <w:szCs w:val="18"/>
                <w:u w:val="none"/>
              </w:rPr>
            </w:pPr>
          </w:p>
        </w:tc>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67C34AE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一级指标</w:t>
            </w:r>
          </w:p>
        </w:tc>
        <w:tc>
          <w:tcPr>
            <w:tcW w:w="273" w:type="pct"/>
            <w:vMerge w:val="restart"/>
            <w:tcBorders>
              <w:top w:val="single" w:color="000000" w:sz="4" w:space="0"/>
              <w:left w:val="single" w:color="000000" w:sz="4" w:space="0"/>
              <w:bottom w:val="single" w:color="000000" w:sz="4" w:space="0"/>
              <w:right w:val="single" w:color="000000" w:sz="4" w:space="0"/>
            </w:tcBorders>
            <w:shd w:val="clear"/>
            <w:vAlign w:val="center"/>
          </w:tcPr>
          <w:p w14:paraId="6AED3BD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二级指标</w:t>
            </w:r>
          </w:p>
        </w:tc>
        <w:tc>
          <w:tcPr>
            <w:tcW w:w="461" w:type="pct"/>
            <w:vMerge w:val="restart"/>
            <w:tcBorders>
              <w:top w:val="single" w:color="000000" w:sz="4" w:space="0"/>
              <w:left w:val="single" w:color="000000" w:sz="4" w:space="0"/>
              <w:bottom w:val="single" w:color="000000" w:sz="4" w:space="0"/>
              <w:right w:val="single" w:color="000000" w:sz="4" w:space="0"/>
            </w:tcBorders>
            <w:shd w:val="clear"/>
            <w:vAlign w:val="center"/>
          </w:tcPr>
          <w:p w14:paraId="7756FDE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三级指标</w:t>
            </w:r>
          </w:p>
        </w:tc>
        <w:tc>
          <w:tcPr>
            <w:tcW w:w="3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10409B4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权重</w:t>
            </w:r>
          </w:p>
        </w:tc>
        <w:tc>
          <w:tcPr>
            <w:tcW w:w="3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1EFBA72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目标值</w:t>
            </w:r>
          </w:p>
        </w:tc>
        <w:tc>
          <w:tcPr>
            <w:tcW w:w="328" w:type="pct"/>
            <w:vMerge w:val="restart"/>
            <w:tcBorders>
              <w:top w:val="single" w:color="000000" w:sz="4" w:space="0"/>
              <w:left w:val="single" w:color="000000" w:sz="4" w:space="0"/>
              <w:bottom w:val="single" w:color="000000" w:sz="4" w:space="0"/>
              <w:right w:val="single" w:color="000000" w:sz="4" w:space="0"/>
            </w:tcBorders>
            <w:shd w:val="clear"/>
            <w:vAlign w:val="center"/>
          </w:tcPr>
          <w:p w14:paraId="43EA9BF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业绩值</w:t>
            </w:r>
          </w:p>
        </w:tc>
        <w:tc>
          <w:tcPr>
            <w:tcW w:w="3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1765902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完成率</w:t>
            </w:r>
          </w:p>
        </w:tc>
        <w:tc>
          <w:tcPr>
            <w:tcW w:w="328" w:type="pct"/>
            <w:vMerge w:val="restart"/>
            <w:tcBorders>
              <w:top w:val="single" w:color="000000" w:sz="4" w:space="0"/>
              <w:left w:val="single" w:color="000000" w:sz="4" w:space="0"/>
              <w:bottom w:val="single" w:color="000000" w:sz="4" w:space="0"/>
              <w:right w:val="single" w:color="000000" w:sz="4" w:space="0"/>
            </w:tcBorders>
            <w:shd w:val="clear"/>
            <w:vAlign w:val="center"/>
          </w:tcPr>
          <w:p w14:paraId="3D41DB4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指标得分</w:t>
            </w:r>
          </w:p>
        </w:tc>
        <w:tc>
          <w:tcPr>
            <w:tcW w:w="327" w:type="pct"/>
            <w:vMerge w:val="restart"/>
            <w:tcBorders>
              <w:top w:val="single" w:color="000000" w:sz="4" w:space="0"/>
              <w:left w:val="single" w:color="000000" w:sz="4" w:space="0"/>
              <w:bottom w:val="single" w:color="000000" w:sz="4" w:space="0"/>
              <w:right w:val="single" w:color="000000" w:sz="4" w:space="0"/>
            </w:tcBorders>
            <w:shd w:val="clear"/>
            <w:vAlign w:val="center"/>
          </w:tcPr>
          <w:p w14:paraId="34E5257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指标值设定依据</w:t>
            </w:r>
          </w:p>
        </w:tc>
        <w:tc>
          <w:tcPr>
            <w:tcW w:w="328" w:type="pct"/>
            <w:vMerge w:val="restart"/>
            <w:tcBorders>
              <w:top w:val="single" w:color="000000" w:sz="4" w:space="0"/>
              <w:left w:val="single" w:color="000000" w:sz="4" w:space="0"/>
              <w:bottom w:val="single" w:color="000000" w:sz="4" w:space="0"/>
              <w:right w:val="single" w:color="000000" w:sz="4" w:space="0"/>
            </w:tcBorders>
            <w:shd w:val="clear"/>
            <w:vAlign w:val="center"/>
          </w:tcPr>
          <w:p w14:paraId="0288A2A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上年完成情况</w:t>
            </w:r>
          </w:p>
        </w:tc>
        <w:tc>
          <w:tcPr>
            <w:tcW w:w="394" w:type="pct"/>
            <w:vMerge w:val="restart"/>
            <w:tcBorders>
              <w:top w:val="single" w:color="000000" w:sz="4" w:space="0"/>
              <w:left w:val="single" w:color="000000" w:sz="4" w:space="0"/>
              <w:bottom w:val="single" w:color="000000" w:sz="4" w:space="0"/>
              <w:right w:val="single" w:color="000000" w:sz="4" w:space="0"/>
            </w:tcBorders>
            <w:shd w:val="clear"/>
            <w:vAlign w:val="center"/>
          </w:tcPr>
          <w:p w14:paraId="71C8B4C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赋分规则</w:t>
            </w:r>
          </w:p>
        </w:tc>
        <w:tc>
          <w:tcPr>
            <w:tcW w:w="349" w:type="pct"/>
            <w:vMerge w:val="restart"/>
            <w:tcBorders>
              <w:top w:val="single" w:color="000000" w:sz="4" w:space="0"/>
              <w:left w:val="single" w:color="000000" w:sz="4" w:space="0"/>
              <w:bottom w:val="single" w:color="000000" w:sz="4" w:space="0"/>
              <w:right w:val="single" w:color="000000" w:sz="4" w:space="0"/>
            </w:tcBorders>
            <w:shd w:val="clear"/>
            <w:vAlign w:val="center"/>
          </w:tcPr>
          <w:p w14:paraId="4B59398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佐证资料</w:t>
            </w:r>
          </w:p>
        </w:tc>
        <w:tc>
          <w:tcPr>
            <w:tcW w:w="814" w:type="pct"/>
            <w:vMerge w:val="restart"/>
            <w:tcBorders>
              <w:top w:val="single" w:color="000000" w:sz="4" w:space="0"/>
              <w:left w:val="single" w:color="000000" w:sz="4" w:space="0"/>
              <w:bottom w:val="single" w:color="000000" w:sz="4" w:space="0"/>
              <w:right w:val="single" w:color="000000" w:sz="4" w:space="0"/>
            </w:tcBorders>
            <w:shd w:val="clear"/>
            <w:vAlign w:val="center"/>
          </w:tcPr>
          <w:p w14:paraId="2CA2D13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偏差原因分析及改进措施</w:t>
            </w:r>
          </w:p>
        </w:tc>
      </w:tr>
      <w:tr w14:paraId="53226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A48535C">
            <w:pPr>
              <w:jc w:val="center"/>
              <w:rPr>
                <w:rFonts w:hint="eastAsia" w:ascii="宋体" w:hAnsi="宋体" w:eastAsia="宋体" w:cs="宋体"/>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01BEE94">
            <w:pPr>
              <w:jc w:val="center"/>
              <w:rPr>
                <w:rFonts w:hint="eastAsia" w:ascii="宋体" w:hAnsi="宋体" w:eastAsia="宋体" w:cs="宋体"/>
                <w:b/>
                <w:bCs/>
                <w:i w:val="0"/>
                <w:iCs w:val="0"/>
                <w:color w:val="000000"/>
                <w:sz w:val="18"/>
                <w:szCs w:val="18"/>
                <w:u w:val="none"/>
              </w:rPr>
            </w:pPr>
          </w:p>
        </w:tc>
        <w:tc>
          <w:tcPr>
            <w:tcW w:w="273"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EC395AD">
            <w:pPr>
              <w:jc w:val="center"/>
              <w:rPr>
                <w:rFonts w:hint="eastAsia" w:ascii="宋体" w:hAnsi="宋体" w:eastAsia="宋体" w:cs="宋体"/>
                <w:b/>
                <w:bCs/>
                <w:i w:val="0"/>
                <w:iCs w:val="0"/>
                <w:color w:val="000000"/>
                <w:sz w:val="18"/>
                <w:szCs w:val="18"/>
                <w:u w:val="none"/>
              </w:rPr>
            </w:pPr>
          </w:p>
        </w:tc>
        <w:tc>
          <w:tcPr>
            <w:tcW w:w="461"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97AD547">
            <w:pPr>
              <w:jc w:val="center"/>
              <w:rPr>
                <w:rFonts w:hint="eastAsia" w:ascii="宋体" w:hAnsi="宋体" w:eastAsia="宋体" w:cs="宋体"/>
                <w:b/>
                <w:bCs/>
                <w:i w:val="0"/>
                <w:iCs w:val="0"/>
                <w:color w:val="000000"/>
                <w:sz w:val="18"/>
                <w:szCs w:val="18"/>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3A1DA1D">
            <w:pPr>
              <w:jc w:val="center"/>
              <w:rPr>
                <w:rFonts w:hint="eastAsia" w:ascii="宋体" w:hAnsi="宋体" w:eastAsia="宋体" w:cs="宋体"/>
                <w:b/>
                <w:bCs/>
                <w:i w:val="0"/>
                <w:iCs w:val="0"/>
                <w:color w:val="000000"/>
                <w:sz w:val="18"/>
                <w:szCs w:val="18"/>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F1E02FB">
            <w:pPr>
              <w:jc w:val="center"/>
              <w:rPr>
                <w:rFonts w:hint="eastAsia" w:ascii="宋体" w:hAnsi="宋体" w:eastAsia="宋体" w:cs="宋体"/>
                <w:b/>
                <w:bCs/>
                <w:i w:val="0"/>
                <w:iCs w:val="0"/>
                <w:color w:val="000000"/>
                <w:sz w:val="18"/>
                <w:szCs w:val="18"/>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C1F3868">
            <w:pPr>
              <w:jc w:val="center"/>
              <w:rPr>
                <w:rFonts w:hint="eastAsia" w:ascii="宋体" w:hAnsi="宋体" w:eastAsia="宋体" w:cs="宋体"/>
                <w:b/>
                <w:bCs/>
                <w:i w:val="0"/>
                <w:iCs w:val="0"/>
                <w:color w:val="000000"/>
                <w:sz w:val="18"/>
                <w:szCs w:val="18"/>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0A7E49F">
            <w:pPr>
              <w:jc w:val="center"/>
              <w:rPr>
                <w:rFonts w:hint="eastAsia" w:ascii="宋体" w:hAnsi="宋体" w:eastAsia="宋体" w:cs="宋体"/>
                <w:b/>
                <w:bCs/>
                <w:i w:val="0"/>
                <w:iCs w:val="0"/>
                <w:color w:val="000000"/>
                <w:sz w:val="18"/>
                <w:szCs w:val="18"/>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20AACD4">
            <w:pPr>
              <w:jc w:val="center"/>
              <w:rPr>
                <w:rFonts w:hint="eastAsia" w:ascii="宋体" w:hAnsi="宋体" w:eastAsia="宋体" w:cs="宋体"/>
                <w:b/>
                <w:bCs/>
                <w:i w:val="0"/>
                <w:iCs w:val="0"/>
                <w:color w:val="000000"/>
                <w:sz w:val="18"/>
                <w:szCs w:val="18"/>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224A994">
            <w:pPr>
              <w:jc w:val="center"/>
              <w:rPr>
                <w:rFonts w:hint="eastAsia" w:ascii="宋体" w:hAnsi="宋体" w:eastAsia="宋体" w:cs="宋体"/>
                <w:b/>
                <w:bCs/>
                <w:i w:val="0"/>
                <w:iCs w:val="0"/>
                <w:color w:val="000000"/>
                <w:sz w:val="18"/>
                <w:szCs w:val="18"/>
                <w:u w:val="none"/>
              </w:rPr>
            </w:pPr>
          </w:p>
        </w:tc>
        <w:tc>
          <w:tcPr>
            <w:tcW w:w="328"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C0B82D2">
            <w:pPr>
              <w:jc w:val="center"/>
              <w:rPr>
                <w:rFonts w:hint="eastAsia" w:ascii="宋体" w:hAnsi="宋体" w:eastAsia="宋体" w:cs="宋体"/>
                <w:b/>
                <w:bCs/>
                <w:i w:val="0"/>
                <w:iCs w:val="0"/>
                <w:color w:val="000000"/>
                <w:sz w:val="18"/>
                <w:szCs w:val="18"/>
                <w:u w:val="none"/>
              </w:rPr>
            </w:pPr>
          </w:p>
        </w:tc>
        <w:tc>
          <w:tcPr>
            <w:tcW w:w="39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D61C6E3">
            <w:pPr>
              <w:jc w:val="center"/>
              <w:rPr>
                <w:rFonts w:hint="eastAsia" w:ascii="宋体" w:hAnsi="宋体" w:eastAsia="宋体" w:cs="宋体"/>
                <w:b/>
                <w:bCs/>
                <w:i w:val="0"/>
                <w:iCs w:val="0"/>
                <w:color w:val="000000"/>
                <w:sz w:val="18"/>
                <w:szCs w:val="18"/>
                <w:u w:val="none"/>
              </w:rPr>
            </w:pPr>
          </w:p>
        </w:tc>
        <w:tc>
          <w:tcPr>
            <w:tcW w:w="349"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FA63301">
            <w:pPr>
              <w:jc w:val="center"/>
              <w:rPr>
                <w:rFonts w:hint="eastAsia" w:ascii="宋体" w:hAnsi="宋体" w:eastAsia="宋体" w:cs="宋体"/>
                <w:b/>
                <w:bCs/>
                <w:i w:val="0"/>
                <w:iCs w:val="0"/>
                <w:color w:val="000000"/>
                <w:sz w:val="18"/>
                <w:szCs w:val="18"/>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6668DD9">
            <w:pPr>
              <w:jc w:val="center"/>
              <w:rPr>
                <w:rFonts w:hint="eastAsia" w:ascii="宋体" w:hAnsi="宋体" w:eastAsia="宋体" w:cs="宋体"/>
                <w:b/>
                <w:bCs/>
                <w:i w:val="0"/>
                <w:iCs w:val="0"/>
                <w:color w:val="000000"/>
                <w:sz w:val="18"/>
                <w:szCs w:val="18"/>
                <w:u w:val="none"/>
              </w:rPr>
            </w:pPr>
          </w:p>
        </w:tc>
      </w:tr>
      <w:tr w14:paraId="33E51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restart"/>
            <w:tcBorders>
              <w:top w:val="single" w:color="000000" w:sz="4" w:space="0"/>
              <w:left w:val="single" w:color="000000" w:sz="4" w:space="0"/>
              <w:bottom w:val="single" w:color="000000" w:sz="4" w:space="0"/>
              <w:right w:val="single" w:color="000000" w:sz="4" w:space="0"/>
            </w:tcBorders>
            <w:shd w:val="clear"/>
            <w:vAlign w:val="center"/>
          </w:tcPr>
          <w:p w14:paraId="42D181B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年度绩效指标完成情况</w:t>
            </w:r>
          </w:p>
        </w:tc>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5D85D6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5C23BD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79237B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支持的农民合作社数量（个）</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362CA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4DC4A4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&gt;=4个</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C3A44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=4个</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6B384F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E875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4F874A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FA794F0">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06D8B3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5A6454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5808C877">
            <w:pPr>
              <w:jc w:val="center"/>
              <w:rPr>
                <w:rFonts w:hint="eastAsia" w:ascii="宋体" w:hAnsi="宋体" w:eastAsia="宋体" w:cs="宋体"/>
                <w:i w:val="0"/>
                <w:iCs w:val="0"/>
                <w:color w:val="000000"/>
                <w:sz w:val="18"/>
                <w:szCs w:val="18"/>
                <w:u w:val="none"/>
              </w:rPr>
            </w:pPr>
          </w:p>
        </w:tc>
      </w:tr>
      <w:tr w14:paraId="2A8FF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59D7CDC">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70CFA45">
            <w:pPr>
              <w:jc w:val="center"/>
              <w:rPr>
                <w:rFonts w:hint="eastAsia" w:ascii="宋体" w:hAnsi="宋体" w:eastAsia="宋体" w:cs="宋体"/>
                <w:i w:val="0"/>
                <w:iCs w:val="0"/>
                <w:color w:val="000000"/>
                <w:sz w:val="18"/>
                <w:szCs w:val="18"/>
                <w:u w:val="none"/>
              </w:rPr>
            </w:pP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019318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195365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支持的家庭农场数量（个）</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57D0E4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735195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&gt;=7个</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AA6BC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=7个</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2846EE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D6A39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5F6B15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DBA416A">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19CB6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305C1C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3E7F6B0F">
            <w:pPr>
              <w:jc w:val="center"/>
              <w:rPr>
                <w:rFonts w:hint="eastAsia" w:ascii="宋体" w:hAnsi="宋体" w:eastAsia="宋体" w:cs="宋体"/>
                <w:i w:val="0"/>
                <w:iCs w:val="0"/>
                <w:color w:val="000000"/>
                <w:sz w:val="18"/>
                <w:szCs w:val="18"/>
                <w:u w:val="none"/>
              </w:rPr>
            </w:pPr>
          </w:p>
        </w:tc>
      </w:tr>
      <w:tr w14:paraId="188D1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F5BAC35">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BB519A4">
            <w:pPr>
              <w:jc w:val="center"/>
              <w:rPr>
                <w:rFonts w:hint="eastAsia" w:ascii="宋体" w:hAnsi="宋体" w:eastAsia="宋体" w:cs="宋体"/>
                <w:i w:val="0"/>
                <w:iCs w:val="0"/>
                <w:color w:val="000000"/>
                <w:sz w:val="18"/>
                <w:szCs w:val="18"/>
                <w:u w:val="none"/>
              </w:rPr>
            </w:pP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72CD53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606AC7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农业生产托管服务面积（万亩）</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628C01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404C30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&gt;=5.50万亩</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E179D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=5.5万亩</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68FFB6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4458D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4EE917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2E2E496">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635B00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1403B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4A87807C">
            <w:pPr>
              <w:jc w:val="center"/>
              <w:rPr>
                <w:rFonts w:hint="eastAsia" w:ascii="宋体" w:hAnsi="宋体" w:eastAsia="宋体" w:cs="宋体"/>
                <w:i w:val="0"/>
                <w:iCs w:val="0"/>
                <w:color w:val="000000"/>
                <w:sz w:val="18"/>
                <w:szCs w:val="18"/>
                <w:u w:val="none"/>
              </w:rPr>
            </w:pPr>
          </w:p>
        </w:tc>
      </w:tr>
      <w:tr w14:paraId="3DFC6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AFDDD85">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FA951FD">
            <w:pPr>
              <w:jc w:val="center"/>
              <w:rPr>
                <w:rFonts w:hint="eastAsia" w:ascii="宋体" w:hAnsi="宋体" w:eastAsia="宋体" w:cs="宋体"/>
                <w:i w:val="0"/>
                <w:iCs w:val="0"/>
                <w:color w:val="000000"/>
                <w:sz w:val="18"/>
                <w:szCs w:val="18"/>
                <w:u w:val="none"/>
              </w:rPr>
            </w:pP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1DDD63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666A7D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农业生产社会化服务对象单产水平</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4C51FA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772B81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8BF40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50EC99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CA23A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5E3FA2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AA4C17D">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4DA32E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393296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48F35E93">
            <w:pPr>
              <w:jc w:val="center"/>
              <w:rPr>
                <w:rFonts w:hint="eastAsia" w:ascii="宋体" w:hAnsi="宋体" w:eastAsia="宋体" w:cs="宋体"/>
                <w:i w:val="0"/>
                <w:iCs w:val="0"/>
                <w:color w:val="000000"/>
                <w:sz w:val="18"/>
                <w:szCs w:val="18"/>
                <w:u w:val="none"/>
              </w:rPr>
            </w:pPr>
          </w:p>
        </w:tc>
      </w:tr>
      <w:tr w14:paraId="68945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2FC70028">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93EC814">
            <w:pPr>
              <w:jc w:val="center"/>
              <w:rPr>
                <w:rFonts w:hint="eastAsia" w:ascii="宋体" w:hAnsi="宋体" w:eastAsia="宋体" w:cs="宋体"/>
                <w:i w:val="0"/>
                <w:iCs w:val="0"/>
                <w:color w:val="000000"/>
                <w:sz w:val="18"/>
                <w:szCs w:val="18"/>
                <w:u w:val="none"/>
              </w:rPr>
            </w:pP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4B38F9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71F84F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当年资金完成支付时间</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5D840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200F8A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2024年11月5日</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76035E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=2024年11月5日</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724930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44AF66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698F3C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D484AC8">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5B354B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按照完成比例赋分</w:t>
            </w: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31C6FC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2934D35B">
            <w:pPr>
              <w:jc w:val="center"/>
              <w:rPr>
                <w:rFonts w:hint="eastAsia" w:ascii="宋体" w:hAnsi="宋体" w:eastAsia="宋体" w:cs="宋体"/>
                <w:i w:val="0"/>
                <w:iCs w:val="0"/>
                <w:color w:val="000000"/>
                <w:sz w:val="18"/>
                <w:szCs w:val="18"/>
                <w:u w:val="none"/>
              </w:rPr>
            </w:pPr>
          </w:p>
        </w:tc>
      </w:tr>
      <w:tr w14:paraId="6135B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34A4B70B">
            <w:pPr>
              <w:jc w:val="center"/>
              <w:rPr>
                <w:rFonts w:hint="eastAsia" w:ascii="宋体" w:hAnsi="宋体" w:eastAsia="宋体" w:cs="宋体"/>
                <w:b/>
                <w:bCs/>
                <w:i w:val="0"/>
                <w:iCs w:val="0"/>
                <w:color w:val="000000"/>
                <w:sz w:val="18"/>
                <w:szCs w:val="18"/>
                <w:u w:val="none"/>
              </w:rPr>
            </w:pPr>
          </w:p>
        </w:tc>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523ADA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1CC522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2C44D9C9">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0C52EE07">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398B177F">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1DE4BBF">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0CB8E2D3">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FA312DF">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07CD9024">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BB175BE">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5482A063">
            <w:pPr>
              <w:jc w:val="center"/>
              <w:rPr>
                <w:rFonts w:hint="eastAsia" w:ascii="宋体" w:hAnsi="宋体" w:eastAsia="宋体" w:cs="宋体"/>
                <w:i w:val="0"/>
                <w:iCs w:val="0"/>
                <w:color w:val="000000"/>
                <w:sz w:val="18"/>
                <w:szCs w:val="18"/>
                <w:u w:val="none"/>
              </w:rPr>
            </w:pP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501F8E03">
            <w:pPr>
              <w:jc w:val="center"/>
              <w:rPr>
                <w:rFonts w:hint="eastAsia" w:ascii="宋体" w:hAnsi="宋体" w:eastAsia="宋体" w:cs="宋体"/>
                <w:i w:val="0"/>
                <w:iCs w:val="0"/>
                <w:color w:val="000000"/>
                <w:sz w:val="18"/>
                <w:szCs w:val="18"/>
                <w:u w:val="none"/>
              </w:rPr>
            </w:pP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00177719">
            <w:pPr>
              <w:jc w:val="center"/>
              <w:rPr>
                <w:rFonts w:hint="eastAsia" w:ascii="宋体" w:hAnsi="宋体" w:eastAsia="宋体" w:cs="宋体"/>
                <w:i w:val="0"/>
                <w:iCs w:val="0"/>
                <w:color w:val="000000"/>
                <w:sz w:val="18"/>
                <w:szCs w:val="18"/>
                <w:u w:val="none"/>
              </w:rPr>
            </w:pPr>
          </w:p>
        </w:tc>
      </w:tr>
      <w:tr w14:paraId="2CC4E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8622E92">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0A8FE757">
            <w:pPr>
              <w:jc w:val="center"/>
              <w:rPr>
                <w:rFonts w:hint="eastAsia" w:ascii="宋体" w:hAnsi="宋体" w:eastAsia="宋体" w:cs="宋体"/>
                <w:i w:val="0"/>
                <w:iCs w:val="0"/>
                <w:color w:val="000000"/>
                <w:sz w:val="18"/>
                <w:szCs w:val="18"/>
                <w:u w:val="none"/>
              </w:rPr>
            </w:pP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6E55CA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3174EEBF">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2C99A91C">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28CD8C18">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0BA0B12">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0A2EF64F">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5A19EB1">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5045DAC0">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720363F">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22EB0739">
            <w:pPr>
              <w:jc w:val="center"/>
              <w:rPr>
                <w:rFonts w:hint="eastAsia" w:ascii="宋体" w:hAnsi="宋体" w:eastAsia="宋体" w:cs="宋体"/>
                <w:i w:val="0"/>
                <w:iCs w:val="0"/>
                <w:color w:val="000000"/>
                <w:sz w:val="18"/>
                <w:szCs w:val="18"/>
                <w:u w:val="none"/>
              </w:rPr>
            </w:pP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0994629D">
            <w:pPr>
              <w:jc w:val="center"/>
              <w:rPr>
                <w:rFonts w:hint="eastAsia" w:ascii="宋体" w:hAnsi="宋体" w:eastAsia="宋体" w:cs="宋体"/>
                <w:i w:val="0"/>
                <w:iCs w:val="0"/>
                <w:color w:val="000000"/>
                <w:sz w:val="18"/>
                <w:szCs w:val="18"/>
                <w:u w:val="none"/>
              </w:rPr>
            </w:pP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68B64894">
            <w:pPr>
              <w:jc w:val="center"/>
              <w:rPr>
                <w:rFonts w:hint="eastAsia" w:ascii="宋体" w:hAnsi="宋体" w:eastAsia="宋体" w:cs="宋体"/>
                <w:i w:val="0"/>
                <w:iCs w:val="0"/>
                <w:color w:val="000000"/>
                <w:sz w:val="18"/>
                <w:szCs w:val="18"/>
                <w:u w:val="none"/>
              </w:rPr>
            </w:pPr>
          </w:p>
        </w:tc>
      </w:tr>
      <w:tr w14:paraId="4A15D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6688062">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7338A493">
            <w:pPr>
              <w:jc w:val="center"/>
              <w:rPr>
                <w:rFonts w:hint="eastAsia" w:ascii="宋体" w:hAnsi="宋体" w:eastAsia="宋体" w:cs="宋体"/>
                <w:i w:val="0"/>
                <w:iCs w:val="0"/>
                <w:color w:val="000000"/>
                <w:sz w:val="18"/>
                <w:szCs w:val="18"/>
                <w:u w:val="none"/>
              </w:rPr>
            </w:pP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72A5EE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1305E787">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4D722D20">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1FEC0DAA">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2F161F6">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2DE1C6D6">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6D0773D">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3C243037">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0006E82">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4B6C5C22">
            <w:pPr>
              <w:jc w:val="center"/>
              <w:rPr>
                <w:rFonts w:hint="eastAsia" w:ascii="宋体" w:hAnsi="宋体" w:eastAsia="宋体" w:cs="宋体"/>
                <w:i w:val="0"/>
                <w:iCs w:val="0"/>
                <w:color w:val="000000"/>
                <w:sz w:val="18"/>
                <w:szCs w:val="18"/>
                <w:u w:val="none"/>
              </w:rPr>
            </w:pP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0F7F2305">
            <w:pPr>
              <w:jc w:val="center"/>
              <w:rPr>
                <w:rFonts w:hint="eastAsia" w:ascii="宋体" w:hAnsi="宋体" w:eastAsia="宋体" w:cs="宋体"/>
                <w:i w:val="0"/>
                <w:iCs w:val="0"/>
                <w:color w:val="000000"/>
                <w:sz w:val="18"/>
                <w:szCs w:val="18"/>
                <w:u w:val="none"/>
              </w:rPr>
            </w:pP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00DEF345">
            <w:pPr>
              <w:jc w:val="center"/>
              <w:rPr>
                <w:rFonts w:hint="eastAsia" w:ascii="宋体" w:hAnsi="宋体" w:eastAsia="宋体" w:cs="宋体"/>
                <w:i w:val="0"/>
                <w:iCs w:val="0"/>
                <w:color w:val="000000"/>
                <w:sz w:val="18"/>
                <w:szCs w:val="18"/>
                <w:u w:val="none"/>
              </w:rPr>
            </w:pPr>
          </w:p>
        </w:tc>
      </w:tr>
      <w:tr w14:paraId="4976E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638B159">
            <w:pPr>
              <w:jc w:val="center"/>
              <w:rPr>
                <w:rFonts w:hint="eastAsia" w:ascii="宋体" w:hAnsi="宋体" w:eastAsia="宋体" w:cs="宋体"/>
                <w:b/>
                <w:bCs/>
                <w:i w:val="0"/>
                <w:iCs w:val="0"/>
                <w:color w:val="000000"/>
                <w:sz w:val="18"/>
                <w:szCs w:val="18"/>
                <w:u w:val="none"/>
              </w:rPr>
            </w:pPr>
          </w:p>
        </w:tc>
        <w:tc>
          <w:tcPr>
            <w:tcW w:w="206" w:type="pct"/>
            <w:vMerge w:val="restart"/>
            <w:tcBorders>
              <w:top w:val="single" w:color="000000" w:sz="4" w:space="0"/>
              <w:left w:val="single" w:color="000000" w:sz="4" w:space="0"/>
              <w:bottom w:val="single" w:color="000000" w:sz="4" w:space="0"/>
              <w:right w:val="single" w:color="000000" w:sz="4" w:space="0"/>
            </w:tcBorders>
            <w:shd w:val="clear"/>
            <w:vAlign w:val="center"/>
          </w:tcPr>
          <w:p w14:paraId="5CEF0F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7B12AD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0CA84D57">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01DC07D1">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018A95FF">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730B9A2F">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0CF16EAF">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1D71E01F">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7AAF0345">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6738857">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27F87A6B">
            <w:pPr>
              <w:jc w:val="center"/>
              <w:rPr>
                <w:rFonts w:hint="eastAsia" w:ascii="宋体" w:hAnsi="宋体" w:eastAsia="宋体" w:cs="宋体"/>
                <w:i w:val="0"/>
                <w:iCs w:val="0"/>
                <w:color w:val="000000"/>
                <w:sz w:val="18"/>
                <w:szCs w:val="18"/>
                <w:u w:val="none"/>
              </w:rPr>
            </w:pP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0CCA7BEA">
            <w:pPr>
              <w:jc w:val="center"/>
              <w:rPr>
                <w:rFonts w:hint="eastAsia" w:ascii="宋体" w:hAnsi="宋体" w:eastAsia="宋体" w:cs="宋体"/>
                <w:i w:val="0"/>
                <w:iCs w:val="0"/>
                <w:color w:val="000000"/>
                <w:sz w:val="18"/>
                <w:szCs w:val="18"/>
                <w:u w:val="none"/>
              </w:rPr>
            </w:pP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3DB1374E">
            <w:pPr>
              <w:jc w:val="center"/>
              <w:rPr>
                <w:rFonts w:hint="eastAsia" w:ascii="宋体" w:hAnsi="宋体" w:eastAsia="宋体" w:cs="宋体"/>
                <w:i w:val="0"/>
                <w:iCs w:val="0"/>
                <w:color w:val="000000"/>
                <w:sz w:val="18"/>
                <w:szCs w:val="18"/>
                <w:u w:val="none"/>
              </w:rPr>
            </w:pPr>
          </w:p>
        </w:tc>
      </w:tr>
      <w:tr w14:paraId="5D771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CA8C66F">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40679139">
            <w:pPr>
              <w:jc w:val="center"/>
              <w:rPr>
                <w:rFonts w:hint="eastAsia" w:ascii="宋体" w:hAnsi="宋体" w:eastAsia="宋体" w:cs="宋体"/>
                <w:i w:val="0"/>
                <w:iCs w:val="0"/>
                <w:color w:val="000000"/>
                <w:sz w:val="18"/>
                <w:szCs w:val="18"/>
                <w:u w:val="none"/>
              </w:rPr>
            </w:pP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0EE0F7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293FB7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农民合作社示范社和示范家庭农场发展水平和带动能力</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0CAFF8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7FE8F0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增强</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4DFDCB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达到预期指标</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38681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70A514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63829C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73E3E36">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35BD3C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按评判等级赋分</w:t>
            </w: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550C7F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22C14A89">
            <w:pPr>
              <w:jc w:val="center"/>
              <w:rPr>
                <w:rFonts w:hint="eastAsia" w:ascii="宋体" w:hAnsi="宋体" w:eastAsia="宋体" w:cs="宋体"/>
                <w:i w:val="0"/>
                <w:iCs w:val="0"/>
                <w:color w:val="000000"/>
                <w:sz w:val="18"/>
                <w:szCs w:val="18"/>
                <w:u w:val="none"/>
              </w:rPr>
            </w:pPr>
          </w:p>
        </w:tc>
      </w:tr>
      <w:tr w14:paraId="56D57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2EF9B97">
            <w:pPr>
              <w:jc w:val="center"/>
              <w:rPr>
                <w:rFonts w:hint="eastAsia" w:ascii="宋体" w:hAnsi="宋体" w:eastAsia="宋体" w:cs="宋体"/>
                <w:b/>
                <w:bCs/>
                <w:i w:val="0"/>
                <w:iCs w:val="0"/>
                <w:color w:val="000000"/>
                <w:sz w:val="18"/>
                <w:szCs w:val="18"/>
                <w:u w:val="none"/>
              </w:rPr>
            </w:pPr>
          </w:p>
        </w:tc>
        <w:tc>
          <w:tcPr>
            <w:tcW w:w="206" w:type="pct"/>
            <w:vMerge w:val="continue"/>
            <w:tcBorders>
              <w:top w:val="single" w:color="000000" w:sz="4" w:space="0"/>
              <w:left w:val="single" w:color="000000" w:sz="4" w:space="0"/>
              <w:bottom w:val="single" w:color="000000" w:sz="4" w:space="0"/>
              <w:right w:val="single" w:color="000000" w:sz="4" w:space="0"/>
            </w:tcBorders>
            <w:shd w:val="clear"/>
            <w:vAlign w:val="center"/>
          </w:tcPr>
          <w:p w14:paraId="19A4D423">
            <w:pPr>
              <w:jc w:val="center"/>
              <w:rPr>
                <w:rFonts w:hint="eastAsia" w:ascii="宋体" w:hAnsi="宋体" w:eastAsia="宋体" w:cs="宋体"/>
                <w:i w:val="0"/>
                <w:iCs w:val="0"/>
                <w:color w:val="000000"/>
                <w:sz w:val="18"/>
                <w:szCs w:val="18"/>
                <w:u w:val="none"/>
              </w:rPr>
            </w:pP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7D03ED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535D9EDF">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1B6999E2">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7F5496B0">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6A5FFA0">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69596CFF">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6692223C">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79E6A359">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7BB836D">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4E20AE0C">
            <w:pPr>
              <w:jc w:val="center"/>
              <w:rPr>
                <w:rFonts w:hint="eastAsia" w:ascii="宋体" w:hAnsi="宋体" w:eastAsia="宋体" w:cs="宋体"/>
                <w:i w:val="0"/>
                <w:iCs w:val="0"/>
                <w:color w:val="000000"/>
                <w:sz w:val="18"/>
                <w:szCs w:val="18"/>
                <w:u w:val="none"/>
              </w:rPr>
            </w:pP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1F1F902B">
            <w:pPr>
              <w:jc w:val="center"/>
              <w:rPr>
                <w:rFonts w:hint="eastAsia" w:ascii="宋体" w:hAnsi="宋体" w:eastAsia="宋体" w:cs="宋体"/>
                <w:i w:val="0"/>
                <w:iCs w:val="0"/>
                <w:color w:val="000000"/>
                <w:sz w:val="18"/>
                <w:szCs w:val="18"/>
                <w:u w:val="none"/>
              </w:rPr>
            </w:pP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6A776352">
            <w:pPr>
              <w:jc w:val="center"/>
              <w:rPr>
                <w:rFonts w:hint="eastAsia" w:ascii="宋体" w:hAnsi="宋体" w:eastAsia="宋体" w:cs="宋体"/>
                <w:i w:val="0"/>
                <w:iCs w:val="0"/>
                <w:color w:val="000000"/>
                <w:sz w:val="18"/>
                <w:szCs w:val="18"/>
                <w:u w:val="none"/>
              </w:rPr>
            </w:pPr>
          </w:p>
        </w:tc>
      </w:tr>
      <w:tr w14:paraId="02AD6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205" w:type="pct"/>
            <w:vMerge w:val="continue"/>
            <w:tcBorders>
              <w:top w:val="single" w:color="000000" w:sz="4" w:space="0"/>
              <w:left w:val="single" w:color="000000" w:sz="4" w:space="0"/>
              <w:bottom w:val="single" w:color="000000" w:sz="4" w:space="0"/>
              <w:right w:val="single" w:color="000000" w:sz="4" w:space="0"/>
            </w:tcBorders>
            <w:shd w:val="clear"/>
            <w:vAlign w:val="center"/>
          </w:tcPr>
          <w:p w14:paraId="53FF9722">
            <w:pPr>
              <w:jc w:val="center"/>
              <w:rPr>
                <w:rFonts w:hint="eastAsia" w:ascii="宋体" w:hAnsi="宋体" w:eastAsia="宋体" w:cs="宋体"/>
                <w:b/>
                <w:bCs/>
                <w:i w:val="0"/>
                <w:iCs w:val="0"/>
                <w:color w:val="000000"/>
                <w:sz w:val="18"/>
                <w:szCs w:val="18"/>
                <w:u w:val="none"/>
              </w:rPr>
            </w:pPr>
          </w:p>
        </w:tc>
        <w:tc>
          <w:tcPr>
            <w:tcW w:w="206" w:type="pct"/>
            <w:tcBorders>
              <w:top w:val="single" w:color="000000" w:sz="4" w:space="0"/>
              <w:left w:val="single" w:color="000000" w:sz="4" w:space="0"/>
              <w:bottom w:val="single" w:color="000000" w:sz="4" w:space="0"/>
              <w:right w:val="single" w:color="000000" w:sz="4" w:space="0"/>
            </w:tcBorders>
            <w:shd w:val="clear"/>
            <w:vAlign w:val="center"/>
          </w:tcPr>
          <w:p w14:paraId="3CB33C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273" w:type="pct"/>
            <w:tcBorders>
              <w:top w:val="single" w:color="000000" w:sz="4" w:space="0"/>
              <w:left w:val="single" w:color="000000" w:sz="4" w:space="0"/>
              <w:bottom w:val="single" w:color="000000" w:sz="4" w:space="0"/>
              <w:right w:val="single" w:color="000000" w:sz="4" w:space="0"/>
            </w:tcBorders>
            <w:shd w:val="clear"/>
            <w:vAlign w:val="center"/>
          </w:tcPr>
          <w:p w14:paraId="4B1B6D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461" w:type="pct"/>
            <w:tcBorders>
              <w:top w:val="single" w:color="000000" w:sz="4" w:space="0"/>
              <w:left w:val="single" w:color="000000" w:sz="4" w:space="0"/>
              <w:bottom w:val="single" w:color="000000" w:sz="4" w:space="0"/>
              <w:right w:val="single" w:color="000000" w:sz="4" w:space="0"/>
            </w:tcBorders>
            <w:shd w:val="clear"/>
            <w:vAlign w:val="center"/>
          </w:tcPr>
          <w:p w14:paraId="3DDD56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接受社会化服务的小农户满意度（%）</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22BBBA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36F98A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&gt;=98%</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255F1E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=98%</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5A3820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D6181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057A2D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计划标准</w:t>
            </w: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086CDE0C">
            <w:pPr>
              <w:jc w:val="cente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0B6534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满意度赋分</w:t>
            </w: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1E2710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工作资料</w:t>
            </w: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527BDC58">
            <w:pPr>
              <w:jc w:val="center"/>
              <w:rPr>
                <w:rFonts w:hint="eastAsia" w:ascii="宋体" w:hAnsi="宋体" w:eastAsia="宋体" w:cs="宋体"/>
                <w:i w:val="0"/>
                <w:iCs w:val="0"/>
                <w:color w:val="000000"/>
                <w:sz w:val="18"/>
                <w:szCs w:val="18"/>
                <w:u w:val="none"/>
              </w:rPr>
            </w:pPr>
          </w:p>
        </w:tc>
      </w:tr>
      <w:tr w14:paraId="6DF69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46" w:type="pct"/>
            <w:gridSpan w:val="4"/>
            <w:tcBorders>
              <w:top w:val="single" w:color="000000" w:sz="4" w:space="0"/>
              <w:left w:val="single" w:color="000000" w:sz="4" w:space="0"/>
              <w:bottom w:val="single" w:color="000000" w:sz="4" w:space="0"/>
              <w:right w:val="nil"/>
            </w:tcBorders>
            <w:shd w:val="clear"/>
            <w:vAlign w:val="center"/>
          </w:tcPr>
          <w:p w14:paraId="31D56C9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总分</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2D34F2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327" w:type="pct"/>
            <w:tcBorders>
              <w:top w:val="single" w:color="000000" w:sz="4" w:space="0"/>
              <w:left w:val="nil"/>
              <w:bottom w:val="single" w:color="000000" w:sz="4" w:space="0"/>
              <w:right w:val="single" w:color="000000" w:sz="4" w:space="0"/>
            </w:tcBorders>
            <w:shd w:val="clear"/>
            <w:vAlign w:val="center"/>
          </w:tcPr>
          <w:p w14:paraId="437F820D">
            <w:pPr>
              <w:rPr>
                <w:rFonts w:hint="eastAsia" w:ascii="宋体" w:hAnsi="宋体" w:eastAsia="宋体" w:cs="宋体"/>
                <w:b/>
                <w:bCs/>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7D89602B">
            <w:pPr>
              <w:jc w:val="center"/>
              <w:rPr>
                <w:rFonts w:hint="eastAsia" w:ascii="宋体" w:hAnsi="宋体" w:eastAsia="宋体" w:cs="宋体"/>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3AE1D1F7">
            <w:pPr>
              <w:jc w:val="cente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35E3B8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100.00分</w:t>
            </w:r>
          </w:p>
        </w:tc>
        <w:tc>
          <w:tcPr>
            <w:tcW w:w="327" w:type="pct"/>
            <w:tcBorders>
              <w:top w:val="single" w:color="000000" w:sz="4" w:space="0"/>
              <w:left w:val="single" w:color="000000" w:sz="4" w:space="0"/>
              <w:bottom w:val="single" w:color="000000" w:sz="4" w:space="0"/>
              <w:right w:val="single" w:color="000000" w:sz="4" w:space="0"/>
            </w:tcBorders>
            <w:shd w:val="clear"/>
            <w:vAlign w:val="center"/>
          </w:tcPr>
          <w:p w14:paraId="628F841B">
            <w:pPr>
              <w:rPr>
                <w:rFonts w:hint="eastAsia" w:ascii="宋体" w:hAnsi="宋体" w:eastAsia="宋体" w:cs="宋体"/>
                <w:i w:val="0"/>
                <w:iCs w:val="0"/>
                <w:color w:val="000000"/>
                <w:sz w:val="18"/>
                <w:szCs w:val="18"/>
                <w:u w:val="none"/>
              </w:rPr>
            </w:pPr>
          </w:p>
        </w:tc>
        <w:tc>
          <w:tcPr>
            <w:tcW w:w="328" w:type="pct"/>
            <w:tcBorders>
              <w:top w:val="single" w:color="000000" w:sz="4" w:space="0"/>
              <w:left w:val="single" w:color="000000" w:sz="4" w:space="0"/>
              <w:bottom w:val="single" w:color="000000" w:sz="4" w:space="0"/>
              <w:right w:val="single" w:color="000000" w:sz="4" w:space="0"/>
            </w:tcBorders>
            <w:shd w:val="clear"/>
            <w:vAlign w:val="center"/>
          </w:tcPr>
          <w:p w14:paraId="5E42B337">
            <w:pPr>
              <w:rPr>
                <w:rFonts w:hint="eastAsia" w:ascii="宋体" w:hAnsi="宋体" w:eastAsia="宋体" w:cs="宋体"/>
                <w:i w:val="0"/>
                <w:iCs w:val="0"/>
                <w:color w:val="000000"/>
                <w:sz w:val="18"/>
                <w:szCs w:val="18"/>
                <w:u w:val="none"/>
              </w:rPr>
            </w:pPr>
          </w:p>
        </w:tc>
        <w:tc>
          <w:tcPr>
            <w:tcW w:w="394" w:type="pct"/>
            <w:tcBorders>
              <w:top w:val="single" w:color="000000" w:sz="4" w:space="0"/>
              <w:left w:val="single" w:color="000000" w:sz="4" w:space="0"/>
              <w:bottom w:val="single" w:color="000000" w:sz="4" w:space="0"/>
              <w:right w:val="single" w:color="000000" w:sz="4" w:space="0"/>
            </w:tcBorders>
            <w:shd w:val="clear"/>
            <w:vAlign w:val="center"/>
          </w:tcPr>
          <w:p w14:paraId="4E061E89">
            <w:pPr>
              <w:rPr>
                <w:rFonts w:hint="eastAsia" w:ascii="宋体" w:hAnsi="宋体" w:eastAsia="宋体" w:cs="宋体"/>
                <w:i w:val="0"/>
                <w:iCs w:val="0"/>
                <w:color w:val="000000"/>
                <w:sz w:val="18"/>
                <w:szCs w:val="18"/>
                <w:u w:val="none"/>
              </w:rPr>
            </w:pPr>
          </w:p>
        </w:tc>
        <w:tc>
          <w:tcPr>
            <w:tcW w:w="349" w:type="pct"/>
            <w:tcBorders>
              <w:top w:val="single" w:color="000000" w:sz="4" w:space="0"/>
              <w:left w:val="single" w:color="000000" w:sz="4" w:space="0"/>
              <w:bottom w:val="single" w:color="000000" w:sz="4" w:space="0"/>
              <w:right w:val="single" w:color="000000" w:sz="4" w:space="0"/>
            </w:tcBorders>
            <w:shd w:val="clear"/>
            <w:vAlign w:val="center"/>
          </w:tcPr>
          <w:p w14:paraId="2E15BEA5">
            <w:pPr>
              <w:rPr>
                <w:rFonts w:hint="eastAsia" w:ascii="宋体" w:hAnsi="宋体" w:eastAsia="宋体" w:cs="宋体"/>
                <w:i w:val="0"/>
                <w:iCs w:val="0"/>
                <w:color w:val="000000"/>
                <w:sz w:val="18"/>
                <w:szCs w:val="18"/>
                <w:u w:val="none"/>
              </w:rPr>
            </w:pPr>
          </w:p>
        </w:tc>
        <w:tc>
          <w:tcPr>
            <w:tcW w:w="814" w:type="pct"/>
            <w:tcBorders>
              <w:top w:val="single" w:color="000000" w:sz="4" w:space="0"/>
              <w:left w:val="single" w:color="000000" w:sz="4" w:space="0"/>
              <w:bottom w:val="single" w:color="000000" w:sz="4" w:space="0"/>
              <w:right w:val="single" w:color="000000" w:sz="4" w:space="0"/>
            </w:tcBorders>
            <w:shd w:val="clear"/>
            <w:vAlign w:val="center"/>
          </w:tcPr>
          <w:p w14:paraId="52345EE7">
            <w:pPr>
              <w:rPr>
                <w:rFonts w:hint="eastAsia" w:ascii="宋体" w:hAnsi="宋体" w:eastAsia="宋体" w:cs="宋体"/>
                <w:i w:val="0"/>
                <w:iCs w:val="0"/>
                <w:color w:val="000000"/>
                <w:sz w:val="18"/>
                <w:szCs w:val="18"/>
                <w:u w:val="none"/>
              </w:rPr>
            </w:pPr>
          </w:p>
        </w:tc>
      </w:tr>
    </w:tbl>
    <w:p w14:paraId="0D2C1648">
      <w:pPr>
        <w:ind w:left="0" w:leftChars="0" w:firstLine="0" w:firstLineChars="0"/>
        <w:rPr>
          <w:color w:val="auto"/>
          <w:highlight w:val="none"/>
        </w:rPr>
      </w:pPr>
      <w:r>
        <w:rPr>
          <w:color w:val="auto"/>
          <w:highlight w:val="none"/>
        </w:rPr>
        <w:br w:type="page"/>
      </w:r>
    </w:p>
    <w:p w14:paraId="351BC9DD">
      <w:pPr>
        <w:pStyle w:val="2"/>
        <w:pageBreakBefore w:val="0"/>
        <w:numPr>
          <w:ilvl w:val="0"/>
          <w:numId w:val="0"/>
        </w:numPr>
        <w:kinsoku/>
        <w:wordWrap/>
        <w:overflowPunct/>
        <w:topLinePunct w:val="0"/>
        <w:autoSpaceDE/>
        <w:autoSpaceDN/>
        <w:bidi w:val="0"/>
        <w:adjustRightInd/>
        <w:spacing w:beforeLines="0" w:afterLines="0" w:line="560" w:lineRule="exact"/>
        <w:textAlignment w:val="auto"/>
        <w:rPr>
          <w:rFonts w:hint="eastAsia" w:ascii="宋体" w:hAnsi="宋体" w:eastAsia="宋体" w:cs="宋体"/>
          <w:b/>
          <w:bCs/>
          <w:color w:val="auto"/>
          <w:highlight w:val="none"/>
          <w:shd w:val="clear" w:color="auto" w:fill="auto"/>
          <w:lang w:val="en-US" w:eastAsia="zh-CN"/>
        </w:rPr>
      </w:pPr>
      <w:bookmarkStart w:id="156" w:name="_Toc15067"/>
      <w:bookmarkStart w:id="157" w:name="_Toc11223"/>
      <w:r>
        <w:rPr>
          <w:rFonts w:hint="eastAsia" w:ascii="宋体" w:hAnsi="宋体" w:eastAsia="宋体" w:cs="宋体"/>
          <w:b/>
          <w:bCs/>
          <w:color w:val="auto"/>
          <w:highlight w:val="none"/>
          <w:shd w:val="clear" w:color="auto" w:fill="auto"/>
          <w:lang w:val="en-US" w:eastAsia="zh-CN"/>
        </w:rPr>
        <w:t>附件二、项目支出绩效评价指标体系打分表</w:t>
      </w:r>
      <w:bookmarkEnd w:id="156"/>
      <w:bookmarkEnd w:id="157"/>
    </w:p>
    <w:tbl>
      <w:tblPr>
        <w:tblStyle w:val="16"/>
        <w:tblW w:w="1392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108" w:type="dxa"/>
          <w:bottom w:w="0" w:type="dxa"/>
          <w:right w:w="108" w:type="dxa"/>
        </w:tblCellMar>
      </w:tblPr>
      <w:tblGrid>
        <w:gridCol w:w="861"/>
        <w:gridCol w:w="727"/>
        <w:gridCol w:w="950"/>
        <w:gridCol w:w="2011"/>
        <w:gridCol w:w="7821"/>
        <w:gridCol w:w="785"/>
        <w:gridCol w:w="769"/>
      </w:tblGrid>
      <w:tr w14:paraId="015BDF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692" w:hRule="atLeast"/>
          <w:tblHeader/>
          <w:jc w:val="center"/>
        </w:trPr>
        <w:tc>
          <w:tcPr>
            <w:tcW w:w="861" w:type="dxa"/>
            <w:shd w:val="clear" w:color="auto" w:fill="auto"/>
            <w:noWrap w:val="0"/>
            <w:vAlign w:val="center"/>
          </w:tcPr>
          <w:p w14:paraId="4F7EB179">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一级指标</w:t>
            </w:r>
          </w:p>
        </w:tc>
        <w:tc>
          <w:tcPr>
            <w:tcW w:w="727" w:type="dxa"/>
            <w:shd w:val="clear" w:color="auto" w:fill="auto"/>
            <w:noWrap w:val="0"/>
            <w:vAlign w:val="center"/>
          </w:tcPr>
          <w:p w14:paraId="644C1804">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二级指标</w:t>
            </w:r>
          </w:p>
        </w:tc>
        <w:tc>
          <w:tcPr>
            <w:tcW w:w="950" w:type="dxa"/>
            <w:shd w:val="clear" w:color="auto" w:fill="auto"/>
            <w:noWrap w:val="0"/>
            <w:vAlign w:val="center"/>
          </w:tcPr>
          <w:p w14:paraId="759DED7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三级指标</w:t>
            </w:r>
          </w:p>
        </w:tc>
        <w:tc>
          <w:tcPr>
            <w:tcW w:w="2011" w:type="dxa"/>
            <w:shd w:val="clear" w:color="auto" w:fill="auto"/>
            <w:noWrap w:val="0"/>
            <w:vAlign w:val="center"/>
          </w:tcPr>
          <w:p w14:paraId="235A5B92">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指标解释</w:t>
            </w:r>
          </w:p>
        </w:tc>
        <w:tc>
          <w:tcPr>
            <w:tcW w:w="7821" w:type="dxa"/>
            <w:shd w:val="clear" w:color="auto" w:fill="auto"/>
            <w:noWrap w:val="0"/>
            <w:vAlign w:val="center"/>
          </w:tcPr>
          <w:p w14:paraId="5A102CB4">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指标说明</w:t>
            </w:r>
          </w:p>
        </w:tc>
        <w:tc>
          <w:tcPr>
            <w:tcW w:w="785" w:type="dxa"/>
            <w:shd w:val="clear" w:color="auto" w:fill="auto"/>
            <w:noWrap w:val="0"/>
            <w:vAlign w:val="center"/>
          </w:tcPr>
          <w:p w14:paraId="50965998">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b/>
                <w:bCs/>
                <w:color w:val="auto"/>
                <w:kern w:val="0"/>
                <w:sz w:val="22"/>
                <w:szCs w:val="22"/>
                <w:highlight w:val="none"/>
                <w:lang w:val="en-US" w:eastAsia="zh-CN"/>
              </w:rPr>
            </w:pPr>
            <w:r>
              <w:rPr>
                <w:rFonts w:hint="eastAsia" w:ascii="宋体" w:hAnsi="宋体" w:eastAsia="宋体" w:cs="宋体"/>
                <w:b/>
                <w:bCs/>
                <w:color w:val="auto"/>
                <w:kern w:val="0"/>
                <w:sz w:val="22"/>
                <w:szCs w:val="22"/>
                <w:highlight w:val="none"/>
                <w:lang w:val="en-US" w:eastAsia="zh-CN"/>
              </w:rPr>
              <w:t>分值</w:t>
            </w:r>
          </w:p>
        </w:tc>
        <w:tc>
          <w:tcPr>
            <w:tcW w:w="769" w:type="dxa"/>
            <w:shd w:val="clear" w:color="auto" w:fill="auto"/>
            <w:noWrap w:val="0"/>
            <w:vAlign w:val="center"/>
          </w:tcPr>
          <w:p w14:paraId="0CC7754B">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b/>
                <w:bCs/>
                <w:color w:val="auto"/>
                <w:kern w:val="0"/>
                <w:sz w:val="22"/>
                <w:szCs w:val="22"/>
                <w:highlight w:val="none"/>
                <w:lang w:val="en-US" w:eastAsia="zh-CN"/>
              </w:rPr>
            </w:pPr>
            <w:r>
              <w:rPr>
                <w:rFonts w:hint="eastAsia" w:ascii="宋体" w:hAnsi="宋体" w:eastAsia="宋体" w:cs="宋体"/>
                <w:b/>
                <w:bCs/>
                <w:color w:val="auto"/>
                <w:kern w:val="0"/>
                <w:sz w:val="22"/>
                <w:szCs w:val="22"/>
                <w:highlight w:val="none"/>
                <w:lang w:val="en-US" w:eastAsia="zh-CN"/>
              </w:rPr>
              <w:t>得分</w:t>
            </w:r>
          </w:p>
        </w:tc>
      </w:tr>
      <w:tr w14:paraId="1742F8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90" w:hRule="atLeast"/>
          <w:jc w:val="center"/>
        </w:trPr>
        <w:tc>
          <w:tcPr>
            <w:tcW w:w="861" w:type="dxa"/>
            <w:vMerge w:val="restart"/>
            <w:shd w:val="clear" w:color="auto" w:fill="auto"/>
            <w:noWrap w:val="0"/>
            <w:vAlign w:val="center"/>
          </w:tcPr>
          <w:p w14:paraId="02258D98">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决策　</w:t>
            </w:r>
          </w:p>
          <w:p w14:paraId="19917D8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p>
          <w:p w14:paraId="540D15E4">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p>
        </w:tc>
        <w:tc>
          <w:tcPr>
            <w:tcW w:w="727" w:type="dxa"/>
            <w:vMerge w:val="restart"/>
            <w:shd w:val="clear" w:color="auto" w:fill="auto"/>
            <w:noWrap w:val="0"/>
            <w:vAlign w:val="center"/>
          </w:tcPr>
          <w:p w14:paraId="515493C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项目立项　</w:t>
            </w:r>
          </w:p>
        </w:tc>
        <w:tc>
          <w:tcPr>
            <w:tcW w:w="950" w:type="dxa"/>
            <w:shd w:val="clear" w:color="auto" w:fill="auto"/>
            <w:noWrap w:val="0"/>
            <w:vAlign w:val="center"/>
          </w:tcPr>
          <w:p w14:paraId="124B116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立项依据充分性</w:t>
            </w:r>
          </w:p>
        </w:tc>
        <w:tc>
          <w:tcPr>
            <w:tcW w:w="2011" w:type="dxa"/>
            <w:shd w:val="clear" w:color="auto" w:fill="auto"/>
            <w:noWrap w:val="0"/>
            <w:vAlign w:val="center"/>
          </w:tcPr>
          <w:p w14:paraId="1DAD3FBC">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项目立项是否符合法律法规、相关政策、发展规划以及部门职责，用以反映和考核项目立项依据情况。</w:t>
            </w:r>
          </w:p>
        </w:tc>
        <w:tc>
          <w:tcPr>
            <w:tcW w:w="7821" w:type="dxa"/>
            <w:shd w:val="clear" w:color="auto" w:fill="auto"/>
            <w:noWrap w:val="0"/>
            <w:vAlign w:val="center"/>
          </w:tcPr>
          <w:p w14:paraId="2AD2B23F">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7DD6F3F4">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①项目立项是否符合国家法律法规、国民经济发展规划和相关政策；</w:t>
            </w:r>
          </w:p>
          <w:p w14:paraId="12C86086">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②项目立项是否符合行业发展规划和政策要求；</w:t>
            </w:r>
          </w:p>
          <w:p w14:paraId="56B546A4">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③项目立项是否与部门职责范围相符，属于部门履职所需；</w:t>
            </w:r>
          </w:p>
          <w:p w14:paraId="0FC55EC0">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④项目是否属于公共财政支持范围，是否符合中央、地方事权支出责任划分原则；</w:t>
            </w:r>
          </w:p>
          <w:p w14:paraId="4C69C785">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⑤项目是否与相关部门同类项目或部门内部相关项目重复。</w:t>
            </w:r>
          </w:p>
        </w:tc>
        <w:tc>
          <w:tcPr>
            <w:tcW w:w="785" w:type="dxa"/>
            <w:shd w:val="clear" w:color="auto" w:fill="auto"/>
            <w:noWrap w:val="0"/>
            <w:vAlign w:val="center"/>
          </w:tcPr>
          <w:p w14:paraId="7EA88D4B">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rPr>
              <w:t>2</w:t>
            </w:r>
          </w:p>
        </w:tc>
        <w:tc>
          <w:tcPr>
            <w:tcW w:w="769" w:type="dxa"/>
            <w:shd w:val="clear" w:color="auto" w:fill="auto"/>
            <w:noWrap w:val="0"/>
            <w:vAlign w:val="center"/>
          </w:tcPr>
          <w:p w14:paraId="55DA9F5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2</w:t>
            </w:r>
          </w:p>
        </w:tc>
      </w:tr>
      <w:tr w14:paraId="456109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640" w:hRule="atLeast"/>
          <w:jc w:val="center"/>
        </w:trPr>
        <w:tc>
          <w:tcPr>
            <w:tcW w:w="861" w:type="dxa"/>
            <w:vMerge w:val="continue"/>
            <w:shd w:val="clear" w:color="auto" w:fill="auto"/>
            <w:noWrap w:val="0"/>
            <w:vAlign w:val="center"/>
          </w:tcPr>
          <w:p w14:paraId="1E72A98D">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0BE96614">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950" w:type="dxa"/>
            <w:shd w:val="clear" w:color="auto" w:fill="auto"/>
            <w:noWrap w:val="0"/>
            <w:vAlign w:val="center"/>
          </w:tcPr>
          <w:p w14:paraId="7EE609D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立项程序规范性</w:t>
            </w:r>
          </w:p>
        </w:tc>
        <w:tc>
          <w:tcPr>
            <w:tcW w:w="2011" w:type="dxa"/>
            <w:shd w:val="clear" w:color="auto" w:fill="auto"/>
            <w:noWrap w:val="0"/>
            <w:vAlign w:val="center"/>
          </w:tcPr>
          <w:p w14:paraId="33FBF90D">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项目申请、设立过程是否符合相关要求，用以反映和考核项目立项的规范情况。</w:t>
            </w:r>
          </w:p>
        </w:tc>
        <w:tc>
          <w:tcPr>
            <w:tcW w:w="7821" w:type="dxa"/>
            <w:shd w:val="clear" w:color="auto" w:fill="auto"/>
            <w:noWrap w:val="0"/>
            <w:vAlign w:val="center"/>
          </w:tcPr>
          <w:p w14:paraId="65FD5606">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4A1453A9">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①项目是否按照规定的程序申请设立；</w:t>
            </w:r>
          </w:p>
          <w:p w14:paraId="398B5BA8">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②审批文件、材料是否符合相关要求；</w:t>
            </w:r>
          </w:p>
          <w:p w14:paraId="295A8E23">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③事前是否已经过必要的可行性研究、专家论证、风险评估、绩效评估、集体决策。</w:t>
            </w:r>
          </w:p>
        </w:tc>
        <w:tc>
          <w:tcPr>
            <w:tcW w:w="785" w:type="dxa"/>
            <w:shd w:val="clear" w:color="auto" w:fill="auto"/>
            <w:noWrap w:val="0"/>
            <w:vAlign w:val="center"/>
          </w:tcPr>
          <w:p w14:paraId="64A9934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rPr>
              <w:t>3</w:t>
            </w:r>
          </w:p>
        </w:tc>
        <w:tc>
          <w:tcPr>
            <w:tcW w:w="769" w:type="dxa"/>
            <w:shd w:val="clear" w:color="auto" w:fill="auto"/>
            <w:noWrap w:val="0"/>
            <w:vAlign w:val="center"/>
          </w:tcPr>
          <w:p w14:paraId="6816FB1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2</w:t>
            </w:r>
          </w:p>
        </w:tc>
      </w:tr>
      <w:tr w14:paraId="57F587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5" w:hRule="atLeast"/>
          <w:jc w:val="center"/>
        </w:trPr>
        <w:tc>
          <w:tcPr>
            <w:tcW w:w="861" w:type="dxa"/>
            <w:vMerge w:val="continue"/>
            <w:shd w:val="clear" w:color="auto" w:fill="auto"/>
            <w:noWrap w:val="0"/>
            <w:vAlign w:val="center"/>
          </w:tcPr>
          <w:p w14:paraId="21B666C6">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shd w:val="clear" w:color="auto" w:fill="auto"/>
            <w:noWrap w:val="0"/>
            <w:vAlign w:val="center"/>
          </w:tcPr>
          <w:p w14:paraId="612DFE3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绩效目标　</w:t>
            </w:r>
          </w:p>
        </w:tc>
        <w:tc>
          <w:tcPr>
            <w:tcW w:w="950" w:type="dxa"/>
            <w:shd w:val="clear" w:color="auto" w:fill="auto"/>
            <w:noWrap w:val="0"/>
            <w:vAlign w:val="center"/>
          </w:tcPr>
          <w:p w14:paraId="6E54B52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绩效目标合理性</w:t>
            </w:r>
          </w:p>
        </w:tc>
        <w:tc>
          <w:tcPr>
            <w:tcW w:w="2011" w:type="dxa"/>
            <w:shd w:val="clear" w:color="auto" w:fill="auto"/>
            <w:noWrap w:val="0"/>
            <w:vAlign w:val="center"/>
          </w:tcPr>
          <w:p w14:paraId="4E75D22D">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项目所设定的绩效目标是否依据充分，是否符合客观实际，用以反映和考核项目绩效目标与项目实施的相符情况。</w:t>
            </w:r>
          </w:p>
        </w:tc>
        <w:tc>
          <w:tcPr>
            <w:tcW w:w="7821" w:type="dxa"/>
            <w:shd w:val="clear" w:color="auto" w:fill="auto"/>
            <w:noWrap w:val="0"/>
            <w:vAlign w:val="center"/>
          </w:tcPr>
          <w:p w14:paraId="12834538">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3A811A98">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（如未设定预算绩效目标，也可考核其他工作任务目标）</w:t>
            </w:r>
          </w:p>
          <w:p w14:paraId="2FE67568">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①项目是否有绩效目标；</w:t>
            </w:r>
          </w:p>
          <w:p w14:paraId="4616CB31">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②项目绩效目标与实际工作内容是否具有相关性；</w:t>
            </w:r>
          </w:p>
          <w:p w14:paraId="1F28E0E0">
            <w:pPr>
              <w:pageBreakBefore w:val="0"/>
              <w:widowControl/>
              <w:kinsoku/>
              <w:wordWrap/>
              <w:overflowPunct/>
              <w:topLinePunct w:val="0"/>
              <w:autoSpaceDE/>
              <w:autoSpaceDN/>
              <w:bidi w:val="0"/>
              <w:spacing w:line="240" w:lineRule="auto"/>
              <w:ind w:firstLine="0" w:firstLineChars="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③项目预期产出效益和效果是否符合正常的业绩水平；</w:t>
            </w:r>
          </w:p>
          <w:p w14:paraId="2BC4A238">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④是否与预算确定的项目投资额或资金量相匹配。</w:t>
            </w:r>
          </w:p>
        </w:tc>
        <w:tc>
          <w:tcPr>
            <w:tcW w:w="785" w:type="dxa"/>
            <w:shd w:val="clear" w:color="auto" w:fill="auto"/>
            <w:noWrap w:val="0"/>
            <w:vAlign w:val="center"/>
          </w:tcPr>
          <w:p w14:paraId="2E3F350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rPr>
              <w:t>5</w:t>
            </w:r>
          </w:p>
        </w:tc>
        <w:tc>
          <w:tcPr>
            <w:tcW w:w="769" w:type="dxa"/>
            <w:shd w:val="clear" w:color="auto" w:fill="auto"/>
            <w:noWrap w:val="0"/>
            <w:vAlign w:val="center"/>
          </w:tcPr>
          <w:p w14:paraId="7DE6879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shd w:val="clear" w:color="auto" w:fill="auto"/>
                <w:lang w:val="en-US" w:eastAsia="zh-CN"/>
              </w:rPr>
              <w:t>5</w:t>
            </w:r>
          </w:p>
        </w:tc>
      </w:tr>
      <w:tr w14:paraId="0096D8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64" w:hRule="atLeast"/>
          <w:jc w:val="center"/>
        </w:trPr>
        <w:tc>
          <w:tcPr>
            <w:tcW w:w="861" w:type="dxa"/>
            <w:vMerge w:val="restart"/>
            <w:shd w:val="clear" w:color="auto" w:fill="auto"/>
            <w:noWrap w:val="0"/>
            <w:vAlign w:val="center"/>
          </w:tcPr>
          <w:p w14:paraId="56227870">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决策　</w:t>
            </w:r>
          </w:p>
        </w:tc>
        <w:tc>
          <w:tcPr>
            <w:tcW w:w="727" w:type="dxa"/>
            <w:shd w:val="clear" w:color="auto" w:fill="auto"/>
            <w:noWrap w:val="0"/>
            <w:vAlign w:val="center"/>
          </w:tcPr>
          <w:p w14:paraId="5A323C1A">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绩效目标</w:t>
            </w:r>
          </w:p>
        </w:tc>
        <w:tc>
          <w:tcPr>
            <w:tcW w:w="950" w:type="dxa"/>
            <w:shd w:val="clear" w:color="auto" w:fill="auto"/>
            <w:noWrap w:val="0"/>
            <w:vAlign w:val="center"/>
          </w:tcPr>
          <w:p w14:paraId="723B221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绩效指标明确性</w:t>
            </w:r>
          </w:p>
        </w:tc>
        <w:tc>
          <w:tcPr>
            <w:tcW w:w="2011" w:type="dxa"/>
            <w:shd w:val="clear" w:color="auto" w:fill="auto"/>
            <w:noWrap w:val="0"/>
            <w:vAlign w:val="center"/>
          </w:tcPr>
          <w:p w14:paraId="33C477F0">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依据绩效目标设定的绩效指标是否清晰、细化、可衡量等，用以反映和考核项目绩效目标的明细化情况。</w:t>
            </w:r>
          </w:p>
        </w:tc>
        <w:tc>
          <w:tcPr>
            <w:tcW w:w="7821" w:type="dxa"/>
            <w:shd w:val="clear" w:color="auto" w:fill="auto"/>
            <w:noWrap w:val="0"/>
            <w:vAlign w:val="center"/>
          </w:tcPr>
          <w:p w14:paraId="7E7B55AD">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7E9503A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①是否将项目绩效目标细化分解为具体的绩效指标；</w:t>
            </w:r>
          </w:p>
          <w:p w14:paraId="756E1C2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②是否通过清晰、可衡量的指标值予以体现；</w:t>
            </w:r>
          </w:p>
          <w:p w14:paraId="5183E07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③是否与项目目标任务数或计划数相对应。</w:t>
            </w:r>
          </w:p>
          <w:p w14:paraId="0F550892">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p>
        </w:tc>
        <w:tc>
          <w:tcPr>
            <w:tcW w:w="785" w:type="dxa"/>
            <w:shd w:val="clear" w:color="auto" w:fill="auto"/>
            <w:noWrap w:val="0"/>
            <w:vAlign w:val="center"/>
          </w:tcPr>
          <w:p w14:paraId="2A4A9857">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5</w:t>
            </w:r>
          </w:p>
        </w:tc>
        <w:tc>
          <w:tcPr>
            <w:tcW w:w="769" w:type="dxa"/>
            <w:shd w:val="clear" w:color="auto" w:fill="auto"/>
            <w:noWrap w:val="0"/>
            <w:vAlign w:val="center"/>
          </w:tcPr>
          <w:p w14:paraId="32E5CAB0">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5</w:t>
            </w:r>
          </w:p>
        </w:tc>
      </w:tr>
      <w:tr w14:paraId="35358B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942" w:hRule="atLeast"/>
          <w:jc w:val="center"/>
        </w:trPr>
        <w:tc>
          <w:tcPr>
            <w:tcW w:w="861" w:type="dxa"/>
            <w:vMerge w:val="continue"/>
            <w:shd w:val="clear" w:color="auto" w:fill="auto"/>
            <w:noWrap w:val="0"/>
            <w:vAlign w:val="center"/>
          </w:tcPr>
          <w:p w14:paraId="30E87E3D">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restart"/>
            <w:shd w:val="clear" w:color="auto" w:fill="auto"/>
            <w:noWrap w:val="0"/>
            <w:vAlign w:val="center"/>
          </w:tcPr>
          <w:p w14:paraId="0828D2CB">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资金投入</w:t>
            </w:r>
          </w:p>
          <w:p w14:paraId="0EB25A7B">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p>
        </w:tc>
        <w:tc>
          <w:tcPr>
            <w:tcW w:w="950" w:type="dxa"/>
            <w:shd w:val="clear" w:color="auto" w:fill="auto"/>
            <w:noWrap w:val="0"/>
            <w:vAlign w:val="center"/>
          </w:tcPr>
          <w:p w14:paraId="433806C0">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预算编制科学性</w:t>
            </w:r>
          </w:p>
        </w:tc>
        <w:tc>
          <w:tcPr>
            <w:tcW w:w="2011" w:type="dxa"/>
            <w:shd w:val="clear" w:color="auto" w:fill="auto"/>
            <w:noWrap w:val="0"/>
            <w:vAlign w:val="center"/>
          </w:tcPr>
          <w:p w14:paraId="675CC1D2">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项目预算编制是否经过科学论证、有明确标准，资金额度与年度目标是否相适应，用以反映和考核项目预算编制的科学性、合理性情况。</w:t>
            </w:r>
          </w:p>
        </w:tc>
        <w:tc>
          <w:tcPr>
            <w:tcW w:w="7821" w:type="dxa"/>
            <w:shd w:val="clear" w:color="auto" w:fill="auto"/>
            <w:noWrap w:val="0"/>
            <w:vAlign w:val="center"/>
          </w:tcPr>
          <w:p w14:paraId="0D9BFB74">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00D650E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①预算编制是否经过科学论证；</w:t>
            </w:r>
          </w:p>
          <w:p w14:paraId="677A766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②预算内容与项目内容是否匹配；</w:t>
            </w:r>
          </w:p>
          <w:p w14:paraId="69A3E27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③预算额度测算依据是否充分，是否按照标准编制；</w:t>
            </w:r>
          </w:p>
          <w:p w14:paraId="602EF354">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④预算确定的项目投资额或资金量是否与工作任务相匹配。</w:t>
            </w:r>
          </w:p>
        </w:tc>
        <w:tc>
          <w:tcPr>
            <w:tcW w:w="785" w:type="dxa"/>
            <w:shd w:val="clear" w:color="auto" w:fill="auto"/>
            <w:noWrap w:val="0"/>
            <w:vAlign w:val="center"/>
          </w:tcPr>
          <w:p w14:paraId="411C54F6">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2</w:t>
            </w:r>
          </w:p>
        </w:tc>
        <w:tc>
          <w:tcPr>
            <w:tcW w:w="769" w:type="dxa"/>
            <w:shd w:val="clear" w:color="auto" w:fill="auto"/>
            <w:noWrap w:val="0"/>
            <w:vAlign w:val="center"/>
          </w:tcPr>
          <w:p w14:paraId="5B00E1D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default"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2</w:t>
            </w:r>
          </w:p>
        </w:tc>
      </w:tr>
      <w:tr w14:paraId="07C644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49" w:hRule="atLeast"/>
          <w:jc w:val="center"/>
        </w:trPr>
        <w:tc>
          <w:tcPr>
            <w:tcW w:w="861" w:type="dxa"/>
            <w:vMerge w:val="continue"/>
            <w:shd w:val="clear" w:color="auto" w:fill="auto"/>
            <w:noWrap w:val="0"/>
            <w:vAlign w:val="center"/>
          </w:tcPr>
          <w:p w14:paraId="31BB7F49">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1442123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950" w:type="dxa"/>
            <w:shd w:val="clear" w:color="auto" w:fill="auto"/>
            <w:noWrap w:val="0"/>
            <w:vAlign w:val="center"/>
          </w:tcPr>
          <w:p w14:paraId="534757F4">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资金分配合理性</w:t>
            </w:r>
          </w:p>
        </w:tc>
        <w:tc>
          <w:tcPr>
            <w:tcW w:w="2011" w:type="dxa"/>
            <w:shd w:val="clear" w:color="auto" w:fill="auto"/>
            <w:noWrap w:val="0"/>
            <w:vAlign w:val="center"/>
          </w:tcPr>
          <w:p w14:paraId="745A8E95">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项目预算资金分配是否有测算依据，与补助单位或地方实际是否相适应，用以反映和考核项目预算资金分配的科学性、合理性情况。</w:t>
            </w:r>
          </w:p>
        </w:tc>
        <w:tc>
          <w:tcPr>
            <w:tcW w:w="7821" w:type="dxa"/>
            <w:shd w:val="clear" w:color="auto" w:fill="auto"/>
            <w:noWrap w:val="0"/>
            <w:vAlign w:val="center"/>
          </w:tcPr>
          <w:p w14:paraId="74642983">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60675D4E">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①预算资金分配依据是否充分；</w:t>
            </w:r>
          </w:p>
          <w:p w14:paraId="699340E6">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②资金分配额度是否合理，与项目单位或地方实际是否相适应。</w:t>
            </w:r>
          </w:p>
        </w:tc>
        <w:tc>
          <w:tcPr>
            <w:tcW w:w="785" w:type="dxa"/>
            <w:shd w:val="clear" w:color="auto" w:fill="auto"/>
            <w:noWrap w:val="0"/>
            <w:vAlign w:val="center"/>
          </w:tcPr>
          <w:p w14:paraId="73D5F20A">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3</w:t>
            </w:r>
          </w:p>
        </w:tc>
        <w:tc>
          <w:tcPr>
            <w:tcW w:w="769" w:type="dxa"/>
            <w:shd w:val="clear" w:color="auto" w:fill="auto"/>
            <w:noWrap w:val="0"/>
            <w:vAlign w:val="center"/>
          </w:tcPr>
          <w:p w14:paraId="027B1B3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3</w:t>
            </w:r>
          </w:p>
        </w:tc>
      </w:tr>
      <w:tr w14:paraId="719641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903" w:hRule="atLeast"/>
          <w:jc w:val="center"/>
        </w:trPr>
        <w:tc>
          <w:tcPr>
            <w:tcW w:w="861" w:type="dxa"/>
            <w:vMerge w:val="restart"/>
            <w:shd w:val="clear" w:color="auto" w:fill="auto"/>
            <w:noWrap w:val="0"/>
            <w:vAlign w:val="center"/>
          </w:tcPr>
          <w:p w14:paraId="3DA19D78">
            <w:pPr>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过程</w:t>
            </w:r>
          </w:p>
        </w:tc>
        <w:tc>
          <w:tcPr>
            <w:tcW w:w="727" w:type="dxa"/>
            <w:vMerge w:val="restart"/>
            <w:shd w:val="clear" w:color="auto" w:fill="auto"/>
            <w:noWrap w:val="0"/>
            <w:vAlign w:val="center"/>
          </w:tcPr>
          <w:p w14:paraId="4E5E67E8">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资金管理</w:t>
            </w:r>
          </w:p>
        </w:tc>
        <w:tc>
          <w:tcPr>
            <w:tcW w:w="950" w:type="dxa"/>
            <w:shd w:val="clear" w:color="auto" w:fill="auto"/>
            <w:noWrap w:val="0"/>
            <w:vAlign w:val="center"/>
          </w:tcPr>
          <w:p w14:paraId="3CC8D99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资金到位率</w:t>
            </w:r>
          </w:p>
        </w:tc>
        <w:tc>
          <w:tcPr>
            <w:tcW w:w="2011" w:type="dxa"/>
            <w:shd w:val="clear" w:color="auto" w:fill="auto"/>
            <w:noWrap w:val="0"/>
            <w:vAlign w:val="center"/>
          </w:tcPr>
          <w:p w14:paraId="0CD3BAAD">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实际到位资金与预算资金的比率，用以反映和考核资金落实情况对项目实施的总体保障程度。</w:t>
            </w:r>
          </w:p>
        </w:tc>
        <w:tc>
          <w:tcPr>
            <w:tcW w:w="7821" w:type="dxa"/>
            <w:shd w:val="clear" w:color="auto" w:fill="auto"/>
            <w:noWrap w:val="0"/>
            <w:vAlign w:val="center"/>
          </w:tcPr>
          <w:p w14:paraId="3A62615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资金到位率=（</w:t>
            </w:r>
          </w:p>
          <w:p w14:paraId="4CA73FC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实际到位资金/预算资金）×100%。</w:t>
            </w:r>
          </w:p>
          <w:p w14:paraId="6798970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实际到位资金：一定时期（本年度或项目期）内落实到具体项目的资金。</w:t>
            </w:r>
          </w:p>
          <w:p w14:paraId="61643E67">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预算资金：一定时期（本年度或项目期）内预算安排到具体项目的资金。</w:t>
            </w:r>
          </w:p>
        </w:tc>
        <w:tc>
          <w:tcPr>
            <w:tcW w:w="785" w:type="dxa"/>
            <w:shd w:val="clear" w:color="auto" w:fill="auto"/>
            <w:noWrap w:val="0"/>
            <w:vAlign w:val="center"/>
          </w:tcPr>
          <w:p w14:paraId="085EF1A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4</w:t>
            </w:r>
          </w:p>
        </w:tc>
        <w:tc>
          <w:tcPr>
            <w:tcW w:w="769" w:type="dxa"/>
            <w:shd w:val="clear" w:color="auto" w:fill="auto"/>
            <w:noWrap w:val="0"/>
            <w:vAlign w:val="center"/>
          </w:tcPr>
          <w:p w14:paraId="25FDB8B8">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4</w:t>
            </w:r>
          </w:p>
        </w:tc>
      </w:tr>
      <w:tr w14:paraId="1B514A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861" w:type="dxa"/>
            <w:vMerge w:val="continue"/>
            <w:shd w:val="clear" w:color="auto" w:fill="auto"/>
            <w:noWrap w:val="0"/>
            <w:vAlign w:val="center"/>
          </w:tcPr>
          <w:p w14:paraId="7F52EAD7">
            <w:pPr>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5147D6A1">
            <w:pPr>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p>
        </w:tc>
        <w:tc>
          <w:tcPr>
            <w:tcW w:w="950" w:type="dxa"/>
            <w:shd w:val="clear" w:color="auto" w:fill="auto"/>
            <w:noWrap w:val="0"/>
            <w:vAlign w:val="center"/>
          </w:tcPr>
          <w:p w14:paraId="0F48200B">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预算执行率</w:t>
            </w:r>
          </w:p>
        </w:tc>
        <w:tc>
          <w:tcPr>
            <w:tcW w:w="2011" w:type="dxa"/>
            <w:shd w:val="clear" w:color="auto" w:fill="auto"/>
            <w:noWrap w:val="0"/>
            <w:vAlign w:val="center"/>
          </w:tcPr>
          <w:p w14:paraId="2EB0572B">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项目预算资金是否按照计划执行，用以反映或考核项目预算执行情况。</w:t>
            </w:r>
          </w:p>
        </w:tc>
        <w:tc>
          <w:tcPr>
            <w:tcW w:w="7821" w:type="dxa"/>
            <w:shd w:val="clear" w:color="auto" w:fill="auto"/>
            <w:noWrap w:val="0"/>
            <w:vAlign w:val="center"/>
          </w:tcPr>
          <w:p w14:paraId="581C0D8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预算执行率=（实际支出资金/实际到位资金）×100%。</w:t>
            </w:r>
          </w:p>
          <w:p w14:paraId="5579FD35">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实际支出资金：一定时期（本年度或项目期）内项目实际拨付的资金。</w:t>
            </w:r>
          </w:p>
        </w:tc>
        <w:tc>
          <w:tcPr>
            <w:tcW w:w="785" w:type="dxa"/>
            <w:shd w:val="clear" w:color="auto" w:fill="auto"/>
            <w:noWrap w:val="0"/>
            <w:vAlign w:val="center"/>
          </w:tcPr>
          <w:p w14:paraId="0510BBA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4</w:t>
            </w:r>
          </w:p>
        </w:tc>
        <w:tc>
          <w:tcPr>
            <w:tcW w:w="769" w:type="dxa"/>
            <w:shd w:val="clear" w:color="auto" w:fill="auto"/>
            <w:noWrap w:val="0"/>
            <w:vAlign w:val="center"/>
          </w:tcPr>
          <w:p w14:paraId="4E0FF792">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4</w:t>
            </w:r>
          </w:p>
        </w:tc>
      </w:tr>
      <w:tr w14:paraId="7DF2CE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70" w:hRule="atLeast"/>
          <w:jc w:val="center"/>
        </w:trPr>
        <w:tc>
          <w:tcPr>
            <w:tcW w:w="861" w:type="dxa"/>
            <w:vMerge w:val="restart"/>
            <w:shd w:val="clear" w:color="auto" w:fill="auto"/>
            <w:noWrap w:val="0"/>
            <w:vAlign w:val="center"/>
          </w:tcPr>
          <w:p w14:paraId="1E34216E">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p>
          <w:p w14:paraId="730F6081">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过程　</w:t>
            </w:r>
          </w:p>
        </w:tc>
        <w:tc>
          <w:tcPr>
            <w:tcW w:w="727" w:type="dxa"/>
            <w:shd w:val="clear" w:color="auto" w:fill="auto"/>
            <w:noWrap w:val="0"/>
            <w:vAlign w:val="center"/>
          </w:tcPr>
          <w:p w14:paraId="099134CD">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资金管理</w:t>
            </w:r>
          </w:p>
        </w:tc>
        <w:tc>
          <w:tcPr>
            <w:tcW w:w="950" w:type="dxa"/>
            <w:shd w:val="clear" w:color="auto" w:fill="auto"/>
            <w:noWrap w:val="0"/>
            <w:vAlign w:val="center"/>
          </w:tcPr>
          <w:p w14:paraId="1AB334BD">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资金使用合规性</w:t>
            </w:r>
          </w:p>
        </w:tc>
        <w:tc>
          <w:tcPr>
            <w:tcW w:w="2011" w:type="dxa"/>
            <w:shd w:val="clear" w:color="auto" w:fill="auto"/>
            <w:noWrap w:val="0"/>
            <w:vAlign w:val="center"/>
          </w:tcPr>
          <w:p w14:paraId="569EE60F">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项目资金使用是否符合相关的财务管理制度规定，用以反映和考核项目资金的规范运行情况。</w:t>
            </w:r>
          </w:p>
        </w:tc>
        <w:tc>
          <w:tcPr>
            <w:tcW w:w="7821" w:type="dxa"/>
            <w:shd w:val="clear" w:color="auto" w:fill="auto"/>
            <w:noWrap w:val="0"/>
            <w:vAlign w:val="center"/>
          </w:tcPr>
          <w:p w14:paraId="05567B53">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7C8C632E">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①是否符合国家财经法规和财务管理制度以及有关专项资金管理办法的规定；</w:t>
            </w:r>
          </w:p>
          <w:p w14:paraId="13AA4D70">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②资金的拨付是否有完整的审批程序和手续；</w:t>
            </w:r>
          </w:p>
          <w:p w14:paraId="5DB520B4">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③是否符合项目预算批复或合同规定的用途；</w:t>
            </w:r>
          </w:p>
          <w:p w14:paraId="669061C8">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④是否存在截留、挤占、挪用、虚列支出等情况。</w:t>
            </w:r>
          </w:p>
        </w:tc>
        <w:tc>
          <w:tcPr>
            <w:tcW w:w="785" w:type="dxa"/>
            <w:shd w:val="clear" w:color="auto" w:fill="auto"/>
            <w:noWrap w:val="0"/>
            <w:vAlign w:val="center"/>
          </w:tcPr>
          <w:p w14:paraId="77A66BB9">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4</w:t>
            </w:r>
          </w:p>
        </w:tc>
        <w:tc>
          <w:tcPr>
            <w:tcW w:w="769" w:type="dxa"/>
            <w:shd w:val="clear" w:color="auto" w:fill="auto"/>
            <w:noWrap w:val="0"/>
            <w:vAlign w:val="center"/>
          </w:tcPr>
          <w:p w14:paraId="3D8CD8A3">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4</w:t>
            </w:r>
          </w:p>
        </w:tc>
      </w:tr>
      <w:tr w14:paraId="2FB80B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90" w:hRule="atLeast"/>
          <w:jc w:val="center"/>
        </w:trPr>
        <w:tc>
          <w:tcPr>
            <w:tcW w:w="861" w:type="dxa"/>
            <w:vMerge w:val="continue"/>
            <w:shd w:val="clear" w:color="auto" w:fill="auto"/>
            <w:noWrap w:val="0"/>
            <w:vAlign w:val="center"/>
          </w:tcPr>
          <w:p w14:paraId="5E108BB5">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restart"/>
            <w:shd w:val="clear" w:color="auto" w:fill="auto"/>
            <w:noWrap w:val="0"/>
            <w:vAlign w:val="center"/>
          </w:tcPr>
          <w:p w14:paraId="1D9955B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组织实施</w:t>
            </w:r>
          </w:p>
          <w:p w14:paraId="3A35C259">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w:t>
            </w:r>
          </w:p>
        </w:tc>
        <w:tc>
          <w:tcPr>
            <w:tcW w:w="950" w:type="dxa"/>
            <w:shd w:val="clear" w:color="auto" w:fill="auto"/>
            <w:noWrap w:val="0"/>
            <w:vAlign w:val="center"/>
          </w:tcPr>
          <w:p w14:paraId="79F172FC">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管理制度健全性</w:t>
            </w:r>
          </w:p>
        </w:tc>
        <w:tc>
          <w:tcPr>
            <w:tcW w:w="2011" w:type="dxa"/>
            <w:shd w:val="clear" w:color="auto" w:fill="auto"/>
            <w:noWrap w:val="0"/>
            <w:vAlign w:val="center"/>
          </w:tcPr>
          <w:p w14:paraId="14A0798C">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项目实施单位的财务和业务管理制度是否健全，用以反映和考核财务和业务管理制度对项目顺利实施的保障情况。</w:t>
            </w:r>
          </w:p>
        </w:tc>
        <w:tc>
          <w:tcPr>
            <w:tcW w:w="7821" w:type="dxa"/>
            <w:shd w:val="clear" w:color="auto" w:fill="auto"/>
            <w:noWrap w:val="0"/>
            <w:vAlign w:val="center"/>
          </w:tcPr>
          <w:p w14:paraId="02947560">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4DC2C418">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①是否已制定或具有相应的财务和业务管理制度；</w:t>
            </w:r>
          </w:p>
          <w:p w14:paraId="3C9EF33C">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②财务和业务管理制度是否合法、合规、完整。</w:t>
            </w:r>
          </w:p>
        </w:tc>
        <w:tc>
          <w:tcPr>
            <w:tcW w:w="785" w:type="dxa"/>
            <w:shd w:val="clear" w:color="auto" w:fill="auto"/>
            <w:noWrap w:val="0"/>
            <w:vAlign w:val="center"/>
          </w:tcPr>
          <w:p w14:paraId="211BBC3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4</w:t>
            </w:r>
          </w:p>
        </w:tc>
        <w:tc>
          <w:tcPr>
            <w:tcW w:w="769" w:type="dxa"/>
            <w:shd w:val="clear" w:color="auto" w:fill="auto"/>
            <w:noWrap w:val="0"/>
            <w:vAlign w:val="center"/>
          </w:tcPr>
          <w:p w14:paraId="709EC37D">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rPr>
            </w:pPr>
            <w:r>
              <w:rPr>
                <w:rFonts w:hint="eastAsia" w:ascii="宋体" w:hAnsi="宋体" w:eastAsia="宋体" w:cs="宋体"/>
                <w:color w:val="auto"/>
                <w:kern w:val="0"/>
                <w:sz w:val="22"/>
                <w:szCs w:val="22"/>
                <w:highlight w:val="none"/>
                <w:shd w:val="clear" w:color="auto" w:fill="auto"/>
                <w:lang w:val="en-US" w:eastAsia="zh-CN"/>
              </w:rPr>
              <w:t>4</w:t>
            </w:r>
          </w:p>
        </w:tc>
      </w:tr>
      <w:tr w14:paraId="2DAFA3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861" w:type="dxa"/>
            <w:vMerge w:val="continue"/>
            <w:shd w:val="clear" w:color="auto" w:fill="auto"/>
            <w:noWrap w:val="0"/>
            <w:vAlign w:val="center"/>
          </w:tcPr>
          <w:p w14:paraId="3523BCB1">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324EF24B">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950" w:type="dxa"/>
            <w:shd w:val="clear" w:color="auto" w:fill="auto"/>
            <w:noWrap w:val="0"/>
            <w:vAlign w:val="center"/>
          </w:tcPr>
          <w:p w14:paraId="5185EB3F">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制度执行有效性</w:t>
            </w:r>
          </w:p>
        </w:tc>
        <w:tc>
          <w:tcPr>
            <w:tcW w:w="2011" w:type="dxa"/>
            <w:shd w:val="clear" w:color="auto" w:fill="auto"/>
            <w:noWrap w:val="0"/>
            <w:vAlign w:val="center"/>
          </w:tcPr>
          <w:p w14:paraId="2047897A">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项目实施是否符合相关管理规定，用以反映和考核相关管理制度的有效执行情况。</w:t>
            </w:r>
          </w:p>
        </w:tc>
        <w:tc>
          <w:tcPr>
            <w:tcW w:w="7821" w:type="dxa"/>
            <w:shd w:val="clear" w:color="auto" w:fill="auto"/>
            <w:noWrap w:val="0"/>
            <w:vAlign w:val="center"/>
          </w:tcPr>
          <w:p w14:paraId="0048AA0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评价要点：</w:t>
            </w:r>
          </w:p>
          <w:p w14:paraId="5674206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①是否遵守相关法律法规和相关管理规定；</w:t>
            </w:r>
          </w:p>
          <w:p w14:paraId="4D4178E5">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②项目调整及支出调整手续是否完备；</w:t>
            </w:r>
          </w:p>
          <w:p w14:paraId="2840760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③项目合同书、验收报告、技术鉴定等资料是否齐全并及时归档；</w:t>
            </w:r>
          </w:p>
          <w:p w14:paraId="2E1EE14C">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④项目实施的人员条件、场地设备、信息支撑等是否落实到位。</w:t>
            </w:r>
          </w:p>
        </w:tc>
        <w:tc>
          <w:tcPr>
            <w:tcW w:w="785" w:type="dxa"/>
            <w:shd w:val="clear" w:color="auto" w:fill="auto"/>
            <w:noWrap w:val="0"/>
            <w:vAlign w:val="center"/>
          </w:tcPr>
          <w:p w14:paraId="42DBE25C">
            <w:pPr>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rPr>
              <w:t>4</w:t>
            </w:r>
          </w:p>
        </w:tc>
        <w:tc>
          <w:tcPr>
            <w:tcW w:w="769" w:type="dxa"/>
            <w:shd w:val="clear" w:color="auto" w:fill="auto"/>
            <w:noWrap w:val="0"/>
            <w:vAlign w:val="center"/>
          </w:tcPr>
          <w:p w14:paraId="229EFD38">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4</w:t>
            </w:r>
          </w:p>
        </w:tc>
      </w:tr>
      <w:tr w14:paraId="7CE539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934" w:hRule="atLeast"/>
          <w:jc w:val="center"/>
        </w:trPr>
        <w:tc>
          <w:tcPr>
            <w:tcW w:w="861" w:type="dxa"/>
            <w:vMerge w:val="restart"/>
            <w:shd w:val="clear" w:color="auto" w:fill="auto"/>
            <w:noWrap w:val="0"/>
            <w:vAlign w:val="center"/>
          </w:tcPr>
          <w:p w14:paraId="0CB3226F">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w:t>
            </w:r>
          </w:p>
        </w:tc>
        <w:tc>
          <w:tcPr>
            <w:tcW w:w="727" w:type="dxa"/>
            <w:shd w:val="clear" w:color="auto" w:fill="auto"/>
            <w:noWrap w:val="0"/>
            <w:vAlign w:val="center"/>
          </w:tcPr>
          <w:p w14:paraId="63C0EF5F">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产出数量</w:t>
            </w:r>
          </w:p>
        </w:tc>
        <w:tc>
          <w:tcPr>
            <w:tcW w:w="950" w:type="dxa"/>
            <w:shd w:val="clear" w:color="auto" w:fill="auto"/>
            <w:noWrap w:val="0"/>
            <w:vAlign w:val="center"/>
          </w:tcPr>
          <w:p w14:paraId="6C94E6C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支持的农民合作社数量（个）</w:t>
            </w:r>
          </w:p>
        </w:tc>
        <w:tc>
          <w:tcPr>
            <w:tcW w:w="2011" w:type="dxa"/>
            <w:shd w:val="clear" w:color="auto" w:fill="auto"/>
            <w:noWrap w:val="0"/>
            <w:vAlign w:val="center"/>
          </w:tcPr>
          <w:p w14:paraId="54E4CA4E">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项目实施的实际产出数与计划产出数的比率，用以反映和考核项目产出数量目标的实现程度。</w:t>
            </w:r>
          </w:p>
        </w:tc>
        <w:tc>
          <w:tcPr>
            <w:tcW w:w="7821" w:type="dxa"/>
            <w:shd w:val="clear" w:color="auto" w:fill="auto"/>
            <w:noWrap w:val="0"/>
            <w:vAlign w:val="center"/>
          </w:tcPr>
          <w:p w14:paraId="301A80C3">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实际完成率=（实际产出数/计划产出数）×100%。</w:t>
            </w:r>
          </w:p>
          <w:p w14:paraId="03AF044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实际产出数：一定时期（本年度或项目期）内项目实际产出的产品或提供的服务数量。</w:t>
            </w:r>
          </w:p>
          <w:p w14:paraId="6B4562A3">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计划产出数：项目绩效目标确定的在一定时期（本年度或项目期）内计划产出的产品或提供的服务数量。</w:t>
            </w:r>
          </w:p>
        </w:tc>
        <w:tc>
          <w:tcPr>
            <w:tcW w:w="785" w:type="dxa"/>
            <w:shd w:val="clear" w:color="auto" w:fill="auto"/>
            <w:noWrap w:val="0"/>
            <w:vAlign w:val="center"/>
          </w:tcPr>
          <w:p w14:paraId="3D5A68D3">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w:t>
            </w:r>
          </w:p>
        </w:tc>
        <w:tc>
          <w:tcPr>
            <w:tcW w:w="769" w:type="dxa"/>
            <w:shd w:val="clear" w:color="auto" w:fill="auto"/>
            <w:noWrap w:val="0"/>
            <w:vAlign w:val="center"/>
          </w:tcPr>
          <w:p w14:paraId="260B7556">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w:t>
            </w:r>
          </w:p>
        </w:tc>
      </w:tr>
      <w:tr w14:paraId="5C531A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814" w:hRule="atLeast"/>
          <w:jc w:val="center"/>
        </w:trPr>
        <w:tc>
          <w:tcPr>
            <w:tcW w:w="861" w:type="dxa"/>
            <w:vMerge w:val="continue"/>
            <w:shd w:val="clear" w:color="auto" w:fill="auto"/>
            <w:noWrap w:val="0"/>
            <w:vAlign w:val="center"/>
          </w:tcPr>
          <w:p w14:paraId="346B7BCF">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p>
        </w:tc>
        <w:tc>
          <w:tcPr>
            <w:tcW w:w="727" w:type="dxa"/>
            <w:shd w:val="clear" w:color="auto" w:fill="auto"/>
            <w:noWrap w:val="0"/>
            <w:vAlign w:val="center"/>
          </w:tcPr>
          <w:p w14:paraId="3529BD2E">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eastAsia="zh-CN"/>
              </w:rPr>
            </w:pPr>
            <w:r>
              <w:rPr>
                <w:rFonts w:hint="eastAsia" w:cs="宋体"/>
                <w:color w:val="auto"/>
                <w:kern w:val="0"/>
                <w:sz w:val="22"/>
                <w:szCs w:val="22"/>
                <w:highlight w:val="none"/>
                <w:lang w:eastAsia="zh-CN"/>
              </w:rPr>
              <w:t>产出数量</w:t>
            </w:r>
          </w:p>
        </w:tc>
        <w:tc>
          <w:tcPr>
            <w:tcW w:w="950" w:type="dxa"/>
            <w:shd w:val="clear" w:color="auto" w:fill="auto"/>
            <w:noWrap w:val="0"/>
            <w:vAlign w:val="center"/>
          </w:tcPr>
          <w:p w14:paraId="4E2C2C21">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支持的家庭农场数量（个）</w:t>
            </w:r>
          </w:p>
        </w:tc>
        <w:tc>
          <w:tcPr>
            <w:tcW w:w="2011" w:type="dxa"/>
            <w:shd w:val="clear" w:color="auto" w:fill="auto"/>
            <w:noWrap w:val="0"/>
            <w:vAlign w:val="center"/>
          </w:tcPr>
          <w:p w14:paraId="04926C11">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项目实施的实际产出数与计划产出数的比率，用以反映和考核项目产出数量目标的实现程度。</w:t>
            </w:r>
          </w:p>
        </w:tc>
        <w:tc>
          <w:tcPr>
            <w:tcW w:w="7821" w:type="dxa"/>
            <w:shd w:val="clear" w:color="auto" w:fill="auto"/>
            <w:noWrap w:val="0"/>
            <w:vAlign w:val="center"/>
          </w:tcPr>
          <w:p w14:paraId="75C36393">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实际完成率=（实际产出数/计划产出数）×100%。</w:t>
            </w:r>
          </w:p>
          <w:p w14:paraId="2DD28E45">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实际产出数：一定时期（本年度或项目期）内项目实际产出的产品或提供的服务数量。</w:t>
            </w:r>
          </w:p>
          <w:p w14:paraId="2A4E653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计划产出数：项目绩效目标确定的在一定时期（本年度或项目期）内计划产出的产品或提供的服务数量。</w:t>
            </w:r>
          </w:p>
        </w:tc>
        <w:tc>
          <w:tcPr>
            <w:tcW w:w="785" w:type="dxa"/>
            <w:shd w:val="clear" w:color="auto" w:fill="auto"/>
            <w:noWrap w:val="0"/>
            <w:vAlign w:val="center"/>
          </w:tcPr>
          <w:p w14:paraId="62A819B4">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c>
          <w:tcPr>
            <w:tcW w:w="769" w:type="dxa"/>
            <w:shd w:val="clear" w:color="auto" w:fill="auto"/>
            <w:noWrap w:val="0"/>
            <w:vAlign w:val="center"/>
          </w:tcPr>
          <w:p w14:paraId="677CA661">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r>
      <w:tr w14:paraId="551138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90" w:hRule="atLeast"/>
          <w:jc w:val="center"/>
        </w:trPr>
        <w:tc>
          <w:tcPr>
            <w:tcW w:w="861" w:type="dxa"/>
            <w:vMerge w:val="continue"/>
            <w:shd w:val="clear" w:color="auto" w:fill="auto"/>
            <w:noWrap w:val="0"/>
            <w:vAlign w:val="center"/>
          </w:tcPr>
          <w:p w14:paraId="63DE622F">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rPr>
            </w:pPr>
          </w:p>
        </w:tc>
        <w:tc>
          <w:tcPr>
            <w:tcW w:w="727" w:type="dxa"/>
            <w:shd w:val="clear" w:color="auto" w:fill="auto"/>
            <w:noWrap w:val="0"/>
            <w:vAlign w:val="center"/>
          </w:tcPr>
          <w:p w14:paraId="20FBE82C">
            <w:pPr>
              <w:pageBreakBefore w:val="0"/>
              <w:widowControl/>
              <w:kinsoku/>
              <w:wordWrap/>
              <w:overflowPunct/>
              <w:topLinePunct w:val="0"/>
              <w:autoSpaceDE/>
              <w:autoSpaceDN/>
              <w:bidi w:val="0"/>
              <w:spacing w:line="240" w:lineRule="auto"/>
              <w:ind w:firstLine="0" w:firstLineChars="0"/>
              <w:jc w:val="center"/>
              <w:textAlignment w:val="auto"/>
              <w:rPr>
                <w:rFonts w:hint="eastAsia" w:cs="宋体"/>
                <w:color w:val="auto"/>
                <w:kern w:val="0"/>
                <w:sz w:val="22"/>
                <w:szCs w:val="22"/>
                <w:highlight w:val="none"/>
                <w:lang w:eastAsia="zh-CN"/>
              </w:rPr>
            </w:pPr>
            <w:r>
              <w:rPr>
                <w:rFonts w:hint="eastAsia" w:cs="宋体"/>
                <w:color w:val="auto"/>
                <w:kern w:val="0"/>
                <w:sz w:val="22"/>
                <w:szCs w:val="22"/>
                <w:highlight w:val="none"/>
                <w:lang w:eastAsia="zh-CN"/>
              </w:rPr>
              <w:t>产出数量</w:t>
            </w:r>
          </w:p>
        </w:tc>
        <w:tc>
          <w:tcPr>
            <w:tcW w:w="950" w:type="dxa"/>
            <w:shd w:val="clear" w:color="auto" w:fill="auto"/>
            <w:noWrap w:val="0"/>
            <w:vAlign w:val="center"/>
          </w:tcPr>
          <w:p w14:paraId="0959855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农业生产托管服务面积（万亩）</w:t>
            </w:r>
          </w:p>
        </w:tc>
        <w:tc>
          <w:tcPr>
            <w:tcW w:w="2011" w:type="dxa"/>
            <w:shd w:val="clear" w:color="auto" w:fill="auto"/>
            <w:noWrap w:val="0"/>
            <w:vAlign w:val="center"/>
          </w:tcPr>
          <w:p w14:paraId="17048C3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项目实施的实际产出数与计划产出数的比率，用以反映和考核项目产出数量目标的实现程度。</w:t>
            </w:r>
          </w:p>
        </w:tc>
        <w:tc>
          <w:tcPr>
            <w:tcW w:w="7821" w:type="dxa"/>
            <w:shd w:val="clear" w:color="auto" w:fill="auto"/>
            <w:noWrap w:val="0"/>
            <w:vAlign w:val="center"/>
          </w:tcPr>
          <w:p w14:paraId="47B20879">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实际完成率=（实际产出数/计划产出数）×100%。</w:t>
            </w:r>
          </w:p>
          <w:p w14:paraId="01861E1B">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实际产出数：一定时期（本年度或项目期）内项目实际产出的产品或提供的服务数量。</w:t>
            </w:r>
          </w:p>
          <w:p w14:paraId="33CF7907">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计划产出数：项目绩效目标确定的在一定时期（本年度或项目期）内计划产出的产品或提供的服务数量。</w:t>
            </w:r>
          </w:p>
        </w:tc>
        <w:tc>
          <w:tcPr>
            <w:tcW w:w="785" w:type="dxa"/>
            <w:shd w:val="clear" w:color="auto" w:fill="auto"/>
            <w:noWrap w:val="0"/>
            <w:vAlign w:val="center"/>
          </w:tcPr>
          <w:p w14:paraId="55F92BD7">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c>
          <w:tcPr>
            <w:tcW w:w="769" w:type="dxa"/>
            <w:shd w:val="clear" w:color="auto" w:fill="auto"/>
            <w:noWrap w:val="0"/>
            <w:vAlign w:val="center"/>
          </w:tcPr>
          <w:p w14:paraId="6FBC7F1B">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r>
      <w:tr w14:paraId="1DC15D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453" w:hRule="atLeast"/>
          <w:jc w:val="center"/>
        </w:trPr>
        <w:tc>
          <w:tcPr>
            <w:tcW w:w="861" w:type="dxa"/>
            <w:vMerge w:val="restart"/>
            <w:shd w:val="clear" w:color="auto" w:fill="auto"/>
            <w:noWrap w:val="0"/>
            <w:vAlign w:val="center"/>
          </w:tcPr>
          <w:p w14:paraId="412D38D6">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w:t>
            </w:r>
          </w:p>
        </w:tc>
        <w:tc>
          <w:tcPr>
            <w:tcW w:w="727" w:type="dxa"/>
            <w:shd w:val="clear" w:color="auto" w:fill="auto"/>
            <w:noWrap w:val="0"/>
            <w:vAlign w:val="center"/>
          </w:tcPr>
          <w:p w14:paraId="1533634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产出质量</w:t>
            </w:r>
          </w:p>
        </w:tc>
        <w:tc>
          <w:tcPr>
            <w:tcW w:w="950" w:type="dxa"/>
            <w:shd w:val="clear" w:color="auto" w:fill="auto"/>
            <w:noWrap w:val="0"/>
            <w:vAlign w:val="center"/>
          </w:tcPr>
          <w:p w14:paraId="44D196F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农业生产社会化服务对象</w:t>
            </w:r>
            <w:r>
              <w:rPr>
                <w:rFonts w:hint="eastAsia" w:cs="宋体"/>
                <w:color w:val="auto"/>
                <w:kern w:val="0"/>
                <w:sz w:val="22"/>
                <w:szCs w:val="22"/>
                <w:highlight w:val="none"/>
                <w:lang w:eastAsia="zh-CN"/>
              </w:rPr>
              <w:t>提高</w:t>
            </w:r>
            <w:r>
              <w:rPr>
                <w:rFonts w:hint="eastAsia" w:ascii="宋体" w:hAnsi="宋体" w:eastAsia="宋体" w:cs="宋体"/>
                <w:color w:val="auto"/>
                <w:kern w:val="0"/>
                <w:sz w:val="22"/>
                <w:szCs w:val="22"/>
                <w:highlight w:val="none"/>
              </w:rPr>
              <w:t>单产水平</w:t>
            </w:r>
          </w:p>
        </w:tc>
        <w:tc>
          <w:tcPr>
            <w:tcW w:w="2011" w:type="dxa"/>
            <w:shd w:val="clear" w:color="auto" w:fill="auto"/>
            <w:noWrap w:val="0"/>
            <w:vAlign w:val="center"/>
          </w:tcPr>
          <w:p w14:paraId="68061C8B">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项目完成的质量达标产出数与实际产出数的比率，用以反映和考核项目产出质量目标的实现程度。</w:t>
            </w:r>
          </w:p>
        </w:tc>
        <w:tc>
          <w:tcPr>
            <w:tcW w:w="7821" w:type="dxa"/>
            <w:shd w:val="clear" w:color="auto" w:fill="auto"/>
            <w:noWrap w:val="0"/>
            <w:vAlign w:val="center"/>
          </w:tcPr>
          <w:p w14:paraId="416C0A5A">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质量达标率=（质量达标产出数/实际产出数）×100%。</w:t>
            </w:r>
          </w:p>
          <w:p w14:paraId="1596561E">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质量达标产出数：一定时期（本年度或项目期）内实际达到既定质量标准的产品或服务数量。既定质量标准是指项目实施单位设立绩效目标时依据计划标准、行业标准、历史标准或其他标准而设定的绩效指标值。</w:t>
            </w:r>
          </w:p>
        </w:tc>
        <w:tc>
          <w:tcPr>
            <w:tcW w:w="785" w:type="dxa"/>
            <w:shd w:val="clear" w:color="auto" w:fill="auto"/>
            <w:noWrap w:val="0"/>
            <w:vAlign w:val="center"/>
          </w:tcPr>
          <w:p w14:paraId="01C968FF">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c>
          <w:tcPr>
            <w:tcW w:w="769" w:type="dxa"/>
            <w:shd w:val="clear" w:color="auto" w:fill="auto"/>
            <w:noWrap w:val="0"/>
            <w:vAlign w:val="center"/>
          </w:tcPr>
          <w:p w14:paraId="35E3A74F">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5</w:t>
            </w:r>
          </w:p>
        </w:tc>
      </w:tr>
      <w:tr w14:paraId="66664B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1506" w:hRule="atLeast"/>
          <w:jc w:val="center"/>
        </w:trPr>
        <w:tc>
          <w:tcPr>
            <w:tcW w:w="861" w:type="dxa"/>
            <w:vMerge w:val="continue"/>
            <w:shd w:val="clear" w:color="auto" w:fill="auto"/>
            <w:noWrap w:val="0"/>
            <w:vAlign w:val="center"/>
          </w:tcPr>
          <w:p w14:paraId="086CF7CB">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shd w:val="clear" w:color="auto" w:fill="auto"/>
            <w:noWrap w:val="0"/>
            <w:vAlign w:val="center"/>
          </w:tcPr>
          <w:p w14:paraId="685627C0">
            <w:pPr>
              <w:pageBreakBefore w:val="0"/>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产出时效</w:t>
            </w:r>
          </w:p>
        </w:tc>
        <w:tc>
          <w:tcPr>
            <w:tcW w:w="950" w:type="dxa"/>
            <w:shd w:val="clear" w:color="auto" w:fill="auto"/>
            <w:noWrap w:val="0"/>
            <w:vAlign w:val="center"/>
          </w:tcPr>
          <w:p w14:paraId="509C135F">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eastAsia="zh-CN"/>
              </w:rPr>
            </w:pPr>
            <w:r>
              <w:rPr>
                <w:rFonts w:hint="eastAsia" w:cs="宋体"/>
                <w:color w:val="auto"/>
                <w:kern w:val="0"/>
                <w:sz w:val="22"/>
                <w:szCs w:val="22"/>
                <w:highlight w:val="none"/>
                <w:lang w:eastAsia="zh-CN"/>
              </w:rPr>
              <w:t>项目完成时间</w:t>
            </w:r>
          </w:p>
        </w:tc>
        <w:tc>
          <w:tcPr>
            <w:tcW w:w="2011" w:type="dxa"/>
            <w:shd w:val="clear" w:color="auto" w:fill="auto"/>
            <w:noWrap w:val="0"/>
            <w:vAlign w:val="center"/>
          </w:tcPr>
          <w:p w14:paraId="0669CC28">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项目实际完成时间与计划完成时间的比较，用以反映和考核项目产出时效目标的实现程度。</w:t>
            </w:r>
          </w:p>
        </w:tc>
        <w:tc>
          <w:tcPr>
            <w:tcW w:w="7821" w:type="dxa"/>
            <w:shd w:val="clear" w:color="auto" w:fill="auto"/>
            <w:noWrap w:val="0"/>
            <w:vAlign w:val="center"/>
          </w:tcPr>
          <w:p w14:paraId="03D8DE66">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实际完成时间：项目实施单位完成该项目实际所耗用的时间。</w:t>
            </w:r>
          </w:p>
          <w:p w14:paraId="2D937D36">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计划完成时间：按照项目实施计划或相关规定完成该项目所需的时间。</w:t>
            </w:r>
          </w:p>
        </w:tc>
        <w:tc>
          <w:tcPr>
            <w:tcW w:w="785" w:type="dxa"/>
            <w:shd w:val="clear" w:color="auto" w:fill="auto"/>
            <w:noWrap w:val="0"/>
            <w:vAlign w:val="center"/>
          </w:tcPr>
          <w:p w14:paraId="138D9952">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7</w:t>
            </w:r>
          </w:p>
        </w:tc>
        <w:tc>
          <w:tcPr>
            <w:tcW w:w="769" w:type="dxa"/>
            <w:shd w:val="clear" w:color="auto" w:fill="auto"/>
            <w:noWrap w:val="0"/>
            <w:vAlign w:val="center"/>
          </w:tcPr>
          <w:p w14:paraId="5955DB71">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7</w:t>
            </w:r>
          </w:p>
        </w:tc>
      </w:tr>
      <w:tr w14:paraId="02D55C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21" w:hRule="atLeast"/>
          <w:jc w:val="center"/>
        </w:trPr>
        <w:tc>
          <w:tcPr>
            <w:tcW w:w="861" w:type="dxa"/>
            <w:vMerge w:val="continue"/>
            <w:shd w:val="clear" w:color="auto" w:fill="auto"/>
            <w:noWrap w:val="0"/>
            <w:vAlign w:val="center"/>
          </w:tcPr>
          <w:p w14:paraId="7A1E1A2F">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shd w:val="clear" w:color="auto" w:fill="auto"/>
            <w:noWrap w:val="0"/>
            <w:vAlign w:val="center"/>
          </w:tcPr>
          <w:p w14:paraId="1D1A8D5A">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产出成本</w:t>
            </w:r>
          </w:p>
        </w:tc>
        <w:tc>
          <w:tcPr>
            <w:tcW w:w="950" w:type="dxa"/>
            <w:shd w:val="clear" w:color="auto" w:fill="auto"/>
            <w:noWrap w:val="0"/>
            <w:vAlign w:val="center"/>
          </w:tcPr>
          <w:p w14:paraId="43C32C8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成本</w:t>
            </w:r>
            <w:r>
              <w:rPr>
                <w:rFonts w:hint="eastAsia" w:cs="宋体"/>
                <w:color w:val="auto"/>
                <w:kern w:val="0"/>
                <w:sz w:val="22"/>
                <w:szCs w:val="22"/>
                <w:highlight w:val="none"/>
                <w:lang w:eastAsia="zh-CN"/>
              </w:rPr>
              <w:t>控制</w:t>
            </w:r>
            <w:r>
              <w:rPr>
                <w:rFonts w:hint="eastAsia" w:ascii="宋体" w:hAnsi="宋体" w:eastAsia="宋体" w:cs="宋体"/>
                <w:color w:val="auto"/>
                <w:kern w:val="0"/>
                <w:sz w:val="22"/>
                <w:szCs w:val="22"/>
                <w:highlight w:val="none"/>
              </w:rPr>
              <w:t>率</w:t>
            </w:r>
          </w:p>
        </w:tc>
        <w:tc>
          <w:tcPr>
            <w:tcW w:w="2011" w:type="dxa"/>
            <w:shd w:val="clear" w:color="auto" w:fill="auto"/>
            <w:noWrap w:val="0"/>
            <w:vAlign w:val="center"/>
          </w:tcPr>
          <w:p w14:paraId="411CF5CD">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完成项目计划工作目标的实际节约成本与计划成本的比率，用以反映和考核项目的成本节约程度。</w:t>
            </w:r>
          </w:p>
        </w:tc>
        <w:tc>
          <w:tcPr>
            <w:tcW w:w="7821" w:type="dxa"/>
            <w:shd w:val="clear" w:color="auto" w:fill="auto"/>
            <w:noWrap w:val="0"/>
            <w:vAlign w:val="center"/>
          </w:tcPr>
          <w:p w14:paraId="0858EC15">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p>
          <w:p w14:paraId="218C760F">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成本节约率=[（计划成本-实际成本）/计划成本]×100%。</w:t>
            </w:r>
          </w:p>
          <w:p w14:paraId="7E7EAB5C">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实际成本：项目实施单位如期、保质、保量完成既定工作目标实际所耗费的支出。</w:t>
            </w:r>
          </w:p>
          <w:p w14:paraId="4F73D695">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计划成本：项目实施单位为完成工作目标计划安排的支出，一般以项目预算为参考。</w:t>
            </w:r>
          </w:p>
        </w:tc>
        <w:tc>
          <w:tcPr>
            <w:tcW w:w="785" w:type="dxa"/>
            <w:shd w:val="clear" w:color="auto" w:fill="auto"/>
            <w:noWrap w:val="0"/>
            <w:vAlign w:val="center"/>
          </w:tcPr>
          <w:p w14:paraId="7CE09244">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8</w:t>
            </w:r>
          </w:p>
        </w:tc>
        <w:tc>
          <w:tcPr>
            <w:tcW w:w="769" w:type="dxa"/>
            <w:shd w:val="clear" w:color="auto" w:fill="auto"/>
            <w:noWrap w:val="0"/>
            <w:vAlign w:val="center"/>
          </w:tcPr>
          <w:p w14:paraId="1ADCBEBE">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8</w:t>
            </w:r>
          </w:p>
        </w:tc>
      </w:tr>
      <w:tr w14:paraId="3C8BF7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72" w:hRule="atLeast"/>
          <w:jc w:val="center"/>
        </w:trPr>
        <w:tc>
          <w:tcPr>
            <w:tcW w:w="861" w:type="dxa"/>
            <w:vMerge w:val="restart"/>
            <w:shd w:val="clear" w:color="auto" w:fill="auto"/>
            <w:noWrap w:val="0"/>
            <w:vAlign w:val="center"/>
          </w:tcPr>
          <w:p w14:paraId="2AA80A6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效益　</w:t>
            </w:r>
          </w:p>
        </w:tc>
        <w:tc>
          <w:tcPr>
            <w:tcW w:w="727" w:type="dxa"/>
            <w:vMerge w:val="restart"/>
            <w:shd w:val="clear" w:color="auto" w:fill="auto"/>
            <w:noWrap w:val="0"/>
            <w:vAlign w:val="center"/>
          </w:tcPr>
          <w:p w14:paraId="559E8245">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项目效益　</w:t>
            </w:r>
          </w:p>
        </w:tc>
        <w:tc>
          <w:tcPr>
            <w:tcW w:w="950" w:type="dxa"/>
            <w:shd w:val="clear" w:color="auto" w:fill="auto"/>
            <w:noWrap w:val="0"/>
            <w:vAlign w:val="center"/>
          </w:tcPr>
          <w:p w14:paraId="0C420B93">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农民合作社示范社和示范家庭农场发展水平和带动能力</w:t>
            </w:r>
          </w:p>
        </w:tc>
        <w:tc>
          <w:tcPr>
            <w:tcW w:w="2011" w:type="dxa"/>
            <w:shd w:val="clear" w:color="auto" w:fill="auto"/>
            <w:noWrap w:val="0"/>
            <w:vAlign w:val="center"/>
          </w:tcPr>
          <w:p w14:paraId="50D9D190">
            <w:pPr>
              <w:pageBreakBefore w:val="0"/>
              <w:widowControl/>
              <w:kinsoku/>
              <w:wordWrap/>
              <w:overflowPunct/>
              <w:topLinePunct w:val="0"/>
              <w:autoSpaceDE/>
              <w:autoSpaceDN/>
              <w:bidi w:val="0"/>
              <w:spacing w:line="240" w:lineRule="auto"/>
              <w:ind w:firstLine="0" w:firstLineChars="0"/>
              <w:jc w:val="left"/>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项目实施所产生的效益。</w:t>
            </w:r>
          </w:p>
        </w:tc>
        <w:tc>
          <w:tcPr>
            <w:tcW w:w="7821" w:type="dxa"/>
            <w:shd w:val="clear" w:color="auto" w:fill="auto"/>
            <w:noWrap w:val="0"/>
            <w:vAlign w:val="center"/>
          </w:tcPr>
          <w:p w14:paraId="1B21DDA6">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项目实施所产生的社会效益、经济效益、生态效益、可持续影响等。可根据项目实际情况有选择地设置和细化。</w:t>
            </w:r>
          </w:p>
        </w:tc>
        <w:tc>
          <w:tcPr>
            <w:tcW w:w="785" w:type="dxa"/>
            <w:shd w:val="clear" w:color="auto" w:fill="auto"/>
            <w:noWrap w:val="0"/>
            <w:vAlign w:val="center"/>
          </w:tcPr>
          <w:p w14:paraId="16315E68">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w:t>
            </w:r>
          </w:p>
        </w:tc>
        <w:tc>
          <w:tcPr>
            <w:tcW w:w="769" w:type="dxa"/>
            <w:shd w:val="clear" w:color="auto" w:fill="auto"/>
            <w:noWrap w:val="0"/>
            <w:vAlign w:val="center"/>
          </w:tcPr>
          <w:p w14:paraId="7D7B71B5">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w:t>
            </w:r>
          </w:p>
        </w:tc>
      </w:tr>
      <w:tr w14:paraId="375E2A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04" w:hRule="atLeast"/>
          <w:jc w:val="center"/>
        </w:trPr>
        <w:tc>
          <w:tcPr>
            <w:tcW w:w="861" w:type="dxa"/>
            <w:vMerge w:val="continue"/>
            <w:shd w:val="clear" w:color="auto" w:fill="auto"/>
            <w:noWrap w:val="0"/>
            <w:vAlign w:val="center"/>
          </w:tcPr>
          <w:p w14:paraId="05769D50">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727" w:type="dxa"/>
            <w:vMerge w:val="continue"/>
            <w:shd w:val="clear" w:color="auto" w:fill="auto"/>
            <w:noWrap w:val="0"/>
            <w:vAlign w:val="center"/>
          </w:tcPr>
          <w:p w14:paraId="1861A636">
            <w:pPr>
              <w:pageBreakBefore w:val="0"/>
              <w:widowControl/>
              <w:kinsoku/>
              <w:wordWrap/>
              <w:overflowPunct/>
              <w:topLinePunct w:val="0"/>
              <w:autoSpaceDE/>
              <w:autoSpaceDN/>
              <w:bidi w:val="0"/>
              <w:spacing w:line="240" w:lineRule="auto"/>
              <w:ind w:firstLine="0" w:firstLineChars="0"/>
              <w:jc w:val="center"/>
              <w:textAlignment w:val="auto"/>
              <w:rPr>
                <w:rFonts w:ascii="宋体" w:hAnsi="宋体" w:eastAsia="宋体" w:cs="宋体"/>
                <w:color w:val="auto"/>
                <w:kern w:val="0"/>
                <w:sz w:val="22"/>
                <w:szCs w:val="22"/>
                <w:highlight w:val="none"/>
              </w:rPr>
            </w:pPr>
          </w:p>
        </w:tc>
        <w:tc>
          <w:tcPr>
            <w:tcW w:w="950" w:type="dxa"/>
            <w:shd w:val="clear" w:color="auto" w:fill="auto"/>
            <w:noWrap w:val="0"/>
            <w:vAlign w:val="center"/>
          </w:tcPr>
          <w:p w14:paraId="3F036B5F">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接受社会化服务的小农户满意度</w:t>
            </w:r>
          </w:p>
        </w:tc>
        <w:tc>
          <w:tcPr>
            <w:tcW w:w="2011" w:type="dxa"/>
            <w:shd w:val="clear" w:color="auto" w:fill="auto"/>
            <w:noWrap w:val="0"/>
            <w:vAlign w:val="center"/>
          </w:tcPr>
          <w:p w14:paraId="21426980">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社会公众或服务对象对项目实施效果的满意程度。</w:t>
            </w:r>
          </w:p>
        </w:tc>
        <w:tc>
          <w:tcPr>
            <w:tcW w:w="7821" w:type="dxa"/>
            <w:shd w:val="clear" w:color="auto" w:fill="auto"/>
            <w:noWrap w:val="0"/>
            <w:vAlign w:val="center"/>
          </w:tcPr>
          <w:p w14:paraId="4E768F3D">
            <w:pPr>
              <w:pageBreakBefore w:val="0"/>
              <w:widowControl/>
              <w:kinsoku/>
              <w:wordWrap/>
              <w:overflowPunct/>
              <w:topLinePunct w:val="0"/>
              <w:autoSpaceDE/>
              <w:autoSpaceDN/>
              <w:bidi w:val="0"/>
              <w:spacing w:line="240" w:lineRule="auto"/>
              <w:ind w:firstLine="0" w:firstLineChars="0"/>
              <w:textAlignment w:val="auto"/>
              <w:rPr>
                <w:rFonts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社会公众或服务对象是指因该项目实施而受到影响的部门（单位）、群体或个人。一般采取社会调查的方式。</w:t>
            </w:r>
          </w:p>
        </w:tc>
        <w:tc>
          <w:tcPr>
            <w:tcW w:w="785" w:type="dxa"/>
            <w:shd w:val="clear" w:color="auto" w:fill="auto"/>
            <w:noWrap w:val="0"/>
            <w:vAlign w:val="center"/>
          </w:tcPr>
          <w:p w14:paraId="31BB7C34">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w:t>
            </w:r>
          </w:p>
        </w:tc>
        <w:tc>
          <w:tcPr>
            <w:tcW w:w="769" w:type="dxa"/>
            <w:shd w:val="clear" w:color="auto" w:fill="auto"/>
            <w:noWrap w:val="0"/>
            <w:vAlign w:val="center"/>
          </w:tcPr>
          <w:p w14:paraId="3879D073">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w:t>
            </w:r>
          </w:p>
        </w:tc>
      </w:tr>
      <w:tr w14:paraId="58B4D2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7" w:hRule="atLeast"/>
          <w:jc w:val="center"/>
        </w:trPr>
        <w:tc>
          <w:tcPr>
            <w:tcW w:w="4549" w:type="dxa"/>
            <w:gridSpan w:val="4"/>
            <w:shd w:val="clear" w:color="auto" w:fill="auto"/>
            <w:noWrap w:val="0"/>
            <w:vAlign w:val="center"/>
          </w:tcPr>
          <w:p w14:paraId="5B262A57">
            <w:pPr>
              <w:pageBreakBefore w:val="0"/>
              <w:widowControl/>
              <w:kinsoku/>
              <w:wordWrap/>
              <w:overflowPunct/>
              <w:topLinePunct w:val="0"/>
              <w:autoSpaceDE/>
              <w:autoSpaceDN/>
              <w:bidi w:val="0"/>
              <w:spacing w:line="240" w:lineRule="auto"/>
              <w:ind w:firstLine="0" w:firstLineChars="0"/>
              <w:jc w:val="center"/>
              <w:textAlignment w:val="auto"/>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合计</w:t>
            </w:r>
          </w:p>
        </w:tc>
        <w:tc>
          <w:tcPr>
            <w:tcW w:w="7821" w:type="dxa"/>
            <w:shd w:val="clear" w:color="auto" w:fill="auto"/>
            <w:noWrap w:val="0"/>
            <w:vAlign w:val="center"/>
          </w:tcPr>
          <w:p w14:paraId="3931EF24">
            <w:pPr>
              <w:pageBreakBefore w:val="0"/>
              <w:widowControl/>
              <w:kinsoku/>
              <w:wordWrap/>
              <w:overflowPunct/>
              <w:topLinePunct w:val="0"/>
              <w:autoSpaceDE/>
              <w:autoSpaceDN/>
              <w:bidi w:val="0"/>
              <w:spacing w:line="240" w:lineRule="auto"/>
              <w:ind w:firstLine="0" w:firstLineChars="0"/>
              <w:textAlignment w:val="auto"/>
              <w:rPr>
                <w:rFonts w:hint="eastAsia" w:ascii="宋体" w:hAnsi="宋体" w:eastAsia="宋体" w:cs="宋体"/>
                <w:color w:val="auto"/>
                <w:kern w:val="0"/>
                <w:sz w:val="22"/>
                <w:szCs w:val="22"/>
                <w:highlight w:val="none"/>
              </w:rPr>
            </w:pPr>
          </w:p>
        </w:tc>
        <w:tc>
          <w:tcPr>
            <w:tcW w:w="785" w:type="dxa"/>
            <w:shd w:val="clear" w:color="auto" w:fill="auto"/>
            <w:noWrap w:val="0"/>
            <w:vAlign w:val="center"/>
          </w:tcPr>
          <w:p w14:paraId="6A57C651">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100</w:t>
            </w:r>
          </w:p>
        </w:tc>
        <w:tc>
          <w:tcPr>
            <w:tcW w:w="769" w:type="dxa"/>
            <w:shd w:val="clear" w:color="auto" w:fill="auto"/>
            <w:noWrap w:val="0"/>
            <w:vAlign w:val="center"/>
          </w:tcPr>
          <w:p w14:paraId="3F438FFF">
            <w:pPr>
              <w:pageBreakBefore w:val="0"/>
              <w:widowControl/>
              <w:kinsoku/>
              <w:wordWrap/>
              <w:overflowPunct/>
              <w:topLinePunct w:val="0"/>
              <w:autoSpaceDE/>
              <w:autoSpaceDN/>
              <w:bidi w:val="0"/>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cs="宋体"/>
                <w:color w:val="auto"/>
                <w:kern w:val="0"/>
                <w:sz w:val="22"/>
                <w:szCs w:val="22"/>
                <w:highlight w:val="none"/>
                <w:lang w:val="en-US" w:eastAsia="zh-CN"/>
              </w:rPr>
              <w:t>99</w:t>
            </w:r>
          </w:p>
        </w:tc>
      </w:tr>
    </w:tbl>
    <w:p w14:paraId="0A2585EC">
      <w:pPr>
        <w:pageBreakBefore w:val="0"/>
        <w:kinsoku/>
        <w:wordWrap/>
        <w:overflowPunct/>
        <w:topLinePunct w:val="0"/>
        <w:autoSpaceDE/>
        <w:autoSpaceDN/>
        <w:bidi w:val="0"/>
        <w:spacing w:line="560" w:lineRule="exact"/>
        <w:ind w:firstLine="0" w:firstLineChars="0"/>
        <w:textAlignment w:val="auto"/>
        <w:rPr>
          <w:rFonts w:ascii="Times New Roman" w:hAnsi="Times New Roman" w:eastAsia="仿宋_GB2312" w:cs="Times New Roman"/>
          <w:color w:val="auto"/>
          <w:sz w:val="30"/>
          <w:szCs w:val="24"/>
          <w:highlight w:val="none"/>
        </w:rPr>
      </w:pPr>
    </w:p>
    <w:p w14:paraId="336B3C9F">
      <w:pPr>
        <w:pageBreakBefore w:val="0"/>
        <w:kinsoku/>
        <w:wordWrap/>
        <w:overflowPunct/>
        <w:topLinePunct w:val="0"/>
        <w:autoSpaceDE/>
        <w:autoSpaceDN/>
        <w:bidi w:val="0"/>
        <w:spacing w:line="560" w:lineRule="exact"/>
        <w:textAlignment w:val="auto"/>
        <w:rPr>
          <w:rFonts w:hint="default"/>
          <w:color w:val="auto"/>
          <w:highlight w:val="none"/>
          <w:lang w:val="en-US" w:eastAsia="zh-CN"/>
        </w:rPr>
      </w:pPr>
    </w:p>
    <w:sectPr>
      <w:pgSz w:w="16838" w:h="11906" w:orient="landscape"/>
      <w:pgMar w:top="1800" w:right="1440" w:bottom="1800" w:left="1440" w:header="737" w:footer="851" w:gutter="0"/>
      <w:pgNumType w:fmt="decimal"/>
      <w:cols w:space="720"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MS Sans Serif">
    <w:altName w:val="Arial"/>
    <w:panose1 w:val="00000000000000000000"/>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583D0">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783C5A">
                          <w:pPr>
                            <w:pStyle w:val="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4783C5A">
                    <w:pPr>
                      <w:pStyle w:val="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D2B0F"/>
    <w:multiLevelType w:val="singleLevel"/>
    <w:tmpl w:val="F4CD2B0F"/>
    <w:lvl w:ilvl="0" w:tentative="0">
      <w:start w:val="1"/>
      <w:numFmt w:val="decimal"/>
      <w:suff w:val="nothing"/>
      <w:lvlText w:val="（%1）"/>
      <w:lvlJc w:val="left"/>
    </w:lvl>
  </w:abstractNum>
  <w:abstractNum w:abstractNumId="1">
    <w:nsid w:val="720CC970"/>
    <w:multiLevelType w:val="singleLevel"/>
    <w:tmpl w:val="720CC97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NlZTAzNzU1YTMxMTkxNjU2ZDE5MmUzYjgzNzAyMTcifQ=="/>
  </w:docVars>
  <w:rsids>
    <w:rsidRoot w:val="68291A1A"/>
    <w:rsid w:val="00146C3E"/>
    <w:rsid w:val="007D6A04"/>
    <w:rsid w:val="00E23C81"/>
    <w:rsid w:val="01253350"/>
    <w:rsid w:val="01282E62"/>
    <w:rsid w:val="014029CF"/>
    <w:rsid w:val="01470C4C"/>
    <w:rsid w:val="02200440"/>
    <w:rsid w:val="02284B43"/>
    <w:rsid w:val="02B015E2"/>
    <w:rsid w:val="02DC08FA"/>
    <w:rsid w:val="033B569D"/>
    <w:rsid w:val="039C3BA0"/>
    <w:rsid w:val="03A845BB"/>
    <w:rsid w:val="03B45AD1"/>
    <w:rsid w:val="04BB5274"/>
    <w:rsid w:val="04D12EE4"/>
    <w:rsid w:val="04D63993"/>
    <w:rsid w:val="07890F4F"/>
    <w:rsid w:val="08892439"/>
    <w:rsid w:val="08EB30F3"/>
    <w:rsid w:val="09237408"/>
    <w:rsid w:val="09781BD6"/>
    <w:rsid w:val="09F359DF"/>
    <w:rsid w:val="0A575E65"/>
    <w:rsid w:val="0ACA0AB6"/>
    <w:rsid w:val="0C032502"/>
    <w:rsid w:val="0C27698C"/>
    <w:rsid w:val="0D4452F3"/>
    <w:rsid w:val="0D6E1F7E"/>
    <w:rsid w:val="0F5E5042"/>
    <w:rsid w:val="0FE95707"/>
    <w:rsid w:val="10510571"/>
    <w:rsid w:val="10724CC1"/>
    <w:rsid w:val="10787A20"/>
    <w:rsid w:val="108672DE"/>
    <w:rsid w:val="10EC685A"/>
    <w:rsid w:val="11B03A6A"/>
    <w:rsid w:val="11FA6155"/>
    <w:rsid w:val="12CF0947"/>
    <w:rsid w:val="12F1313F"/>
    <w:rsid w:val="136C678E"/>
    <w:rsid w:val="13EB2FF5"/>
    <w:rsid w:val="143B01A2"/>
    <w:rsid w:val="14ED4CAC"/>
    <w:rsid w:val="15283CD3"/>
    <w:rsid w:val="15A46B04"/>
    <w:rsid w:val="165825BC"/>
    <w:rsid w:val="16BC5D73"/>
    <w:rsid w:val="174D65A7"/>
    <w:rsid w:val="176F36D7"/>
    <w:rsid w:val="1795226D"/>
    <w:rsid w:val="18456B1E"/>
    <w:rsid w:val="1C1171C5"/>
    <w:rsid w:val="1D265138"/>
    <w:rsid w:val="1D7B6BCA"/>
    <w:rsid w:val="1DA41A79"/>
    <w:rsid w:val="1DF53469"/>
    <w:rsid w:val="1E2F24F2"/>
    <w:rsid w:val="1E58492F"/>
    <w:rsid w:val="1E5B6757"/>
    <w:rsid w:val="1EB661F5"/>
    <w:rsid w:val="1ED10AC6"/>
    <w:rsid w:val="1F89225F"/>
    <w:rsid w:val="1F900A1F"/>
    <w:rsid w:val="1FC0575D"/>
    <w:rsid w:val="206132C7"/>
    <w:rsid w:val="21B00C1D"/>
    <w:rsid w:val="23031BEB"/>
    <w:rsid w:val="23917691"/>
    <w:rsid w:val="241F3FA3"/>
    <w:rsid w:val="244D65B8"/>
    <w:rsid w:val="245E1E24"/>
    <w:rsid w:val="25AD5E5D"/>
    <w:rsid w:val="26F544E0"/>
    <w:rsid w:val="27090EBD"/>
    <w:rsid w:val="2732478D"/>
    <w:rsid w:val="27661469"/>
    <w:rsid w:val="27900EAD"/>
    <w:rsid w:val="279B538A"/>
    <w:rsid w:val="286F545C"/>
    <w:rsid w:val="29314FBC"/>
    <w:rsid w:val="2AA2081A"/>
    <w:rsid w:val="2AEB6930"/>
    <w:rsid w:val="2C024B86"/>
    <w:rsid w:val="2C927671"/>
    <w:rsid w:val="2CC6306F"/>
    <w:rsid w:val="2D7C5CD6"/>
    <w:rsid w:val="2E483E7E"/>
    <w:rsid w:val="2E690493"/>
    <w:rsid w:val="2E9854BD"/>
    <w:rsid w:val="2F0D407F"/>
    <w:rsid w:val="2F454B19"/>
    <w:rsid w:val="310224D9"/>
    <w:rsid w:val="31B4621C"/>
    <w:rsid w:val="31E3230A"/>
    <w:rsid w:val="32D774C2"/>
    <w:rsid w:val="330957E0"/>
    <w:rsid w:val="33356F64"/>
    <w:rsid w:val="33944516"/>
    <w:rsid w:val="34B62907"/>
    <w:rsid w:val="36BD137C"/>
    <w:rsid w:val="36EF3B06"/>
    <w:rsid w:val="38053EDF"/>
    <w:rsid w:val="380812A4"/>
    <w:rsid w:val="385D37E7"/>
    <w:rsid w:val="38782EDD"/>
    <w:rsid w:val="3B080AB1"/>
    <w:rsid w:val="3B42664A"/>
    <w:rsid w:val="3CAD1E92"/>
    <w:rsid w:val="3D836A4E"/>
    <w:rsid w:val="3EA37E97"/>
    <w:rsid w:val="3FBE0BC5"/>
    <w:rsid w:val="4048103A"/>
    <w:rsid w:val="40736643"/>
    <w:rsid w:val="40D24A7A"/>
    <w:rsid w:val="42621029"/>
    <w:rsid w:val="435241E2"/>
    <w:rsid w:val="43975C51"/>
    <w:rsid w:val="439E3FA7"/>
    <w:rsid w:val="44B32266"/>
    <w:rsid w:val="44FC64F4"/>
    <w:rsid w:val="467F4585"/>
    <w:rsid w:val="470628CB"/>
    <w:rsid w:val="4729480B"/>
    <w:rsid w:val="47555BD4"/>
    <w:rsid w:val="47BC2DB1"/>
    <w:rsid w:val="47E96399"/>
    <w:rsid w:val="47F76025"/>
    <w:rsid w:val="486E33F5"/>
    <w:rsid w:val="48E12B50"/>
    <w:rsid w:val="499441BE"/>
    <w:rsid w:val="499A6C1C"/>
    <w:rsid w:val="4A195607"/>
    <w:rsid w:val="4A2138F0"/>
    <w:rsid w:val="4A583887"/>
    <w:rsid w:val="4B9F6E02"/>
    <w:rsid w:val="4C89637B"/>
    <w:rsid w:val="4E0F0CE0"/>
    <w:rsid w:val="4E6E48A8"/>
    <w:rsid w:val="4EEC036B"/>
    <w:rsid w:val="4F714FA1"/>
    <w:rsid w:val="501D2673"/>
    <w:rsid w:val="50C80BF1"/>
    <w:rsid w:val="51852833"/>
    <w:rsid w:val="52F11AC8"/>
    <w:rsid w:val="52F308B9"/>
    <w:rsid w:val="52F81343"/>
    <w:rsid w:val="534F49D9"/>
    <w:rsid w:val="53555F0F"/>
    <w:rsid w:val="535D23D5"/>
    <w:rsid w:val="56597031"/>
    <w:rsid w:val="56F4341A"/>
    <w:rsid w:val="575A7321"/>
    <w:rsid w:val="580C3AB9"/>
    <w:rsid w:val="583C7AE0"/>
    <w:rsid w:val="586C1E9A"/>
    <w:rsid w:val="586E0800"/>
    <w:rsid w:val="590434A0"/>
    <w:rsid w:val="59216F96"/>
    <w:rsid w:val="598C4145"/>
    <w:rsid w:val="59957D1B"/>
    <w:rsid w:val="59D4294E"/>
    <w:rsid w:val="5B634312"/>
    <w:rsid w:val="5B9D2CCD"/>
    <w:rsid w:val="5B9E71EA"/>
    <w:rsid w:val="5D8B20F8"/>
    <w:rsid w:val="5E226FBC"/>
    <w:rsid w:val="5FE72BD2"/>
    <w:rsid w:val="60120613"/>
    <w:rsid w:val="603B2232"/>
    <w:rsid w:val="618D5292"/>
    <w:rsid w:val="622E78FA"/>
    <w:rsid w:val="63343F70"/>
    <w:rsid w:val="64296E1C"/>
    <w:rsid w:val="64386FCC"/>
    <w:rsid w:val="649E64A2"/>
    <w:rsid w:val="65E5270A"/>
    <w:rsid w:val="663D3C54"/>
    <w:rsid w:val="667A6962"/>
    <w:rsid w:val="66862C89"/>
    <w:rsid w:val="66BB486D"/>
    <w:rsid w:val="67394C7D"/>
    <w:rsid w:val="68126B38"/>
    <w:rsid w:val="68291A1A"/>
    <w:rsid w:val="68352BB8"/>
    <w:rsid w:val="691327EB"/>
    <w:rsid w:val="691B1594"/>
    <w:rsid w:val="693A016B"/>
    <w:rsid w:val="6A17429C"/>
    <w:rsid w:val="6A567EA3"/>
    <w:rsid w:val="6B4B4368"/>
    <w:rsid w:val="6B79100E"/>
    <w:rsid w:val="6C844C00"/>
    <w:rsid w:val="6E10212C"/>
    <w:rsid w:val="6E43561A"/>
    <w:rsid w:val="6E557973"/>
    <w:rsid w:val="6E9568DB"/>
    <w:rsid w:val="6F0D6C22"/>
    <w:rsid w:val="6F47657F"/>
    <w:rsid w:val="6FAF23D9"/>
    <w:rsid w:val="70635CF6"/>
    <w:rsid w:val="70670707"/>
    <w:rsid w:val="720E3691"/>
    <w:rsid w:val="7249173A"/>
    <w:rsid w:val="724E244C"/>
    <w:rsid w:val="72DA6946"/>
    <w:rsid w:val="732764B3"/>
    <w:rsid w:val="74026044"/>
    <w:rsid w:val="74325A77"/>
    <w:rsid w:val="744148F7"/>
    <w:rsid w:val="74746410"/>
    <w:rsid w:val="75C8506C"/>
    <w:rsid w:val="75E5007C"/>
    <w:rsid w:val="76592168"/>
    <w:rsid w:val="77636B63"/>
    <w:rsid w:val="77813724"/>
    <w:rsid w:val="77861774"/>
    <w:rsid w:val="78F31435"/>
    <w:rsid w:val="79300B45"/>
    <w:rsid w:val="794D3E18"/>
    <w:rsid w:val="79F3729A"/>
    <w:rsid w:val="7A880722"/>
    <w:rsid w:val="7ABE6120"/>
    <w:rsid w:val="7ACB0498"/>
    <w:rsid w:val="7AED0B4D"/>
    <w:rsid w:val="7C1E4487"/>
    <w:rsid w:val="7C215E02"/>
    <w:rsid w:val="7CF23764"/>
    <w:rsid w:val="7D851A94"/>
    <w:rsid w:val="7E797F74"/>
    <w:rsid w:val="7F924011"/>
    <w:rsid w:val="7FC52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723" w:firstLineChars="200"/>
      <w:jc w:val="both"/>
    </w:pPr>
    <w:rPr>
      <w:rFonts w:ascii="宋体" w:hAnsi="宋体" w:eastAsia="宋体" w:cs="宋体"/>
      <w:kern w:val="2"/>
      <w:sz w:val="28"/>
      <w:szCs w:val="28"/>
      <w:lang w:val="en-US" w:eastAsia="zh-CN" w:bidi="ar-SA"/>
    </w:rPr>
  </w:style>
  <w:style w:type="paragraph" w:styleId="2">
    <w:name w:val="heading 1"/>
    <w:basedOn w:val="1"/>
    <w:next w:val="1"/>
    <w:autoRedefine/>
    <w:qFormat/>
    <w:uiPriority w:val="0"/>
    <w:pPr>
      <w:keepNext/>
      <w:keepLines/>
      <w:spacing w:beforeLines="0" w:beforeAutospacing="0" w:afterLines="0" w:afterAutospacing="0" w:line="560" w:lineRule="exact"/>
      <w:ind w:firstLine="964" w:firstLineChars="200"/>
      <w:outlineLvl w:val="0"/>
    </w:pPr>
    <w:rPr>
      <w:rFonts w:ascii="Times New Roman" w:hAnsi="Times New Roman" w:eastAsia="黑体"/>
      <w:kern w:val="44"/>
      <w:sz w:val="32"/>
      <w:szCs w:val="22"/>
    </w:rPr>
  </w:style>
  <w:style w:type="paragraph" w:styleId="3">
    <w:name w:val="heading 2"/>
    <w:basedOn w:val="1"/>
    <w:next w:val="1"/>
    <w:link w:val="19"/>
    <w:autoRedefine/>
    <w:unhideWhenUsed/>
    <w:qFormat/>
    <w:uiPriority w:val="0"/>
    <w:pPr>
      <w:keepNext/>
      <w:keepLines/>
      <w:spacing w:beforeLines="0" w:beforeAutospacing="0" w:afterLines="0" w:afterAutospacing="0" w:line="560" w:lineRule="exact"/>
      <w:ind w:firstLine="964" w:firstLineChars="200"/>
      <w:outlineLvl w:val="1"/>
    </w:pPr>
    <w:rPr>
      <w:rFonts w:ascii="Arial" w:hAnsi="Arial" w:eastAsia="楷体"/>
      <w:b/>
      <w:sz w:val="32"/>
    </w:rPr>
  </w:style>
  <w:style w:type="paragraph" w:styleId="4">
    <w:name w:val="heading 3"/>
    <w:basedOn w:val="1"/>
    <w:next w:val="1"/>
    <w:autoRedefine/>
    <w:qFormat/>
    <w:uiPriority w:val="99"/>
    <w:pPr>
      <w:keepNext/>
      <w:keepLines/>
      <w:spacing w:line="560" w:lineRule="exact"/>
      <w:ind w:firstLine="883" w:firstLineChars="200"/>
      <w:outlineLvl w:val="2"/>
    </w:pPr>
    <w:rPr>
      <w:rFonts w:ascii="仿宋_GB2312" w:hAnsi="仿宋_GB2312" w:eastAsia="仿宋_GB2312"/>
      <w:b/>
      <w:bCs/>
      <w:kern w:val="0"/>
      <w:sz w:val="28"/>
      <w:szCs w:val="32"/>
    </w:rPr>
  </w:style>
  <w:style w:type="character" w:default="1" w:styleId="17">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autoRedefine/>
    <w:qFormat/>
    <w:uiPriority w:val="0"/>
    <w:pPr>
      <w:spacing w:before="240" w:after="240" w:line="360" w:lineRule="auto"/>
      <w:jc w:val="center"/>
    </w:pPr>
    <w:rPr>
      <w:b/>
      <w:sz w:val="44"/>
    </w:rPr>
  </w:style>
  <w:style w:type="paragraph" w:styleId="7">
    <w:name w:val="toc 3"/>
    <w:basedOn w:val="1"/>
    <w:next w:val="1"/>
    <w:qFormat/>
    <w:uiPriority w:val="0"/>
    <w:pPr>
      <w:ind w:left="840" w:leftChars="400"/>
    </w:p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Body Text 2"/>
    <w:basedOn w:val="1"/>
    <w:autoRedefine/>
    <w:qFormat/>
    <w:uiPriority w:val="0"/>
    <w:pPr>
      <w:spacing w:after="120" w:line="480" w:lineRule="auto"/>
    </w:pPr>
    <w:rPr>
      <w:rFonts w:ascii="Times New Roman" w:hAnsi="Times New Roman" w:eastAsia="宋体" w:cs="Times New Roman"/>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Title"/>
    <w:basedOn w:val="1"/>
    <w:next w:val="1"/>
    <w:autoRedefine/>
    <w:qFormat/>
    <w:uiPriority w:val="0"/>
    <w:pPr>
      <w:spacing w:before="240" w:beforeLines="0" w:after="60" w:afterLines="0"/>
      <w:jc w:val="left"/>
      <w:outlineLvl w:val="0"/>
    </w:pPr>
    <w:rPr>
      <w:rFonts w:ascii="MS Sans Serif" w:hAnsi="MS Sans Serif" w:eastAsia="宋体" w:cs="MS Sans Serif"/>
      <w:b/>
      <w:bCs/>
      <w:sz w:val="24"/>
      <w:szCs w:val="32"/>
    </w:rPr>
  </w:style>
  <w:style w:type="paragraph" w:styleId="15">
    <w:name w:val="Body Text First Indent"/>
    <w:basedOn w:val="6"/>
    <w:qFormat/>
    <w:uiPriority w:val="0"/>
    <w:pPr>
      <w:spacing w:after="0"/>
      <w:ind w:firstLine="200" w:firstLineChars="200"/>
    </w:pPr>
  </w:style>
  <w:style w:type="paragraph" w:customStyle="1" w:styleId="18">
    <w:name w:val="正文 A"/>
    <w:autoRedefine/>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character" w:customStyle="1" w:styleId="19">
    <w:name w:val="标题 2 Char"/>
    <w:link w:val="3"/>
    <w:autoRedefine/>
    <w:qFormat/>
    <w:uiPriority w:val="0"/>
    <w:rPr>
      <w:rFonts w:ascii="Arial" w:hAnsi="Arial" w:eastAsia="楷体"/>
      <w:b/>
      <w:sz w:val="32"/>
    </w:rPr>
  </w:style>
  <w:style w:type="paragraph" w:customStyle="1" w:styleId="20">
    <w:name w:val="WPSOffice手动目录 1"/>
    <w:autoRedefine/>
    <w:qFormat/>
    <w:uiPriority w:val="0"/>
    <w:pPr>
      <w:ind w:leftChars="0"/>
    </w:pPr>
    <w:rPr>
      <w:rFonts w:ascii="Times New Roman" w:hAnsi="Times New Roman" w:eastAsia="宋体" w:cs="Times New Roman"/>
      <w:sz w:val="20"/>
      <w:szCs w:val="20"/>
    </w:rPr>
  </w:style>
  <w:style w:type="paragraph" w:customStyle="1" w:styleId="21">
    <w:name w:val="WPSOffice手动目录 2"/>
    <w:autoRedefine/>
    <w:qFormat/>
    <w:uiPriority w:val="0"/>
    <w:pPr>
      <w:ind w:leftChars="200"/>
    </w:pPr>
    <w:rPr>
      <w:rFonts w:ascii="Times New Roman" w:hAnsi="Times New Roman" w:eastAsia="宋体" w:cs="Times New Roman"/>
      <w:sz w:val="20"/>
      <w:szCs w:val="20"/>
    </w:rPr>
  </w:style>
  <w:style w:type="paragraph" w:customStyle="1" w:styleId="22">
    <w:name w:val="WPSOffice手动目录 3"/>
    <w:autoRedefine/>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14883</Words>
  <Characters>15625</Characters>
  <Lines>0</Lines>
  <Paragraphs>0</Paragraphs>
  <TotalTime>2</TotalTime>
  <ScaleCrop>false</ScaleCrop>
  <LinksUpToDate>false</LinksUpToDate>
  <CharactersWithSpaces>15708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2020-04-01T11:28:00Z</dcterms:created>
  <dc:creator>驰远天合-柴万顺-18690160103</dc:creator>
  <cp:lastModifiedBy>想不到的瑞</cp:lastModifiedBy>
  <cp:lastPrinted>2025-04-29T02:07:00Z</cp:lastPrinted>
  <dcterms:modified xsi:type="dcterms:W3CDTF">2025-10-09T03:55:11Z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B41FFA188C5045B8AE210F697C622BDE_13</vt:lpwstr>
  </property>
  <property fmtid="{D5CDD505-2E9C-101B-9397-08002B2CF9AE}" pid="4" name="KSOTemplateDocerSaveRecord">
    <vt:lpwstr>eyJoZGlkIjoiMzEwNTM5NzYwMDRjMzkwZTVkZjY2ODkwMGIxNGU0OTUiLCJ1c2VySWQiOiIxMDg5MDU4NzYyIn0=</vt:lpwstr>
  </property>
</Properties>
</file>